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CF7D56" w:rsidRPr="00AC5187" w:rsidTr="000212E6">
        <w:trPr>
          <w:cantSplit/>
        </w:trPr>
        <w:tc>
          <w:tcPr>
            <w:tcW w:w="6071" w:type="dxa"/>
            <w:gridSpan w:val="3"/>
            <w:tcBorders>
              <w:top w:val="nil"/>
              <w:left w:val="nil"/>
              <w:bottom w:val="nil"/>
              <w:right w:val="nil"/>
            </w:tcBorders>
          </w:tcPr>
          <w:p w:rsidR="00CF7D56" w:rsidRPr="009706AD" w:rsidRDefault="00CF7D56" w:rsidP="000212E6">
            <w:pPr>
              <w:pStyle w:val="Header1"/>
              <w:rPr>
                <w:sz w:val="22"/>
              </w:rPr>
            </w:pPr>
          </w:p>
          <w:p w:rsidR="00CF7D56" w:rsidRPr="009706AD" w:rsidRDefault="00CF7D56" w:rsidP="000212E6">
            <w:pPr>
              <w:pStyle w:val="Header1"/>
              <w:rPr>
                <w:sz w:val="22"/>
              </w:rPr>
            </w:pPr>
            <w:r w:rsidRPr="009706AD">
              <w:rPr>
                <w:noProof/>
                <w:sz w:val="22"/>
                <w:lang w:val="pl-PL" w:eastAsia="pl-PL"/>
              </w:rPr>
              <w:drawing>
                <wp:inline distT="0" distB="0" distL="0" distR="0">
                  <wp:extent cx="194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CF7D56" w:rsidRPr="009706AD" w:rsidRDefault="00CF7D56" w:rsidP="000212E6">
            <w:pPr>
              <w:pStyle w:val="Header1"/>
              <w:rPr>
                <w:rFonts w:cs="Arial"/>
                <w:color w:val="000000"/>
                <w:sz w:val="22"/>
                <w:lang w:val="en-GB"/>
              </w:rPr>
            </w:pPr>
          </w:p>
        </w:tc>
        <w:tc>
          <w:tcPr>
            <w:tcW w:w="3569" w:type="dxa"/>
            <w:tcBorders>
              <w:top w:val="nil"/>
              <w:left w:val="nil"/>
              <w:bottom w:val="nil"/>
              <w:right w:val="nil"/>
            </w:tcBorders>
          </w:tcPr>
          <w:p w:rsidR="00CF7D56" w:rsidRPr="009706AD" w:rsidRDefault="00CB4BB5" w:rsidP="000212E6">
            <w:pPr>
              <w:pStyle w:val="Header1"/>
              <w:tabs>
                <w:tab w:val="clear" w:pos="4536"/>
                <w:tab w:val="right" w:pos="3357"/>
              </w:tabs>
              <w:rPr>
                <w:sz w:val="22"/>
              </w:rPr>
            </w:pPr>
            <w:r>
              <w:rPr>
                <w:sz w:val="22"/>
              </w:rPr>
              <w:t>Com-ITU TEMP1</w:t>
            </w:r>
            <w:bookmarkStart w:id="0" w:name="_GoBack"/>
            <w:bookmarkEnd w:id="0"/>
            <w:r w:rsidR="00CF7D56" w:rsidRPr="009706AD">
              <w:rPr>
                <w:sz w:val="22"/>
              </w:rPr>
              <w:tab/>
            </w:r>
          </w:p>
        </w:tc>
      </w:tr>
      <w:tr w:rsidR="00CF7D56" w:rsidRPr="00AC5187" w:rsidTr="000212E6">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CF7D56" w:rsidRPr="009706AD" w:rsidRDefault="00CF7D56" w:rsidP="000212E6">
            <w:pPr>
              <w:pStyle w:val="Header1"/>
              <w:rPr>
                <w:sz w:val="22"/>
                <w:szCs w:val="22"/>
              </w:rPr>
            </w:pPr>
          </w:p>
        </w:tc>
        <w:tc>
          <w:tcPr>
            <w:tcW w:w="5300" w:type="dxa"/>
            <w:gridSpan w:val="2"/>
            <w:tcBorders>
              <w:top w:val="nil"/>
              <w:left w:val="nil"/>
              <w:bottom w:val="nil"/>
              <w:right w:val="nil"/>
            </w:tcBorders>
            <w:vAlign w:val="center"/>
          </w:tcPr>
          <w:p w:rsidR="00CF7D56" w:rsidRPr="009706AD" w:rsidRDefault="00CF7D56" w:rsidP="000212E6">
            <w:pPr>
              <w:pStyle w:val="Header1"/>
              <w:rPr>
                <w:sz w:val="22"/>
                <w:lang w:val="en-GB"/>
              </w:rPr>
            </w:pPr>
          </w:p>
        </w:tc>
      </w:tr>
      <w:tr w:rsidR="00CF7D56" w:rsidRPr="00AC5187" w:rsidTr="000212E6">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CF7D56" w:rsidRPr="00F11613" w:rsidRDefault="00F35219" w:rsidP="000212E6">
            <w:pPr>
              <w:pStyle w:val="Header1"/>
              <w:rPr>
                <w:sz w:val="22"/>
              </w:rPr>
            </w:pPr>
            <w:r>
              <w:rPr>
                <w:sz w:val="22"/>
              </w:rPr>
              <w:t>Warsaw</w:t>
            </w:r>
            <w:r w:rsidR="00CF7D56" w:rsidRPr="00F11613">
              <w:rPr>
                <w:sz w:val="22"/>
              </w:rPr>
              <w:t xml:space="preserve">, </w:t>
            </w:r>
            <w:r>
              <w:rPr>
                <w:sz w:val="22"/>
              </w:rPr>
              <w:t>Poland</w:t>
            </w:r>
          </w:p>
          <w:p w:rsidR="00CF7D56" w:rsidRPr="009706AD" w:rsidRDefault="00F35219" w:rsidP="00CF7D56">
            <w:pPr>
              <w:pStyle w:val="Header1"/>
              <w:rPr>
                <w:sz w:val="22"/>
              </w:rPr>
            </w:pPr>
            <w:r>
              <w:rPr>
                <w:sz w:val="22"/>
              </w:rPr>
              <w:t>13-16</w:t>
            </w:r>
            <w:r w:rsidR="00CF7D56" w:rsidRPr="00F11613">
              <w:rPr>
                <w:sz w:val="22"/>
              </w:rPr>
              <w:t>.</w:t>
            </w:r>
            <w:r>
              <w:rPr>
                <w:sz w:val="22"/>
              </w:rPr>
              <w:t>0</w:t>
            </w:r>
            <w:r w:rsidR="00CF7D56" w:rsidRPr="00F11613">
              <w:rPr>
                <w:sz w:val="22"/>
              </w:rPr>
              <w:t>1</w:t>
            </w:r>
            <w:r w:rsidR="00CF7D56">
              <w:rPr>
                <w:sz w:val="22"/>
              </w:rPr>
              <w:t>.</w:t>
            </w:r>
            <w:r w:rsidR="00CF7D56" w:rsidRPr="00F11613">
              <w:rPr>
                <w:sz w:val="22"/>
              </w:rPr>
              <w:t>201</w:t>
            </w:r>
            <w:r>
              <w:rPr>
                <w:sz w:val="22"/>
              </w:rPr>
              <w:t>3</w:t>
            </w:r>
          </w:p>
        </w:tc>
        <w:tc>
          <w:tcPr>
            <w:tcW w:w="5300" w:type="dxa"/>
            <w:gridSpan w:val="2"/>
            <w:tcBorders>
              <w:top w:val="nil"/>
              <w:left w:val="nil"/>
              <w:bottom w:val="nil"/>
              <w:right w:val="nil"/>
            </w:tcBorders>
            <w:vAlign w:val="center"/>
          </w:tcPr>
          <w:p w:rsidR="00CF7D56" w:rsidRPr="009706AD" w:rsidRDefault="00CF7D56" w:rsidP="000212E6">
            <w:pPr>
              <w:pStyle w:val="Header1"/>
              <w:rPr>
                <w:sz w:val="22"/>
                <w:lang w:val="en-GB"/>
              </w:rPr>
            </w:pPr>
          </w:p>
        </w:tc>
      </w:tr>
      <w:tr w:rsidR="00CF7D56" w:rsidRPr="00AC5187" w:rsidTr="000212E6">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CF7D56" w:rsidRDefault="00CF7D56" w:rsidP="000212E6">
            <w:pPr>
              <w:pStyle w:val="Header1"/>
              <w:rPr>
                <w:sz w:val="8"/>
              </w:rPr>
            </w:pPr>
          </w:p>
          <w:p w:rsidR="00CF7D56" w:rsidRDefault="00CF7D56" w:rsidP="000212E6">
            <w:pPr>
              <w:pStyle w:val="Header1"/>
              <w:rPr>
                <w:sz w:val="8"/>
              </w:rPr>
            </w:pPr>
          </w:p>
          <w:p w:rsidR="00CF7D56" w:rsidRPr="0098621D" w:rsidRDefault="00CF7D56" w:rsidP="000212E6">
            <w:pPr>
              <w:pStyle w:val="Header1"/>
              <w:rPr>
                <w:sz w:val="8"/>
              </w:rPr>
            </w:pPr>
          </w:p>
        </w:tc>
        <w:tc>
          <w:tcPr>
            <w:tcW w:w="5300" w:type="dxa"/>
            <w:gridSpan w:val="2"/>
            <w:tcBorders>
              <w:top w:val="nil"/>
              <w:left w:val="nil"/>
              <w:bottom w:val="nil"/>
              <w:right w:val="nil"/>
            </w:tcBorders>
            <w:vAlign w:val="center"/>
          </w:tcPr>
          <w:p w:rsidR="00CF7D56" w:rsidRPr="005C17BB" w:rsidRDefault="00CF7D56" w:rsidP="000212E6">
            <w:pPr>
              <w:pStyle w:val="Header1"/>
              <w:rPr>
                <w:sz w:val="8"/>
                <w:lang w:val="en-GB"/>
              </w:rPr>
            </w:pPr>
          </w:p>
        </w:tc>
      </w:tr>
      <w:tr w:rsidR="00CF7D56" w:rsidRPr="00AC5187" w:rsidTr="000212E6">
        <w:tblPrEx>
          <w:tblCellMar>
            <w:left w:w="108" w:type="dxa"/>
            <w:right w:w="108" w:type="dxa"/>
          </w:tblCellMar>
        </w:tblPrEx>
        <w:trPr>
          <w:cantSplit/>
          <w:trHeight w:val="405"/>
        </w:trPr>
        <w:tc>
          <w:tcPr>
            <w:tcW w:w="1843" w:type="dxa"/>
            <w:tcBorders>
              <w:top w:val="nil"/>
              <w:left w:val="nil"/>
              <w:bottom w:val="nil"/>
              <w:right w:val="nil"/>
            </w:tcBorders>
            <w:vAlign w:val="center"/>
          </w:tcPr>
          <w:p w:rsidR="00CF7D56" w:rsidRPr="009706AD" w:rsidRDefault="00CF7D56" w:rsidP="000212E6">
            <w:pPr>
              <w:pStyle w:val="Header1"/>
              <w:rPr>
                <w:sz w:val="22"/>
              </w:rPr>
            </w:pPr>
            <w:r w:rsidRPr="009706AD">
              <w:rPr>
                <w:sz w:val="22"/>
              </w:rPr>
              <w:t>Date issued:</w:t>
            </w:r>
          </w:p>
        </w:tc>
        <w:tc>
          <w:tcPr>
            <w:tcW w:w="7797" w:type="dxa"/>
            <w:gridSpan w:val="3"/>
            <w:tcBorders>
              <w:top w:val="nil"/>
              <w:left w:val="nil"/>
              <w:bottom w:val="nil"/>
              <w:right w:val="nil"/>
            </w:tcBorders>
            <w:vAlign w:val="center"/>
          </w:tcPr>
          <w:p w:rsidR="00CF7D56" w:rsidRPr="009706AD" w:rsidRDefault="00F35219" w:rsidP="000212E6">
            <w:pPr>
              <w:pStyle w:val="Header1"/>
              <w:rPr>
                <w:sz w:val="22"/>
                <w:lang w:val="en-GB"/>
              </w:rPr>
            </w:pPr>
            <w:r>
              <w:rPr>
                <w:sz w:val="22"/>
                <w:lang w:val="en-GB"/>
              </w:rPr>
              <w:t>2 December</w:t>
            </w:r>
            <w:r w:rsidR="00CF7D56" w:rsidRPr="009706AD">
              <w:rPr>
                <w:sz w:val="22"/>
              </w:rPr>
              <w:t xml:space="preserve"> 201</w:t>
            </w:r>
            <w:r w:rsidR="00CF7D56">
              <w:rPr>
                <w:sz w:val="22"/>
              </w:rPr>
              <w:t>3</w:t>
            </w:r>
          </w:p>
        </w:tc>
      </w:tr>
      <w:tr w:rsidR="00CF7D56" w:rsidRPr="00AC5187" w:rsidTr="000212E6">
        <w:tblPrEx>
          <w:tblCellMar>
            <w:left w:w="108" w:type="dxa"/>
            <w:right w:w="108" w:type="dxa"/>
          </w:tblCellMar>
        </w:tblPrEx>
        <w:trPr>
          <w:cantSplit/>
          <w:trHeight w:val="405"/>
        </w:trPr>
        <w:tc>
          <w:tcPr>
            <w:tcW w:w="1843" w:type="dxa"/>
            <w:tcBorders>
              <w:top w:val="nil"/>
              <w:left w:val="nil"/>
              <w:bottom w:val="nil"/>
              <w:right w:val="nil"/>
            </w:tcBorders>
            <w:vAlign w:val="center"/>
          </w:tcPr>
          <w:p w:rsidR="00CF7D56" w:rsidRPr="009706AD" w:rsidRDefault="00CF7D56" w:rsidP="000212E6">
            <w:pPr>
              <w:pStyle w:val="Header1"/>
              <w:rPr>
                <w:sz w:val="22"/>
              </w:rPr>
            </w:pPr>
            <w:r w:rsidRPr="009706AD">
              <w:rPr>
                <w:sz w:val="22"/>
              </w:rPr>
              <w:t>Source:</w:t>
            </w:r>
          </w:p>
        </w:tc>
        <w:tc>
          <w:tcPr>
            <w:tcW w:w="7797" w:type="dxa"/>
            <w:gridSpan w:val="3"/>
            <w:tcBorders>
              <w:top w:val="nil"/>
              <w:left w:val="nil"/>
              <w:bottom w:val="nil"/>
              <w:right w:val="nil"/>
            </w:tcBorders>
            <w:vAlign w:val="center"/>
          </w:tcPr>
          <w:p w:rsidR="00CF7D56" w:rsidRPr="0090295D" w:rsidRDefault="00CF7D56" w:rsidP="000212E6">
            <w:pPr>
              <w:pStyle w:val="Header1"/>
              <w:rPr>
                <w:sz w:val="22"/>
                <w:szCs w:val="22"/>
                <w:lang w:val="en-GB"/>
              </w:rPr>
            </w:pPr>
            <w:r w:rsidRPr="0090295D">
              <w:rPr>
                <w:sz w:val="22"/>
                <w:szCs w:val="22"/>
                <w:lang w:val="en-GB"/>
              </w:rPr>
              <w:t>Chairman Com-ITU</w:t>
            </w:r>
          </w:p>
        </w:tc>
      </w:tr>
      <w:tr w:rsidR="00CF7D56" w:rsidRPr="00AC5187" w:rsidTr="000212E6">
        <w:tblPrEx>
          <w:tblCellMar>
            <w:left w:w="108" w:type="dxa"/>
            <w:right w:w="108" w:type="dxa"/>
          </w:tblCellMar>
        </w:tblPrEx>
        <w:trPr>
          <w:cantSplit/>
          <w:trHeight w:val="405"/>
        </w:trPr>
        <w:tc>
          <w:tcPr>
            <w:tcW w:w="1843" w:type="dxa"/>
            <w:tcBorders>
              <w:top w:val="nil"/>
              <w:left w:val="nil"/>
              <w:bottom w:val="nil"/>
              <w:right w:val="nil"/>
            </w:tcBorders>
            <w:vAlign w:val="center"/>
          </w:tcPr>
          <w:p w:rsidR="00CF7D56" w:rsidRPr="009706AD" w:rsidRDefault="00CF7D56" w:rsidP="000212E6">
            <w:pPr>
              <w:pStyle w:val="Header1"/>
              <w:rPr>
                <w:sz w:val="22"/>
              </w:rPr>
            </w:pPr>
            <w:r w:rsidRPr="009706AD">
              <w:rPr>
                <w:sz w:val="22"/>
                <w:lang w:val="en-GB"/>
              </w:rPr>
              <w:t>Subject:</w:t>
            </w:r>
          </w:p>
        </w:tc>
        <w:tc>
          <w:tcPr>
            <w:tcW w:w="7797" w:type="dxa"/>
            <w:gridSpan w:val="3"/>
            <w:tcBorders>
              <w:top w:val="nil"/>
              <w:left w:val="nil"/>
              <w:bottom w:val="nil"/>
              <w:right w:val="nil"/>
            </w:tcBorders>
            <w:vAlign w:val="center"/>
          </w:tcPr>
          <w:p w:rsidR="00CF7D56" w:rsidRPr="009706AD" w:rsidRDefault="00CB4BB5" w:rsidP="00F35219">
            <w:pPr>
              <w:pStyle w:val="Header1"/>
              <w:rPr>
                <w:sz w:val="22"/>
                <w:lang w:val="en-GB"/>
              </w:rPr>
            </w:pPr>
            <w:r>
              <w:rPr>
                <w:sz w:val="22"/>
                <w:lang w:val="en-GB"/>
              </w:rPr>
              <w:t xml:space="preserve">Draft </w:t>
            </w:r>
            <w:r w:rsidR="00CF7D56">
              <w:rPr>
                <w:sz w:val="22"/>
                <w:lang w:val="en-GB"/>
              </w:rPr>
              <w:t xml:space="preserve">Report of the Com-ITU meeting, </w:t>
            </w:r>
            <w:r w:rsidR="00F35219">
              <w:rPr>
                <w:sz w:val="22"/>
              </w:rPr>
              <w:t>28-29 November</w:t>
            </w:r>
            <w:r w:rsidR="00CF7D56" w:rsidRPr="009706AD">
              <w:rPr>
                <w:sz w:val="22"/>
              </w:rPr>
              <w:t xml:space="preserve"> 201</w:t>
            </w:r>
            <w:r w:rsidR="00CF7D56">
              <w:rPr>
                <w:sz w:val="22"/>
              </w:rPr>
              <w:t>3</w:t>
            </w:r>
          </w:p>
        </w:tc>
      </w:tr>
    </w:tbl>
    <w:p w:rsidR="00CF7D56" w:rsidRPr="006D7413" w:rsidRDefault="00CB4BB5" w:rsidP="00CF7D56">
      <w:pPr>
        <w:rPr>
          <w:lang w:val="en-GB"/>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column">
                  <wp:posOffset>2600325</wp:posOffset>
                </wp:positionH>
                <wp:positionV relativeFrom="paragraph">
                  <wp:posOffset>187960</wp:posOffset>
                </wp:positionV>
                <wp:extent cx="457200" cy="348615"/>
                <wp:effectExtent l="0" t="0" r="19050" b="13335"/>
                <wp:wrapTight wrapText="bothSides">
                  <wp:wrapPolygon edited="0">
                    <wp:start x="0" y="0"/>
                    <wp:lineTo x="0" y="21246"/>
                    <wp:lineTo x="21600" y="21246"/>
                    <wp:lineTo x="2160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8615"/>
                        </a:xfrm>
                        <a:prstGeom prst="rect">
                          <a:avLst/>
                        </a:prstGeom>
                        <a:solidFill>
                          <a:srgbClr val="FFFFFF"/>
                        </a:solidFill>
                        <a:ln w="9525">
                          <a:solidFill>
                            <a:srgbClr val="000000"/>
                          </a:solidFill>
                          <a:miter lim="800000"/>
                          <a:headEnd/>
                          <a:tailEnd/>
                        </a:ln>
                      </wps:spPr>
                      <wps:txbx>
                        <w:txbxContent>
                          <w:p w:rsidR="007047F6" w:rsidRPr="00254FD9" w:rsidRDefault="007047F6" w:rsidP="00CF7D56">
                            <w:pPr>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4.75pt;margin-top:14.8pt;width:36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">
                <v:textbox>
                  <w:txbxContent>
                    <w:p w:rsidR="007047F6" w:rsidRPr="00254FD9" w:rsidRDefault="007047F6" w:rsidP="00CF7D56">
                      <w:pPr>
                        <w:jc w:val="center"/>
                        <w:rPr>
                          <w:rFonts w:cs="Arial"/>
                          <w:szCs w:val="24"/>
                          <w:lang w:val="de-DE"/>
                        </w:rPr>
                      </w:pPr>
                      <w:r>
                        <w:rPr>
                          <w:rFonts w:cs="Arial"/>
                          <w:szCs w:val="24"/>
                          <w:lang w:val="de-DE"/>
                        </w:rPr>
                        <w:t>N</w:t>
                      </w:r>
                    </w:p>
                  </w:txbxContent>
                </v:textbox>
                <w10:wrap type="tight"/>
              </v:shape>
            </w:pict>
          </mc:Fallback>
        </mc:AlternateContent>
      </w:r>
    </w:p>
    <w:p w:rsidR="00CF7D56" w:rsidRDefault="00CF7D56" w:rsidP="00CF7D56">
      <w:pPr>
        <w:rPr>
          <w:lang w:val="en-GB"/>
        </w:rPr>
      </w:pPr>
      <w:r w:rsidRPr="0016435A">
        <w:rPr>
          <w:lang w:val="en-GB"/>
        </w:rPr>
        <w:t xml:space="preserve">Password protection required? (Y/N) </w:t>
      </w:r>
    </w:p>
    <w:p w:rsidR="00CF7D56" w:rsidRPr="00CD0B09" w:rsidRDefault="00CF7D56" w:rsidP="00CF7D56">
      <w:pPr>
        <w:pStyle w:val="Tytu"/>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CF7D56" w:rsidRPr="00AC5187" w:rsidTr="000212E6">
        <w:trPr>
          <w:cantSplit/>
          <w:trHeight w:val="446"/>
        </w:trPr>
        <w:tc>
          <w:tcPr>
            <w:tcW w:w="9640" w:type="dxa"/>
            <w:tcBorders>
              <w:bottom w:val="nil"/>
            </w:tcBorders>
          </w:tcPr>
          <w:p w:rsidR="00CF7D56" w:rsidRPr="009706AD" w:rsidRDefault="00CF7D56" w:rsidP="000212E6">
            <w:pPr>
              <w:pStyle w:val="Header1"/>
              <w:rPr>
                <w:sz w:val="22"/>
                <w:lang w:val="en-US"/>
              </w:rPr>
            </w:pPr>
            <w:r w:rsidRPr="009706AD">
              <w:rPr>
                <w:sz w:val="22"/>
                <w:lang w:val="en-US"/>
              </w:rPr>
              <w:t xml:space="preserve">Summary: </w:t>
            </w:r>
          </w:p>
        </w:tc>
      </w:tr>
      <w:tr w:rsidR="00CF7D56" w:rsidRPr="00BB0AB8" w:rsidTr="000212E6">
        <w:trPr>
          <w:cantSplit/>
          <w:trHeight w:val="1112"/>
        </w:trPr>
        <w:tc>
          <w:tcPr>
            <w:tcW w:w="9640" w:type="dxa"/>
            <w:tcBorders>
              <w:top w:val="nil"/>
              <w:bottom w:val="single" w:sz="4" w:space="0" w:color="auto"/>
            </w:tcBorders>
          </w:tcPr>
          <w:p w:rsidR="00CF7D56" w:rsidRPr="00AC5187" w:rsidRDefault="00CF7D56" w:rsidP="00F35219">
            <w:pPr>
              <w:rPr>
                <w:lang w:val="en-US"/>
              </w:rPr>
            </w:pPr>
            <w:r w:rsidRPr="00900FBC">
              <w:rPr>
                <w:bCs/>
                <w:lang w:val="en-US"/>
              </w:rPr>
              <w:t xml:space="preserve">Report of the Com-ITU meeting, </w:t>
            </w:r>
            <w:r w:rsidR="00F35219">
              <w:rPr>
                <w:bCs/>
                <w:lang w:val="en-US"/>
              </w:rPr>
              <w:t>28-29 November</w:t>
            </w:r>
            <w:r>
              <w:rPr>
                <w:bCs/>
                <w:lang w:val="en-US"/>
              </w:rPr>
              <w:t xml:space="preserve"> </w:t>
            </w:r>
            <w:r w:rsidRPr="00900FBC">
              <w:rPr>
                <w:bCs/>
                <w:lang w:val="en-US"/>
              </w:rPr>
              <w:t>2013</w:t>
            </w:r>
          </w:p>
        </w:tc>
      </w:tr>
      <w:tr w:rsidR="00CF7D56" w:rsidRPr="00AC5187" w:rsidTr="000212E6">
        <w:trPr>
          <w:cantSplit/>
          <w:trHeight w:val="443"/>
        </w:trPr>
        <w:tc>
          <w:tcPr>
            <w:tcW w:w="9640" w:type="dxa"/>
            <w:tcBorders>
              <w:bottom w:val="nil"/>
            </w:tcBorders>
          </w:tcPr>
          <w:p w:rsidR="00CF7D56" w:rsidRPr="009706AD" w:rsidRDefault="00CF7D56" w:rsidP="000212E6">
            <w:pPr>
              <w:pStyle w:val="Header1"/>
              <w:rPr>
                <w:sz w:val="22"/>
                <w:lang w:val="en-US"/>
              </w:rPr>
            </w:pPr>
            <w:r w:rsidRPr="009706AD">
              <w:rPr>
                <w:sz w:val="22"/>
                <w:lang w:val="en-US"/>
              </w:rPr>
              <w:t xml:space="preserve">Proposal: </w:t>
            </w:r>
          </w:p>
        </w:tc>
      </w:tr>
      <w:tr w:rsidR="00CF7D56" w:rsidRPr="00AC5187" w:rsidTr="000212E6">
        <w:trPr>
          <w:cantSplit/>
          <w:trHeight w:val="945"/>
        </w:trPr>
        <w:tc>
          <w:tcPr>
            <w:tcW w:w="9640" w:type="dxa"/>
            <w:tcBorders>
              <w:top w:val="nil"/>
              <w:bottom w:val="single" w:sz="4" w:space="0" w:color="auto"/>
            </w:tcBorders>
          </w:tcPr>
          <w:p w:rsidR="00CF7D56" w:rsidRPr="00AC5187" w:rsidRDefault="00CF7D56" w:rsidP="000212E6">
            <w:pPr>
              <w:rPr>
                <w:lang w:val="en-US"/>
              </w:rPr>
            </w:pPr>
            <w:r w:rsidRPr="00AC5187">
              <w:rPr>
                <w:lang w:val="en-US"/>
              </w:rPr>
              <w:t xml:space="preserve">For </w:t>
            </w:r>
            <w:r>
              <w:rPr>
                <w:lang w:val="en-US"/>
              </w:rPr>
              <w:t>approval</w:t>
            </w:r>
            <w:r w:rsidRPr="00AC5187">
              <w:rPr>
                <w:lang w:val="en-US"/>
              </w:rPr>
              <w:t>.</w:t>
            </w:r>
          </w:p>
          <w:p w:rsidR="00CF7D56" w:rsidRPr="00AC5187" w:rsidRDefault="00CF7D56" w:rsidP="000212E6">
            <w:pPr>
              <w:rPr>
                <w:lang w:val="en-US"/>
              </w:rPr>
            </w:pPr>
          </w:p>
        </w:tc>
      </w:tr>
      <w:tr w:rsidR="00CF7D56" w:rsidRPr="00AC5187" w:rsidTr="000212E6">
        <w:trPr>
          <w:cantSplit/>
          <w:trHeight w:val="431"/>
        </w:trPr>
        <w:tc>
          <w:tcPr>
            <w:tcW w:w="9640" w:type="dxa"/>
            <w:tcBorders>
              <w:bottom w:val="nil"/>
            </w:tcBorders>
          </w:tcPr>
          <w:p w:rsidR="00CF7D56" w:rsidRPr="009706AD" w:rsidRDefault="00CF7D56" w:rsidP="000212E6">
            <w:pPr>
              <w:pStyle w:val="Header1"/>
              <w:rPr>
                <w:sz w:val="22"/>
                <w:lang w:val="en-US"/>
              </w:rPr>
            </w:pPr>
            <w:r w:rsidRPr="009706AD">
              <w:rPr>
                <w:sz w:val="22"/>
                <w:lang w:val="en-US"/>
              </w:rPr>
              <w:t xml:space="preserve">Background: </w:t>
            </w:r>
          </w:p>
        </w:tc>
      </w:tr>
      <w:tr w:rsidR="00CF7D56" w:rsidRPr="00AC5187" w:rsidTr="000212E6">
        <w:trPr>
          <w:cantSplit/>
          <w:trHeight w:val="784"/>
        </w:trPr>
        <w:tc>
          <w:tcPr>
            <w:tcW w:w="9640" w:type="dxa"/>
            <w:tcBorders>
              <w:top w:val="nil"/>
              <w:bottom w:val="single" w:sz="4" w:space="0" w:color="auto"/>
            </w:tcBorders>
          </w:tcPr>
          <w:p w:rsidR="00CF7D56" w:rsidRPr="00AC5187" w:rsidRDefault="00CF7D56" w:rsidP="000212E6">
            <w:pPr>
              <w:rPr>
                <w:bCs/>
                <w:szCs w:val="24"/>
                <w:lang w:val="en-GB"/>
              </w:rPr>
            </w:pPr>
          </w:p>
        </w:tc>
      </w:tr>
    </w:tbl>
    <w:p w:rsidR="00CF7D56" w:rsidRDefault="00CF7D56" w:rsidP="00CF7D56">
      <w:pPr>
        <w:rPr>
          <w:lang w:val="en-GB"/>
        </w:rPr>
      </w:pPr>
    </w:p>
    <w:p w:rsidR="00CF7D56" w:rsidRPr="00053438" w:rsidRDefault="00CF7D56" w:rsidP="00CF7D56">
      <w:pPr>
        <w:rPr>
          <w:lang w:val="en-US"/>
        </w:rPr>
      </w:pPr>
      <w:r>
        <w:rPr>
          <w:rFonts w:ascii="Calibri" w:hAnsi="Calibri" w:cs="Arial"/>
          <w:b/>
          <w:sz w:val="28"/>
          <w:szCs w:val="28"/>
          <w:lang w:val="en-US"/>
        </w:rPr>
        <w:br w:type="column"/>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061"/>
      </w:tblGrid>
      <w:tr w:rsidR="00CF7D56" w:rsidRPr="00AC5187" w:rsidTr="006208C8">
        <w:tc>
          <w:tcPr>
            <w:tcW w:w="1296" w:type="dxa"/>
          </w:tcPr>
          <w:p w:rsidR="00CF7D56" w:rsidRPr="00E174B9" w:rsidRDefault="00CF7D56" w:rsidP="000212E6">
            <w:pPr>
              <w:tabs>
                <w:tab w:val="left" w:pos="794"/>
                <w:tab w:val="left" w:pos="1191"/>
                <w:tab w:val="left" w:pos="1588"/>
                <w:tab w:val="left" w:pos="1985"/>
              </w:tabs>
              <w:overflowPunct w:val="0"/>
              <w:autoSpaceDE w:val="0"/>
              <w:autoSpaceDN w:val="0"/>
              <w:adjustRightInd w:val="0"/>
              <w:jc w:val="center"/>
              <w:textAlignment w:val="baseline"/>
              <w:rPr>
                <w:rFonts w:cs="Arial"/>
                <w:b/>
                <w:lang w:val="en-GB"/>
              </w:rPr>
            </w:pPr>
            <w:r w:rsidRPr="00E174B9">
              <w:rPr>
                <w:rFonts w:cs="Arial"/>
                <w:b/>
                <w:lang w:val="en-GB"/>
              </w:rPr>
              <w:t>Agenda item</w:t>
            </w:r>
          </w:p>
        </w:tc>
        <w:tc>
          <w:tcPr>
            <w:tcW w:w="8061" w:type="dxa"/>
          </w:tcPr>
          <w:p w:rsidR="00CF7D56" w:rsidRPr="00E174B9" w:rsidRDefault="00CF7D56" w:rsidP="000212E6">
            <w:pPr>
              <w:tabs>
                <w:tab w:val="left" w:pos="794"/>
                <w:tab w:val="left" w:pos="1191"/>
                <w:tab w:val="left" w:pos="1588"/>
                <w:tab w:val="left" w:pos="1985"/>
              </w:tabs>
              <w:overflowPunct w:val="0"/>
              <w:autoSpaceDE w:val="0"/>
              <w:autoSpaceDN w:val="0"/>
              <w:adjustRightInd w:val="0"/>
              <w:jc w:val="center"/>
              <w:textAlignment w:val="baseline"/>
              <w:rPr>
                <w:rFonts w:cs="Arial"/>
                <w:b/>
                <w:lang w:val="en-GB"/>
              </w:rPr>
            </w:pPr>
            <w:r w:rsidRPr="00E174B9">
              <w:rPr>
                <w:rFonts w:cs="Arial"/>
                <w:b/>
                <w:lang w:val="en-GB"/>
              </w:rPr>
              <w:t>Subject</w:t>
            </w:r>
          </w:p>
        </w:tc>
      </w:tr>
      <w:tr w:rsidR="00CF7D56" w:rsidRPr="00AC5187" w:rsidTr="006208C8">
        <w:tc>
          <w:tcPr>
            <w:tcW w:w="1296" w:type="dxa"/>
          </w:tcPr>
          <w:p w:rsidR="00CF7D56" w:rsidRPr="007C78FC" w:rsidRDefault="00CF7D5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CF7D56" w:rsidRPr="00B76013" w:rsidRDefault="00CF7D56" w:rsidP="000212E6">
            <w:pPr>
              <w:tabs>
                <w:tab w:val="left" w:pos="352"/>
                <w:tab w:val="left" w:pos="794"/>
                <w:tab w:val="left" w:pos="1191"/>
                <w:tab w:val="left" w:pos="1588"/>
                <w:tab w:val="left" w:pos="1985"/>
              </w:tabs>
              <w:overflowPunct w:val="0"/>
              <w:autoSpaceDE w:val="0"/>
              <w:autoSpaceDN w:val="0"/>
              <w:adjustRightInd w:val="0"/>
              <w:textAlignment w:val="baseline"/>
              <w:rPr>
                <w:rFonts w:cs="Arial"/>
                <w:b/>
                <w:lang w:val="en-GB" w:eastAsia="sv-SE"/>
              </w:rPr>
            </w:pPr>
            <w:r w:rsidRPr="00B76013">
              <w:rPr>
                <w:rFonts w:cs="Arial"/>
                <w:b/>
                <w:lang w:val="en-GB" w:eastAsia="sv-SE"/>
              </w:rPr>
              <w:t xml:space="preserve">Opening of the meeting </w:t>
            </w:r>
          </w:p>
          <w:p w:rsidR="00CF7D56" w:rsidRDefault="00CF7D56" w:rsidP="00CF7D56">
            <w:pPr>
              <w:tabs>
                <w:tab w:val="left" w:pos="352"/>
                <w:tab w:val="left" w:pos="794"/>
                <w:tab w:val="left" w:pos="1191"/>
                <w:tab w:val="left" w:pos="1588"/>
                <w:tab w:val="left" w:pos="1985"/>
              </w:tabs>
              <w:overflowPunct w:val="0"/>
              <w:autoSpaceDE w:val="0"/>
              <w:autoSpaceDN w:val="0"/>
              <w:adjustRightInd w:val="0"/>
              <w:textAlignment w:val="baseline"/>
              <w:rPr>
                <w:rFonts w:cs="Arial"/>
                <w:lang w:val="en-GB" w:eastAsia="sv-SE"/>
              </w:rPr>
            </w:pPr>
            <w:r>
              <w:rPr>
                <w:rFonts w:cs="Arial"/>
                <w:lang w:val="en-GB" w:eastAsia="sv-SE"/>
              </w:rPr>
              <w:t xml:space="preserve">Chairman opened the meeting and welcomed the participants. Chairman expressed his gratitude to the </w:t>
            </w:r>
            <w:r w:rsidR="00F35219">
              <w:rPr>
                <w:rFonts w:cs="Arial"/>
                <w:lang w:val="en-GB" w:eastAsia="sv-SE"/>
              </w:rPr>
              <w:t>Serbian hosts and the rising involvement of European administrations in the ITU-D activities.</w:t>
            </w:r>
          </w:p>
          <w:p w:rsidR="003854FF" w:rsidRDefault="003854FF" w:rsidP="00CF7D56">
            <w:pPr>
              <w:tabs>
                <w:tab w:val="left" w:pos="352"/>
                <w:tab w:val="left" w:pos="794"/>
                <w:tab w:val="left" w:pos="1191"/>
                <w:tab w:val="left" w:pos="1588"/>
                <w:tab w:val="left" w:pos="1985"/>
              </w:tabs>
              <w:overflowPunct w:val="0"/>
              <w:autoSpaceDE w:val="0"/>
              <w:autoSpaceDN w:val="0"/>
              <w:adjustRightInd w:val="0"/>
              <w:textAlignment w:val="baseline"/>
              <w:rPr>
                <w:rFonts w:cs="Arial"/>
                <w:lang w:val="en-GB" w:eastAsia="sv-SE"/>
              </w:rPr>
            </w:pPr>
          </w:p>
          <w:p w:rsidR="0010281E" w:rsidRDefault="0010281E" w:rsidP="0010281E">
            <w:pPr>
              <w:spacing w:before="0"/>
              <w:rPr>
                <w:rFonts w:cs="Arial"/>
                <w:lang w:val="en-US"/>
              </w:rPr>
            </w:pPr>
            <w:r>
              <w:rPr>
                <w:rFonts w:cs="Arial"/>
                <w:lang w:val="en-GB" w:eastAsia="sv-SE"/>
              </w:rPr>
              <w:t xml:space="preserve">The group commemorated </w:t>
            </w:r>
            <w:r w:rsidR="00F35219">
              <w:rPr>
                <w:rFonts w:cs="Arial"/>
                <w:lang w:val="en-US"/>
              </w:rPr>
              <w:t xml:space="preserve">Mr Hassane Makki </w:t>
            </w:r>
            <w:r w:rsidRPr="003966A3">
              <w:rPr>
                <w:rFonts w:cs="Arial"/>
                <w:lang w:val="en-US"/>
              </w:rPr>
              <w:t>(</w:t>
            </w:r>
            <w:r w:rsidR="00F35219">
              <w:rPr>
                <w:rFonts w:cs="Arial"/>
                <w:lang w:val="en-US"/>
              </w:rPr>
              <w:t>Switzerland</w:t>
            </w:r>
            <w:r w:rsidRPr="003966A3">
              <w:rPr>
                <w:rFonts w:cs="Arial"/>
                <w:lang w:val="en-US"/>
              </w:rPr>
              <w:t xml:space="preserve">) </w:t>
            </w:r>
            <w:r>
              <w:rPr>
                <w:rFonts w:cs="Arial"/>
                <w:lang w:val="en-US"/>
              </w:rPr>
              <w:t>with one minute of silence.</w:t>
            </w:r>
          </w:p>
          <w:p w:rsidR="007C78FC" w:rsidRPr="0010281E" w:rsidRDefault="007C78FC" w:rsidP="0010281E">
            <w:pPr>
              <w:spacing w:before="0"/>
              <w:rPr>
                <w:rFonts w:cs="Arial"/>
                <w:lang w:val="en-US" w:eastAsia="sv-SE"/>
              </w:rPr>
            </w:pPr>
          </w:p>
        </w:tc>
      </w:tr>
      <w:tr w:rsidR="00CF7D56" w:rsidRPr="00AC5187" w:rsidTr="006208C8">
        <w:tc>
          <w:tcPr>
            <w:tcW w:w="1296" w:type="dxa"/>
          </w:tcPr>
          <w:p w:rsidR="00CF7D56" w:rsidRPr="007C78FC" w:rsidRDefault="00CF7D5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CF7D56" w:rsidRPr="00B76013" w:rsidRDefault="00CF7D56" w:rsidP="000212E6">
            <w:pPr>
              <w:tabs>
                <w:tab w:val="left" w:pos="352"/>
              </w:tabs>
              <w:rPr>
                <w:rFonts w:cs="Arial"/>
                <w:b/>
                <w:lang w:val="en-GB" w:eastAsia="sv-SE"/>
              </w:rPr>
            </w:pPr>
            <w:r w:rsidRPr="00B76013">
              <w:rPr>
                <w:rFonts w:cs="Arial"/>
                <w:b/>
                <w:lang w:val="en-GB" w:eastAsia="sv-SE"/>
              </w:rPr>
              <w:t xml:space="preserve">Adoption of the agenda </w:t>
            </w:r>
          </w:p>
          <w:p w:rsidR="00CF7D56" w:rsidRDefault="00CF7D56" w:rsidP="000212E6">
            <w:pPr>
              <w:tabs>
                <w:tab w:val="left" w:pos="352"/>
                <w:tab w:val="left" w:pos="794"/>
                <w:tab w:val="left" w:pos="1191"/>
                <w:tab w:val="left" w:pos="1588"/>
                <w:tab w:val="left" w:pos="1985"/>
              </w:tabs>
              <w:overflowPunct w:val="0"/>
              <w:autoSpaceDE w:val="0"/>
              <w:autoSpaceDN w:val="0"/>
              <w:adjustRightInd w:val="0"/>
              <w:textAlignment w:val="baseline"/>
              <w:rPr>
                <w:rFonts w:cs="Arial"/>
                <w:lang w:val="en-GB" w:eastAsia="sv-SE"/>
              </w:rPr>
            </w:pPr>
            <w:r>
              <w:rPr>
                <w:rFonts w:cs="Arial"/>
                <w:lang w:val="en-GB" w:eastAsia="sv-SE"/>
              </w:rPr>
              <w:t>The adopted agenda is in Annex I to this report.</w:t>
            </w:r>
          </w:p>
          <w:p w:rsidR="00CF7D56" w:rsidRDefault="00CF7D56" w:rsidP="000212E6">
            <w:pPr>
              <w:tabs>
                <w:tab w:val="left" w:pos="352"/>
              </w:tabs>
              <w:rPr>
                <w:rFonts w:cs="Arial"/>
                <w:lang w:val="en-GB" w:eastAsia="sv-SE"/>
              </w:rPr>
            </w:pPr>
            <w:r>
              <w:rPr>
                <w:rFonts w:cs="Arial"/>
                <w:lang w:val="en-GB" w:eastAsia="sv-SE"/>
              </w:rPr>
              <w:t>The List of Participants is in Annex II to this report.</w:t>
            </w:r>
          </w:p>
          <w:p w:rsidR="007C78FC" w:rsidRPr="00E174B9" w:rsidRDefault="007C78FC" w:rsidP="000212E6">
            <w:pPr>
              <w:tabs>
                <w:tab w:val="left" w:pos="352"/>
              </w:tabs>
              <w:rPr>
                <w:rFonts w:cs="Arial"/>
                <w:lang w:val="en-GB" w:eastAsia="sv-SE"/>
              </w:rPr>
            </w:pPr>
          </w:p>
        </w:tc>
      </w:tr>
      <w:tr w:rsidR="00CF7D56" w:rsidRPr="00AC5187" w:rsidTr="006208C8">
        <w:tc>
          <w:tcPr>
            <w:tcW w:w="1296" w:type="dxa"/>
          </w:tcPr>
          <w:p w:rsidR="00CF7D56" w:rsidRPr="007C78FC" w:rsidRDefault="00CF7D5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CF7D56" w:rsidRPr="00DD3EE4" w:rsidRDefault="00CF7D56" w:rsidP="000212E6">
            <w:pPr>
              <w:tabs>
                <w:tab w:val="left" w:pos="352"/>
              </w:tabs>
              <w:rPr>
                <w:rFonts w:cs="Arial"/>
                <w:b/>
                <w:lang w:val="en-GB" w:eastAsia="sv-SE"/>
              </w:rPr>
            </w:pPr>
            <w:r w:rsidRPr="00DD3EE4">
              <w:rPr>
                <w:rFonts w:cs="Arial"/>
                <w:b/>
                <w:lang w:val="en-GB" w:eastAsia="sv-SE"/>
              </w:rPr>
              <w:t xml:space="preserve">Adoption of the Report from Com-ITU meeting </w:t>
            </w:r>
            <w:r w:rsidR="00F35219">
              <w:rPr>
                <w:rFonts w:cs="Arial"/>
                <w:b/>
                <w:lang w:val="en-GB" w:eastAsia="sv-SE"/>
              </w:rPr>
              <w:t>1-4 October</w:t>
            </w:r>
            <w:r w:rsidRPr="00CF7D56">
              <w:rPr>
                <w:rFonts w:cs="Arial"/>
                <w:b/>
                <w:lang w:val="en-GB" w:eastAsia="sv-SE"/>
              </w:rPr>
              <w:t xml:space="preserve"> 2013</w:t>
            </w:r>
          </w:p>
          <w:p w:rsidR="00CF7D56" w:rsidRDefault="00CF7D56" w:rsidP="0010281E">
            <w:pPr>
              <w:tabs>
                <w:tab w:val="left" w:pos="352"/>
              </w:tabs>
              <w:rPr>
                <w:rFonts w:cs="Arial"/>
                <w:lang w:val="en-GB" w:eastAsia="sv-SE"/>
              </w:rPr>
            </w:pPr>
            <w:r>
              <w:rPr>
                <w:rFonts w:cs="Arial"/>
                <w:lang w:val="en-GB" w:eastAsia="sv-SE"/>
              </w:rPr>
              <w:t>The Report from the Com-ITU meeting was adopted</w:t>
            </w:r>
            <w:r w:rsidR="00F35219">
              <w:rPr>
                <w:rFonts w:cs="Arial"/>
                <w:lang w:val="en-GB" w:eastAsia="sv-SE"/>
              </w:rPr>
              <w:t xml:space="preserve"> with one amendment suggested by the French administration</w:t>
            </w:r>
            <w:r>
              <w:rPr>
                <w:rFonts w:cs="Arial"/>
                <w:lang w:val="en-GB" w:eastAsia="sv-SE"/>
              </w:rPr>
              <w:t>. It can be found at the Com-ITU webpage in the folder “2013”, subfolder “</w:t>
            </w:r>
            <w:r w:rsidR="00F35219">
              <w:rPr>
                <w:rFonts w:cs="Arial"/>
                <w:lang w:val="en-GB" w:eastAsia="sv-SE"/>
              </w:rPr>
              <w:t>1-4 October Bucharest</w:t>
            </w:r>
            <w:r>
              <w:rPr>
                <w:rFonts w:cs="Arial"/>
                <w:lang w:val="en-GB" w:eastAsia="sv-SE"/>
              </w:rPr>
              <w:t>”, subfolder “Report”.</w:t>
            </w:r>
          </w:p>
          <w:p w:rsidR="007C78FC" w:rsidRPr="00B76013" w:rsidRDefault="007C78FC" w:rsidP="0010281E">
            <w:pPr>
              <w:tabs>
                <w:tab w:val="left" w:pos="352"/>
              </w:tabs>
              <w:rPr>
                <w:rFonts w:cs="Arial"/>
                <w:b/>
                <w:lang w:val="en-GB" w:eastAsia="sv-SE"/>
              </w:rPr>
            </w:pPr>
          </w:p>
        </w:tc>
      </w:tr>
      <w:tr w:rsidR="00CF7D56" w:rsidRPr="00AC5187" w:rsidTr="006208C8">
        <w:tc>
          <w:tcPr>
            <w:tcW w:w="1296" w:type="dxa"/>
          </w:tcPr>
          <w:p w:rsidR="00CF7D56" w:rsidRPr="007C78FC" w:rsidRDefault="00CF7D5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CF7D56" w:rsidRPr="00B76013" w:rsidRDefault="00CF7D56" w:rsidP="000212E6">
            <w:pPr>
              <w:tabs>
                <w:tab w:val="left" w:pos="352"/>
              </w:tabs>
              <w:rPr>
                <w:rFonts w:cs="Arial"/>
                <w:b/>
                <w:lang w:val="en-GB" w:eastAsia="sv-SE"/>
              </w:rPr>
            </w:pPr>
            <w:r w:rsidRPr="00B76013">
              <w:rPr>
                <w:rFonts w:cs="Arial"/>
                <w:b/>
                <w:lang w:val="en-GB" w:eastAsia="sv-SE"/>
              </w:rPr>
              <w:t>Information from the chairman</w:t>
            </w:r>
          </w:p>
          <w:p w:rsidR="000212E6" w:rsidRDefault="00CF7D56" w:rsidP="00213ECC">
            <w:pPr>
              <w:tabs>
                <w:tab w:val="left" w:pos="352"/>
              </w:tabs>
              <w:rPr>
                <w:rFonts w:cs="Arial"/>
                <w:lang w:val="en-GB" w:eastAsia="sv-SE"/>
              </w:rPr>
            </w:pPr>
            <w:r>
              <w:rPr>
                <w:rFonts w:cs="Arial"/>
                <w:lang w:val="en-GB" w:eastAsia="sv-SE"/>
              </w:rPr>
              <w:t xml:space="preserve">Chairman informed about </w:t>
            </w:r>
            <w:r w:rsidR="0010281E">
              <w:rPr>
                <w:rFonts w:cs="Arial"/>
                <w:lang w:val="en-GB" w:eastAsia="sv-SE"/>
              </w:rPr>
              <w:t xml:space="preserve">the </w:t>
            </w:r>
            <w:r w:rsidR="000212E6">
              <w:rPr>
                <w:rFonts w:cs="Arial"/>
                <w:lang w:val="en-GB" w:eastAsia="sv-SE"/>
              </w:rPr>
              <w:t>possibility to invite Mr Wonki Min, the future chairman of the PP-14 from the Korean Ministry of Science, ICT &amp; Future Planning to the next Com-ITU meeting. The group decided to approve chair’s initiative.</w:t>
            </w:r>
          </w:p>
          <w:p w:rsidR="006208C8" w:rsidRDefault="000212E6" w:rsidP="00213ECC">
            <w:pPr>
              <w:tabs>
                <w:tab w:val="left" w:pos="352"/>
              </w:tabs>
              <w:rPr>
                <w:rFonts w:cs="Arial"/>
                <w:lang w:val="en-GB" w:eastAsia="sv-SE"/>
              </w:rPr>
            </w:pPr>
            <w:r>
              <w:rPr>
                <w:rFonts w:cs="Arial"/>
                <w:lang w:val="en-GB" w:eastAsia="sv-SE"/>
              </w:rPr>
              <w:t>Chairman informed about his recent participation in the Internet Governance Forum that was held in Bali, Indonesia on 21-15 October 2013. The most important issu</w:t>
            </w:r>
            <w:r w:rsidR="003854FF">
              <w:rPr>
                <w:rFonts w:cs="Arial"/>
                <w:lang w:val="en-GB" w:eastAsia="sv-SE"/>
              </w:rPr>
              <w:t>es relevant to the works of Com-</w:t>
            </w:r>
            <w:r>
              <w:rPr>
                <w:rFonts w:cs="Arial"/>
                <w:lang w:val="en-GB" w:eastAsia="sv-SE"/>
              </w:rPr>
              <w:t xml:space="preserve">ITU were raised: attempts to define the role of the government in internet governance and the Brazilian proposal to held a summit dedicated to internet. This initiative will take place on 23-24 April 2014 in Sao Paulo, Brazil. It will be a multistakeholder </w:t>
            </w:r>
            <w:r w:rsidR="006208C8">
              <w:rPr>
                <w:rFonts w:cs="Arial"/>
                <w:lang w:val="en-GB" w:eastAsia="sv-SE"/>
              </w:rPr>
              <w:t xml:space="preserve">conference that will endeavour to develop general principles for Internet governance. It is still unclear at this point of time, if it is going to be a one of event or will it morph into future working groups. The outcome of this </w:t>
            </w:r>
            <w:r w:rsidR="003854FF">
              <w:rPr>
                <w:rFonts w:cs="Arial"/>
                <w:lang w:val="en-GB" w:eastAsia="sv-SE"/>
              </w:rPr>
              <w:t>meeting</w:t>
            </w:r>
            <w:r w:rsidR="006208C8">
              <w:rPr>
                <w:rFonts w:cs="Arial"/>
                <w:lang w:val="en-GB" w:eastAsia="sv-SE"/>
              </w:rPr>
              <w:t xml:space="preserve"> could be crucial to the activities of Com-ITU</w:t>
            </w:r>
            <w:r w:rsidR="003854FF">
              <w:rPr>
                <w:rFonts w:cs="Arial"/>
                <w:lang w:val="en-GB" w:eastAsia="sv-SE"/>
              </w:rPr>
              <w:t>, e.g. the</w:t>
            </w:r>
            <w:r w:rsidR="006208C8">
              <w:rPr>
                <w:rFonts w:cs="Arial"/>
                <w:lang w:val="en-GB" w:eastAsia="sv-SE"/>
              </w:rPr>
              <w:t xml:space="preserve"> topic of the role of the governments in the internet governance has already been discussed</w:t>
            </w:r>
            <w:r w:rsidR="003854FF">
              <w:rPr>
                <w:rFonts w:cs="Arial"/>
                <w:lang w:val="en-GB" w:eastAsia="sv-SE"/>
              </w:rPr>
              <w:t xml:space="preserve"> in Com-ITU</w:t>
            </w:r>
            <w:r w:rsidR="006208C8">
              <w:rPr>
                <w:rFonts w:cs="Arial"/>
                <w:lang w:val="en-GB" w:eastAsia="sv-SE"/>
              </w:rPr>
              <w:t xml:space="preserve"> (doc. (13) 039) and it is a current point of interest of </w:t>
            </w:r>
            <w:r w:rsidR="003A1775">
              <w:rPr>
                <w:rFonts w:cs="Arial"/>
                <w:lang w:val="en-GB" w:eastAsia="sv-SE"/>
              </w:rPr>
              <w:t xml:space="preserve">ITU </w:t>
            </w:r>
            <w:r w:rsidR="006208C8">
              <w:rPr>
                <w:rFonts w:cs="Arial"/>
                <w:lang w:val="en-GB" w:eastAsia="sv-SE"/>
              </w:rPr>
              <w:t>CWG on Internet. Secondly, the decisions taken at this forum may influence preparatory process to the PP14, as it is expected that the internet governance issue may be raised a</w:t>
            </w:r>
            <w:r w:rsidR="003854FF">
              <w:rPr>
                <w:rFonts w:cs="Arial"/>
                <w:lang w:val="en-GB" w:eastAsia="sv-SE"/>
              </w:rPr>
              <w:t>gain in several contributions (e</w:t>
            </w:r>
            <w:r w:rsidR="006208C8">
              <w:rPr>
                <w:rFonts w:cs="Arial"/>
                <w:lang w:val="en-GB" w:eastAsia="sv-SE"/>
              </w:rPr>
              <w:t xml:space="preserve">.g. review of resolutions 101 and 102). </w:t>
            </w:r>
          </w:p>
          <w:p w:rsidR="006208C8" w:rsidRDefault="006208C8" w:rsidP="00213ECC">
            <w:pPr>
              <w:tabs>
                <w:tab w:val="left" w:pos="352"/>
              </w:tabs>
              <w:rPr>
                <w:rFonts w:cs="Arial"/>
                <w:lang w:val="en-GB" w:eastAsia="sv-SE"/>
              </w:rPr>
            </w:pPr>
            <w:r>
              <w:rPr>
                <w:rFonts w:cs="Arial"/>
                <w:lang w:val="en-GB" w:eastAsia="sv-SE"/>
              </w:rPr>
              <w:t>The Chairman inform</w:t>
            </w:r>
            <w:r w:rsidR="000F7AC6">
              <w:rPr>
                <w:rFonts w:cs="Arial"/>
                <w:lang w:val="en-GB" w:eastAsia="sv-SE"/>
              </w:rPr>
              <w:t>ed</w:t>
            </w:r>
            <w:r>
              <w:rPr>
                <w:rFonts w:cs="Arial"/>
                <w:lang w:val="en-GB" w:eastAsia="sv-SE"/>
              </w:rPr>
              <w:t xml:space="preserve"> that he will participate in the High Level Group on Internet Governance organized by the European Commission on 3 December. </w:t>
            </w:r>
          </w:p>
          <w:p w:rsidR="007C78FC" w:rsidRPr="00900621" w:rsidRDefault="007C78FC" w:rsidP="00213ECC">
            <w:pPr>
              <w:tabs>
                <w:tab w:val="left" w:pos="352"/>
              </w:tabs>
              <w:rPr>
                <w:rFonts w:cs="Arial"/>
                <w:lang w:val="en-GB" w:eastAsia="sv-SE"/>
              </w:rPr>
            </w:pPr>
          </w:p>
        </w:tc>
      </w:tr>
      <w:tr w:rsidR="00B905F6" w:rsidRPr="00AC5187" w:rsidTr="006208C8">
        <w:tc>
          <w:tcPr>
            <w:tcW w:w="1296" w:type="dxa"/>
          </w:tcPr>
          <w:p w:rsidR="00B905F6" w:rsidRPr="007C78FC" w:rsidRDefault="00B905F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B905F6" w:rsidRPr="006208C8" w:rsidRDefault="00B905F6" w:rsidP="00B905F6">
            <w:pPr>
              <w:tabs>
                <w:tab w:val="left" w:pos="352"/>
              </w:tabs>
              <w:rPr>
                <w:rFonts w:cs="Arial"/>
                <w:b/>
                <w:lang w:val="en-GB" w:eastAsia="sv-SE"/>
              </w:rPr>
            </w:pPr>
            <w:r w:rsidRPr="006208C8">
              <w:rPr>
                <w:rFonts w:cs="Arial"/>
                <w:b/>
                <w:lang w:val="en-GB" w:eastAsia="sv-SE"/>
              </w:rPr>
              <w:t>Preparations to WTDC-14</w:t>
            </w:r>
          </w:p>
          <w:p w:rsidR="00B905F6" w:rsidRDefault="00B905F6" w:rsidP="00B905F6">
            <w:pPr>
              <w:tabs>
                <w:tab w:val="left" w:pos="352"/>
              </w:tabs>
              <w:rPr>
                <w:rFonts w:cs="Arial"/>
                <w:lang w:val="en-GB" w:eastAsia="sv-SE"/>
              </w:rPr>
            </w:pPr>
            <w:r>
              <w:rPr>
                <w:rFonts w:cs="Arial"/>
                <w:lang w:val="en-GB" w:eastAsia="sv-SE"/>
              </w:rPr>
              <w:t xml:space="preserve">ITU informed participants that next year’s WTDC will take place in UEA on (31 </w:t>
            </w:r>
            <w:r>
              <w:rPr>
                <w:rFonts w:cs="Arial"/>
                <w:lang w:val="en-GB" w:eastAsia="sv-SE"/>
              </w:rPr>
              <w:lastRenderedPageBreak/>
              <w:t xml:space="preserve">March-11 April). </w:t>
            </w:r>
          </w:p>
          <w:p w:rsidR="00B905F6" w:rsidRDefault="00B905F6" w:rsidP="00B905F6">
            <w:pPr>
              <w:tabs>
                <w:tab w:val="left" w:pos="352"/>
              </w:tabs>
              <w:rPr>
                <w:rFonts w:cs="Arial"/>
                <w:lang w:val="en-GB" w:eastAsia="sv-SE"/>
              </w:rPr>
            </w:pPr>
            <w:r>
              <w:rPr>
                <w:rFonts w:cs="Arial"/>
                <w:lang w:val="en-GB" w:eastAsia="sv-SE"/>
              </w:rPr>
              <w:t>Chairman expressed his gratitude</w:t>
            </w:r>
            <w:r w:rsidR="000F7AC6">
              <w:rPr>
                <w:rFonts w:cs="Arial"/>
                <w:lang w:val="en-GB" w:eastAsia="sv-SE"/>
              </w:rPr>
              <w:t xml:space="preserve"> and appreciation</w:t>
            </w:r>
            <w:r>
              <w:rPr>
                <w:rFonts w:cs="Arial"/>
                <w:lang w:val="en-GB" w:eastAsia="sv-SE"/>
              </w:rPr>
              <w:t xml:space="preserve"> </w:t>
            </w:r>
            <w:r w:rsidR="000F7AC6">
              <w:rPr>
                <w:rFonts w:cs="Arial"/>
                <w:lang w:val="en-GB" w:eastAsia="sv-SE"/>
              </w:rPr>
              <w:t>to</w:t>
            </w:r>
            <w:r>
              <w:rPr>
                <w:rFonts w:cs="Arial"/>
                <w:lang w:val="en-GB" w:eastAsia="sv-SE"/>
              </w:rPr>
              <w:t xml:space="preserve"> the rising involvement of European administrations in the work undertaken by ITU-D. The Regional Preparatory Meeting to WTDC (25-28 November) attracted a fair number of participants and its outcome in a v</w:t>
            </w:r>
            <w:r w:rsidR="000F7AC6">
              <w:rPr>
                <w:rFonts w:cs="Arial"/>
                <w:lang w:val="en-GB" w:eastAsia="sv-SE"/>
              </w:rPr>
              <w:t>iew of the Chair is very good. Th</w:t>
            </w:r>
            <w:r>
              <w:rPr>
                <w:rFonts w:cs="Arial"/>
                <w:lang w:val="en-GB" w:eastAsia="sv-SE"/>
              </w:rPr>
              <w:t xml:space="preserve">e RPM </w:t>
            </w:r>
            <w:r w:rsidR="000F7AC6">
              <w:rPr>
                <w:rFonts w:cs="Arial"/>
                <w:lang w:val="en-GB" w:eastAsia="sv-SE"/>
              </w:rPr>
              <w:t>managed</w:t>
            </w:r>
            <w:r>
              <w:rPr>
                <w:rFonts w:cs="Arial"/>
                <w:lang w:val="en-GB" w:eastAsia="sv-SE"/>
              </w:rPr>
              <w:t xml:space="preserve"> to prepare a draft Regional Initiatives for Europe (doc. (13) 061). Alongside </w:t>
            </w:r>
            <w:r w:rsidR="000F7AC6">
              <w:rPr>
                <w:rFonts w:cs="Arial"/>
                <w:lang w:val="en-GB" w:eastAsia="sv-SE"/>
              </w:rPr>
              <w:t xml:space="preserve">with </w:t>
            </w:r>
            <w:r>
              <w:rPr>
                <w:rFonts w:cs="Arial"/>
                <w:lang w:val="en-GB" w:eastAsia="sv-SE"/>
              </w:rPr>
              <w:t>Com-ITU consultations, ITU secretariat agreed to consult the paper in a view of defining the real needs of interested European member states. The letter with the accompanying document will be sent in the beginning of December and the deadline for comments is set at 20 December 2013.</w:t>
            </w:r>
          </w:p>
          <w:p w:rsidR="00B905F6" w:rsidRPr="006208C8" w:rsidRDefault="00B905F6" w:rsidP="00B905F6">
            <w:pPr>
              <w:tabs>
                <w:tab w:val="left" w:pos="352"/>
              </w:tabs>
              <w:rPr>
                <w:rFonts w:cs="Arial"/>
                <w:lang w:val="en-GB" w:eastAsia="sv-SE"/>
              </w:rPr>
            </w:pPr>
            <w:r w:rsidRPr="006208C8">
              <w:rPr>
                <w:rFonts w:cs="Arial"/>
                <w:lang w:val="en-GB" w:eastAsia="sv-SE"/>
              </w:rPr>
              <w:t xml:space="preserve">Com-ITU </w:t>
            </w:r>
            <w:r>
              <w:rPr>
                <w:rFonts w:cs="Arial"/>
                <w:lang w:val="en-GB" w:eastAsia="sv-SE"/>
              </w:rPr>
              <w:t xml:space="preserve">debated the draft </w:t>
            </w:r>
            <w:r w:rsidRPr="006208C8">
              <w:rPr>
                <w:rFonts w:cs="Arial"/>
                <w:lang w:val="en-GB" w:eastAsia="sv-SE"/>
              </w:rPr>
              <w:t>CEPT priorities</w:t>
            </w:r>
            <w:r w:rsidR="000F7AC6">
              <w:rPr>
                <w:rFonts w:cs="Arial"/>
                <w:lang w:val="en-GB" w:eastAsia="sv-SE"/>
              </w:rPr>
              <w:t xml:space="preserve"> for WTDC-14 (doc. (13) 025_rev2</w:t>
            </w:r>
            <w:r w:rsidRPr="006208C8">
              <w:rPr>
                <w:rFonts w:cs="Arial"/>
                <w:lang w:val="en-GB" w:eastAsia="sv-SE"/>
              </w:rPr>
              <w:t>). These guidelines are expected to form the frame for potential European Common Proposals at WTDC-14.</w:t>
            </w:r>
            <w:r>
              <w:rPr>
                <w:rFonts w:cs="Arial"/>
                <w:lang w:val="en-GB" w:eastAsia="sv-SE"/>
              </w:rPr>
              <w:t xml:space="preserve"> The text is almost agreed and the Chairman was asked to disseminate this document to other regions for consultations. </w:t>
            </w:r>
          </w:p>
          <w:p w:rsidR="00B905F6" w:rsidRDefault="00B905F6" w:rsidP="00B905F6">
            <w:pPr>
              <w:tabs>
                <w:tab w:val="left" w:pos="352"/>
              </w:tabs>
              <w:rPr>
                <w:rFonts w:cs="Arial"/>
                <w:lang w:val="en-GB" w:eastAsia="sv-SE"/>
              </w:rPr>
            </w:pPr>
            <w:r w:rsidRPr="006208C8">
              <w:rPr>
                <w:rFonts w:cs="Arial"/>
                <w:lang w:val="en-GB" w:eastAsia="sv-SE"/>
              </w:rPr>
              <w:t>The group</w:t>
            </w:r>
            <w:r>
              <w:rPr>
                <w:rFonts w:cs="Arial"/>
                <w:lang w:val="en-GB" w:eastAsia="sv-SE"/>
              </w:rPr>
              <w:t xml:space="preserve"> also</w:t>
            </w:r>
            <w:r w:rsidRPr="006208C8">
              <w:rPr>
                <w:rFonts w:cs="Arial"/>
                <w:lang w:val="en-GB" w:eastAsia="sv-SE"/>
              </w:rPr>
              <w:t xml:space="preserve"> discussed several inputs:</w:t>
            </w:r>
          </w:p>
          <w:p w:rsidR="00B905F6" w:rsidRDefault="000F7AC6" w:rsidP="00B905F6">
            <w:pPr>
              <w:tabs>
                <w:tab w:val="left" w:pos="352"/>
              </w:tabs>
              <w:rPr>
                <w:rFonts w:cs="Arial"/>
                <w:lang w:val="en-GB" w:eastAsia="sv-SE"/>
              </w:rPr>
            </w:pPr>
            <w:r>
              <w:rPr>
                <w:rFonts w:cs="Arial"/>
                <w:lang w:val="en-GB" w:eastAsia="sv-SE"/>
              </w:rPr>
              <w:t>Doc. (13) 054 and (13) 055</w:t>
            </w:r>
            <w:r w:rsidR="00B905F6">
              <w:rPr>
                <w:rFonts w:cs="Arial"/>
                <w:lang w:val="en-GB" w:eastAsia="sv-SE"/>
              </w:rPr>
              <w:t xml:space="preserve"> the French inputs on study questions on climate change. The outcome of the discussion was favourable and the French administration was requested to resubmit both documents with </w:t>
            </w:r>
            <w:r>
              <w:rPr>
                <w:rFonts w:cs="Arial"/>
                <w:lang w:val="en-GB" w:eastAsia="sv-SE"/>
              </w:rPr>
              <w:t>further</w:t>
            </w:r>
            <w:r w:rsidR="00B905F6">
              <w:rPr>
                <w:rFonts w:cs="Arial"/>
                <w:lang w:val="en-GB" w:eastAsia="sv-SE"/>
              </w:rPr>
              <w:t xml:space="preserve"> clarifications on a possible overlap of this issue in the ITU-T and ITU-D sectors. Portugal, with a possible assistance of the ECO </w:t>
            </w:r>
            <w:r>
              <w:rPr>
                <w:rFonts w:cs="Arial"/>
                <w:lang w:val="en-GB" w:eastAsia="sv-SE"/>
              </w:rPr>
              <w:t>Office</w:t>
            </w:r>
            <w:r w:rsidR="00B905F6">
              <w:rPr>
                <w:rFonts w:cs="Arial"/>
                <w:lang w:val="en-GB" w:eastAsia="sv-SE"/>
              </w:rPr>
              <w:t xml:space="preserve">, was asked to further develop its doc. </w:t>
            </w:r>
            <w:r w:rsidR="00B905F6" w:rsidRPr="006208C8">
              <w:rPr>
                <w:rFonts w:cs="Arial"/>
                <w:lang w:val="en-GB" w:eastAsia="sv-SE"/>
              </w:rPr>
              <w:t>(13) 038 on duplication o</w:t>
            </w:r>
            <w:r w:rsidR="00B905F6">
              <w:rPr>
                <w:rFonts w:cs="Arial"/>
                <w:lang w:val="en-GB" w:eastAsia="sv-SE"/>
              </w:rPr>
              <w:t>f works between ITU-D and ITU-T in order to include in it the ‘R’ sector as a possible contribution to the PP</w:t>
            </w:r>
            <w:r>
              <w:rPr>
                <w:rFonts w:cs="Arial"/>
                <w:lang w:val="en-GB" w:eastAsia="sv-SE"/>
              </w:rPr>
              <w:t>-</w:t>
            </w:r>
            <w:r w:rsidR="00B905F6">
              <w:rPr>
                <w:rFonts w:cs="Arial"/>
                <w:lang w:val="en-GB" w:eastAsia="sv-SE"/>
              </w:rPr>
              <w:t>14. T</w:t>
            </w:r>
            <w:r w:rsidR="00B905F6" w:rsidRPr="006208C8">
              <w:rPr>
                <w:rFonts w:cs="Arial"/>
                <w:lang w:val="en-GB" w:eastAsia="sv-SE"/>
              </w:rPr>
              <w:t>he RCC’s proposal on intersectoral group</w:t>
            </w:r>
            <w:r w:rsidR="00B905F6">
              <w:rPr>
                <w:rFonts w:cs="Arial"/>
                <w:lang w:val="en-GB" w:eastAsia="sv-SE"/>
              </w:rPr>
              <w:t xml:space="preserve"> dedicated to </w:t>
            </w:r>
            <w:r>
              <w:rPr>
                <w:rFonts w:cs="Arial"/>
                <w:lang w:val="en-GB" w:eastAsia="sv-SE"/>
              </w:rPr>
              <w:t>identification</w:t>
            </w:r>
            <w:r w:rsidR="00B905F6">
              <w:rPr>
                <w:rFonts w:cs="Arial"/>
                <w:lang w:val="en-GB" w:eastAsia="sv-SE"/>
              </w:rPr>
              <w:t xml:space="preserve"> of the overlap</w:t>
            </w:r>
            <w:r>
              <w:rPr>
                <w:rFonts w:cs="Arial"/>
                <w:lang w:val="en-GB" w:eastAsia="sv-SE"/>
              </w:rPr>
              <w:t>s</w:t>
            </w:r>
            <w:r w:rsidR="00B905F6">
              <w:rPr>
                <w:rFonts w:cs="Arial"/>
                <w:lang w:val="en-GB" w:eastAsia="sv-SE"/>
              </w:rPr>
              <w:t xml:space="preserve"> was suggested as a potential source of help and inspiration. It is expected </w:t>
            </w:r>
            <w:r>
              <w:rPr>
                <w:rFonts w:cs="Arial"/>
                <w:lang w:val="en-GB" w:eastAsia="sv-SE"/>
              </w:rPr>
              <w:t xml:space="preserve">that </w:t>
            </w:r>
            <w:r w:rsidR="00B905F6">
              <w:rPr>
                <w:rFonts w:cs="Arial"/>
                <w:lang w:val="en-GB" w:eastAsia="sv-SE"/>
              </w:rPr>
              <w:t xml:space="preserve">Portugal will report back and define </w:t>
            </w:r>
            <w:r>
              <w:rPr>
                <w:rFonts w:cs="Arial"/>
                <w:lang w:val="en-GB" w:eastAsia="sv-SE"/>
              </w:rPr>
              <w:t>if it will be able to handle this</w:t>
            </w:r>
            <w:r w:rsidR="00B905F6">
              <w:rPr>
                <w:rFonts w:cs="Arial"/>
                <w:lang w:val="en-GB" w:eastAsia="sv-SE"/>
              </w:rPr>
              <w:t xml:space="preserve"> request.</w:t>
            </w:r>
          </w:p>
          <w:p w:rsidR="00B905F6" w:rsidRDefault="00B905F6" w:rsidP="00B905F6">
            <w:pPr>
              <w:tabs>
                <w:tab w:val="left" w:pos="352"/>
              </w:tabs>
              <w:rPr>
                <w:rFonts w:cs="Arial"/>
                <w:lang w:val="en-GB" w:eastAsia="sv-SE"/>
              </w:rPr>
            </w:pPr>
            <w:r>
              <w:rPr>
                <w:rFonts w:cs="Arial"/>
                <w:lang w:val="en-GB" w:eastAsia="sv-SE"/>
              </w:rPr>
              <w:t>Doc. (13) 056 and (13) 057 on enhanced cooperation of ITU-D and European Union and World B</w:t>
            </w:r>
            <w:r w:rsidR="000F7AC6">
              <w:rPr>
                <w:rFonts w:cs="Arial"/>
                <w:lang w:val="en-GB" w:eastAsia="sv-SE"/>
              </w:rPr>
              <w:t>ank were warmly received. T</w:t>
            </w:r>
            <w:r>
              <w:rPr>
                <w:rFonts w:cs="Arial"/>
                <w:lang w:val="en-GB" w:eastAsia="sv-SE"/>
              </w:rPr>
              <w:t xml:space="preserve">he group agreed that the documents touched upon important topics. It was, however, suggested that resolution is not needed and it will not be practical to single out and reach out only </w:t>
            </w:r>
            <w:r w:rsidR="000F7AC6">
              <w:rPr>
                <w:rFonts w:cs="Arial"/>
                <w:lang w:val="en-GB" w:eastAsia="sv-SE"/>
              </w:rPr>
              <w:t xml:space="preserve">to </w:t>
            </w:r>
            <w:r>
              <w:rPr>
                <w:rFonts w:cs="Arial"/>
                <w:lang w:val="en-GB" w:eastAsia="sv-SE"/>
              </w:rPr>
              <w:t xml:space="preserve">two organizations (EU and WB). It was </w:t>
            </w:r>
            <w:r w:rsidR="000F7AC6">
              <w:rPr>
                <w:rFonts w:cs="Arial"/>
                <w:lang w:val="en-GB" w:eastAsia="sv-SE"/>
              </w:rPr>
              <w:t>recommended</w:t>
            </w:r>
            <w:r>
              <w:rPr>
                <w:rFonts w:cs="Arial"/>
                <w:lang w:val="en-GB" w:eastAsia="sv-SE"/>
              </w:rPr>
              <w:t xml:space="preserve"> that this could be taken to the CWG </w:t>
            </w:r>
            <w:r w:rsidRPr="00D066D0">
              <w:rPr>
                <w:rFonts w:cs="Arial"/>
                <w:lang w:val="en-GB" w:eastAsia="sv-SE"/>
              </w:rPr>
              <w:t>for the Elaboration of the draft Strategic Plan and draft Financial Plan of the Union for 2016-2019</w:t>
            </w:r>
            <w:r>
              <w:rPr>
                <w:rFonts w:cs="Arial"/>
                <w:lang w:val="en-GB" w:eastAsia="sv-SE"/>
              </w:rPr>
              <w:t xml:space="preserve"> and the call should be general and include all organizations dealing with the developmental aid. </w:t>
            </w:r>
          </w:p>
          <w:p w:rsidR="00B905F6" w:rsidRDefault="00B905F6" w:rsidP="00B905F6">
            <w:pPr>
              <w:tabs>
                <w:tab w:val="left" w:pos="352"/>
              </w:tabs>
              <w:rPr>
                <w:rFonts w:cs="Arial"/>
                <w:lang w:val="en-GB" w:eastAsia="sv-SE"/>
              </w:rPr>
            </w:pPr>
            <w:r>
              <w:rPr>
                <w:rFonts w:cs="Arial"/>
                <w:lang w:val="en-GB" w:eastAsia="sv-SE"/>
              </w:rPr>
              <w:t xml:space="preserve">Doc. (13) 058 on </w:t>
            </w:r>
            <w:r w:rsidRPr="00D066D0">
              <w:rPr>
                <w:rFonts w:cs="Arial"/>
                <w:lang w:val="en-GB" w:eastAsia="sv-SE"/>
              </w:rPr>
              <w:t>Mechanism on better use of radio spectrum</w:t>
            </w:r>
            <w:r>
              <w:rPr>
                <w:rFonts w:cs="Arial"/>
                <w:lang w:val="en-GB" w:eastAsia="sv-SE"/>
              </w:rPr>
              <w:t xml:space="preserve"> was dismissed as out of the scope of ITU-D. </w:t>
            </w:r>
          </w:p>
          <w:p w:rsidR="00B905F6" w:rsidRDefault="00B905F6" w:rsidP="00B905F6">
            <w:pPr>
              <w:tabs>
                <w:tab w:val="left" w:pos="352"/>
              </w:tabs>
              <w:rPr>
                <w:rFonts w:cs="Arial"/>
                <w:lang w:val="en-GB" w:eastAsia="sv-SE"/>
              </w:rPr>
            </w:pPr>
            <w:r>
              <w:rPr>
                <w:rFonts w:cs="Arial"/>
                <w:lang w:val="en-GB" w:eastAsia="sv-SE"/>
              </w:rPr>
              <w:t xml:space="preserve">Poland was requested to refine the doc. </w:t>
            </w:r>
            <w:r w:rsidRPr="00B905F6">
              <w:rPr>
                <w:rFonts w:cs="Arial"/>
                <w:lang w:val="en-GB" w:eastAsia="sv-SE"/>
              </w:rPr>
              <w:t>(13) 060</w:t>
            </w:r>
            <w:r>
              <w:rPr>
                <w:rFonts w:cs="Arial"/>
                <w:lang w:val="en-GB" w:eastAsia="sv-SE"/>
              </w:rPr>
              <w:t xml:space="preserve"> on</w:t>
            </w:r>
            <w:r w:rsidRPr="00B905F6">
              <w:rPr>
                <w:rFonts w:cs="Arial"/>
                <w:lang w:val="en-GB" w:eastAsia="sv-SE"/>
              </w:rPr>
              <w:t xml:space="preserve"> Promoting ICTs to young women and men for social and economic empowerment</w:t>
            </w:r>
            <w:r>
              <w:rPr>
                <w:rFonts w:cs="Arial"/>
                <w:lang w:val="en-GB" w:eastAsia="sv-SE"/>
              </w:rPr>
              <w:t xml:space="preserve"> with a possibility of resubmission</w:t>
            </w:r>
            <w:r w:rsidR="000F7AC6">
              <w:rPr>
                <w:rFonts w:cs="Arial"/>
                <w:lang w:val="en-GB" w:eastAsia="sv-SE"/>
              </w:rPr>
              <w:t>.</w:t>
            </w:r>
          </w:p>
          <w:p w:rsidR="00B905F6" w:rsidRDefault="000F7AC6" w:rsidP="00B905F6">
            <w:pPr>
              <w:tabs>
                <w:tab w:val="left" w:pos="352"/>
              </w:tabs>
              <w:rPr>
                <w:rFonts w:cs="Arial"/>
                <w:lang w:val="en-GB" w:eastAsia="sv-SE"/>
              </w:rPr>
            </w:pPr>
            <w:r>
              <w:rPr>
                <w:rFonts w:cs="Arial"/>
                <w:lang w:val="en-GB" w:eastAsia="sv-SE"/>
              </w:rPr>
              <w:t xml:space="preserve">Doc. </w:t>
            </w:r>
            <w:r w:rsidR="00B905F6" w:rsidRPr="00B905F6">
              <w:rPr>
                <w:rFonts w:cs="Arial"/>
                <w:lang w:val="en-GB" w:eastAsia="sv-SE"/>
              </w:rPr>
              <w:t xml:space="preserve">(13) 061 </w:t>
            </w:r>
            <w:r>
              <w:rPr>
                <w:rFonts w:cs="Arial"/>
                <w:lang w:val="en-GB" w:eastAsia="sv-SE"/>
              </w:rPr>
              <w:t xml:space="preserve">on </w:t>
            </w:r>
            <w:r w:rsidR="00B905F6" w:rsidRPr="00B905F6">
              <w:rPr>
                <w:rFonts w:cs="Arial"/>
                <w:lang w:val="en-GB" w:eastAsia="sv-SE"/>
              </w:rPr>
              <w:t>Regional initiative on data collection on telecommunications infrastructure</w:t>
            </w:r>
            <w:r>
              <w:rPr>
                <w:rFonts w:cs="Arial"/>
                <w:lang w:val="en-GB" w:eastAsia="sv-SE"/>
              </w:rPr>
              <w:t xml:space="preserve"> was discussed. Th</w:t>
            </w:r>
            <w:r w:rsidR="00B905F6">
              <w:rPr>
                <w:rFonts w:cs="Arial"/>
                <w:lang w:val="en-GB" w:eastAsia="sv-SE"/>
              </w:rPr>
              <w:t xml:space="preserve">e activities of OECD, which deal with the similar issue were pointed out as a potential field of reference. </w:t>
            </w:r>
          </w:p>
          <w:p w:rsidR="000F7AC6" w:rsidRDefault="000F7AC6" w:rsidP="00B905F6">
            <w:pPr>
              <w:tabs>
                <w:tab w:val="left" w:pos="352"/>
              </w:tabs>
              <w:rPr>
                <w:rFonts w:cs="Arial"/>
                <w:lang w:val="en-GB" w:eastAsia="sv-SE"/>
              </w:rPr>
            </w:pPr>
            <w:r>
              <w:rPr>
                <w:rFonts w:cs="Arial"/>
                <w:lang w:val="en-GB" w:eastAsia="sv-SE"/>
              </w:rPr>
              <w:t>Romania was asked to develop Com-ITU doc. (13) 051 on allocation of work for WTDC taking into account the doc. 20 for TDAG.</w:t>
            </w:r>
          </w:p>
          <w:p w:rsidR="000F7AC6" w:rsidRDefault="000F7AC6" w:rsidP="00B905F6">
            <w:pPr>
              <w:tabs>
                <w:tab w:val="left" w:pos="352"/>
              </w:tabs>
              <w:rPr>
                <w:rFonts w:cs="Arial"/>
                <w:lang w:val="en-GB" w:eastAsia="sv-SE"/>
              </w:rPr>
            </w:pPr>
            <w:r>
              <w:rPr>
                <w:rFonts w:cs="Arial"/>
                <w:lang w:val="en-GB" w:eastAsia="sv-SE"/>
              </w:rPr>
              <w:t>Spain was requested to develop a paper on study questions after TDAG.</w:t>
            </w:r>
          </w:p>
          <w:p w:rsidR="000F7AC6" w:rsidRPr="000F7AC6" w:rsidRDefault="000F7AC6" w:rsidP="00B905F6">
            <w:pPr>
              <w:tabs>
                <w:tab w:val="left" w:pos="352"/>
              </w:tabs>
              <w:rPr>
                <w:rFonts w:cs="Arial"/>
                <w:b/>
                <w:lang w:val="en-GB" w:eastAsia="sv-SE"/>
              </w:rPr>
            </w:pPr>
            <w:r w:rsidRPr="000F7AC6">
              <w:rPr>
                <w:rFonts w:cs="Arial"/>
                <w:b/>
                <w:lang w:val="en-GB" w:eastAsia="sv-SE"/>
              </w:rPr>
              <w:t xml:space="preserve">CEPT Member states are encouraged to submit their contributions for potential ECPs by 13 December 2013. </w:t>
            </w:r>
          </w:p>
          <w:p w:rsidR="00B905F6" w:rsidRPr="000F7AC6" w:rsidRDefault="00B905F6" w:rsidP="000212E6">
            <w:pPr>
              <w:tabs>
                <w:tab w:val="left" w:pos="352"/>
              </w:tabs>
              <w:rPr>
                <w:rFonts w:cs="Arial"/>
                <w:lang w:val="en-GB" w:eastAsia="sv-SE"/>
              </w:rPr>
            </w:pPr>
          </w:p>
        </w:tc>
      </w:tr>
      <w:tr w:rsidR="006208C8" w:rsidRPr="00AC5187" w:rsidTr="006208C8">
        <w:tc>
          <w:tcPr>
            <w:tcW w:w="1296" w:type="dxa"/>
          </w:tcPr>
          <w:p w:rsidR="006208C8" w:rsidRPr="007C78FC" w:rsidRDefault="006208C8"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B905F6" w:rsidRPr="00B905F6" w:rsidRDefault="00B905F6" w:rsidP="00B905F6">
            <w:pPr>
              <w:tabs>
                <w:tab w:val="left" w:pos="352"/>
              </w:tabs>
              <w:rPr>
                <w:rFonts w:cs="Arial"/>
                <w:b/>
                <w:lang w:val="en-GB" w:eastAsia="sv-SE"/>
              </w:rPr>
            </w:pPr>
            <w:r w:rsidRPr="00B905F6">
              <w:rPr>
                <w:rFonts w:cs="Arial"/>
                <w:b/>
                <w:lang w:val="en-GB" w:eastAsia="sv-SE"/>
              </w:rPr>
              <w:t>WSIS+10, Preparations to WSIS High Level Event 2014</w:t>
            </w:r>
          </w:p>
          <w:p w:rsidR="00B905F6" w:rsidRDefault="00B905F6" w:rsidP="00B905F6">
            <w:pPr>
              <w:tabs>
                <w:tab w:val="left" w:pos="352"/>
              </w:tabs>
              <w:rPr>
                <w:rFonts w:cs="Arial"/>
                <w:lang w:val="en-GB" w:eastAsia="sv-SE"/>
              </w:rPr>
            </w:pPr>
            <w:r>
              <w:rPr>
                <w:rFonts w:cs="Arial"/>
                <w:lang w:val="en-GB" w:eastAsia="sv-SE"/>
              </w:rPr>
              <w:lastRenderedPageBreak/>
              <w:t xml:space="preserve">ITU informed that the dates and location of the WSIS High Level Event are still unknown. </w:t>
            </w:r>
          </w:p>
          <w:p w:rsidR="00B905F6" w:rsidRPr="00B905F6" w:rsidRDefault="00B905F6" w:rsidP="00B905F6">
            <w:pPr>
              <w:tabs>
                <w:tab w:val="left" w:pos="352"/>
              </w:tabs>
              <w:rPr>
                <w:rFonts w:cs="Arial"/>
                <w:lang w:val="en-GB" w:eastAsia="sv-SE"/>
              </w:rPr>
            </w:pPr>
            <w:r w:rsidRPr="00B905F6">
              <w:rPr>
                <w:rFonts w:cs="Arial"/>
                <w:lang w:val="en-GB" w:eastAsia="sv-SE"/>
              </w:rPr>
              <w:t>CEPT member states are encouraged to provide their input to the following public consultations:</w:t>
            </w:r>
          </w:p>
          <w:p w:rsidR="00B905F6" w:rsidRPr="00B905F6" w:rsidRDefault="00B905F6" w:rsidP="00B905F6">
            <w:pPr>
              <w:tabs>
                <w:tab w:val="left" w:pos="352"/>
              </w:tabs>
              <w:rPr>
                <w:rFonts w:cs="Arial"/>
                <w:lang w:val="en-GB" w:eastAsia="sv-SE"/>
              </w:rPr>
            </w:pPr>
            <w:r w:rsidRPr="00B905F6">
              <w:rPr>
                <w:rFonts w:cs="Arial"/>
                <w:lang w:val="en-GB" w:eastAsia="sv-SE"/>
              </w:rPr>
              <w:t>-</w:t>
            </w:r>
            <w:r w:rsidRPr="00B905F6">
              <w:rPr>
                <w:rFonts w:cs="Arial"/>
                <w:lang w:val="en-GB" w:eastAsia="sv-SE"/>
              </w:rPr>
              <w:tab/>
              <w:t xml:space="preserve">WSIS Stocktaking questionnaire on the on-going activities related to WSIS implementation – deadline 1 December 2013, </w:t>
            </w:r>
          </w:p>
          <w:p w:rsidR="00B905F6" w:rsidRPr="00B905F6" w:rsidRDefault="00B905F6" w:rsidP="00B905F6">
            <w:pPr>
              <w:tabs>
                <w:tab w:val="left" w:pos="352"/>
              </w:tabs>
              <w:rPr>
                <w:rFonts w:cs="Arial"/>
                <w:lang w:val="en-GB" w:eastAsia="sv-SE"/>
              </w:rPr>
            </w:pPr>
            <w:r w:rsidRPr="00B905F6">
              <w:rPr>
                <w:rFonts w:cs="Arial"/>
                <w:lang w:val="en-GB" w:eastAsia="sv-SE"/>
              </w:rPr>
              <w:t>-</w:t>
            </w:r>
            <w:r w:rsidRPr="00B905F6">
              <w:rPr>
                <w:rFonts w:cs="Arial"/>
                <w:lang w:val="en-GB" w:eastAsia="sv-SE"/>
              </w:rPr>
              <w:tab/>
              <w:t xml:space="preserve">WSIS </w:t>
            </w:r>
            <w:r>
              <w:rPr>
                <w:rFonts w:cs="Arial"/>
                <w:lang w:val="en-GB" w:eastAsia="sv-SE"/>
              </w:rPr>
              <w:t>Project Prizes 2014 – deadline 30</w:t>
            </w:r>
            <w:r w:rsidRPr="00B905F6">
              <w:rPr>
                <w:rFonts w:cs="Arial"/>
                <w:lang w:val="en-GB" w:eastAsia="sv-SE"/>
              </w:rPr>
              <w:t xml:space="preserve"> November 2013,</w:t>
            </w:r>
          </w:p>
          <w:p w:rsidR="00B905F6" w:rsidRDefault="00B905F6" w:rsidP="00B905F6">
            <w:pPr>
              <w:tabs>
                <w:tab w:val="left" w:pos="352"/>
              </w:tabs>
              <w:rPr>
                <w:rFonts w:cs="Arial"/>
                <w:lang w:val="en-GB" w:eastAsia="sv-SE"/>
              </w:rPr>
            </w:pPr>
            <w:r w:rsidRPr="00B905F6">
              <w:rPr>
                <w:rFonts w:cs="Arial"/>
                <w:lang w:val="en-GB" w:eastAsia="sv-SE"/>
              </w:rPr>
              <w:t>-</w:t>
            </w:r>
            <w:r w:rsidRPr="00B905F6">
              <w:rPr>
                <w:rFonts w:cs="Arial"/>
                <w:lang w:val="en-GB" w:eastAsia="sv-SE"/>
              </w:rPr>
              <w:tab/>
              <w:t>10 years country reports – deadline 12 December 2013.</w:t>
            </w:r>
          </w:p>
          <w:p w:rsidR="00B905F6" w:rsidRDefault="00B905F6" w:rsidP="00B905F6">
            <w:pPr>
              <w:tabs>
                <w:tab w:val="left" w:pos="352"/>
              </w:tabs>
              <w:rPr>
                <w:rFonts w:cs="Arial"/>
                <w:lang w:val="en-GB" w:eastAsia="sv-SE"/>
              </w:rPr>
            </w:pPr>
          </w:p>
          <w:p w:rsidR="00B905F6" w:rsidRDefault="00B905F6" w:rsidP="00B905F6">
            <w:pPr>
              <w:tabs>
                <w:tab w:val="left" w:pos="352"/>
              </w:tabs>
              <w:rPr>
                <w:rFonts w:cs="Arial"/>
                <w:lang w:val="en-GB" w:eastAsia="sv-SE"/>
              </w:rPr>
            </w:pPr>
            <w:r>
              <w:rPr>
                <w:rFonts w:cs="Arial"/>
                <w:lang w:val="en-GB" w:eastAsia="sv-SE"/>
              </w:rPr>
              <w:t>Poland and UK reported t</w:t>
            </w:r>
            <w:r w:rsidR="000F7AC6">
              <w:rPr>
                <w:rFonts w:cs="Arial"/>
                <w:lang w:val="en-GB" w:eastAsia="sv-SE"/>
              </w:rPr>
              <w:t xml:space="preserve">hat they are </w:t>
            </w:r>
            <w:r>
              <w:rPr>
                <w:rFonts w:cs="Arial"/>
                <w:lang w:val="en-GB" w:eastAsia="sv-SE"/>
              </w:rPr>
              <w:t>preparing ’10 years country reports’.</w:t>
            </w:r>
          </w:p>
          <w:p w:rsidR="00B905F6" w:rsidRPr="00B905F6" w:rsidRDefault="00B905F6" w:rsidP="00B905F6">
            <w:pPr>
              <w:tabs>
                <w:tab w:val="left" w:pos="352"/>
              </w:tabs>
              <w:rPr>
                <w:rFonts w:cs="Arial"/>
                <w:lang w:val="en-GB" w:eastAsia="sv-SE"/>
              </w:rPr>
            </w:pPr>
          </w:p>
        </w:tc>
      </w:tr>
      <w:tr w:rsidR="00CF7D56" w:rsidRPr="00836819" w:rsidTr="006208C8">
        <w:tc>
          <w:tcPr>
            <w:tcW w:w="1296" w:type="dxa"/>
          </w:tcPr>
          <w:p w:rsidR="00CF7D56" w:rsidRPr="007C78FC" w:rsidRDefault="00CF7D5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4F2DCC" w:rsidRDefault="004F2DCC" w:rsidP="000212E6">
            <w:pPr>
              <w:spacing w:before="0"/>
              <w:rPr>
                <w:rFonts w:cs="Arial"/>
                <w:b/>
                <w:lang w:val="en-GB" w:eastAsia="sv-SE"/>
              </w:rPr>
            </w:pPr>
            <w:r w:rsidRPr="004F2DCC">
              <w:rPr>
                <w:rFonts w:cs="Arial"/>
                <w:b/>
                <w:lang w:val="en-GB" w:eastAsia="sv-SE"/>
              </w:rPr>
              <w:t>November cluster of CWGs – update</w:t>
            </w:r>
          </w:p>
          <w:p w:rsidR="004F2DCC" w:rsidRDefault="004F2DCC" w:rsidP="004F2DCC">
            <w:pPr>
              <w:spacing w:before="0"/>
              <w:rPr>
                <w:rFonts w:cs="Arial"/>
                <w:b/>
                <w:lang w:val="en-GB"/>
              </w:rPr>
            </w:pPr>
          </w:p>
          <w:p w:rsidR="004F2DCC" w:rsidRDefault="004F2DCC" w:rsidP="004F2DCC">
            <w:pPr>
              <w:spacing w:before="0"/>
              <w:rPr>
                <w:rFonts w:cs="Arial"/>
                <w:lang w:val="en-GB"/>
              </w:rPr>
            </w:pPr>
            <w:r w:rsidRPr="004F2DCC">
              <w:rPr>
                <w:rFonts w:cs="Arial"/>
                <w:lang w:val="en-GB"/>
              </w:rPr>
              <w:t>The group discussed an ou</w:t>
            </w:r>
            <w:r>
              <w:rPr>
                <w:rFonts w:cs="Arial"/>
                <w:lang w:val="en-GB"/>
              </w:rPr>
              <w:t>t</w:t>
            </w:r>
            <w:r w:rsidRPr="004F2DCC">
              <w:rPr>
                <w:rFonts w:cs="Arial"/>
                <w:lang w:val="en-GB"/>
              </w:rPr>
              <w:t xml:space="preserve">come of the </w:t>
            </w:r>
            <w:r w:rsidRPr="004F2DCC">
              <w:rPr>
                <w:rFonts w:cs="Arial"/>
                <w:b/>
                <w:lang w:val="en-GB"/>
              </w:rPr>
              <w:t xml:space="preserve">CWG </w:t>
            </w:r>
            <w:r w:rsidR="005C19EA">
              <w:rPr>
                <w:rFonts w:cs="Arial"/>
                <w:b/>
                <w:lang w:val="en-GB"/>
              </w:rPr>
              <w:t xml:space="preserve">on </w:t>
            </w:r>
            <w:r w:rsidR="005C19EA" w:rsidRPr="005C19EA">
              <w:rPr>
                <w:rFonts w:cs="Arial"/>
                <w:b/>
                <w:lang w:val="en-GB"/>
              </w:rPr>
              <w:t>International Internet-related public policy issues</w:t>
            </w:r>
            <w:r w:rsidR="00C541B4">
              <w:rPr>
                <w:rFonts w:cs="Arial"/>
                <w:b/>
                <w:lang w:val="en-GB"/>
              </w:rPr>
              <w:t xml:space="preserve"> </w:t>
            </w:r>
            <w:r>
              <w:rPr>
                <w:rFonts w:cs="Arial"/>
                <w:lang w:val="en-GB"/>
              </w:rPr>
              <w:t xml:space="preserve">and the consultations run </w:t>
            </w:r>
            <w:r w:rsidR="00C541B4">
              <w:rPr>
                <w:rFonts w:cs="Arial"/>
                <w:lang w:val="en-GB"/>
              </w:rPr>
              <w:t xml:space="preserve">by </w:t>
            </w:r>
            <w:r>
              <w:rPr>
                <w:rFonts w:cs="Arial"/>
                <w:lang w:val="en-GB"/>
              </w:rPr>
              <w:t>the group’s chairman. There is one question, which is being consulted:</w:t>
            </w:r>
          </w:p>
          <w:p w:rsidR="004F2DCC" w:rsidRDefault="004F2DCC" w:rsidP="004F2DCC">
            <w:pPr>
              <w:spacing w:before="0"/>
              <w:rPr>
                <w:rFonts w:cs="Arial"/>
                <w:lang w:val="en-GB"/>
              </w:rPr>
            </w:pPr>
          </w:p>
          <w:p w:rsidR="004F2DCC" w:rsidRPr="00C541B4" w:rsidRDefault="004F2DCC" w:rsidP="004F2DCC">
            <w:pPr>
              <w:spacing w:before="0"/>
              <w:rPr>
                <w:rFonts w:cs="Arial"/>
                <w:i/>
                <w:lang w:val="en-GB"/>
              </w:rPr>
            </w:pPr>
            <w:r w:rsidRPr="00C541B4">
              <w:rPr>
                <w:rFonts w:cs="Arial"/>
                <w:i/>
                <w:lang w:val="en-GB"/>
              </w:rPr>
              <w:t>"Recognizing the scope of work of ITU on international Internet-related public policy matters, represented by the list of topics in Council Resolution 1305 Annex 1 which was established in accordance with decisions of ITU membership at the Plenipotentiary Conference, the Council Working Group on International Internet Related Public Policy invites Member States to provide their position on following question:</w:t>
            </w:r>
          </w:p>
          <w:p w:rsidR="004F2DCC" w:rsidRPr="00C541B4" w:rsidRDefault="004F2DCC" w:rsidP="004F2DCC">
            <w:pPr>
              <w:spacing w:before="0"/>
              <w:rPr>
                <w:rFonts w:cs="Arial"/>
                <w:i/>
                <w:lang w:val="en-GB"/>
              </w:rPr>
            </w:pPr>
          </w:p>
          <w:p w:rsidR="004F2DCC" w:rsidRPr="00C541B4" w:rsidRDefault="004F2DCC" w:rsidP="004F2DCC">
            <w:pPr>
              <w:spacing w:before="0"/>
              <w:rPr>
                <w:rFonts w:cs="Arial"/>
                <w:i/>
                <w:lang w:val="en-GB"/>
              </w:rPr>
            </w:pPr>
            <w:r w:rsidRPr="00C541B4">
              <w:rPr>
                <w:rFonts w:cs="Arial"/>
                <w:i/>
                <w:lang w:val="en-GB"/>
              </w:rPr>
              <w:t>Q1. What actions have been undertaken or to be undertaken by governments in relations to each of the international Internet-related public policy issues identified in Annex 1 to Resolution 1305 (adopted by Council 2009 at the seventh Plenary Meeting)?"</w:t>
            </w:r>
          </w:p>
          <w:p w:rsidR="004F2DCC" w:rsidRDefault="004F2DCC" w:rsidP="004F2DCC">
            <w:pPr>
              <w:spacing w:before="0"/>
              <w:rPr>
                <w:rFonts w:cs="Arial"/>
                <w:lang w:val="en-GB"/>
              </w:rPr>
            </w:pPr>
          </w:p>
          <w:p w:rsidR="004F2DCC" w:rsidRDefault="004F2DCC" w:rsidP="004F2DCC">
            <w:pPr>
              <w:spacing w:before="0"/>
              <w:rPr>
                <w:rFonts w:cs="Arial"/>
                <w:lang w:val="en-GB"/>
              </w:rPr>
            </w:pPr>
            <w:r>
              <w:rPr>
                <w:rFonts w:cs="Arial"/>
                <w:lang w:val="en-GB"/>
              </w:rPr>
              <w:t xml:space="preserve">Member states are encouraged to take part in consultations. The possible common CEPT </w:t>
            </w:r>
            <w:r w:rsidR="00C541B4">
              <w:rPr>
                <w:rFonts w:cs="Arial"/>
                <w:lang w:val="en-GB"/>
              </w:rPr>
              <w:t>input</w:t>
            </w:r>
            <w:r>
              <w:rPr>
                <w:rFonts w:cs="Arial"/>
                <w:lang w:val="en-GB"/>
              </w:rPr>
              <w:t xml:space="preserve"> was discussed, however, due to time constraints it was suggested that administrations should send their answers individually. </w:t>
            </w:r>
            <w:r w:rsidR="00C541B4">
              <w:rPr>
                <w:rFonts w:cs="Arial"/>
                <w:lang w:val="en-GB"/>
              </w:rPr>
              <w:t>Nonetheless</w:t>
            </w:r>
            <w:r>
              <w:rPr>
                <w:rFonts w:cs="Arial"/>
                <w:lang w:val="en-GB"/>
              </w:rPr>
              <w:t>, France was asked to draft a general input on internet governance and Sweden was asked to provide a common statement on opening up of the CWG Internet and open access to its documents for all stakeholders.</w:t>
            </w:r>
            <w:r w:rsidR="00C541B4">
              <w:rPr>
                <w:rFonts w:cs="Arial"/>
                <w:lang w:val="en-GB"/>
              </w:rPr>
              <w:t xml:space="preserve"> The two inputs could be discussed during next meeting as a common CEPT input to consultations.</w:t>
            </w:r>
          </w:p>
          <w:p w:rsidR="004F2DCC" w:rsidRDefault="004F2DCC" w:rsidP="004F2DCC">
            <w:pPr>
              <w:spacing w:before="0"/>
              <w:rPr>
                <w:rFonts w:cs="Arial"/>
                <w:lang w:val="en-GB"/>
              </w:rPr>
            </w:pPr>
          </w:p>
          <w:p w:rsidR="004F2DCC" w:rsidRDefault="004F2DCC" w:rsidP="004F2DCC">
            <w:pPr>
              <w:spacing w:before="0"/>
              <w:rPr>
                <w:rFonts w:cs="Arial"/>
                <w:lang w:val="en-GB"/>
              </w:rPr>
            </w:pPr>
            <w:r>
              <w:rPr>
                <w:rFonts w:cs="Arial"/>
                <w:lang w:val="en-GB"/>
              </w:rPr>
              <w:t xml:space="preserve">In relation to </w:t>
            </w:r>
            <w:r w:rsidRPr="00C541B4">
              <w:rPr>
                <w:rFonts w:cs="Arial"/>
                <w:b/>
                <w:lang w:val="en-GB"/>
              </w:rPr>
              <w:t>CWG for the Elaboration of the draft Strategic Plan and draft Financial Plan of the Union for 2016-2019</w:t>
            </w:r>
            <w:r>
              <w:rPr>
                <w:rFonts w:cs="Arial"/>
                <w:lang w:val="en-GB"/>
              </w:rPr>
              <w:t xml:space="preserve">, Italy was requested to provide additional information on the outcome of the discussion and provide it to the group in the </w:t>
            </w:r>
            <w:r w:rsidR="00C541B4">
              <w:rPr>
                <w:rFonts w:cs="Arial"/>
                <w:lang w:val="en-GB"/>
              </w:rPr>
              <w:t>beginning</w:t>
            </w:r>
            <w:r>
              <w:rPr>
                <w:rFonts w:cs="Arial"/>
                <w:lang w:val="en-GB"/>
              </w:rPr>
              <w:t xml:space="preserve"> of December.</w:t>
            </w:r>
            <w:r w:rsidR="00C541B4">
              <w:rPr>
                <w:rFonts w:cs="Arial"/>
                <w:lang w:val="en-GB"/>
              </w:rPr>
              <w:t xml:space="preserve"> Information will be posted at the CEPT website.</w:t>
            </w:r>
          </w:p>
          <w:p w:rsidR="004F2DCC" w:rsidRDefault="004F2DCC" w:rsidP="004F2DCC">
            <w:pPr>
              <w:spacing w:before="0"/>
              <w:rPr>
                <w:rFonts w:cs="Arial"/>
                <w:lang w:val="en-GB"/>
              </w:rPr>
            </w:pPr>
          </w:p>
          <w:p w:rsidR="004F2DCC" w:rsidRDefault="004F2DCC" w:rsidP="00A4453A">
            <w:pPr>
              <w:spacing w:before="0"/>
              <w:rPr>
                <w:rFonts w:cs="Arial"/>
                <w:lang w:val="en-GB"/>
              </w:rPr>
            </w:pPr>
            <w:r>
              <w:rPr>
                <w:rFonts w:cs="Arial"/>
                <w:lang w:val="en-GB"/>
              </w:rPr>
              <w:t xml:space="preserve">Turkey informed about the outcome of the </w:t>
            </w:r>
            <w:r w:rsidRPr="00C541B4">
              <w:rPr>
                <w:rFonts w:cs="Arial"/>
                <w:b/>
                <w:lang w:val="en-GB"/>
              </w:rPr>
              <w:t>Committee on ITU's 150th Anniversary</w:t>
            </w:r>
            <w:r>
              <w:rPr>
                <w:rFonts w:cs="Arial"/>
                <w:lang w:val="en-GB"/>
              </w:rPr>
              <w:t xml:space="preserve"> and informed that it will submit a document </w:t>
            </w:r>
            <w:r w:rsidR="00A4453A">
              <w:rPr>
                <w:rFonts w:cs="Arial"/>
                <w:lang w:val="en-GB"/>
              </w:rPr>
              <w:t>on this issue for Com-ITU meeting in Warsaw.</w:t>
            </w:r>
            <w:r>
              <w:rPr>
                <w:rFonts w:cs="Arial"/>
                <w:lang w:val="en-GB"/>
              </w:rPr>
              <w:t xml:space="preserve"> </w:t>
            </w:r>
          </w:p>
          <w:p w:rsidR="00A4453A" w:rsidRPr="00B76013" w:rsidRDefault="00A4453A" w:rsidP="00A4453A">
            <w:pPr>
              <w:spacing w:before="0"/>
              <w:rPr>
                <w:lang w:val="en-US"/>
              </w:rPr>
            </w:pPr>
          </w:p>
        </w:tc>
      </w:tr>
      <w:tr w:rsidR="00CF7D56" w:rsidRPr="00836819" w:rsidTr="006208C8">
        <w:tc>
          <w:tcPr>
            <w:tcW w:w="1296" w:type="dxa"/>
          </w:tcPr>
          <w:p w:rsidR="00CF7D56" w:rsidRPr="007C78FC" w:rsidRDefault="00CF7D56" w:rsidP="007C78F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GB"/>
              </w:rPr>
            </w:pPr>
          </w:p>
        </w:tc>
        <w:tc>
          <w:tcPr>
            <w:tcW w:w="8061" w:type="dxa"/>
          </w:tcPr>
          <w:p w:rsidR="004F2DCC" w:rsidRDefault="004F2DCC" w:rsidP="004F2DCC">
            <w:pPr>
              <w:spacing w:before="0"/>
              <w:rPr>
                <w:rFonts w:cs="Arial"/>
                <w:b/>
                <w:lang w:val="en-GB" w:eastAsia="sv-SE"/>
              </w:rPr>
            </w:pPr>
          </w:p>
          <w:p w:rsidR="004F2DCC" w:rsidRDefault="004F2DCC" w:rsidP="00385251">
            <w:pPr>
              <w:spacing w:before="0" w:after="120"/>
              <w:rPr>
                <w:rFonts w:cs="Arial"/>
                <w:b/>
                <w:lang w:val="en-GB" w:eastAsia="sv-SE"/>
              </w:rPr>
            </w:pPr>
            <w:r w:rsidRPr="00DB3890">
              <w:rPr>
                <w:rFonts w:cs="Arial"/>
                <w:b/>
                <w:lang w:val="en-GB" w:eastAsia="sv-SE"/>
              </w:rPr>
              <w:t>Preparations to PP-14</w:t>
            </w:r>
          </w:p>
          <w:p w:rsidR="004F2DCC" w:rsidRDefault="004F2DCC" w:rsidP="00385251">
            <w:pPr>
              <w:spacing w:before="0" w:after="120"/>
              <w:jc w:val="both"/>
              <w:rPr>
                <w:lang w:val="en-US"/>
              </w:rPr>
            </w:pPr>
            <w:r>
              <w:rPr>
                <w:lang w:val="en-US"/>
              </w:rPr>
              <w:lastRenderedPageBreak/>
              <w:t>Mr Wojciech Berezowski (PL), the CEPT C</w:t>
            </w:r>
            <w:r w:rsidRPr="00053438">
              <w:rPr>
                <w:lang w:val="en-US"/>
              </w:rPr>
              <w:t>oordinator for PP</w:t>
            </w:r>
            <w:r>
              <w:rPr>
                <w:lang w:val="en-US"/>
              </w:rPr>
              <w:t>-</w:t>
            </w:r>
            <w:r w:rsidRPr="00053438">
              <w:rPr>
                <w:lang w:val="en-US"/>
              </w:rPr>
              <w:t>14</w:t>
            </w:r>
            <w:r>
              <w:rPr>
                <w:lang w:val="en-US"/>
              </w:rPr>
              <w:t xml:space="preserve"> informed about the preparatory process. The Project Team on preparation to the PP-14 was created </w:t>
            </w:r>
            <w:r w:rsidR="00AB6EF8">
              <w:rPr>
                <w:lang w:val="en-US"/>
              </w:rPr>
              <w:t>i</w:t>
            </w:r>
            <w:r w:rsidR="00F95D7E">
              <w:rPr>
                <w:lang w:val="en-US"/>
              </w:rPr>
              <w:t xml:space="preserve">n October and </w:t>
            </w:r>
            <w:r w:rsidR="00AB6EF8">
              <w:rPr>
                <w:lang w:val="en-US"/>
              </w:rPr>
              <w:t xml:space="preserve">during the November Com-ITU meeting </w:t>
            </w:r>
            <w:r w:rsidR="00F95D7E">
              <w:rPr>
                <w:lang w:val="en-US"/>
              </w:rPr>
              <w:t xml:space="preserve">Member States </w:t>
            </w:r>
            <w:r w:rsidR="00F95D7E" w:rsidRPr="00F95D7E">
              <w:rPr>
                <w:lang w:val="en-US"/>
              </w:rPr>
              <w:t>nominate</w:t>
            </w:r>
            <w:r w:rsidR="00F95D7E">
              <w:rPr>
                <w:lang w:val="en-US"/>
              </w:rPr>
              <w:t>d</w:t>
            </w:r>
            <w:r w:rsidR="00F95D7E" w:rsidRPr="00F95D7E">
              <w:rPr>
                <w:lang w:val="en-US"/>
              </w:rPr>
              <w:t xml:space="preserve"> the representatives to assist in Com-ITU coordination on the issues related with PP-14</w:t>
            </w:r>
            <w:r w:rsidR="00AB6EF8">
              <w:rPr>
                <w:lang w:val="en-US"/>
              </w:rPr>
              <w:t xml:space="preserve">. </w:t>
            </w:r>
            <w:r w:rsidR="00F95D7E">
              <w:rPr>
                <w:lang w:val="en-US"/>
              </w:rPr>
              <w:t xml:space="preserve"> </w:t>
            </w:r>
          </w:p>
          <w:p w:rsidR="00385251" w:rsidRDefault="00385251" w:rsidP="00385251">
            <w:pPr>
              <w:spacing w:before="0" w:after="120"/>
              <w:jc w:val="both"/>
              <w:rPr>
                <w:rFonts w:cs="Arial"/>
                <w:lang w:val="en-US"/>
              </w:rPr>
            </w:pPr>
            <w:r>
              <w:rPr>
                <w:rFonts w:cs="Arial"/>
                <w:lang w:val="en-GB" w:eastAsia="sv-SE"/>
              </w:rPr>
              <w:t xml:space="preserve">Mr Berezowski informed about his recent participation in the Global ICT Forum for ITU PP-14 that was held in Seoul, Republic of Korea on 25-26 November 2013. </w:t>
            </w:r>
            <w:r w:rsidRPr="00385251">
              <w:rPr>
                <w:rFonts w:cs="Arial"/>
                <w:lang w:val="en-GB" w:eastAsia="sv-SE"/>
              </w:rPr>
              <w:t xml:space="preserve">The </w:t>
            </w:r>
            <w:r>
              <w:rPr>
                <w:rFonts w:cs="Arial"/>
                <w:lang w:val="en-GB" w:eastAsia="sv-SE"/>
              </w:rPr>
              <w:t xml:space="preserve">Forum </w:t>
            </w:r>
            <w:r w:rsidRPr="00385251">
              <w:rPr>
                <w:rFonts w:cs="Arial"/>
                <w:lang w:val="en-GB" w:eastAsia="sv-SE"/>
              </w:rPr>
              <w:t>was attended by representatives of the International Telecommunication Union (ITU), the remaining regions (Africa, both Americas, Asia and Pacific), international organizations, non-governmental organizations, science and research bodies and the hosts - representatives of the Korean government.</w:t>
            </w:r>
            <w:r>
              <w:rPr>
                <w:rFonts w:cs="Arial"/>
                <w:lang w:val="en-GB" w:eastAsia="sv-SE"/>
              </w:rPr>
              <w:t xml:space="preserve"> </w:t>
            </w:r>
            <w:r w:rsidRPr="00385251">
              <w:rPr>
                <w:rFonts w:cs="Arial"/>
                <w:lang w:val="en-GB" w:eastAsia="sv-SE"/>
              </w:rPr>
              <w:t xml:space="preserve">As a representative of </w:t>
            </w:r>
            <w:r>
              <w:rPr>
                <w:rFonts w:cs="Arial"/>
                <w:lang w:val="en-GB" w:eastAsia="sv-SE"/>
              </w:rPr>
              <w:t>CEPT</w:t>
            </w:r>
            <w:r w:rsidRPr="00385251">
              <w:rPr>
                <w:rFonts w:cs="Arial"/>
                <w:lang w:val="en-GB" w:eastAsia="sv-SE"/>
              </w:rPr>
              <w:t xml:space="preserve"> Mr Berezowski presented European priorities in preparations for the </w:t>
            </w:r>
            <w:r>
              <w:rPr>
                <w:rFonts w:cs="Arial"/>
                <w:lang w:val="en-GB" w:eastAsia="sv-SE"/>
              </w:rPr>
              <w:t xml:space="preserve">WTDC-14 and </w:t>
            </w:r>
            <w:r w:rsidRPr="00385251">
              <w:rPr>
                <w:rFonts w:cs="Arial"/>
                <w:lang w:val="en-GB" w:eastAsia="sv-SE"/>
              </w:rPr>
              <w:t>PP-14.</w:t>
            </w:r>
          </w:p>
          <w:p w:rsidR="00AB6EF8" w:rsidRDefault="004F2DCC" w:rsidP="00385251">
            <w:pPr>
              <w:spacing w:before="0" w:after="120"/>
              <w:jc w:val="both"/>
              <w:rPr>
                <w:lang w:val="en-US"/>
              </w:rPr>
            </w:pPr>
            <w:r>
              <w:rPr>
                <w:lang w:val="en-US"/>
              </w:rPr>
              <w:t xml:space="preserve">CEPT took note of </w:t>
            </w:r>
            <w:r w:rsidR="00385251">
              <w:rPr>
                <w:lang w:val="en-US"/>
              </w:rPr>
              <w:t>the</w:t>
            </w:r>
            <w:r>
              <w:rPr>
                <w:lang w:val="en-US"/>
              </w:rPr>
              <w:t xml:space="preserve"> Russia</w:t>
            </w:r>
            <w:r w:rsidR="00AB6EF8">
              <w:rPr>
                <w:lang w:val="en-US"/>
              </w:rPr>
              <w:t>n</w:t>
            </w:r>
            <w:r>
              <w:rPr>
                <w:lang w:val="en-US"/>
              </w:rPr>
              <w:t xml:space="preserve"> document</w:t>
            </w:r>
            <w:r w:rsidR="00AB6EF8">
              <w:rPr>
                <w:lang w:val="en-US"/>
              </w:rPr>
              <w:t xml:space="preserve"> (13) 053</w:t>
            </w:r>
            <w:r>
              <w:rPr>
                <w:lang w:val="en-US"/>
              </w:rPr>
              <w:t xml:space="preserve"> on </w:t>
            </w:r>
            <w:r w:rsidRPr="00213ECC">
              <w:rPr>
                <w:lang w:val="en-US"/>
              </w:rPr>
              <w:t>reviewing the interest rates levied on participants in respect of overdue contributions and other dues payable to the ITU budget and transfer of relevant provisions from the ITU Convention to the ITU Financial Regulations and Financial Rules</w:t>
            </w:r>
            <w:r>
              <w:rPr>
                <w:lang w:val="en-US"/>
              </w:rPr>
              <w:t xml:space="preserve">. </w:t>
            </w:r>
            <w:r w:rsidR="00587C4E">
              <w:rPr>
                <w:lang w:val="en-US"/>
              </w:rPr>
              <w:t xml:space="preserve">Further works on this document will be continued after the next meeting of </w:t>
            </w:r>
            <w:r w:rsidR="00587C4E" w:rsidRPr="00587C4E">
              <w:rPr>
                <w:lang w:val="en-US"/>
              </w:rPr>
              <w:t>Council Working Group for the Elaboration of the draft Strategic Plan and draft Financial Plan of the Union for 2016-2019</w:t>
            </w:r>
            <w:r w:rsidR="00587C4E">
              <w:rPr>
                <w:lang w:val="en-US"/>
              </w:rPr>
              <w:t>.</w:t>
            </w:r>
          </w:p>
          <w:p w:rsidR="00AB6EF8" w:rsidRPr="00AB6EF8" w:rsidRDefault="00AB6EF8" w:rsidP="00385251">
            <w:pPr>
              <w:tabs>
                <w:tab w:val="left" w:pos="352"/>
              </w:tabs>
              <w:spacing w:before="0" w:after="120"/>
              <w:jc w:val="both"/>
              <w:rPr>
                <w:rFonts w:cs="Arial"/>
                <w:lang w:eastAsia="sv-SE"/>
              </w:rPr>
            </w:pPr>
            <w:r>
              <w:rPr>
                <w:rFonts w:cs="Arial"/>
                <w:lang w:val="en-GB" w:eastAsia="sv-SE"/>
              </w:rPr>
              <w:t>The group decided to invite Mr Wonki Min, the future chairman of the PP-14 from the Korean Ministry of Science, ICT &amp; Future Planning to the next Com-ITU meeting.</w:t>
            </w:r>
          </w:p>
        </w:tc>
      </w:tr>
      <w:tr w:rsidR="00CF7D56" w:rsidRPr="00AC5187" w:rsidTr="006208C8">
        <w:tc>
          <w:tcPr>
            <w:tcW w:w="1296" w:type="dxa"/>
          </w:tcPr>
          <w:p w:rsidR="00CF7D56" w:rsidRPr="00AB6EF8" w:rsidRDefault="00CF7D56" w:rsidP="00BE7E8C">
            <w:pPr>
              <w:pStyle w:val="Akapitzlist"/>
              <w:numPr>
                <w:ilvl w:val="0"/>
                <w:numId w:val="5"/>
              </w:numPr>
              <w:tabs>
                <w:tab w:val="left" w:pos="794"/>
                <w:tab w:val="left" w:pos="1191"/>
                <w:tab w:val="left" w:pos="1588"/>
                <w:tab w:val="left" w:pos="1985"/>
              </w:tabs>
              <w:overflowPunct w:val="0"/>
              <w:autoSpaceDE w:val="0"/>
              <w:autoSpaceDN w:val="0"/>
              <w:adjustRightInd w:val="0"/>
              <w:textAlignment w:val="baseline"/>
              <w:rPr>
                <w:rFonts w:cs="Arial"/>
                <w:lang w:val="en-US"/>
              </w:rPr>
            </w:pPr>
          </w:p>
        </w:tc>
        <w:tc>
          <w:tcPr>
            <w:tcW w:w="8061" w:type="dxa"/>
          </w:tcPr>
          <w:p w:rsidR="00BE7E8C" w:rsidRPr="00DD2A0F" w:rsidRDefault="00BE7E8C" w:rsidP="00BE7E8C">
            <w:pPr>
              <w:spacing w:before="0"/>
              <w:rPr>
                <w:rFonts w:cs="Arial"/>
                <w:b/>
                <w:lang w:val="en-GB"/>
              </w:rPr>
            </w:pPr>
            <w:r w:rsidRPr="00DD2A0F">
              <w:rPr>
                <w:rFonts w:cs="Arial"/>
                <w:b/>
                <w:lang w:val="en-GB"/>
              </w:rPr>
              <w:t>Participation of observers in Com-ITU meetings</w:t>
            </w:r>
          </w:p>
          <w:p w:rsidR="00BE7E8C" w:rsidRDefault="00BE7E8C" w:rsidP="00BE7E8C">
            <w:pPr>
              <w:spacing w:before="0"/>
              <w:rPr>
                <w:rFonts w:cs="Arial"/>
                <w:lang w:val="en-GB"/>
              </w:rPr>
            </w:pPr>
          </w:p>
          <w:p w:rsidR="007047F6" w:rsidRDefault="007047F6" w:rsidP="00BE7E8C">
            <w:pPr>
              <w:spacing w:before="0"/>
              <w:rPr>
                <w:rFonts w:cs="Arial"/>
                <w:lang w:val="en-GB"/>
              </w:rPr>
            </w:pPr>
            <w:r>
              <w:rPr>
                <w:rFonts w:cs="Arial"/>
                <w:lang w:val="en-GB"/>
              </w:rPr>
              <w:t>The Chairman informed that, although the Israeli administration was invited to attend the Belgrade meeting and present its request, it did not confirm its participation. Therefore</w:t>
            </w:r>
            <w:r w:rsidR="00C541B4">
              <w:rPr>
                <w:rFonts w:cs="Arial"/>
                <w:lang w:val="en-GB"/>
              </w:rPr>
              <w:t>,</w:t>
            </w:r>
            <w:r>
              <w:rPr>
                <w:rFonts w:cs="Arial"/>
                <w:lang w:val="en-GB"/>
              </w:rPr>
              <w:t xml:space="preserve"> no decision was taken and discussion was postponed to the next meeting if will be necessary. The reference document in this respect is doc. (13) 043.</w:t>
            </w:r>
          </w:p>
          <w:p w:rsidR="00C541B4" w:rsidRDefault="00C541B4" w:rsidP="009A0219">
            <w:pPr>
              <w:spacing w:before="0"/>
              <w:rPr>
                <w:rFonts w:cs="Arial"/>
                <w:lang w:val="en-GB"/>
              </w:rPr>
            </w:pPr>
          </w:p>
          <w:p w:rsidR="009A0219" w:rsidRPr="009A0219" w:rsidRDefault="00C541B4" w:rsidP="009A0219">
            <w:pPr>
              <w:spacing w:before="0"/>
              <w:rPr>
                <w:rFonts w:cs="Arial"/>
                <w:lang w:val="en-GB"/>
              </w:rPr>
            </w:pPr>
            <w:r>
              <w:rPr>
                <w:rFonts w:cs="Arial"/>
                <w:lang w:val="en-GB"/>
              </w:rPr>
              <w:t>I</w:t>
            </w:r>
            <w:r w:rsidR="00B33DD5">
              <w:rPr>
                <w:rFonts w:cs="Arial"/>
                <w:lang w:val="en-GB"/>
              </w:rPr>
              <w:t xml:space="preserve">ssue of three non-permanent observers to the Com-ITU (ICANN, ISOC, RIPE NNC) was discussed. </w:t>
            </w:r>
            <w:r w:rsidR="007047F6">
              <w:rPr>
                <w:rFonts w:cs="Arial"/>
                <w:lang w:val="en-GB"/>
              </w:rPr>
              <w:t>The two documents doc. (13) 052 (suggest</w:t>
            </w:r>
            <w:r w:rsidR="009A0219">
              <w:rPr>
                <w:rFonts w:cs="Arial"/>
                <w:lang w:val="en-GB"/>
              </w:rPr>
              <w:t xml:space="preserve">ing no changes to existing </w:t>
            </w:r>
            <w:r w:rsidR="009A0219" w:rsidRPr="009A0219">
              <w:rPr>
                <w:rFonts w:cs="Arial"/>
                <w:lang w:val="en-GB"/>
              </w:rPr>
              <w:t xml:space="preserve">Rules for the participation of observers to the meetings of </w:t>
            </w:r>
          </w:p>
          <w:p w:rsidR="007047F6" w:rsidRDefault="009A0219" w:rsidP="009A0219">
            <w:pPr>
              <w:spacing w:before="0"/>
              <w:rPr>
                <w:rFonts w:cs="Arial"/>
                <w:lang w:val="en-GB"/>
              </w:rPr>
            </w:pPr>
            <w:r w:rsidRPr="009A0219">
              <w:rPr>
                <w:rFonts w:cs="Arial"/>
                <w:lang w:val="en-GB"/>
              </w:rPr>
              <w:t>Com-ITU and its project t</w:t>
            </w:r>
            <w:r>
              <w:rPr>
                <w:rFonts w:cs="Arial"/>
                <w:lang w:val="en-GB"/>
              </w:rPr>
              <w:t>eams and correspondence groups</w:t>
            </w:r>
            <w:r w:rsidR="007047F6">
              <w:rPr>
                <w:rFonts w:cs="Arial"/>
                <w:lang w:val="en-GB"/>
              </w:rPr>
              <w:t xml:space="preserve">) and doc. (13) </w:t>
            </w:r>
            <w:r>
              <w:rPr>
                <w:rFonts w:cs="Arial"/>
                <w:lang w:val="en-GB"/>
              </w:rPr>
              <w:t>0</w:t>
            </w:r>
            <w:r w:rsidR="007047F6">
              <w:rPr>
                <w:rFonts w:cs="Arial"/>
                <w:lang w:val="en-GB"/>
              </w:rPr>
              <w:t xml:space="preserve">49_1 (suggesting changes </w:t>
            </w:r>
            <w:r w:rsidR="00C541B4">
              <w:rPr>
                <w:rFonts w:cs="Arial"/>
                <w:lang w:val="en-GB"/>
              </w:rPr>
              <w:t xml:space="preserve">to </w:t>
            </w:r>
            <w:r w:rsidR="007047F6">
              <w:rPr>
                <w:rFonts w:cs="Arial"/>
                <w:lang w:val="en-GB"/>
              </w:rPr>
              <w:t>the guidelines) were presented and discussed.</w:t>
            </w:r>
          </w:p>
          <w:p w:rsidR="009A0219" w:rsidRDefault="009A0219" w:rsidP="009A0219">
            <w:pPr>
              <w:spacing w:before="0"/>
              <w:rPr>
                <w:rFonts w:cs="Arial"/>
                <w:lang w:val="en-GB"/>
              </w:rPr>
            </w:pPr>
            <w:r>
              <w:rPr>
                <w:rFonts w:cs="Arial"/>
                <w:lang w:val="en-GB"/>
              </w:rPr>
              <w:t xml:space="preserve">The group agreed to review the current rules. Administrations are requested to provide written comments. Furthermore, </w:t>
            </w:r>
            <w:r w:rsidRPr="009A0219">
              <w:rPr>
                <w:rFonts w:cs="Arial"/>
                <w:lang w:val="en-GB"/>
              </w:rPr>
              <w:t xml:space="preserve">Com-ITU decided to invite representatives of RIPE NCC, ISOC and ICANN to participate in Com-ITU until </w:t>
            </w:r>
            <w:r>
              <w:rPr>
                <w:rFonts w:cs="Arial"/>
                <w:lang w:val="en-GB"/>
              </w:rPr>
              <w:t>November 2014</w:t>
            </w:r>
            <w:r w:rsidRPr="009A0219">
              <w:rPr>
                <w:rFonts w:cs="Arial"/>
                <w:lang w:val="en-GB"/>
              </w:rPr>
              <w:t xml:space="preserve"> </w:t>
            </w:r>
            <w:r w:rsidR="00C541B4">
              <w:rPr>
                <w:rFonts w:cs="Arial"/>
                <w:lang w:val="en-GB"/>
              </w:rPr>
              <w:t xml:space="preserve">(PP-14) </w:t>
            </w:r>
            <w:r w:rsidRPr="009A0219">
              <w:rPr>
                <w:rFonts w:cs="Arial"/>
                <w:lang w:val="en-GB"/>
              </w:rPr>
              <w:t>when considering Internet-related issues and other issues of common interest. Com-ITU will then evaluate the participation by RIPE, ISOC and ICANN and, after consultation with the three organizations, decide on the</w:t>
            </w:r>
            <w:r>
              <w:rPr>
                <w:rFonts w:cs="Arial"/>
                <w:lang w:val="en-GB"/>
              </w:rPr>
              <w:t>ir</w:t>
            </w:r>
            <w:r w:rsidRPr="009A0219">
              <w:rPr>
                <w:rFonts w:cs="Arial"/>
                <w:lang w:val="en-GB"/>
              </w:rPr>
              <w:t xml:space="preserve"> future participation in Com-ITU.</w:t>
            </w:r>
            <w:r>
              <w:rPr>
                <w:rFonts w:cs="Arial"/>
                <w:lang w:val="en-GB"/>
              </w:rPr>
              <w:t xml:space="preserve"> Com-ITU Chairman was requested to consult the invitation letter with administrations.</w:t>
            </w:r>
          </w:p>
          <w:p w:rsidR="009A0219" w:rsidRPr="009A0219" w:rsidRDefault="009A0219" w:rsidP="009A0219">
            <w:pPr>
              <w:spacing w:before="0"/>
              <w:rPr>
                <w:rFonts w:cs="Arial"/>
                <w:lang w:val="en-GB"/>
              </w:rPr>
            </w:pPr>
          </w:p>
          <w:p w:rsidR="009A0219" w:rsidRPr="009A0219" w:rsidRDefault="009A0219" w:rsidP="009A0219">
            <w:pPr>
              <w:spacing w:before="0"/>
              <w:rPr>
                <w:rFonts w:cs="Arial"/>
                <w:lang w:val="en-GB"/>
              </w:rPr>
            </w:pPr>
            <w:r>
              <w:rPr>
                <w:rFonts w:cs="Arial"/>
                <w:lang w:val="en-GB"/>
              </w:rPr>
              <w:t xml:space="preserve">The question of other organizations and their possible invitation to Com-ITU was postponed until </w:t>
            </w:r>
            <w:r w:rsidRPr="009A0219">
              <w:rPr>
                <w:rFonts w:cs="Arial"/>
                <w:lang w:val="en-GB"/>
              </w:rPr>
              <w:t xml:space="preserve">Rules for the participation of observers to the meetings of </w:t>
            </w:r>
          </w:p>
          <w:p w:rsidR="00BE7E8C" w:rsidRDefault="009A0219" w:rsidP="009A0219">
            <w:pPr>
              <w:spacing w:before="0"/>
              <w:rPr>
                <w:rFonts w:cs="Arial"/>
                <w:lang w:val="en-GB"/>
              </w:rPr>
            </w:pPr>
            <w:r w:rsidRPr="009A0219">
              <w:rPr>
                <w:rFonts w:cs="Arial"/>
                <w:lang w:val="en-GB"/>
              </w:rPr>
              <w:t>Com-ITU and its project teams and correspondence group</w:t>
            </w:r>
            <w:r>
              <w:rPr>
                <w:rFonts w:cs="Arial"/>
                <w:lang w:val="en-GB"/>
              </w:rPr>
              <w:t>s will be completed</w:t>
            </w:r>
            <w:r w:rsidR="00BC197B">
              <w:rPr>
                <w:rFonts w:cs="Arial"/>
                <w:lang w:val="en-GB"/>
              </w:rPr>
              <w:t xml:space="preserve">. </w:t>
            </w:r>
            <w:r w:rsidR="00394BB6">
              <w:rPr>
                <w:rFonts w:cs="Arial"/>
                <w:lang w:val="en-GB"/>
              </w:rPr>
              <w:t xml:space="preserve"> </w:t>
            </w:r>
          </w:p>
          <w:p w:rsidR="00CF7D56" w:rsidRPr="00BE7E8C" w:rsidRDefault="00CF7D56" w:rsidP="00254760">
            <w:pPr>
              <w:spacing w:before="0"/>
              <w:jc w:val="both"/>
              <w:rPr>
                <w:rFonts w:cs="Arial"/>
                <w:lang w:val="en-GB"/>
              </w:rPr>
            </w:pPr>
          </w:p>
        </w:tc>
      </w:tr>
      <w:tr w:rsidR="00CF7D56" w:rsidRPr="00AC5187" w:rsidTr="006208C8">
        <w:tc>
          <w:tcPr>
            <w:tcW w:w="1296" w:type="dxa"/>
          </w:tcPr>
          <w:p w:rsidR="00CF7D56" w:rsidRPr="00E174B9" w:rsidRDefault="00CF7D56" w:rsidP="000212E6">
            <w:pPr>
              <w:tabs>
                <w:tab w:val="left" w:pos="794"/>
                <w:tab w:val="left" w:pos="1191"/>
                <w:tab w:val="left" w:pos="1588"/>
                <w:tab w:val="left" w:pos="1985"/>
              </w:tabs>
              <w:overflowPunct w:val="0"/>
              <w:autoSpaceDE w:val="0"/>
              <w:autoSpaceDN w:val="0"/>
              <w:adjustRightInd w:val="0"/>
              <w:textAlignment w:val="baseline"/>
              <w:rPr>
                <w:rFonts w:cs="Arial"/>
                <w:lang w:val="en-GB"/>
              </w:rPr>
            </w:pPr>
            <w:r>
              <w:rPr>
                <w:rFonts w:cs="Arial"/>
                <w:lang w:val="en-GB"/>
              </w:rPr>
              <w:t>12</w:t>
            </w:r>
          </w:p>
        </w:tc>
        <w:tc>
          <w:tcPr>
            <w:tcW w:w="8061" w:type="dxa"/>
          </w:tcPr>
          <w:p w:rsidR="00CF7D56" w:rsidRPr="00464C1C" w:rsidRDefault="00CF7D56" w:rsidP="000212E6">
            <w:pPr>
              <w:rPr>
                <w:rFonts w:cs="Arial"/>
                <w:b/>
                <w:lang w:val="en-GB"/>
              </w:rPr>
            </w:pPr>
            <w:r w:rsidRPr="00464C1C">
              <w:rPr>
                <w:rFonts w:cs="Arial"/>
                <w:b/>
                <w:lang w:val="en-GB"/>
              </w:rPr>
              <w:t>AOB</w:t>
            </w:r>
          </w:p>
          <w:p w:rsidR="00CF7D56" w:rsidRDefault="00CF7D56" w:rsidP="000212E6">
            <w:pPr>
              <w:spacing w:before="0"/>
              <w:rPr>
                <w:rFonts w:cs="Arial"/>
                <w:lang w:val="en-GB"/>
              </w:rPr>
            </w:pPr>
          </w:p>
          <w:p w:rsidR="00BC197B" w:rsidRPr="00BC197B" w:rsidRDefault="00CF7D56" w:rsidP="000212E6">
            <w:pPr>
              <w:spacing w:before="0"/>
              <w:rPr>
                <w:rFonts w:cs="Arial"/>
                <w:lang w:val="en-GB"/>
              </w:rPr>
            </w:pPr>
            <w:r w:rsidRPr="00BC197B">
              <w:rPr>
                <w:rFonts w:cs="Arial"/>
                <w:lang w:val="en-GB"/>
              </w:rPr>
              <w:t xml:space="preserve">The time plan for the </w:t>
            </w:r>
            <w:r w:rsidR="00AE4050">
              <w:rPr>
                <w:rFonts w:cs="Arial"/>
                <w:lang w:val="en-GB"/>
              </w:rPr>
              <w:t xml:space="preserve">next </w:t>
            </w:r>
            <w:r w:rsidRPr="00BC197B">
              <w:rPr>
                <w:rFonts w:cs="Arial"/>
                <w:lang w:val="en-GB"/>
              </w:rPr>
              <w:t>year was agreed. The next meeting</w:t>
            </w:r>
            <w:r w:rsidR="00BC197B" w:rsidRPr="00BC197B">
              <w:rPr>
                <w:rFonts w:cs="Arial"/>
                <w:lang w:val="en-GB"/>
              </w:rPr>
              <w:t>s</w:t>
            </w:r>
            <w:r w:rsidRPr="00BC197B">
              <w:rPr>
                <w:rFonts w:cs="Arial"/>
                <w:lang w:val="en-GB"/>
              </w:rPr>
              <w:t xml:space="preserve"> will take place</w:t>
            </w:r>
            <w:r w:rsidR="00BC197B" w:rsidRPr="00BC197B">
              <w:rPr>
                <w:rFonts w:cs="Arial"/>
                <w:lang w:val="en-GB"/>
              </w:rPr>
              <w:t>:</w:t>
            </w:r>
          </w:p>
          <w:p w:rsidR="00BC197B" w:rsidRPr="00BC197B" w:rsidRDefault="00BC197B" w:rsidP="00BC197B">
            <w:pPr>
              <w:pStyle w:val="Akapitzlist"/>
              <w:numPr>
                <w:ilvl w:val="0"/>
                <w:numId w:val="2"/>
              </w:numPr>
              <w:spacing w:before="0"/>
              <w:rPr>
                <w:rFonts w:ascii="Arial" w:hAnsi="Arial" w:cs="Arial"/>
                <w:sz w:val="22"/>
                <w:szCs w:val="22"/>
                <w:lang w:val="en-GB"/>
              </w:rPr>
            </w:pPr>
            <w:r w:rsidRPr="00BC197B">
              <w:rPr>
                <w:rFonts w:ascii="Arial" w:hAnsi="Arial" w:cs="Arial"/>
                <w:sz w:val="22"/>
                <w:szCs w:val="22"/>
                <w:lang w:val="en-GB"/>
              </w:rPr>
              <w:lastRenderedPageBreak/>
              <w:t xml:space="preserve">13-16.01.2014 in Warsaw, Poland, </w:t>
            </w:r>
          </w:p>
          <w:p w:rsidR="00CF7D56" w:rsidRPr="00AE4050" w:rsidRDefault="00BC197B" w:rsidP="00BC197B">
            <w:pPr>
              <w:pStyle w:val="Akapitzlist"/>
              <w:numPr>
                <w:ilvl w:val="0"/>
                <w:numId w:val="2"/>
              </w:numPr>
              <w:spacing w:before="0"/>
              <w:rPr>
                <w:rFonts w:cs="Arial"/>
                <w:lang w:val="en-GB"/>
              </w:rPr>
            </w:pPr>
            <w:r w:rsidRPr="00BC197B">
              <w:rPr>
                <w:rFonts w:ascii="Arial" w:hAnsi="Arial" w:cs="Arial"/>
                <w:sz w:val="22"/>
                <w:szCs w:val="22"/>
                <w:lang w:val="en-GB"/>
              </w:rPr>
              <w:t>10-1</w:t>
            </w:r>
            <w:r>
              <w:rPr>
                <w:rFonts w:ascii="Arial" w:hAnsi="Arial" w:cs="Arial"/>
                <w:sz w:val="22"/>
                <w:szCs w:val="22"/>
                <w:lang w:val="en-GB"/>
              </w:rPr>
              <w:t>3</w:t>
            </w:r>
            <w:r w:rsidRPr="00BC197B">
              <w:rPr>
                <w:rFonts w:ascii="Arial" w:hAnsi="Arial" w:cs="Arial"/>
                <w:sz w:val="22"/>
                <w:szCs w:val="22"/>
                <w:lang w:val="en-GB"/>
              </w:rPr>
              <w:t xml:space="preserve">.03.2014 in </w:t>
            </w:r>
            <w:r w:rsidR="00AE4050">
              <w:rPr>
                <w:rFonts w:ascii="Arial" w:hAnsi="Arial" w:cs="Arial"/>
                <w:sz w:val="22"/>
                <w:szCs w:val="22"/>
                <w:lang w:val="en-GB"/>
              </w:rPr>
              <w:t>Copenhagen, Denmark,</w:t>
            </w:r>
          </w:p>
          <w:p w:rsidR="00AE4050" w:rsidRPr="00816CE1" w:rsidRDefault="00AE4050" w:rsidP="00BC197B">
            <w:pPr>
              <w:pStyle w:val="Akapitzlist"/>
              <w:numPr>
                <w:ilvl w:val="0"/>
                <w:numId w:val="2"/>
              </w:numPr>
              <w:spacing w:before="0"/>
              <w:rPr>
                <w:rFonts w:cs="Arial"/>
                <w:lang w:val="en-GB"/>
              </w:rPr>
            </w:pPr>
            <w:r>
              <w:rPr>
                <w:rFonts w:ascii="Arial" w:hAnsi="Arial" w:cs="Arial"/>
                <w:sz w:val="22"/>
                <w:szCs w:val="22"/>
                <w:lang w:val="en-GB"/>
              </w:rPr>
              <w:t xml:space="preserve">5.05.2014 in Geneva, Switzerland. </w:t>
            </w:r>
          </w:p>
          <w:p w:rsidR="00816CE1" w:rsidRDefault="00816CE1" w:rsidP="00816CE1">
            <w:pPr>
              <w:spacing w:before="0"/>
              <w:rPr>
                <w:rFonts w:cs="Arial"/>
                <w:lang w:val="en-GB"/>
              </w:rPr>
            </w:pPr>
            <w:r>
              <w:rPr>
                <w:rFonts w:cs="Arial"/>
                <w:lang w:val="en-GB"/>
              </w:rPr>
              <w:t>The Serbian administration announced its candidate</w:t>
            </w:r>
            <w:r w:rsidR="003854FF">
              <w:rPr>
                <w:rFonts w:cs="Arial"/>
                <w:lang w:val="en-GB"/>
              </w:rPr>
              <w:t xml:space="preserve">, </w:t>
            </w:r>
            <w:r w:rsidR="003854FF" w:rsidRPr="003854FF">
              <w:rPr>
                <w:rFonts w:cs="Arial"/>
                <w:lang w:val="en-GB"/>
              </w:rPr>
              <w:t xml:space="preserve">Mr. Momcilo </w:t>
            </w:r>
            <w:r w:rsidR="003854FF">
              <w:rPr>
                <w:rFonts w:cs="Arial"/>
                <w:lang w:val="en-GB"/>
              </w:rPr>
              <w:t>SIMIC</w:t>
            </w:r>
            <w:r>
              <w:rPr>
                <w:rFonts w:cs="Arial"/>
                <w:lang w:val="en-GB"/>
              </w:rPr>
              <w:t xml:space="preserve"> for the</w:t>
            </w:r>
            <w:r w:rsidR="003854FF">
              <w:rPr>
                <w:rFonts w:cs="Arial"/>
                <w:lang w:val="en-GB"/>
              </w:rPr>
              <w:t xml:space="preserve"> position in</w:t>
            </w:r>
            <w:r>
              <w:rPr>
                <w:rFonts w:cs="Arial"/>
                <w:lang w:val="en-GB"/>
              </w:rPr>
              <w:t xml:space="preserve"> R</w:t>
            </w:r>
            <w:r w:rsidR="003854FF">
              <w:rPr>
                <w:rFonts w:cs="Arial"/>
                <w:lang w:val="en-GB"/>
              </w:rPr>
              <w:t xml:space="preserve">adio </w:t>
            </w:r>
            <w:r>
              <w:rPr>
                <w:rFonts w:cs="Arial"/>
                <w:lang w:val="en-GB"/>
              </w:rPr>
              <w:t>R</w:t>
            </w:r>
            <w:r w:rsidR="003854FF">
              <w:rPr>
                <w:rFonts w:cs="Arial"/>
                <w:lang w:val="en-GB"/>
              </w:rPr>
              <w:t xml:space="preserve">egulation </w:t>
            </w:r>
            <w:r>
              <w:rPr>
                <w:rFonts w:cs="Arial"/>
                <w:lang w:val="en-GB"/>
              </w:rPr>
              <w:t>B</w:t>
            </w:r>
            <w:r w:rsidR="003854FF">
              <w:rPr>
                <w:rFonts w:cs="Arial"/>
                <w:lang w:val="en-GB"/>
              </w:rPr>
              <w:t>oard (RRB).</w:t>
            </w:r>
          </w:p>
          <w:p w:rsidR="003854FF" w:rsidRDefault="003854FF" w:rsidP="00816CE1">
            <w:pPr>
              <w:spacing w:before="0"/>
              <w:rPr>
                <w:rFonts w:cs="Arial"/>
                <w:lang w:val="en-GB"/>
              </w:rPr>
            </w:pPr>
          </w:p>
          <w:p w:rsidR="00816CE1" w:rsidRDefault="00816CE1" w:rsidP="00816CE1">
            <w:pPr>
              <w:spacing w:before="0"/>
              <w:rPr>
                <w:rFonts w:cs="Arial"/>
                <w:lang w:val="en-GB"/>
              </w:rPr>
            </w:pPr>
            <w:r>
              <w:rPr>
                <w:rFonts w:cs="Arial"/>
                <w:lang w:val="en-GB"/>
              </w:rPr>
              <w:t xml:space="preserve">The Turkish administration announced its candidate, Mr </w:t>
            </w:r>
            <w:r w:rsidRPr="00816CE1">
              <w:rPr>
                <w:rFonts w:cs="Arial"/>
                <w:lang w:val="en-GB"/>
              </w:rPr>
              <w:t>Ahmet Erdinç ÇAVUŞOĞLU</w:t>
            </w:r>
            <w:r>
              <w:rPr>
                <w:rFonts w:cs="Arial"/>
                <w:lang w:val="en-GB"/>
              </w:rPr>
              <w:t xml:space="preserve"> for the position of </w:t>
            </w:r>
            <w:r w:rsidRPr="00816CE1">
              <w:rPr>
                <w:rFonts w:cs="Arial"/>
                <w:lang w:val="en-GB"/>
              </w:rPr>
              <w:t>Director of the Telecommunication Standardization Bureau (TSB)</w:t>
            </w:r>
            <w:r>
              <w:rPr>
                <w:rFonts w:cs="Arial"/>
                <w:lang w:val="en-GB"/>
              </w:rPr>
              <w:t>.</w:t>
            </w:r>
          </w:p>
          <w:p w:rsidR="003A1775" w:rsidRDefault="003A1775" w:rsidP="00816CE1">
            <w:pPr>
              <w:spacing w:before="0"/>
              <w:rPr>
                <w:rFonts w:cs="Arial"/>
                <w:lang w:val="en-GB"/>
              </w:rPr>
            </w:pPr>
          </w:p>
          <w:p w:rsidR="00CB4BB5" w:rsidRDefault="00CB4BB5" w:rsidP="003A1775">
            <w:pPr>
              <w:spacing w:before="0"/>
              <w:rPr>
                <w:rFonts w:cs="Arial"/>
                <w:lang w:val="en-GB"/>
              </w:rPr>
            </w:pPr>
            <w:r>
              <w:rPr>
                <w:rFonts w:cs="Arial"/>
                <w:lang w:val="en-GB"/>
              </w:rPr>
              <w:t>Member States are encouraged to participate in the following public consultations:</w:t>
            </w:r>
          </w:p>
          <w:p w:rsidR="00CB4BB5" w:rsidRDefault="00CB4BB5" w:rsidP="00CB4BB5">
            <w:pPr>
              <w:pStyle w:val="Akapitzlist"/>
              <w:numPr>
                <w:ilvl w:val="0"/>
                <w:numId w:val="9"/>
              </w:numPr>
              <w:spacing w:before="0"/>
              <w:rPr>
                <w:rFonts w:ascii="Arial" w:hAnsi="Arial" w:cs="Arial"/>
                <w:sz w:val="22"/>
                <w:szCs w:val="22"/>
                <w:lang w:val="en-GB"/>
              </w:rPr>
            </w:pPr>
            <w:r w:rsidRPr="00CB4BB5">
              <w:rPr>
                <w:rFonts w:ascii="Arial" w:hAnsi="Arial" w:cs="Arial"/>
                <w:sz w:val="22"/>
                <w:szCs w:val="22"/>
                <w:lang w:val="en-GB"/>
              </w:rPr>
              <w:t>ITU &amp; UNICEF consultation on Guidelines for Industry on Child Online Protection</w:t>
            </w:r>
            <w:r w:rsidRPr="00CB4BB5">
              <w:rPr>
                <w:rFonts w:ascii="Arial" w:hAnsi="Arial" w:cs="Arial"/>
                <w:sz w:val="22"/>
                <w:szCs w:val="22"/>
                <w:lang w:val="en-GB"/>
              </w:rPr>
              <w:t xml:space="preserve"> </w:t>
            </w:r>
            <w:hyperlink r:id="rId8" w:history="1">
              <w:r w:rsidRPr="00CB4BB5">
                <w:rPr>
                  <w:rStyle w:val="Hipercze"/>
                  <w:rFonts w:ascii="Arial" w:hAnsi="Arial" w:cs="Arial"/>
                  <w:sz w:val="22"/>
                  <w:szCs w:val="22"/>
                  <w:lang w:val="en-GB"/>
                </w:rPr>
                <w:t>http://www.business-humanrights.org/Documents/itu-unicef-ict-guidelines-consultation</w:t>
              </w:r>
            </w:hyperlink>
            <w:r w:rsidRPr="00CB4BB5">
              <w:rPr>
                <w:rFonts w:ascii="Arial" w:hAnsi="Arial" w:cs="Arial"/>
                <w:sz w:val="22"/>
                <w:szCs w:val="22"/>
                <w:lang w:val="en-GB"/>
              </w:rPr>
              <w:t xml:space="preserve"> , deadline: 20.12.2013 </w:t>
            </w:r>
          </w:p>
          <w:p w:rsidR="00CB4BB5" w:rsidRPr="00CB4BB5" w:rsidRDefault="00CB4BB5" w:rsidP="00CB4BB5">
            <w:pPr>
              <w:pStyle w:val="Akapitzlist"/>
              <w:spacing w:before="0"/>
              <w:ind w:left="720"/>
              <w:rPr>
                <w:rFonts w:ascii="Arial" w:hAnsi="Arial" w:cs="Arial"/>
                <w:sz w:val="22"/>
                <w:szCs w:val="22"/>
                <w:lang w:val="en-GB"/>
              </w:rPr>
            </w:pPr>
          </w:p>
          <w:p w:rsidR="003A1775" w:rsidRPr="00CB4BB5" w:rsidRDefault="00CB4BB5" w:rsidP="003A1775">
            <w:pPr>
              <w:pStyle w:val="Akapitzlist"/>
              <w:numPr>
                <w:ilvl w:val="0"/>
                <w:numId w:val="9"/>
              </w:numPr>
              <w:spacing w:before="0"/>
              <w:rPr>
                <w:rFonts w:ascii="Arial" w:hAnsi="Arial" w:cs="Arial"/>
                <w:sz w:val="22"/>
                <w:szCs w:val="22"/>
                <w:lang w:val="en-GB"/>
              </w:rPr>
            </w:pPr>
            <w:r w:rsidRPr="00CB4BB5">
              <w:rPr>
                <w:rFonts w:ascii="Arial" w:hAnsi="Arial" w:cs="Arial"/>
                <w:sz w:val="22"/>
                <w:szCs w:val="22"/>
                <w:lang w:val="en-GB"/>
              </w:rPr>
              <w:t xml:space="preserve">Development of a Global Cybersecurity Index (GCI), </w:t>
            </w:r>
            <w:hyperlink r:id="rId9" w:history="1">
              <w:r w:rsidRPr="00CB4BB5">
                <w:rPr>
                  <w:rStyle w:val="Hipercze"/>
                  <w:rFonts w:ascii="Arial" w:hAnsi="Arial" w:cs="Arial"/>
                  <w:sz w:val="22"/>
                  <w:szCs w:val="22"/>
                  <w:lang w:val="en-GB"/>
                </w:rPr>
                <w:t>http://www.itu.int/en/ITU-D/Cybersecurity/Pages/GCI.aspx</w:t>
              </w:r>
            </w:hyperlink>
            <w:r w:rsidRPr="00CB4BB5">
              <w:rPr>
                <w:rFonts w:ascii="Arial" w:hAnsi="Arial" w:cs="Arial"/>
                <w:sz w:val="22"/>
                <w:szCs w:val="22"/>
                <w:lang w:val="en-GB"/>
              </w:rPr>
              <w:t xml:space="preserve"> </w:t>
            </w:r>
            <w:r w:rsidRPr="00CB4BB5">
              <w:rPr>
                <w:rFonts w:ascii="Arial" w:hAnsi="Arial" w:cs="Arial"/>
                <w:sz w:val="22"/>
                <w:szCs w:val="22"/>
                <w:lang w:val="en-GB"/>
              </w:rPr>
              <w:t xml:space="preserve">, deadline: </w:t>
            </w:r>
            <w:r w:rsidRPr="00CB4BB5">
              <w:rPr>
                <w:rFonts w:ascii="Arial" w:hAnsi="Arial" w:cs="Arial"/>
                <w:sz w:val="22"/>
                <w:szCs w:val="22"/>
                <w:lang w:val="en-GB"/>
              </w:rPr>
              <w:t>31</w:t>
            </w:r>
            <w:r w:rsidRPr="00CB4BB5">
              <w:rPr>
                <w:rFonts w:ascii="Arial" w:hAnsi="Arial" w:cs="Arial"/>
                <w:sz w:val="22"/>
                <w:szCs w:val="22"/>
                <w:lang w:val="en-GB"/>
              </w:rPr>
              <w:t xml:space="preserve">.12.2013  </w:t>
            </w:r>
          </w:p>
          <w:p w:rsidR="003A1775" w:rsidRDefault="003A1775" w:rsidP="003A1775">
            <w:pPr>
              <w:spacing w:before="0"/>
              <w:rPr>
                <w:rFonts w:cs="Arial"/>
                <w:lang w:val="en-GB"/>
              </w:rPr>
            </w:pPr>
          </w:p>
          <w:p w:rsidR="00816CE1" w:rsidRPr="00816CE1" w:rsidRDefault="00816CE1" w:rsidP="00816CE1">
            <w:pPr>
              <w:spacing w:before="0"/>
              <w:rPr>
                <w:rFonts w:cs="Arial"/>
                <w:lang w:val="en-GB"/>
              </w:rPr>
            </w:pPr>
            <w:r w:rsidRPr="00816CE1">
              <w:rPr>
                <w:rFonts w:cs="Arial"/>
                <w:lang w:val="en-GB"/>
              </w:rPr>
              <w:tab/>
            </w:r>
          </w:p>
        </w:tc>
      </w:tr>
    </w:tbl>
    <w:p w:rsidR="00CF7D56" w:rsidRDefault="00CF7D56" w:rsidP="00CF7D56">
      <w:pPr>
        <w:pStyle w:val="Akapitzlist"/>
        <w:spacing w:before="0" w:beforeAutospacing="0" w:after="0" w:afterAutospacing="0"/>
        <w:ind w:left="720" w:hanging="360"/>
        <w:jc w:val="center"/>
        <w:rPr>
          <w:lang w:val="en-US"/>
        </w:rPr>
      </w:pPr>
    </w:p>
    <w:p w:rsidR="00C67CE1" w:rsidRPr="00CF7D56" w:rsidRDefault="00C67CE1" w:rsidP="00CF7D56">
      <w:pPr>
        <w:rPr>
          <w:lang w:val="en-US"/>
        </w:rPr>
      </w:pPr>
    </w:p>
    <w:sectPr w:rsidR="00C67CE1" w:rsidRPr="00CF7D56" w:rsidSect="000212E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91" w:rsidRDefault="003D7391" w:rsidP="00394BB6">
      <w:pPr>
        <w:spacing w:before="0"/>
      </w:pPr>
      <w:r>
        <w:separator/>
      </w:r>
    </w:p>
  </w:endnote>
  <w:endnote w:type="continuationSeparator" w:id="0">
    <w:p w:rsidR="003D7391" w:rsidRDefault="003D7391" w:rsidP="00394B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374742"/>
      <w:docPartObj>
        <w:docPartGallery w:val="Page Numbers (Bottom of Page)"/>
        <w:docPartUnique/>
      </w:docPartObj>
    </w:sdtPr>
    <w:sdtEndPr/>
    <w:sdtContent>
      <w:p w:rsidR="007047F6" w:rsidRDefault="003D7391">
        <w:pPr>
          <w:pStyle w:val="Stopka"/>
          <w:jc w:val="right"/>
        </w:pPr>
        <w:r>
          <w:fldChar w:fldCharType="begin"/>
        </w:r>
        <w:r>
          <w:instrText>PAGE   \* MERGEFORMAT</w:instrText>
        </w:r>
        <w:r>
          <w:fldChar w:fldCharType="separate"/>
        </w:r>
        <w:r w:rsidR="00CB4BB5" w:rsidRPr="00CB4BB5">
          <w:rPr>
            <w:noProof/>
            <w:lang w:val="pl-PL"/>
          </w:rPr>
          <w:t>2</w:t>
        </w:r>
        <w:r>
          <w:rPr>
            <w:noProof/>
            <w:lang w:val="pl-PL"/>
          </w:rPr>
          <w:fldChar w:fldCharType="end"/>
        </w:r>
      </w:p>
    </w:sdtContent>
  </w:sdt>
  <w:p w:rsidR="007047F6" w:rsidRDefault="007047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91" w:rsidRDefault="003D7391" w:rsidP="00394BB6">
      <w:pPr>
        <w:spacing w:before="0"/>
      </w:pPr>
      <w:r>
        <w:separator/>
      </w:r>
    </w:p>
  </w:footnote>
  <w:footnote w:type="continuationSeparator" w:id="0">
    <w:p w:rsidR="003D7391" w:rsidRDefault="003D7391" w:rsidP="00394BB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1F00"/>
    <w:multiLevelType w:val="hybridMultilevel"/>
    <w:tmpl w:val="ACF0FB80"/>
    <w:lvl w:ilvl="0" w:tplc="F04C5C1A">
      <w:start w:val="13"/>
      <w:numFmt w:val="bullet"/>
      <w:lvlText w:val="-"/>
      <w:lvlJc w:val="left"/>
      <w:pPr>
        <w:ind w:left="720" w:hanging="360"/>
      </w:pPr>
      <w:rPr>
        <w:rFonts w:ascii="Arial" w:eastAsia="SimSu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7A7851"/>
    <w:multiLevelType w:val="hybridMultilevel"/>
    <w:tmpl w:val="FA7AC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5464C8"/>
    <w:multiLevelType w:val="hybridMultilevel"/>
    <w:tmpl w:val="1DB8673C"/>
    <w:lvl w:ilvl="0" w:tplc="6FB044E8">
      <w:start w:val="3"/>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CB1038"/>
    <w:multiLevelType w:val="hybridMultilevel"/>
    <w:tmpl w:val="4EC2EF6C"/>
    <w:lvl w:ilvl="0" w:tplc="5CDCE5AA">
      <w:start w:val="13"/>
      <w:numFmt w:val="bullet"/>
      <w:lvlText w:val="-"/>
      <w:lvlJc w:val="left"/>
      <w:pPr>
        <w:ind w:left="720" w:hanging="360"/>
      </w:pPr>
      <w:rPr>
        <w:rFonts w:ascii="Arial" w:eastAsia="SimSu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8C19B8"/>
    <w:multiLevelType w:val="hybridMultilevel"/>
    <w:tmpl w:val="B47A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C64203"/>
    <w:multiLevelType w:val="hybridMultilevel"/>
    <w:tmpl w:val="DD802A02"/>
    <w:lvl w:ilvl="0" w:tplc="6B58AE4A">
      <w:start w:val="13"/>
      <w:numFmt w:val="bullet"/>
      <w:lvlText w:val="-"/>
      <w:lvlJc w:val="left"/>
      <w:pPr>
        <w:ind w:left="720" w:hanging="360"/>
      </w:pPr>
      <w:rPr>
        <w:rFonts w:ascii="Arial" w:eastAsia="SimSu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987376F"/>
    <w:multiLevelType w:val="hybridMultilevel"/>
    <w:tmpl w:val="2EA28754"/>
    <w:lvl w:ilvl="0" w:tplc="6FB044E8">
      <w:start w:val="3"/>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F15852"/>
    <w:multiLevelType w:val="hybridMultilevel"/>
    <w:tmpl w:val="0E7E779C"/>
    <w:lvl w:ilvl="0" w:tplc="E0F46EC6">
      <w:numFmt w:val="bullet"/>
      <w:lvlText w:val="-"/>
      <w:lvlJc w:val="left"/>
      <w:pPr>
        <w:ind w:left="1050" w:hanging="690"/>
      </w:pPr>
      <w:rPr>
        <w:rFonts w:ascii="Arial" w:eastAsia="SimSu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555A1D"/>
    <w:multiLevelType w:val="hybridMultilevel"/>
    <w:tmpl w:val="B9D6BD36"/>
    <w:lvl w:ilvl="0" w:tplc="41B2DA4A">
      <w:start w:val="13"/>
      <w:numFmt w:val="bullet"/>
      <w:lvlText w:val="-"/>
      <w:lvlJc w:val="left"/>
      <w:pPr>
        <w:ind w:left="720" w:hanging="360"/>
      </w:pPr>
      <w:rPr>
        <w:rFonts w:ascii="Arial" w:eastAsia="SimSu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B"/>
    <w:rsid w:val="000212E6"/>
    <w:rsid w:val="00061EF5"/>
    <w:rsid w:val="000932D2"/>
    <w:rsid w:val="000F7AC6"/>
    <w:rsid w:val="0010281E"/>
    <w:rsid w:val="00172FE5"/>
    <w:rsid w:val="00213ECC"/>
    <w:rsid w:val="002500FE"/>
    <w:rsid w:val="00254760"/>
    <w:rsid w:val="002975D5"/>
    <w:rsid w:val="002E6324"/>
    <w:rsid w:val="00385251"/>
    <w:rsid w:val="003854FF"/>
    <w:rsid w:val="00394BB6"/>
    <w:rsid w:val="003A1775"/>
    <w:rsid w:val="003B7789"/>
    <w:rsid w:val="003D7391"/>
    <w:rsid w:val="00464C00"/>
    <w:rsid w:val="004B5660"/>
    <w:rsid w:val="004F2DCC"/>
    <w:rsid w:val="00587C4E"/>
    <w:rsid w:val="005C19EA"/>
    <w:rsid w:val="005C4B02"/>
    <w:rsid w:val="006208C8"/>
    <w:rsid w:val="006A67DF"/>
    <w:rsid w:val="006E33CF"/>
    <w:rsid w:val="007047F6"/>
    <w:rsid w:val="007C78FC"/>
    <w:rsid w:val="00815AC6"/>
    <w:rsid w:val="00816CE1"/>
    <w:rsid w:val="00887186"/>
    <w:rsid w:val="00911E2F"/>
    <w:rsid w:val="009A0219"/>
    <w:rsid w:val="009E0A19"/>
    <w:rsid w:val="00A4453A"/>
    <w:rsid w:val="00A9493C"/>
    <w:rsid w:val="00AB6EF8"/>
    <w:rsid w:val="00AE4050"/>
    <w:rsid w:val="00B33DD5"/>
    <w:rsid w:val="00B905F6"/>
    <w:rsid w:val="00BC035A"/>
    <w:rsid w:val="00BC197B"/>
    <w:rsid w:val="00BE08AD"/>
    <w:rsid w:val="00BE7E8C"/>
    <w:rsid w:val="00C541B4"/>
    <w:rsid w:val="00C67CE1"/>
    <w:rsid w:val="00CB4BB5"/>
    <w:rsid w:val="00CF7D56"/>
    <w:rsid w:val="00D066D0"/>
    <w:rsid w:val="00D631E8"/>
    <w:rsid w:val="00E25A87"/>
    <w:rsid w:val="00E930BA"/>
    <w:rsid w:val="00F35219"/>
    <w:rsid w:val="00F76D2B"/>
    <w:rsid w:val="00F95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FFA50-9967-47D5-8074-2AAC3C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D56"/>
    <w:pPr>
      <w:spacing w:before="120" w:after="0" w:line="240" w:lineRule="auto"/>
    </w:pPr>
    <w:rPr>
      <w:rFonts w:ascii="Arial" w:eastAsia="SimSun" w:hAnsi="Arial" w:cs="Times New Roman"/>
      <w:lang w:val="pt-PT"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D56"/>
    <w:pPr>
      <w:spacing w:before="100" w:beforeAutospacing="1" w:after="100" w:afterAutospacing="1"/>
    </w:pPr>
    <w:rPr>
      <w:rFonts w:ascii="Times New Roman" w:hAnsi="Times New Roman"/>
      <w:sz w:val="24"/>
      <w:szCs w:val="24"/>
    </w:rPr>
  </w:style>
  <w:style w:type="paragraph" w:customStyle="1" w:styleId="Header1">
    <w:name w:val="Header1"/>
    <w:basedOn w:val="Nagwek"/>
    <w:rsid w:val="00CF7D56"/>
    <w:rPr>
      <w:rFonts w:eastAsia="Times New Roman"/>
      <w:b/>
      <w:sz w:val="20"/>
      <w:szCs w:val="20"/>
      <w:lang w:val="nb-NO" w:eastAsia="de-DE"/>
    </w:rPr>
  </w:style>
  <w:style w:type="paragraph" w:styleId="Tytu">
    <w:name w:val="Title"/>
    <w:basedOn w:val="Normalny"/>
    <w:link w:val="TytuZnak"/>
    <w:qFormat/>
    <w:rsid w:val="00CF7D56"/>
    <w:pPr>
      <w:spacing w:before="0" w:after="120"/>
      <w:jc w:val="center"/>
    </w:pPr>
    <w:rPr>
      <w:rFonts w:eastAsia="Times New Roman"/>
      <w:b/>
      <w:sz w:val="28"/>
      <w:szCs w:val="20"/>
      <w:lang w:val="de-DE" w:eastAsia="de-DE"/>
    </w:rPr>
  </w:style>
  <w:style w:type="character" w:customStyle="1" w:styleId="TytuZnak">
    <w:name w:val="Tytuł Znak"/>
    <w:basedOn w:val="Domylnaczcionkaakapitu"/>
    <w:link w:val="Tytu"/>
    <w:rsid w:val="00CF7D56"/>
    <w:rPr>
      <w:rFonts w:ascii="Arial" w:eastAsia="Times New Roman" w:hAnsi="Arial" w:cs="Times New Roman"/>
      <w:b/>
      <w:sz w:val="28"/>
      <w:szCs w:val="20"/>
      <w:lang w:val="de-DE" w:eastAsia="de-DE"/>
    </w:rPr>
  </w:style>
  <w:style w:type="paragraph" w:styleId="Nagwek">
    <w:name w:val="header"/>
    <w:basedOn w:val="Normalny"/>
    <w:link w:val="NagwekZnak"/>
    <w:uiPriority w:val="99"/>
    <w:unhideWhenUsed/>
    <w:rsid w:val="00CF7D56"/>
    <w:pPr>
      <w:tabs>
        <w:tab w:val="center" w:pos="4536"/>
        <w:tab w:val="right" w:pos="9072"/>
      </w:tabs>
      <w:spacing w:before="0"/>
    </w:pPr>
  </w:style>
  <w:style w:type="character" w:customStyle="1" w:styleId="NagwekZnak">
    <w:name w:val="Nagłówek Znak"/>
    <w:basedOn w:val="Domylnaczcionkaakapitu"/>
    <w:link w:val="Nagwek"/>
    <w:uiPriority w:val="99"/>
    <w:rsid w:val="00CF7D56"/>
    <w:rPr>
      <w:rFonts w:ascii="Arial" w:eastAsia="SimSun" w:hAnsi="Arial" w:cs="Times New Roman"/>
      <w:lang w:val="pt-PT" w:eastAsia="zh-CN"/>
    </w:rPr>
  </w:style>
  <w:style w:type="paragraph" w:styleId="Tekstdymka">
    <w:name w:val="Balloon Text"/>
    <w:basedOn w:val="Normalny"/>
    <w:link w:val="TekstdymkaZnak"/>
    <w:uiPriority w:val="99"/>
    <w:semiHidden/>
    <w:unhideWhenUsed/>
    <w:rsid w:val="0010281E"/>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81E"/>
    <w:rPr>
      <w:rFonts w:ascii="Tahoma" w:eastAsia="SimSun" w:hAnsi="Tahoma" w:cs="Tahoma"/>
      <w:sz w:val="16"/>
      <w:szCs w:val="16"/>
      <w:lang w:val="pt-PT" w:eastAsia="zh-CN"/>
    </w:rPr>
  </w:style>
  <w:style w:type="character" w:styleId="Hipercze">
    <w:name w:val="Hyperlink"/>
    <w:basedOn w:val="Domylnaczcionkaakapitu"/>
    <w:uiPriority w:val="99"/>
    <w:unhideWhenUsed/>
    <w:rsid w:val="009E0A19"/>
    <w:rPr>
      <w:color w:val="0563C1" w:themeColor="hyperlink"/>
      <w:u w:val="single"/>
    </w:rPr>
  </w:style>
  <w:style w:type="paragraph" w:styleId="Stopka">
    <w:name w:val="footer"/>
    <w:basedOn w:val="Normalny"/>
    <w:link w:val="StopkaZnak"/>
    <w:uiPriority w:val="99"/>
    <w:unhideWhenUsed/>
    <w:rsid w:val="00394BB6"/>
    <w:pPr>
      <w:tabs>
        <w:tab w:val="center" w:pos="4536"/>
        <w:tab w:val="right" w:pos="9072"/>
      </w:tabs>
      <w:spacing w:before="0"/>
    </w:pPr>
  </w:style>
  <w:style w:type="character" w:customStyle="1" w:styleId="StopkaZnak">
    <w:name w:val="Stopka Znak"/>
    <w:basedOn w:val="Domylnaczcionkaakapitu"/>
    <w:link w:val="Stopka"/>
    <w:uiPriority w:val="99"/>
    <w:rsid w:val="00394BB6"/>
    <w:rPr>
      <w:rFonts w:ascii="Arial" w:eastAsia="SimSun" w:hAnsi="Arial" w:cs="Times New Roman"/>
      <w:lang w:val="pt-PT" w:eastAsia="zh-CN"/>
    </w:rPr>
  </w:style>
  <w:style w:type="character" w:styleId="Uwydatnienie">
    <w:name w:val="Emphasis"/>
    <w:basedOn w:val="Domylnaczcionkaakapitu"/>
    <w:uiPriority w:val="20"/>
    <w:qFormat/>
    <w:rsid w:val="00394BB6"/>
    <w:rPr>
      <w:i/>
      <w:iCs/>
    </w:rPr>
  </w:style>
  <w:style w:type="character" w:styleId="Odwoaniedokomentarza">
    <w:name w:val="annotation reference"/>
    <w:basedOn w:val="Domylnaczcionkaakapitu"/>
    <w:uiPriority w:val="99"/>
    <w:semiHidden/>
    <w:unhideWhenUsed/>
    <w:rsid w:val="00A4453A"/>
    <w:rPr>
      <w:sz w:val="16"/>
      <w:szCs w:val="16"/>
    </w:rPr>
  </w:style>
  <w:style w:type="paragraph" w:styleId="Tekstkomentarza">
    <w:name w:val="annotation text"/>
    <w:basedOn w:val="Normalny"/>
    <w:link w:val="TekstkomentarzaZnak"/>
    <w:uiPriority w:val="99"/>
    <w:semiHidden/>
    <w:unhideWhenUsed/>
    <w:rsid w:val="00A4453A"/>
    <w:rPr>
      <w:sz w:val="20"/>
      <w:szCs w:val="20"/>
    </w:rPr>
  </w:style>
  <w:style w:type="character" w:customStyle="1" w:styleId="TekstkomentarzaZnak">
    <w:name w:val="Tekst komentarza Znak"/>
    <w:basedOn w:val="Domylnaczcionkaakapitu"/>
    <w:link w:val="Tekstkomentarza"/>
    <w:uiPriority w:val="99"/>
    <w:semiHidden/>
    <w:rsid w:val="00A4453A"/>
    <w:rPr>
      <w:rFonts w:ascii="Arial" w:eastAsia="SimSun" w:hAnsi="Arial" w:cs="Times New Roman"/>
      <w:sz w:val="20"/>
      <w:szCs w:val="20"/>
      <w:lang w:val="pt-PT" w:eastAsia="zh-CN"/>
    </w:rPr>
  </w:style>
  <w:style w:type="paragraph" w:styleId="Tematkomentarza">
    <w:name w:val="annotation subject"/>
    <w:basedOn w:val="Tekstkomentarza"/>
    <w:next w:val="Tekstkomentarza"/>
    <w:link w:val="TematkomentarzaZnak"/>
    <w:uiPriority w:val="99"/>
    <w:semiHidden/>
    <w:unhideWhenUsed/>
    <w:rsid w:val="00A4453A"/>
    <w:rPr>
      <w:b/>
      <w:bCs/>
    </w:rPr>
  </w:style>
  <w:style w:type="character" w:customStyle="1" w:styleId="TematkomentarzaZnak">
    <w:name w:val="Temat komentarza Znak"/>
    <w:basedOn w:val="TekstkomentarzaZnak"/>
    <w:link w:val="Tematkomentarza"/>
    <w:uiPriority w:val="99"/>
    <w:semiHidden/>
    <w:rsid w:val="00A4453A"/>
    <w:rPr>
      <w:rFonts w:ascii="Arial" w:eastAsia="SimSun" w:hAnsi="Arial" w:cs="Times New Roman"/>
      <w:b/>
      <w:bCs/>
      <w:sz w:val="20"/>
      <w:szCs w:val="20"/>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7282">
      <w:bodyDiv w:val="1"/>
      <w:marLeft w:val="0"/>
      <w:marRight w:val="0"/>
      <w:marTop w:val="0"/>
      <w:marBottom w:val="0"/>
      <w:divBdr>
        <w:top w:val="none" w:sz="0" w:space="0" w:color="auto"/>
        <w:left w:val="none" w:sz="0" w:space="0" w:color="auto"/>
        <w:bottom w:val="none" w:sz="0" w:space="0" w:color="auto"/>
        <w:right w:val="none" w:sz="0" w:space="0" w:color="auto"/>
      </w:divBdr>
    </w:div>
    <w:div w:id="1097139490">
      <w:bodyDiv w:val="1"/>
      <w:marLeft w:val="0"/>
      <w:marRight w:val="0"/>
      <w:marTop w:val="0"/>
      <w:marBottom w:val="0"/>
      <w:divBdr>
        <w:top w:val="none" w:sz="0" w:space="0" w:color="auto"/>
        <w:left w:val="none" w:sz="0" w:space="0" w:color="auto"/>
        <w:bottom w:val="none" w:sz="0" w:space="0" w:color="auto"/>
        <w:right w:val="none" w:sz="0" w:space="0" w:color="auto"/>
      </w:divBdr>
    </w:div>
    <w:div w:id="14833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humanrights.org/Documents/itu-unicef-ict-guidelines-consultatio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en/ITU-D/Cybersecurity/Pages/GC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10799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Krasuski</dc:creator>
  <cp:lastModifiedBy>Marcin Krasuski</cp:lastModifiedBy>
  <cp:revision>2</cp:revision>
  <dcterms:created xsi:type="dcterms:W3CDTF">2013-12-04T13:38:00Z</dcterms:created>
  <dcterms:modified xsi:type="dcterms:W3CDTF">2013-12-04T13:38:00Z</dcterms:modified>
</cp:coreProperties>
</file>