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ED9" w:rsidRPr="001D456E" w:rsidRDefault="00526ABB" w:rsidP="00FA5BA2">
      <w:pPr>
        <w:spacing w:after="0"/>
        <w:ind w:right="92"/>
        <w:jc w:val="right"/>
        <w:rPr>
          <w:rFonts w:ascii="Verdana" w:hAnsi="Verdana"/>
          <w:color w:val="000000"/>
          <w:sz w:val="20"/>
          <w:szCs w:val="20"/>
          <w:lang w:val="en-US" w:eastAsia="fr-FR"/>
        </w:rPr>
      </w:pPr>
      <w:r w:rsidRPr="00117008">
        <w:rPr>
          <w:rFonts w:ascii="Verdana" w:hAnsi="Verdana"/>
          <w:color w:val="000000"/>
          <w:sz w:val="20"/>
          <w:szCs w:val="20"/>
          <w:lang w:val="en-US" w:eastAsia="fr-FR"/>
        </w:rPr>
        <w:t>20</w:t>
      </w:r>
      <w:r w:rsidR="00FA5BA2" w:rsidRPr="00117008">
        <w:rPr>
          <w:rFonts w:ascii="Verdana" w:hAnsi="Verdana"/>
          <w:color w:val="000000"/>
          <w:sz w:val="20"/>
          <w:szCs w:val="20"/>
          <w:lang w:val="en-US" w:eastAsia="fr-FR"/>
        </w:rPr>
        <w:t>.12.12</w:t>
      </w:r>
    </w:p>
    <w:p w:rsidR="001D1ED9" w:rsidRDefault="001D1ED9" w:rsidP="00810F40">
      <w:pPr>
        <w:spacing w:after="0"/>
        <w:ind w:right="92"/>
        <w:jc w:val="center"/>
        <w:rPr>
          <w:rFonts w:ascii="Verdana" w:hAnsi="Verdana"/>
          <w:b/>
          <w:bCs/>
          <w:color w:val="000000"/>
          <w:sz w:val="20"/>
          <w:szCs w:val="20"/>
          <w:lang w:val="en-US" w:eastAsia="fr-FR"/>
        </w:rPr>
      </w:pPr>
    </w:p>
    <w:p w:rsidR="001D456E" w:rsidRDefault="001D456E" w:rsidP="003D705C">
      <w:pPr>
        <w:spacing w:before="35"/>
        <w:ind w:right="92"/>
        <w:jc w:val="center"/>
        <w:rPr>
          <w:rFonts w:ascii="Verdana" w:hAnsi="Verdana"/>
          <w:b/>
          <w:bCs/>
          <w:color w:val="000000"/>
          <w:sz w:val="20"/>
          <w:szCs w:val="20"/>
          <w:u w:val="single"/>
          <w:lang w:val="en-US" w:eastAsia="fr-FR"/>
        </w:rPr>
      </w:pPr>
    </w:p>
    <w:p w:rsidR="00C86721" w:rsidRDefault="00C86721" w:rsidP="003D705C">
      <w:pPr>
        <w:spacing w:before="35"/>
        <w:ind w:right="92"/>
        <w:jc w:val="center"/>
        <w:rPr>
          <w:rFonts w:ascii="Verdana" w:hAnsi="Verdana"/>
          <w:b/>
          <w:bCs/>
          <w:color w:val="000000"/>
          <w:sz w:val="20"/>
          <w:szCs w:val="20"/>
          <w:u w:val="single"/>
          <w:lang w:val="en-US" w:eastAsia="fr-FR"/>
        </w:rPr>
      </w:pPr>
    </w:p>
    <w:p w:rsidR="003D705C" w:rsidRPr="00271959" w:rsidRDefault="00B425A7" w:rsidP="00DC1143">
      <w:pPr>
        <w:spacing w:before="35"/>
        <w:ind w:right="92"/>
        <w:jc w:val="center"/>
        <w:rPr>
          <w:rFonts w:asciiTheme="minorHAnsi" w:hAnsiTheme="minorHAnsi" w:cstheme="minorHAnsi"/>
          <w:b/>
          <w:bCs/>
          <w:color w:val="000000"/>
          <w:sz w:val="28"/>
          <w:szCs w:val="28"/>
          <w:u w:val="single"/>
          <w:lang w:val="en-US" w:eastAsia="fr-FR"/>
        </w:rPr>
      </w:pPr>
      <w:r w:rsidRPr="00271959">
        <w:rPr>
          <w:rFonts w:asciiTheme="minorHAnsi" w:hAnsiTheme="minorHAnsi" w:cstheme="minorHAnsi"/>
          <w:b/>
          <w:bCs/>
          <w:color w:val="000000"/>
          <w:sz w:val="28"/>
          <w:szCs w:val="28"/>
          <w:u w:val="single"/>
          <w:lang w:val="en-US" w:eastAsia="fr-FR"/>
        </w:rPr>
        <w:t xml:space="preserve">Preparation of the </w:t>
      </w:r>
      <w:r w:rsidR="001D456E" w:rsidRPr="00271959">
        <w:rPr>
          <w:rFonts w:asciiTheme="minorHAnsi" w:hAnsiTheme="minorHAnsi" w:cstheme="minorHAnsi"/>
          <w:b/>
          <w:bCs/>
          <w:color w:val="000000"/>
          <w:sz w:val="28"/>
          <w:szCs w:val="28"/>
          <w:u w:val="single"/>
          <w:lang w:val="en-US" w:eastAsia="fr-FR"/>
        </w:rPr>
        <w:t xml:space="preserve">draft </w:t>
      </w:r>
      <w:r w:rsidRPr="00271959">
        <w:rPr>
          <w:rFonts w:asciiTheme="minorHAnsi" w:hAnsiTheme="minorHAnsi" w:cstheme="minorHAnsi"/>
          <w:b/>
          <w:bCs/>
          <w:color w:val="000000"/>
          <w:sz w:val="28"/>
          <w:szCs w:val="28"/>
          <w:u w:val="single"/>
          <w:lang w:val="en-US" w:eastAsia="fr-FR"/>
        </w:rPr>
        <w:t xml:space="preserve">budget </w:t>
      </w:r>
      <w:r w:rsidR="00A409CF" w:rsidRPr="00271959">
        <w:rPr>
          <w:rFonts w:asciiTheme="minorHAnsi" w:hAnsiTheme="minorHAnsi" w:cstheme="minorHAnsi"/>
          <w:b/>
          <w:bCs/>
          <w:color w:val="000000"/>
          <w:sz w:val="28"/>
          <w:szCs w:val="28"/>
          <w:u w:val="single"/>
          <w:lang w:val="en-US" w:eastAsia="fr-FR"/>
        </w:rPr>
        <w:t xml:space="preserve">of the Union </w:t>
      </w:r>
      <w:r w:rsidR="001D456E" w:rsidRPr="00271959">
        <w:rPr>
          <w:rFonts w:asciiTheme="minorHAnsi" w:hAnsiTheme="minorHAnsi" w:cstheme="minorHAnsi"/>
          <w:b/>
          <w:bCs/>
          <w:color w:val="000000"/>
          <w:sz w:val="28"/>
          <w:szCs w:val="28"/>
          <w:u w:val="single"/>
          <w:lang w:val="en-US" w:eastAsia="fr-FR"/>
        </w:rPr>
        <w:t xml:space="preserve">for </w:t>
      </w:r>
      <w:r w:rsidRPr="00271959">
        <w:rPr>
          <w:rFonts w:asciiTheme="minorHAnsi" w:hAnsiTheme="minorHAnsi" w:cstheme="minorHAnsi"/>
          <w:b/>
          <w:bCs/>
          <w:color w:val="000000"/>
          <w:sz w:val="28"/>
          <w:szCs w:val="28"/>
          <w:u w:val="single"/>
          <w:lang w:val="en-US" w:eastAsia="fr-FR"/>
        </w:rPr>
        <w:t>201</w:t>
      </w:r>
      <w:r w:rsidR="001D456E" w:rsidRPr="00271959">
        <w:rPr>
          <w:rFonts w:asciiTheme="minorHAnsi" w:hAnsiTheme="minorHAnsi" w:cstheme="minorHAnsi"/>
          <w:b/>
          <w:bCs/>
          <w:color w:val="000000"/>
          <w:sz w:val="28"/>
          <w:szCs w:val="28"/>
          <w:u w:val="single"/>
          <w:lang w:val="en-US" w:eastAsia="fr-FR"/>
        </w:rPr>
        <w:t>4</w:t>
      </w:r>
      <w:r w:rsidRPr="00271959">
        <w:rPr>
          <w:rFonts w:asciiTheme="minorHAnsi" w:hAnsiTheme="minorHAnsi" w:cstheme="minorHAnsi"/>
          <w:b/>
          <w:bCs/>
          <w:color w:val="000000"/>
          <w:sz w:val="28"/>
          <w:szCs w:val="28"/>
          <w:u w:val="single"/>
          <w:lang w:val="en-US" w:eastAsia="fr-FR"/>
        </w:rPr>
        <w:t>-201</w:t>
      </w:r>
      <w:r w:rsidR="001D456E" w:rsidRPr="00271959">
        <w:rPr>
          <w:rFonts w:asciiTheme="minorHAnsi" w:hAnsiTheme="minorHAnsi" w:cstheme="minorHAnsi"/>
          <w:b/>
          <w:bCs/>
          <w:color w:val="000000"/>
          <w:sz w:val="28"/>
          <w:szCs w:val="28"/>
          <w:u w:val="single"/>
          <w:lang w:val="en-US" w:eastAsia="fr-FR"/>
        </w:rPr>
        <w:t>5</w:t>
      </w:r>
    </w:p>
    <w:p w:rsidR="00271959" w:rsidRDefault="00271959" w:rsidP="00810F40">
      <w:pPr>
        <w:spacing w:after="0"/>
        <w:ind w:right="92"/>
        <w:jc w:val="center"/>
        <w:rPr>
          <w:rFonts w:ascii="Verdana" w:hAnsi="Verdana"/>
          <w:b/>
          <w:bCs/>
          <w:color w:val="000000"/>
          <w:sz w:val="20"/>
          <w:szCs w:val="20"/>
          <w:lang w:val="en-US" w:eastAsia="fr-FR"/>
        </w:rPr>
      </w:pPr>
    </w:p>
    <w:p w:rsidR="00271959" w:rsidRDefault="0090457E" w:rsidP="008F3AFC">
      <w:pPr>
        <w:pStyle w:val="ListParagraph"/>
        <w:numPr>
          <w:ilvl w:val="0"/>
          <w:numId w:val="23"/>
        </w:numPr>
        <w:spacing w:after="120"/>
        <w:ind w:left="284" w:hanging="284"/>
        <w:contextualSpacing w:val="0"/>
        <w:rPr>
          <w:rFonts w:asciiTheme="minorHAnsi" w:hAnsiTheme="minorHAnsi" w:cstheme="minorHAnsi"/>
          <w:u w:val="single"/>
          <w:lang w:val="en-US"/>
        </w:rPr>
      </w:pPr>
      <w:r>
        <w:rPr>
          <w:rFonts w:asciiTheme="minorHAnsi" w:hAnsiTheme="minorHAnsi" w:cstheme="minorHAnsi"/>
          <w:u w:val="single"/>
          <w:lang w:val="en-US"/>
        </w:rPr>
        <w:t xml:space="preserve">Status at </w:t>
      </w:r>
      <w:r w:rsidR="00526ABB" w:rsidRPr="00117008">
        <w:rPr>
          <w:rFonts w:asciiTheme="minorHAnsi" w:hAnsiTheme="minorHAnsi" w:cstheme="minorHAnsi"/>
          <w:u w:val="single"/>
          <w:lang w:val="en-US"/>
        </w:rPr>
        <w:t>20</w:t>
      </w:r>
      <w:r w:rsidR="00FA5BA2" w:rsidRPr="00117008">
        <w:rPr>
          <w:rFonts w:asciiTheme="minorHAnsi" w:hAnsiTheme="minorHAnsi" w:cstheme="minorHAnsi"/>
          <w:u w:val="single"/>
          <w:lang w:val="en-US"/>
        </w:rPr>
        <w:t xml:space="preserve"> December</w:t>
      </w:r>
      <w:r w:rsidR="00FA5BA2">
        <w:rPr>
          <w:rFonts w:asciiTheme="minorHAnsi" w:hAnsiTheme="minorHAnsi" w:cstheme="minorHAnsi"/>
          <w:u w:val="single"/>
          <w:lang w:val="en-US"/>
        </w:rPr>
        <w:t xml:space="preserve"> </w:t>
      </w:r>
      <w:r>
        <w:rPr>
          <w:rFonts w:asciiTheme="minorHAnsi" w:hAnsiTheme="minorHAnsi" w:cstheme="minorHAnsi"/>
          <w:u w:val="single"/>
          <w:lang w:val="en-US"/>
        </w:rPr>
        <w:t>2012</w:t>
      </w:r>
    </w:p>
    <w:p w:rsidR="00271959" w:rsidRPr="009778C9" w:rsidRDefault="001D456E" w:rsidP="008F3AFC">
      <w:pPr>
        <w:pStyle w:val="ListParagraph"/>
        <w:ind w:left="0"/>
        <w:rPr>
          <w:rFonts w:asciiTheme="minorHAnsi" w:hAnsiTheme="minorHAnsi" w:cstheme="minorHAnsi"/>
          <w:lang w:val="en-US"/>
        </w:rPr>
      </w:pPr>
      <w:r w:rsidRPr="009778C9">
        <w:rPr>
          <w:rFonts w:asciiTheme="minorHAnsi" w:hAnsiTheme="minorHAnsi" w:cstheme="minorHAnsi"/>
          <w:lang w:val="en-US"/>
        </w:rPr>
        <w:t>Th</w:t>
      </w:r>
      <w:r w:rsidR="0090457E">
        <w:rPr>
          <w:rFonts w:asciiTheme="minorHAnsi" w:hAnsiTheme="minorHAnsi" w:cstheme="minorHAnsi"/>
          <w:lang w:val="en-US"/>
        </w:rPr>
        <w:t>is</w:t>
      </w:r>
      <w:r w:rsidRPr="009778C9">
        <w:rPr>
          <w:rFonts w:asciiTheme="minorHAnsi" w:hAnsiTheme="minorHAnsi" w:cstheme="minorHAnsi"/>
          <w:lang w:val="en-US"/>
        </w:rPr>
        <w:t xml:space="preserve"> </w:t>
      </w:r>
      <w:r w:rsidR="00037AB3">
        <w:rPr>
          <w:rFonts w:asciiTheme="minorHAnsi" w:hAnsiTheme="minorHAnsi" w:cstheme="minorHAnsi"/>
          <w:lang w:val="en-US"/>
        </w:rPr>
        <w:t>d</w:t>
      </w:r>
      <w:r w:rsidR="00037AB3" w:rsidRPr="009778C9">
        <w:rPr>
          <w:rFonts w:asciiTheme="minorHAnsi" w:hAnsiTheme="minorHAnsi" w:cstheme="minorHAnsi"/>
          <w:lang w:val="en-US"/>
        </w:rPr>
        <w:t>ocument</w:t>
      </w:r>
      <w:r w:rsidRPr="009778C9">
        <w:rPr>
          <w:rFonts w:asciiTheme="minorHAnsi" w:hAnsiTheme="minorHAnsi" w:cstheme="minorHAnsi"/>
          <w:lang w:val="en-US"/>
        </w:rPr>
        <w:t xml:space="preserve"> presents the status of the submissions received from all Sectors and Departments at </w:t>
      </w:r>
      <w:r w:rsidR="00526ABB" w:rsidRPr="00117008">
        <w:rPr>
          <w:rFonts w:asciiTheme="minorHAnsi" w:hAnsiTheme="minorHAnsi" w:cstheme="minorHAnsi"/>
          <w:lang w:val="en-US"/>
        </w:rPr>
        <w:t>20</w:t>
      </w:r>
      <w:r w:rsidR="00FA5BA2" w:rsidRPr="00117008">
        <w:rPr>
          <w:rFonts w:asciiTheme="minorHAnsi" w:hAnsiTheme="minorHAnsi" w:cstheme="minorHAnsi"/>
          <w:lang w:val="en-US"/>
        </w:rPr>
        <w:t xml:space="preserve"> December</w:t>
      </w:r>
      <w:r w:rsidR="00FA5BA2">
        <w:rPr>
          <w:rFonts w:asciiTheme="minorHAnsi" w:hAnsiTheme="minorHAnsi" w:cstheme="minorHAnsi"/>
          <w:lang w:val="en-US"/>
        </w:rPr>
        <w:t xml:space="preserve"> </w:t>
      </w:r>
      <w:r w:rsidRPr="009778C9">
        <w:rPr>
          <w:rFonts w:asciiTheme="minorHAnsi" w:hAnsiTheme="minorHAnsi" w:cstheme="minorHAnsi"/>
          <w:lang w:val="en-US"/>
        </w:rPr>
        <w:t>2012</w:t>
      </w:r>
      <w:r w:rsidR="00271959" w:rsidRPr="009778C9">
        <w:rPr>
          <w:rFonts w:asciiTheme="minorHAnsi" w:hAnsiTheme="minorHAnsi" w:cstheme="minorHAnsi"/>
          <w:lang w:val="en-US"/>
        </w:rPr>
        <w:t xml:space="preserve"> </w:t>
      </w:r>
      <w:r w:rsidR="0090457E">
        <w:rPr>
          <w:rFonts w:asciiTheme="minorHAnsi" w:hAnsiTheme="minorHAnsi" w:cstheme="minorHAnsi"/>
          <w:lang w:val="en-US"/>
        </w:rPr>
        <w:t xml:space="preserve">in </w:t>
      </w:r>
      <w:r w:rsidR="00271959" w:rsidRPr="009778C9">
        <w:rPr>
          <w:rFonts w:asciiTheme="minorHAnsi" w:hAnsiTheme="minorHAnsi" w:cstheme="minorHAnsi"/>
          <w:lang w:val="en-US"/>
        </w:rPr>
        <w:t xml:space="preserve">the preparation of the draft Budget </w:t>
      </w:r>
      <w:r w:rsidR="00F75F9A" w:rsidRPr="009778C9">
        <w:rPr>
          <w:rFonts w:asciiTheme="minorHAnsi" w:hAnsiTheme="minorHAnsi" w:cstheme="minorHAnsi"/>
          <w:lang w:val="en-US"/>
        </w:rPr>
        <w:t xml:space="preserve">of the Union </w:t>
      </w:r>
      <w:r w:rsidR="00271959" w:rsidRPr="009778C9">
        <w:rPr>
          <w:rFonts w:asciiTheme="minorHAnsi" w:hAnsiTheme="minorHAnsi" w:cstheme="minorHAnsi"/>
          <w:lang w:val="en-US"/>
        </w:rPr>
        <w:t>for 2014-2015.</w:t>
      </w:r>
    </w:p>
    <w:p w:rsidR="00526ABB" w:rsidRDefault="00DC1143" w:rsidP="00E03166">
      <w:pPr>
        <w:rPr>
          <w:rFonts w:asciiTheme="minorHAnsi" w:hAnsiTheme="minorHAnsi" w:cstheme="minorHAnsi"/>
          <w:lang w:val="en-US"/>
        </w:rPr>
      </w:pPr>
      <w:r w:rsidRPr="009778C9">
        <w:rPr>
          <w:rFonts w:asciiTheme="minorHAnsi" w:hAnsiTheme="minorHAnsi" w:cstheme="minorHAnsi"/>
          <w:lang w:val="en-US"/>
        </w:rPr>
        <w:t>The d</w:t>
      </w:r>
      <w:r w:rsidR="00D47B0A" w:rsidRPr="009778C9">
        <w:rPr>
          <w:rFonts w:asciiTheme="minorHAnsi" w:hAnsiTheme="minorHAnsi" w:cstheme="minorHAnsi"/>
          <w:lang w:val="en-US"/>
        </w:rPr>
        <w:t xml:space="preserve">raft Budget </w:t>
      </w:r>
      <w:r w:rsidRPr="009778C9">
        <w:rPr>
          <w:rFonts w:asciiTheme="minorHAnsi" w:hAnsiTheme="minorHAnsi" w:cstheme="minorHAnsi"/>
          <w:lang w:val="en-US"/>
        </w:rPr>
        <w:t xml:space="preserve">for </w:t>
      </w:r>
      <w:r w:rsidR="00D47B0A" w:rsidRPr="009778C9">
        <w:rPr>
          <w:rFonts w:asciiTheme="minorHAnsi" w:hAnsiTheme="minorHAnsi" w:cstheme="minorHAnsi"/>
          <w:lang w:val="en-US"/>
        </w:rPr>
        <w:t xml:space="preserve">2014-2015 </w:t>
      </w:r>
      <w:r w:rsidR="00271959" w:rsidRPr="009778C9">
        <w:rPr>
          <w:rFonts w:asciiTheme="minorHAnsi" w:hAnsiTheme="minorHAnsi" w:cstheme="minorHAnsi"/>
          <w:lang w:val="en-US"/>
        </w:rPr>
        <w:t>amount</w:t>
      </w:r>
      <w:r w:rsidR="00B52955" w:rsidRPr="009778C9">
        <w:rPr>
          <w:rFonts w:asciiTheme="minorHAnsi" w:hAnsiTheme="minorHAnsi" w:cstheme="minorHAnsi"/>
          <w:lang w:val="en-US"/>
        </w:rPr>
        <w:t>s</w:t>
      </w:r>
      <w:r w:rsidR="00271959" w:rsidRPr="009778C9">
        <w:rPr>
          <w:rFonts w:asciiTheme="minorHAnsi" w:hAnsiTheme="minorHAnsi" w:cstheme="minorHAnsi"/>
          <w:lang w:val="en-US"/>
        </w:rPr>
        <w:t xml:space="preserve"> to CHF </w:t>
      </w:r>
      <w:r w:rsidR="00FE1454" w:rsidRPr="00627003">
        <w:rPr>
          <w:rFonts w:asciiTheme="minorHAnsi" w:hAnsiTheme="minorHAnsi" w:cstheme="minorHAnsi"/>
          <w:lang w:val="en-US"/>
        </w:rPr>
        <w:t>342.</w:t>
      </w:r>
      <w:r w:rsidR="00E03166" w:rsidRPr="00627003">
        <w:rPr>
          <w:rFonts w:asciiTheme="minorHAnsi" w:hAnsiTheme="minorHAnsi" w:cstheme="minorHAnsi"/>
          <w:lang w:val="en-US"/>
        </w:rPr>
        <w:t>6</w:t>
      </w:r>
      <w:r w:rsidR="00271959" w:rsidRPr="00627003">
        <w:rPr>
          <w:rFonts w:asciiTheme="minorHAnsi" w:hAnsiTheme="minorHAnsi" w:cstheme="minorHAnsi"/>
          <w:lang w:val="en-US"/>
        </w:rPr>
        <w:t xml:space="preserve"> million</w:t>
      </w:r>
      <w:r w:rsidR="00271959" w:rsidRPr="009778C9">
        <w:rPr>
          <w:rFonts w:asciiTheme="minorHAnsi" w:hAnsiTheme="minorHAnsi" w:cstheme="minorHAnsi"/>
          <w:lang w:val="en-US"/>
        </w:rPr>
        <w:t xml:space="preserve"> against CHF 323.8 million in 2012-2013 as shown in Table</w:t>
      </w:r>
      <w:r w:rsidR="00487A94">
        <w:rPr>
          <w:rFonts w:asciiTheme="minorHAnsi" w:hAnsiTheme="minorHAnsi" w:cstheme="minorHAnsi"/>
          <w:lang w:val="en-US"/>
        </w:rPr>
        <w:t xml:space="preserve"> 1</w:t>
      </w:r>
      <w:r w:rsidRPr="009778C9">
        <w:rPr>
          <w:rFonts w:asciiTheme="minorHAnsi" w:hAnsiTheme="minorHAnsi" w:cstheme="minorHAnsi"/>
          <w:lang w:val="en-US"/>
        </w:rPr>
        <w:t xml:space="preserve"> below</w:t>
      </w:r>
      <w:r w:rsidR="0090457E">
        <w:rPr>
          <w:rFonts w:asciiTheme="minorHAnsi" w:hAnsiTheme="minorHAnsi" w:cstheme="minorHAnsi"/>
          <w:lang w:val="en-US"/>
        </w:rPr>
        <w:t xml:space="preserve">, </w:t>
      </w:r>
      <w:r w:rsidR="00037AB3">
        <w:rPr>
          <w:rFonts w:asciiTheme="minorHAnsi" w:hAnsiTheme="minorHAnsi" w:cstheme="minorHAnsi"/>
          <w:lang w:val="en-US"/>
        </w:rPr>
        <w:t xml:space="preserve">an increase of </w:t>
      </w:r>
      <w:r w:rsidR="00037AB3" w:rsidRPr="00627003">
        <w:rPr>
          <w:rFonts w:asciiTheme="minorHAnsi" w:hAnsiTheme="minorHAnsi" w:cstheme="minorHAnsi"/>
          <w:lang w:val="en-US"/>
        </w:rPr>
        <w:t xml:space="preserve">CHF </w:t>
      </w:r>
      <w:r w:rsidR="004D67B6" w:rsidRPr="00627003">
        <w:rPr>
          <w:rFonts w:asciiTheme="minorHAnsi" w:hAnsiTheme="minorHAnsi" w:cstheme="minorHAnsi"/>
          <w:lang w:val="en-US"/>
        </w:rPr>
        <w:t>18.</w:t>
      </w:r>
      <w:r w:rsidR="00E03166" w:rsidRPr="00627003">
        <w:rPr>
          <w:rFonts w:asciiTheme="minorHAnsi" w:hAnsiTheme="minorHAnsi" w:cstheme="minorHAnsi"/>
          <w:lang w:val="en-US"/>
        </w:rPr>
        <w:t xml:space="preserve">8 </w:t>
      </w:r>
      <w:r w:rsidR="00037AB3" w:rsidRPr="00627003">
        <w:rPr>
          <w:rFonts w:asciiTheme="minorHAnsi" w:hAnsiTheme="minorHAnsi" w:cstheme="minorHAnsi"/>
          <w:lang w:val="en-US"/>
        </w:rPr>
        <w:t>million</w:t>
      </w:r>
      <w:r w:rsidR="007B517D">
        <w:rPr>
          <w:rFonts w:asciiTheme="minorHAnsi" w:hAnsiTheme="minorHAnsi" w:cstheme="minorHAnsi"/>
          <w:lang w:val="en-US"/>
        </w:rPr>
        <w:t xml:space="preserve"> on the expense side</w:t>
      </w:r>
      <w:r w:rsidR="00526ABB" w:rsidRPr="00627003">
        <w:rPr>
          <w:rFonts w:asciiTheme="minorHAnsi" w:hAnsiTheme="minorHAnsi" w:cstheme="minorHAnsi"/>
          <w:lang w:val="en-US"/>
        </w:rPr>
        <w:t>. Taking in</w:t>
      </w:r>
      <w:r w:rsidR="006E7587" w:rsidRPr="00627003">
        <w:rPr>
          <w:rFonts w:asciiTheme="minorHAnsi" w:hAnsiTheme="minorHAnsi" w:cstheme="minorHAnsi"/>
          <w:lang w:val="en-US"/>
        </w:rPr>
        <w:t>to account the increase of CHF 3</w:t>
      </w:r>
      <w:r w:rsidR="00526ABB" w:rsidRPr="00627003">
        <w:rPr>
          <w:rFonts w:asciiTheme="minorHAnsi" w:hAnsiTheme="minorHAnsi" w:cstheme="minorHAnsi"/>
          <w:lang w:val="en-US"/>
        </w:rPr>
        <w:t xml:space="preserve">.4 million in the revenue forecast, revenue less expenses </w:t>
      </w:r>
      <w:r w:rsidR="00A04ED4" w:rsidRPr="00627003">
        <w:rPr>
          <w:rFonts w:asciiTheme="minorHAnsi" w:hAnsiTheme="minorHAnsi" w:cstheme="minorHAnsi"/>
          <w:lang w:val="en-US"/>
        </w:rPr>
        <w:t xml:space="preserve">shows a shortfall of </w:t>
      </w:r>
      <w:r w:rsidR="00526ABB" w:rsidRPr="00627003">
        <w:rPr>
          <w:rFonts w:asciiTheme="minorHAnsi" w:hAnsiTheme="minorHAnsi" w:cstheme="minorHAnsi"/>
          <w:lang w:val="en-US"/>
        </w:rPr>
        <w:t xml:space="preserve"> CHF 1</w:t>
      </w:r>
      <w:r w:rsidR="00E03166" w:rsidRPr="00627003">
        <w:rPr>
          <w:rFonts w:asciiTheme="minorHAnsi" w:hAnsiTheme="minorHAnsi" w:cstheme="minorHAnsi"/>
          <w:lang w:val="en-US"/>
        </w:rPr>
        <w:t>5</w:t>
      </w:r>
      <w:r w:rsidR="00526ABB" w:rsidRPr="00627003">
        <w:rPr>
          <w:rFonts w:asciiTheme="minorHAnsi" w:hAnsiTheme="minorHAnsi" w:cstheme="minorHAnsi"/>
          <w:lang w:val="en-US"/>
        </w:rPr>
        <w:t>.</w:t>
      </w:r>
      <w:r w:rsidR="00E03166" w:rsidRPr="00627003">
        <w:rPr>
          <w:rFonts w:asciiTheme="minorHAnsi" w:hAnsiTheme="minorHAnsi" w:cstheme="minorHAnsi"/>
          <w:lang w:val="en-US"/>
        </w:rPr>
        <w:t>3</w:t>
      </w:r>
      <w:r w:rsidR="00526ABB" w:rsidRPr="00627003">
        <w:rPr>
          <w:rFonts w:asciiTheme="minorHAnsi" w:hAnsiTheme="minorHAnsi" w:cstheme="minorHAnsi"/>
          <w:lang w:val="en-US"/>
        </w:rPr>
        <w:t xml:space="preserve"> million before any withdrawal from the Reserve Account.</w:t>
      </w:r>
    </w:p>
    <w:p w:rsidR="009778C9" w:rsidRPr="00487A94" w:rsidRDefault="00487A94" w:rsidP="00487A94">
      <w:pPr>
        <w:jc w:val="center"/>
        <w:rPr>
          <w:rFonts w:asciiTheme="minorHAnsi" w:hAnsiTheme="minorHAnsi" w:cstheme="minorHAnsi"/>
          <w:b/>
          <w:bCs/>
          <w:lang w:val="en-US"/>
        </w:rPr>
      </w:pPr>
      <w:r w:rsidRPr="00487A94">
        <w:rPr>
          <w:rFonts w:asciiTheme="minorHAnsi" w:hAnsiTheme="minorHAnsi" w:cstheme="minorHAnsi"/>
          <w:b/>
          <w:bCs/>
          <w:lang w:val="en-US"/>
        </w:rPr>
        <w:t>Table 1</w:t>
      </w:r>
    </w:p>
    <w:p w:rsidR="00332C3F" w:rsidRPr="00332C3F" w:rsidRDefault="007C6F8E" w:rsidP="00241F71">
      <w:pPr>
        <w:pStyle w:val="ListParagraph"/>
        <w:rPr>
          <w:rFonts w:asciiTheme="minorHAnsi" w:hAnsiTheme="minorHAnsi"/>
          <w:lang w:val="en-US"/>
        </w:rPr>
      </w:pPr>
      <w:r w:rsidRPr="007C6F8E">
        <w:rPr>
          <w:noProof/>
          <w:lang w:val="en-US" w:eastAsia="zh-CN"/>
        </w:rPr>
        <w:drawing>
          <wp:inline distT="0" distB="0" distL="0" distR="0" wp14:anchorId="3C578295" wp14:editId="04395B89">
            <wp:extent cx="4771843" cy="214052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284" cy="2140725"/>
                    </a:xfrm>
                    <a:prstGeom prst="rect">
                      <a:avLst/>
                    </a:prstGeom>
                    <a:noFill/>
                    <a:ln>
                      <a:noFill/>
                    </a:ln>
                  </pic:spPr>
                </pic:pic>
              </a:graphicData>
            </a:graphic>
          </wp:inline>
        </w:drawing>
      </w:r>
    </w:p>
    <w:p w:rsidR="0095346A" w:rsidRPr="0095346A" w:rsidRDefault="0095346A" w:rsidP="00AC6A9B">
      <w:pPr>
        <w:ind w:left="720"/>
        <w:jc w:val="both"/>
        <w:rPr>
          <w:rFonts w:asciiTheme="minorHAnsi" w:hAnsiTheme="minorHAnsi"/>
          <w:sz w:val="20"/>
          <w:szCs w:val="20"/>
          <w:lang w:val="en-US"/>
        </w:rPr>
      </w:pPr>
      <w:r w:rsidRPr="00627003">
        <w:rPr>
          <w:rFonts w:asciiTheme="minorHAnsi" w:hAnsiTheme="minorHAnsi"/>
          <w:sz w:val="20"/>
          <w:szCs w:val="20"/>
          <w:lang w:val="en-US"/>
        </w:rPr>
        <w:t xml:space="preserve">* The 7.2% </w:t>
      </w:r>
      <w:r w:rsidR="003436F6" w:rsidRPr="00627003">
        <w:rPr>
          <w:rFonts w:asciiTheme="minorHAnsi" w:hAnsiTheme="minorHAnsi"/>
          <w:sz w:val="20"/>
          <w:szCs w:val="20"/>
          <w:lang w:val="en-US"/>
        </w:rPr>
        <w:t xml:space="preserve">variance </w:t>
      </w:r>
      <w:r w:rsidRPr="00627003">
        <w:rPr>
          <w:rFonts w:asciiTheme="minorHAnsi" w:hAnsiTheme="minorHAnsi"/>
          <w:sz w:val="20"/>
          <w:szCs w:val="20"/>
          <w:lang w:val="en-US"/>
        </w:rPr>
        <w:t xml:space="preserve">in the General Secretariat includes CHF </w:t>
      </w:r>
      <w:r w:rsidR="00884A35" w:rsidRPr="00627003">
        <w:rPr>
          <w:rFonts w:asciiTheme="minorHAnsi" w:hAnsiTheme="minorHAnsi"/>
          <w:sz w:val="20"/>
          <w:szCs w:val="20"/>
          <w:lang w:val="en-US"/>
        </w:rPr>
        <w:t>5.</w:t>
      </w:r>
      <w:r w:rsidR="003436F6" w:rsidRPr="00627003">
        <w:rPr>
          <w:rFonts w:asciiTheme="minorHAnsi" w:hAnsiTheme="minorHAnsi"/>
          <w:sz w:val="20"/>
          <w:szCs w:val="20"/>
          <w:lang w:val="en-US"/>
        </w:rPr>
        <w:t>7</w:t>
      </w:r>
      <w:r w:rsidRPr="00627003">
        <w:rPr>
          <w:rFonts w:asciiTheme="minorHAnsi" w:hAnsiTheme="minorHAnsi"/>
          <w:sz w:val="20"/>
          <w:szCs w:val="20"/>
          <w:lang w:val="en-US"/>
        </w:rPr>
        <w:t xml:space="preserve"> million increases for ITU</w:t>
      </w:r>
      <w:r w:rsidR="00AC6A9B" w:rsidRPr="00627003">
        <w:rPr>
          <w:rFonts w:asciiTheme="minorHAnsi" w:hAnsiTheme="minorHAnsi"/>
          <w:sz w:val="20"/>
          <w:szCs w:val="20"/>
          <w:lang w:val="en-US"/>
        </w:rPr>
        <w:t>-</w:t>
      </w:r>
      <w:r w:rsidRPr="00627003">
        <w:rPr>
          <w:rFonts w:asciiTheme="minorHAnsi" w:hAnsiTheme="minorHAnsi"/>
          <w:sz w:val="20"/>
          <w:szCs w:val="20"/>
          <w:lang w:val="en-US"/>
        </w:rPr>
        <w:t>wide common expenses such as Social responsibility for after service health insurance</w:t>
      </w:r>
      <w:r w:rsidR="00884A35" w:rsidRPr="00627003">
        <w:rPr>
          <w:rFonts w:asciiTheme="minorHAnsi" w:hAnsiTheme="minorHAnsi"/>
          <w:sz w:val="20"/>
          <w:szCs w:val="20"/>
          <w:lang w:val="en-US"/>
        </w:rPr>
        <w:t>,</w:t>
      </w:r>
      <w:r w:rsidRPr="00627003">
        <w:rPr>
          <w:rFonts w:asciiTheme="minorHAnsi" w:hAnsiTheme="minorHAnsi"/>
          <w:sz w:val="20"/>
          <w:szCs w:val="20"/>
          <w:lang w:val="en-US"/>
        </w:rPr>
        <w:t xml:space="preserve"> ITU external communications</w:t>
      </w:r>
      <w:r w:rsidR="00884A35" w:rsidRPr="00627003">
        <w:rPr>
          <w:rFonts w:asciiTheme="minorHAnsi" w:hAnsiTheme="minorHAnsi"/>
          <w:sz w:val="20"/>
          <w:szCs w:val="20"/>
          <w:lang w:val="en-US"/>
        </w:rPr>
        <w:t>, PP</w:t>
      </w:r>
      <w:r w:rsidR="00D036F4" w:rsidRPr="00627003">
        <w:rPr>
          <w:rFonts w:asciiTheme="minorHAnsi" w:hAnsiTheme="minorHAnsi"/>
          <w:sz w:val="20"/>
          <w:szCs w:val="20"/>
          <w:lang w:val="en-US"/>
        </w:rPr>
        <w:t>-</w:t>
      </w:r>
      <w:r w:rsidR="00884A35" w:rsidRPr="00627003">
        <w:rPr>
          <w:rFonts w:asciiTheme="minorHAnsi" w:hAnsiTheme="minorHAnsi"/>
          <w:sz w:val="20"/>
          <w:szCs w:val="20"/>
          <w:lang w:val="en-US"/>
        </w:rPr>
        <w:t xml:space="preserve">14 </w:t>
      </w:r>
      <w:r w:rsidR="00554079" w:rsidRPr="00627003">
        <w:rPr>
          <w:rFonts w:asciiTheme="minorHAnsi" w:hAnsiTheme="minorHAnsi"/>
          <w:sz w:val="20"/>
          <w:szCs w:val="20"/>
          <w:lang w:val="en-US"/>
        </w:rPr>
        <w:t xml:space="preserve">as well as </w:t>
      </w:r>
      <w:r w:rsidR="003436F6" w:rsidRPr="00627003">
        <w:rPr>
          <w:rFonts w:asciiTheme="minorHAnsi" w:hAnsiTheme="minorHAnsi"/>
          <w:sz w:val="20"/>
          <w:szCs w:val="20"/>
          <w:lang w:val="en-US"/>
        </w:rPr>
        <w:t xml:space="preserve">additional </w:t>
      </w:r>
      <w:r w:rsidR="00554079" w:rsidRPr="00627003">
        <w:rPr>
          <w:rFonts w:asciiTheme="minorHAnsi" w:hAnsiTheme="minorHAnsi"/>
          <w:sz w:val="20"/>
          <w:szCs w:val="20"/>
          <w:lang w:val="en-US"/>
        </w:rPr>
        <w:t>documentation costs</w:t>
      </w:r>
      <w:r w:rsidR="003436F6" w:rsidRPr="00627003">
        <w:rPr>
          <w:rFonts w:asciiTheme="minorHAnsi" w:hAnsiTheme="minorHAnsi"/>
          <w:sz w:val="20"/>
          <w:szCs w:val="20"/>
          <w:lang w:val="en-US"/>
        </w:rPr>
        <w:t>.</w:t>
      </w:r>
    </w:p>
    <w:p w:rsidR="007A78C2" w:rsidRPr="009778C9" w:rsidRDefault="00B5768D" w:rsidP="00D539B0">
      <w:pPr>
        <w:pStyle w:val="ListParagraph"/>
        <w:numPr>
          <w:ilvl w:val="0"/>
          <w:numId w:val="23"/>
        </w:numPr>
        <w:spacing w:after="120"/>
        <w:ind w:left="284" w:hanging="284"/>
        <w:contextualSpacing w:val="0"/>
        <w:rPr>
          <w:rFonts w:asciiTheme="minorHAnsi" w:hAnsiTheme="minorHAnsi"/>
          <w:lang w:val="en-US"/>
        </w:rPr>
      </w:pPr>
      <w:r w:rsidRPr="0090457E">
        <w:rPr>
          <w:rFonts w:asciiTheme="minorHAnsi" w:hAnsiTheme="minorHAnsi"/>
          <w:u w:val="single"/>
          <w:lang w:val="en-US"/>
        </w:rPr>
        <w:t>Revenue</w:t>
      </w:r>
    </w:p>
    <w:p w:rsidR="00D539B0" w:rsidRPr="00115552" w:rsidRDefault="00503F00" w:rsidP="00D539B0">
      <w:pPr>
        <w:pStyle w:val="ListParagraph"/>
        <w:spacing w:after="0"/>
        <w:ind w:left="0"/>
        <w:jc w:val="both"/>
        <w:rPr>
          <w:rFonts w:asciiTheme="minorHAnsi" w:hAnsiTheme="minorHAnsi"/>
          <w:lang w:val="en-US"/>
        </w:rPr>
      </w:pPr>
      <w:r w:rsidRPr="00115552">
        <w:rPr>
          <w:rFonts w:asciiTheme="minorHAnsi" w:hAnsiTheme="minorHAnsi"/>
          <w:lang w:val="en-US"/>
        </w:rPr>
        <w:t>Annex 1 contains the revenue forecast for 2014-2015, which amounts to CHF 32</w:t>
      </w:r>
      <w:r w:rsidR="00696CDF" w:rsidRPr="00115552">
        <w:rPr>
          <w:rFonts w:asciiTheme="minorHAnsi" w:hAnsiTheme="minorHAnsi"/>
          <w:lang w:val="en-US"/>
        </w:rPr>
        <w:t>7</w:t>
      </w:r>
      <w:r w:rsidRPr="00115552">
        <w:rPr>
          <w:rFonts w:asciiTheme="minorHAnsi" w:hAnsiTheme="minorHAnsi"/>
          <w:lang w:val="en-US"/>
        </w:rPr>
        <w:t xml:space="preserve">.3 million. </w:t>
      </w:r>
    </w:p>
    <w:p w:rsidR="00503F00" w:rsidRPr="00503F00" w:rsidRDefault="00D539B0" w:rsidP="00902421">
      <w:pPr>
        <w:pStyle w:val="ListParagraph"/>
        <w:spacing w:after="0"/>
        <w:ind w:left="0"/>
        <w:jc w:val="both"/>
        <w:rPr>
          <w:rFonts w:asciiTheme="minorHAnsi" w:hAnsiTheme="minorHAnsi"/>
          <w:lang w:val="en-US"/>
        </w:rPr>
      </w:pPr>
      <w:r w:rsidRPr="00115552">
        <w:rPr>
          <w:rFonts w:asciiTheme="minorHAnsi" w:hAnsiTheme="minorHAnsi"/>
          <w:lang w:val="en-US"/>
        </w:rPr>
        <w:t xml:space="preserve">There is a revenue </w:t>
      </w:r>
      <w:r w:rsidR="00503F00" w:rsidRPr="00115552">
        <w:rPr>
          <w:rFonts w:asciiTheme="minorHAnsi" w:hAnsiTheme="minorHAnsi"/>
          <w:lang w:val="en-US"/>
        </w:rPr>
        <w:t xml:space="preserve">increase </w:t>
      </w:r>
      <w:r w:rsidRPr="00115552">
        <w:rPr>
          <w:rFonts w:asciiTheme="minorHAnsi" w:hAnsiTheme="minorHAnsi"/>
          <w:lang w:val="en-US"/>
        </w:rPr>
        <w:t xml:space="preserve">of </w:t>
      </w:r>
      <w:r w:rsidR="00696CDF" w:rsidRPr="00115552">
        <w:rPr>
          <w:rFonts w:asciiTheme="minorHAnsi" w:hAnsiTheme="minorHAnsi"/>
          <w:lang w:val="en-US"/>
        </w:rPr>
        <w:t xml:space="preserve">CHF </w:t>
      </w:r>
      <w:r w:rsidR="00085DD0" w:rsidRPr="00115552">
        <w:rPr>
          <w:rFonts w:asciiTheme="minorHAnsi" w:hAnsiTheme="minorHAnsi"/>
          <w:lang w:val="en-US"/>
        </w:rPr>
        <w:t>10</w:t>
      </w:r>
      <w:r w:rsidR="00503F00" w:rsidRPr="00115552">
        <w:rPr>
          <w:rFonts w:asciiTheme="minorHAnsi" w:hAnsiTheme="minorHAnsi"/>
          <w:lang w:val="en-US"/>
        </w:rPr>
        <w:t xml:space="preserve"> million</w:t>
      </w:r>
      <w:r w:rsidR="00085DD0" w:rsidRPr="00115552">
        <w:rPr>
          <w:rFonts w:asciiTheme="minorHAnsi" w:hAnsiTheme="minorHAnsi"/>
          <w:lang w:val="en-US"/>
        </w:rPr>
        <w:t xml:space="preserve"> compared with the 2012-2013 budget </w:t>
      </w:r>
      <w:r w:rsidR="00902421" w:rsidRPr="00115552">
        <w:rPr>
          <w:rFonts w:asciiTheme="minorHAnsi" w:hAnsiTheme="minorHAnsi"/>
          <w:lang w:val="en-US"/>
        </w:rPr>
        <w:t xml:space="preserve">before </w:t>
      </w:r>
      <w:r w:rsidR="00085DD0" w:rsidRPr="00115552">
        <w:rPr>
          <w:rFonts w:asciiTheme="minorHAnsi" w:hAnsiTheme="minorHAnsi"/>
          <w:lang w:val="en-US"/>
        </w:rPr>
        <w:t xml:space="preserve">any withdrawal from the Reserve Account. The increase </w:t>
      </w:r>
      <w:r w:rsidR="00503F00" w:rsidRPr="00115552">
        <w:rPr>
          <w:rFonts w:asciiTheme="minorHAnsi" w:hAnsiTheme="minorHAnsi"/>
          <w:lang w:val="en-US"/>
        </w:rPr>
        <w:t xml:space="preserve">includes the </w:t>
      </w:r>
      <w:r w:rsidRPr="00115552">
        <w:rPr>
          <w:rFonts w:asciiTheme="minorHAnsi" w:hAnsiTheme="minorHAnsi"/>
          <w:lang w:val="en-US"/>
        </w:rPr>
        <w:t xml:space="preserve">choice of a higher class of </w:t>
      </w:r>
      <w:r w:rsidR="00503F00" w:rsidRPr="00115552">
        <w:rPr>
          <w:rFonts w:asciiTheme="minorHAnsi" w:hAnsiTheme="minorHAnsi"/>
          <w:lang w:val="en-US"/>
        </w:rPr>
        <w:t>contribut</w:t>
      </w:r>
      <w:r w:rsidRPr="00115552">
        <w:rPr>
          <w:rFonts w:asciiTheme="minorHAnsi" w:hAnsiTheme="minorHAnsi"/>
          <w:lang w:val="en-US"/>
        </w:rPr>
        <w:t xml:space="preserve">ion from </w:t>
      </w:r>
      <w:r w:rsidR="00503F00" w:rsidRPr="00115552">
        <w:rPr>
          <w:rFonts w:asciiTheme="minorHAnsi" w:hAnsiTheme="minorHAnsi"/>
          <w:lang w:val="en-US"/>
        </w:rPr>
        <w:t>Azerbaijan</w:t>
      </w:r>
      <w:r w:rsidRPr="00115552">
        <w:rPr>
          <w:rFonts w:asciiTheme="minorHAnsi" w:hAnsiTheme="minorHAnsi"/>
          <w:lang w:val="en-US"/>
        </w:rPr>
        <w:t>,</w:t>
      </w:r>
      <w:r w:rsidR="00503F00" w:rsidRPr="00115552">
        <w:rPr>
          <w:rFonts w:asciiTheme="minorHAnsi" w:hAnsiTheme="minorHAnsi"/>
          <w:lang w:val="en-US"/>
        </w:rPr>
        <w:t xml:space="preserve"> from ¼ unit to 10 units, and </w:t>
      </w:r>
      <w:r w:rsidRPr="00115552">
        <w:rPr>
          <w:rFonts w:asciiTheme="minorHAnsi" w:hAnsiTheme="minorHAnsi"/>
          <w:lang w:val="en-US"/>
        </w:rPr>
        <w:t xml:space="preserve">additional </w:t>
      </w:r>
      <w:r w:rsidR="00503F00" w:rsidRPr="00115552">
        <w:rPr>
          <w:rFonts w:asciiTheme="minorHAnsi" w:hAnsiTheme="minorHAnsi"/>
          <w:lang w:val="en-US"/>
        </w:rPr>
        <w:t xml:space="preserve">cost recovery </w:t>
      </w:r>
      <w:r w:rsidRPr="00115552">
        <w:rPr>
          <w:rFonts w:asciiTheme="minorHAnsi" w:hAnsiTheme="minorHAnsi"/>
          <w:lang w:val="en-US"/>
        </w:rPr>
        <w:t>income</w:t>
      </w:r>
      <w:r w:rsidR="00902421" w:rsidRPr="00115552">
        <w:rPr>
          <w:rFonts w:asciiTheme="minorHAnsi" w:hAnsiTheme="minorHAnsi"/>
          <w:lang w:val="en-US"/>
        </w:rPr>
        <w:t xml:space="preserve"> from  Satellite network filing and Sales of publications </w:t>
      </w:r>
      <w:r w:rsidR="00503F00" w:rsidRPr="00115552">
        <w:rPr>
          <w:rFonts w:asciiTheme="minorHAnsi" w:hAnsiTheme="minorHAnsi"/>
          <w:lang w:val="en-US"/>
        </w:rPr>
        <w:t xml:space="preserve">. </w:t>
      </w:r>
    </w:p>
    <w:p w:rsidR="00621ACA" w:rsidRDefault="00621ACA" w:rsidP="00621ACA">
      <w:pPr>
        <w:spacing w:after="0"/>
        <w:jc w:val="both"/>
        <w:rPr>
          <w:rFonts w:asciiTheme="minorHAnsi" w:hAnsiTheme="minorHAnsi"/>
          <w:lang w:val="en-US"/>
        </w:rPr>
      </w:pPr>
    </w:p>
    <w:p w:rsidR="005A5E11" w:rsidRPr="009778C9" w:rsidRDefault="005A5E11" w:rsidP="008F3AFC">
      <w:pPr>
        <w:pStyle w:val="ListParagraph"/>
        <w:numPr>
          <w:ilvl w:val="0"/>
          <w:numId w:val="23"/>
        </w:numPr>
        <w:spacing w:after="120"/>
        <w:ind w:left="283" w:hanging="357"/>
        <w:rPr>
          <w:rFonts w:asciiTheme="minorHAnsi" w:hAnsiTheme="minorHAnsi"/>
          <w:lang w:val="en-US"/>
        </w:rPr>
      </w:pPr>
      <w:r w:rsidRPr="0090457E">
        <w:rPr>
          <w:rFonts w:asciiTheme="minorHAnsi" w:hAnsiTheme="minorHAnsi"/>
          <w:u w:val="single"/>
          <w:lang w:val="en-US"/>
        </w:rPr>
        <w:t>Expense</w:t>
      </w:r>
      <w:r w:rsidR="00DC1143" w:rsidRPr="0090457E">
        <w:rPr>
          <w:rFonts w:asciiTheme="minorHAnsi" w:hAnsiTheme="minorHAnsi"/>
          <w:u w:val="single"/>
          <w:lang w:val="en-US"/>
        </w:rPr>
        <w:t>s</w:t>
      </w:r>
    </w:p>
    <w:p w:rsidR="007E0085" w:rsidRDefault="001B64CF" w:rsidP="008F3AFC">
      <w:pPr>
        <w:spacing w:after="0"/>
        <w:jc w:val="both"/>
        <w:rPr>
          <w:rFonts w:asciiTheme="minorHAnsi" w:hAnsiTheme="minorHAnsi"/>
          <w:lang w:val="en-US"/>
        </w:rPr>
      </w:pPr>
      <w:r w:rsidRPr="009778C9">
        <w:rPr>
          <w:rFonts w:asciiTheme="minorHAnsi" w:hAnsiTheme="minorHAnsi"/>
          <w:lang w:val="en-US"/>
        </w:rPr>
        <w:t xml:space="preserve">Annex 2 contains the </w:t>
      </w:r>
      <w:r w:rsidR="007E0085" w:rsidRPr="009778C9">
        <w:rPr>
          <w:rFonts w:asciiTheme="minorHAnsi" w:hAnsiTheme="minorHAnsi"/>
          <w:lang w:val="en-US"/>
        </w:rPr>
        <w:t>detailed status of the 2014-2015 submissions by Sectors and Departments.</w:t>
      </w:r>
      <w:r w:rsidR="00E22292" w:rsidRPr="009778C9">
        <w:rPr>
          <w:rFonts w:asciiTheme="minorHAnsi" w:hAnsiTheme="minorHAnsi"/>
          <w:lang w:val="en-US"/>
        </w:rPr>
        <w:t xml:space="preserve">  </w:t>
      </w:r>
      <w:r w:rsidR="007E0085" w:rsidRPr="009778C9">
        <w:rPr>
          <w:rFonts w:asciiTheme="minorHAnsi" w:hAnsiTheme="minorHAnsi"/>
          <w:lang w:val="en-US"/>
        </w:rPr>
        <w:t>Comparison is provided with budget</w:t>
      </w:r>
      <w:r w:rsidR="00E22292" w:rsidRPr="009778C9">
        <w:rPr>
          <w:rFonts w:asciiTheme="minorHAnsi" w:hAnsiTheme="minorHAnsi"/>
          <w:lang w:val="en-US"/>
        </w:rPr>
        <w:t>s</w:t>
      </w:r>
      <w:r w:rsidR="007E0085" w:rsidRPr="009778C9">
        <w:rPr>
          <w:rFonts w:asciiTheme="minorHAnsi" w:hAnsiTheme="minorHAnsi"/>
          <w:lang w:val="en-US"/>
        </w:rPr>
        <w:t xml:space="preserve"> and actual</w:t>
      </w:r>
      <w:r w:rsidR="00037AB3">
        <w:rPr>
          <w:rFonts w:asciiTheme="minorHAnsi" w:hAnsiTheme="minorHAnsi"/>
          <w:lang w:val="en-US"/>
        </w:rPr>
        <w:t xml:space="preserve"> expenditure for </w:t>
      </w:r>
      <w:r w:rsidR="007E0085" w:rsidRPr="009778C9">
        <w:rPr>
          <w:rFonts w:asciiTheme="minorHAnsi" w:hAnsiTheme="minorHAnsi"/>
          <w:lang w:val="en-US"/>
        </w:rPr>
        <w:t>2010-2011 and 2012-2013.</w:t>
      </w:r>
      <w:r w:rsidR="001E6262">
        <w:rPr>
          <w:rFonts w:asciiTheme="minorHAnsi" w:hAnsiTheme="minorHAnsi"/>
          <w:lang w:val="en-US"/>
        </w:rPr>
        <w:t xml:space="preserve"> The original version of the first round of submissions relating to the preparation of the 2010-2011 budget </w:t>
      </w:r>
      <w:r w:rsidR="001E6262">
        <w:rPr>
          <w:rFonts w:asciiTheme="minorHAnsi" w:hAnsiTheme="minorHAnsi"/>
          <w:lang w:val="en-US"/>
        </w:rPr>
        <w:lastRenderedPageBreak/>
        <w:t>has also been provided.</w:t>
      </w:r>
      <w:r w:rsidR="005836A8">
        <w:rPr>
          <w:rFonts w:asciiTheme="minorHAnsi" w:hAnsiTheme="minorHAnsi"/>
          <w:lang w:val="en-US"/>
        </w:rPr>
        <w:t xml:space="preserve"> </w:t>
      </w:r>
      <w:r w:rsidR="005836A8" w:rsidRPr="00115552">
        <w:rPr>
          <w:rFonts w:asciiTheme="minorHAnsi" w:hAnsiTheme="minorHAnsi"/>
          <w:lang w:val="en-US"/>
        </w:rPr>
        <w:t>Annex also provides</w:t>
      </w:r>
      <w:r w:rsidR="00E41F9B" w:rsidRPr="00115552">
        <w:rPr>
          <w:rFonts w:asciiTheme="minorHAnsi" w:hAnsiTheme="minorHAnsi"/>
          <w:lang w:val="en-US"/>
        </w:rPr>
        <w:t>,</w:t>
      </w:r>
      <w:r w:rsidR="005836A8" w:rsidRPr="00115552">
        <w:rPr>
          <w:rFonts w:asciiTheme="minorHAnsi" w:hAnsiTheme="minorHAnsi"/>
          <w:lang w:val="en-US"/>
        </w:rPr>
        <w:t xml:space="preserve"> </w:t>
      </w:r>
      <w:r w:rsidR="000A1518" w:rsidRPr="00115552">
        <w:rPr>
          <w:rFonts w:asciiTheme="minorHAnsi" w:hAnsiTheme="minorHAnsi"/>
          <w:lang w:val="en-US"/>
        </w:rPr>
        <w:t>for information</w:t>
      </w:r>
      <w:r w:rsidR="00E41F9B" w:rsidRPr="00115552">
        <w:rPr>
          <w:rFonts w:asciiTheme="minorHAnsi" w:hAnsiTheme="minorHAnsi"/>
          <w:lang w:val="en-US"/>
        </w:rPr>
        <w:t>,</w:t>
      </w:r>
      <w:r w:rsidR="000A1518" w:rsidRPr="00115552">
        <w:rPr>
          <w:rFonts w:asciiTheme="minorHAnsi" w:hAnsiTheme="minorHAnsi"/>
          <w:lang w:val="en-US"/>
        </w:rPr>
        <w:t xml:space="preserve"> preliminary</w:t>
      </w:r>
      <w:r w:rsidR="005836A8" w:rsidRPr="00115552">
        <w:rPr>
          <w:rFonts w:asciiTheme="minorHAnsi" w:hAnsiTheme="minorHAnsi"/>
          <w:lang w:val="en-US"/>
        </w:rPr>
        <w:t xml:space="preserve"> estimates for the period 2016-2017.</w:t>
      </w:r>
    </w:p>
    <w:p w:rsidR="004977C2" w:rsidRDefault="004977C2" w:rsidP="001E6262">
      <w:pPr>
        <w:spacing w:after="0"/>
        <w:jc w:val="both"/>
        <w:rPr>
          <w:rFonts w:asciiTheme="minorHAnsi" w:hAnsiTheme="minorHAnsi"/>
          <w:lang w:val="en-US"/>
        </w:rPr>
      </w:pPr>
    </w:p>
    <w:p w:rsidR="00C86C1C" w:rsidRDefault="00A60BAE" w:rsidP="00C86721">
      <w:pPr>
        <w:spacing w:after="0"/>
        <w:jc w:val="both"/>
        <w:rPr>
          <w:rFonts w:asciiTheme="minorHAnsi" w:hAnsiTheme="minorHAnsi"/>
          <w:lang w:val="en-US"/>
        </w:rPr>
      </w:pPr>
      <w:r>
        <w:rPr>
          <w:rFonts w:asciiTheme="minorHAnsi" w:hAnsiTheme="minorHAnsi"/>
          <w:lang w:val="en-US"/>
        </w:rPr>
        <w:t>Annex</w:t>
      </w:r>
      <w:r w:rsidR="004977C2" w:rsidRPr="004977C2">
        <w:rPr>
          <w:rFonts w:asciiTheme="minorHAnsi" w:hAnsiTheme="minorHAnsi"/>
          <w:lang w:val="en-US"/>
        </w:rPr>
        <w:t xml:space="preserve"> 4 contain</w:t>
      </w:r>
      <w:r>
        <w:rPr>
          <w:rFonts w:asciiTheme="minorHAnsi" w:hAnsiTheme="minorHAnsi"/>
          <w:lang w:val="en-US"/>
        </w:rPr>
        <w:t>s</w:t>
      </w:r>
      <w:r w:rsidR="004977C2" w:rsidRPr="004977C2">
        <w:rPr>
          <w:rFonts w:asciiTheme="minorHAnsi" w:hAnsiTheme="minorHAnsi"/>
          <w:lang w:val="en-US"/>
        </w:rPr>
        <w:t xml:space="preserve"> a more in-depth </w:t>
      </w:r>
      <w:r w:rsidR="004977C2">
        <w:rPr>
          <w:rFonts w:asciiTheme="minorHAnsi" w:hAnsiTheme="minorHAnsi"/>
          <w:lang w:val="en-US"/>
        </w:rPr>
        <w:t>view</w:t>
      </w:r>
      <w:r w:rsidR="004977C2" w:rsidRPr="004977C2">
        <w:rPr>
          <w:rFonts w:asciiTheme="minorHAnsi" w:hAnsiTheme="minorHAnsi"/>
          <w:lang w:val="en-US"/>
        </w:rPr>
        <w:t xml:space="preserve"> of the </w:t>
      </w:r>
      <w:r>
        <w:rPr>
          <w:rFonts w:asciiTheme="minorHAnsi" w:hAnsiTheme="minorHAnsi"/>
          <w:lang w:val="en-US"/>
        </w:rPr>
        <w:t xml:space="preserve">Bureaux and </w:t>
      </w:r>
      <w:r w:rsidR="004977C2" w:rsidRPr="004977C2">
        <w:rPr>
          <w:rFonts w:asciiTheme="minorHAnsi" w:hAnsiTheme="minorHAnsi"/>
          <w:lang w:val="en-US"/>
        </w:rPr>
        <w:t xml:space="preserve">General Secretariat Departments </w:t>
      </w:r>
      <w:r>
        <w:rPr>
          <w:rFonts w:asciiTheme="minorHAnsi" w:hAnsiTheme="minorHAnsi"/>
          <w:lang w:val="en-US"/>
        </w:rPr>
        <w:t xml:space="preserve">by category of expenses.  Annex 5 shows the </w:t>
      </w:r>
      <w:r w:rsidR="00CA55A9">
        <w:rPr>
          <w:rFonts w:asciiTheme="minorHAnsi" w:hAnsiTheme="minorHAnsi"/>
          <w:lang w:val="en-US"/>
        </w:rPr>
        <w:t xml:space="preserve">detail of </w:t>
      </w:r>
      <w:r>
        <w:rPr>
          <w:rFonts w:asciiTheme="minorHAnsi" w:hAnsiTheme="minorHAnsi"/>
          <w:lang w:val="en-US"/>
        </w:rPr>
        <w:t xml:space="preserve">intersectoral outputs. </w:t>
      </w:r>
      <w:r w:rsidR="00C86721">
        <w:rPr>
          <w:rFonts w:asciiTheme="minorHAnsi" w:hAnsiTheme="minorHAnsi"/>
          <w:lang w:val="en-US"/>
        </w:rPr>
        <w:t xml:space="preserve"> </w:t>
      </w:r>
      <w:r w:rsidR="00C86C1C">
        <w:rPr>
          <w:rFonts w:asciiTheme="minorHAnsi" w:hAnsiTheme="minorHAnsi"/>
          <w:lang w:val="en-US"/>
        </w:rPr>
        <w:t>Annex 6 provides the list of retirees between 2013 and 2015.</w:t>
      </w:r>
    </w:p>
    <w:p w:rsidR="00C86721" w:rsidRDefault="00C86721" w:rsidP="00C86721">
      <w:pPr>
        <w:spacing w:after="0"/>
        <w:jc w:val="both"/>
        <w:rPr>
          <w:rFonts w:asciiTheme="minorHAnsi" w:hAnsiTheme="minorHAnsi"/>
          <w:lang w:val="en-US"/>
        </w:rPr>
      </w:pPr>
    </w:p>
    <w:p w:rsidR="007E0085" w:rsidRPr="0090457E" w:rsidRDefault="007E0085" w:rsidP="00B777A1">
      <w:pPr>
        <w:pStyle w:val="ListParagraph"/>
        <w:numPr>
          <w:ilvl w:val="0"/>
          <w:numId w:val="23"/>
        </w:numPr>
        <w:snapToGrid w:val="0"/>
        <w:spacing w:after="120"/>
        <w:ind w:left="283" w:hanging="357"/>
        <w:contextualSpacing w:val="0"/>
        <w:jc w:val="both"/>
        <w:rPr>
          <w:rFonts w:asciiTheme="minorHAnsi" w:hAnsiTheme="minorHAnsi"/>
          <w:u w:val="single"/>
          <w:lang w:val="en-US"/>
        </w:rPr>
      </w:pPr>
      <w:r w:rsidRPr="0090457E">
        <w:rPr>
          <w:rFonts w:asciiTheme="minorHAnsi" w:hAnsiTheme="minorHAnsi"/>
          <w:u w:val="single"/>
          <w:lang w:val="en-US"/>
        </w:rPr>
        <w:t>Analysis</w:t>
      </w:r>
    </w:p>
    <w:p w:rsidR="000C49CA" w:rsidRDefault="002C283C" w:rsidP="00F724B8">
      <w:pPr>
        <w:pStyle w:val="ListParagraph"/>
        <w:spacing w:after="0"/>
        <w:ind w:left="0"/>
        <w:jc w:val="both"/>
        <w:rPr>
          <w:rFonts w:asciiTheme="minorHAnsi" w:hAnsiTheme="minorHAnsi"/>
          <w:lang w:val="en-US"/>
        </w:rPr>
      </w:pPr>
      <w:r w:rsidRPr="00115552">
        <w:rPr>
          <w:rFonts w:asciiTheme="minorHAnsi" w:hAnsiTheme="minorHAnsi"/>
          <w:lang w:val="en-US"/>
        </w:rPr>
        <w:t xml:space="preserve">It is important to note that </w:t>
      </w:r>
      <w:r w:rsidR="003436F6" w:rsidRPr="00115552">
        <w:rPr>
          <w:rFonts w:asciiTheme="minorHAnsi" w:hAnsiTheme="minorHAnsi"/>
          <w:lang w:val="en-US"/>
        </w:rPr>
        <w:t xml:space="preserve">three </w:t>
      </w:r>
      <w:r w:rsidRPr="00115552">
        <w:rPr>
          <w:rFonts w:asciiTheme="minorHAnsi" w:hAnsiTheme="minorHAnsi"/>
          <w:lang w:val="en-US"/>
        </w:rPr>
        <w:t>major conference</w:t>
      </w:r>
      <w:r w:rsidR="003436F6" w:rsidRPr="00115552">
        <w:rPr>
          <w:rFonts w:asciiTheme="minorHAnsi" w:hAnsiTheme="minorHAnsi"/>
          <w:lang w:val="en-US"/>
        </w:rPr>
        <w:t>s will be held</w:t>
      </w:r>
      <w:r w:rsidRPr="00115552">
        <w:rPr>
          <w:rFonts w:asciiTheme="minorHAnsi" w:hAnsiTheme="minorHAnsi"/>
          <w:lang w:val="en-US"/>
        </w:rPr>
        <w:t xml:space="preserve"> on the same biennium</w:t>
      </w:r>
      <w:r w:rsidR="003436F6" w:rsidRPr="00115552">
        <w:rPr>
          <w:rFonts w:asciiTheme="minorHAnsi" w:hAnsiTheme="minorHAnsi"/>
          <w:lang w:val="en-US"/>
        </w:rPr>
        <w:t xml:space="preserve"> in 2014-2015</w:t>
      </w:r>
      <w:r w:rsidRPr="00115552">
        <w:rPr>
          <w:rFonts w:asciiTheme="minorHAnsi" w:hAnsiTheme="minorHAnsi"/>
          <w:lang w:val="en-US"/>
        </w:rPr>
        <w:t>: PP-14, WTDC-14 and WRC-15</w:t>
      </w:r>
      <w:r w:rsidR="00F724B8" w:rsidRPr="00115552">
        <w:rPr>
          <w:rFonts w:asciiTheme="minorHAnsi" w:hAnsiTheme="minorHAnsi"/>
          <w:lang w:val="en-US"/>
        </w:rPr>
        <w:t>.</w:t>
      </w:r>
      <w:r w:rsidR="00F724B8">
        <w:rPr>
          <w:rFonts w:asciiTheme="minorHAnsi" w:hAnsiTheme="minorHAnsi"/>
          <w:lang w:val="en-US"/>
        </w:rPr>
        <w:t xml:space="preserve"> </w:t>
      </w:r>
    </w:p>
    <w:p w:rsidR="000C49CA" w:rsidRDefault="000C49CA" w:rsidP="003436F6">
      <w:pPr>
        <w:pStyle w:val="ListParagraph"/>
        <w:spacing w:after="0"/>
        <w:ind w:left="0"/>
        <w:jc w:val="both"/>
        <w:rPr>
          <w:rFonts w:asciiTheme="minorHAnsi" w:hAnsiTheme="minorHAnsi"/>
          <w:lang w:val="en-US"/>
        </w:rPr>
      </w:pPr>
    </w:p>
    <w:p w:rsidR="00E22292" w:rsidRPr="009778C9" w:rsidRDefault="003436F6" w:rsidP="000B53F6">
      <w:pPr>
        <w:pStyle w:val="ListParagraph"/>
        <w:spacing w:after="0"/>
        <w:ind w:left="0"/>
        <w:jc w:val="both"/>
        <w:rPr>
          <w:rFonts w:asciiTheme="minorHAnsi" w:hAnsiTheme="minorHAnsi"/>
          <w:lang w:val="en-US"/>
        </w:rPr>
      </w:pPr>
      <w:r w:rsidRPr="009778C9">
        <w:rPr>
          <w:rFonts w:asciiTheme="minorHAnsi" w:hAnsiTheme="minorHAnsi"/>
          <w:lang w:val="en-US"/>
        </w:rPr>
        <w:t xml:space="preserve">The </w:t>
      </w:r>
      <w:r>
        <w:rPr>
          <w:rFonts w:asciiTheme="minorHAnsi" w:hAnsiTheme="minorHAnsi"/>
          <w:lang w:val="en-US"/>
        </w:rPr>
        <w:t xml:space="preserve">detailed breakdown of the </w:t>
      </w:r>
      <w:r w:rsidRPr="00CA703C">
        <w:rPr>
          <w:rFonts w:asciiTheme="minorHAnsi" w:hAnsiTheme="minorHAnsi"/>
          <w:lang w:val="en-US"/>
        </w:rPr>
        <w:t xml:space="preserve">CHF </w:t>
      </w:r>
      <w:r w:rsidRPr="00115552">
        <w:rPr>
          <w:rFonts w:asciiTheme="minorHAnsi" w:hAnsiTheme="minorHAnsi"/>
          <w:lang w:val="en-US"/>
        </w:rPr>
        <w:t>18.</w:t>
      </w:r>
      <w:r w:rsidR="000B53F6" w:rsidRPr="00115552">
        <w:rPr>
          <w:rFonts w:asciiTheme="minorHAnsi" w:hAnsiTheme="minorHAnsi"/>
          <w:lang w:val="en-US"/>
        </w:rPr>
        <w:t>8</w:t>
      </w:r>
      <w:r w:rsidRPr="00115552">
        <w:rPr>
          <w:rFonts w:asciiTheme="minorHAnsi" w:hAnsiTheme="minorHAnsi"/>
          <w:lang w:val="en-US"/>
        </w:rPr>
        <w:t xml:space="preserve"> million increase</w:t>
      </w:r>
      <w:r>
        <w:rPr>
          <w:rFonts w:asciiTheme="minorHAnsi" w:hAnsiTheme="minorHAnsi"/>
          <w:lang w:val="en-US"/>
        </w:rPr>
        <w:t xml:space="preserve"> on the expense side</w:t>
      </w:r>
      <w:r w:rsidRPr="009778C9">
        <w:rPr>
          <w:rFonts w:asciiTheme="minorHAnsi" w:hAnsiTheme="minorHAnsi"/>
          <w:lang w:val="en-US"/>
        </w:rPr>
        <w:t xml:space="preserve"> </w:t>
      </w:r>
      <w:r w:rsidR="000C49CA">
        <w:rPr>
          <w:rFonts w:asciiTheme="minorHAnsi" w:hAnsiTheme="minorHAnsi"/>
          <w:lang w:val="en-US"/>
        </w:rPr>
        <w:t xml:space="preserve">compared with 2012-2013 </w:t>
      </w:r>
      <w:r>
        <w:rPr>
          <w:rFonts w:asciiTheme="minorHAnsi" w:hAnsiTheme="minorHAnsi"/>
          <w:lang w:val="en-US"/>
        </w:rPr>
        <w:t xml:space="preserve">is provided in Annex 3.  </w:t>
      </w:r>
      <w:r w:rsidR="00B777A1">
        <w:rPr>
          <w:rFonts w:asciiTheme="minorHAnsi" w:hAnsiTheme="minorHAnsi"/>
          <w:lang w:val="en-US"/>
        </w:rPr>
        <w:t>The</w:t>
      </w:r>
      <w:r w:rsidR="009778C9">
        <w:rPr>
          <w:rFonts w:asciiTheme="minorHAnsi" w:hAnsiTheme="minorHAnsi"/>
          <w:lang w:val="en-US"/>
        </w:rPr>
        <w:t xml:space="preserve"> variance </w:t>
      </w:r>
      <w:r w:rsidR="00E22292" w:rsidRPr="009778C9">
        <w:rPr>
          <w:rFonts w:asciiTheme="minorHAnsi" w:hAnsiTheme="minorHAnsi"/>
          <w:lang w:val="en-US"/>
        </w:rPr>
        <w:t xml:space="preserve">can be </w:t>
      </w:r>
      <w:r w:rsidR="009778C9">
        <w:rPr>
          <w:rFonts w:asciiTheme="minorHAnsi" w:hAnsiTheme="minorHAnsi"/>
          <w:lang w:val="en-US"/>
        </w:rPr>
        <w:t xml:space="preserve">analyzed </w:t>
      </w:r>
      <w:r w:rsidR="00E22292" w:rsidRPr="009778C9">
        <w:rPr>
          <w:rFonts w:asciiTheme="minorHAnsi" w:hAnsiTheme="minorHAnsi"/>
          <w:lang w:val="en-US"/>
        </w:rPr>
        <w:t>as follows:</w:t>
      </w:r>
    </w:p>
    <w:p w:rsidR="00E22292" w:rsidRPr="009778C9" w:rsidRDefault="00E22292" w:rsidP="00E22292">
      <w:pPr>
        <w:pStyle w:val="ListParagraph"/>
        <w:spacing w:after="0"/>
        <w:ind w:left="360"/>
        <w:jc w:val="both"/>
        <w:rPr>
          <w:rFonts w:asciiTheme="minorHAnsi" w:hAnsiTheme="minorHAnsi"/>
          <w:lang w:val="en-US"/>
        </w:rPr>
      </w:pPr>
    </w:p>
    <w:p w:rsidR="00F24F86" w:rsidRDefault="00E22292" w:rsidP="000B53F6">
      <w:pPr>
        <w:pStyle w:val="ListParagraph"/>
        <w:numPr>
          <w:ilvl w:val="0"/>
          <w:numId w:val="24"/>
        </w:numPr>
        <w:spacing w:after="0"/>
        <w:jc w:val="both"/>
        <w:rPr>
          <w:rFonts w:asciiTheme="minorHAnsi" w:hAnsiTheme="minorHAnsi"/>
          <w:lang w:val="en-US"/>
        </w:rPr>
      </w:pPr>
      <w:r w:rsidRPr="009778C9">
        <w:rPr>
          <w:rFonts w:asciiTheme="minorHAnsi" w:hAnsiTheme="minorHAnsi"/>
          <w:lang w:val="en-US"/>
        </w:rPr>
        <w:t>Most of the difference</w:t>
      </w:r>
      <w:r w:rsidR="00487A94">
        <w:rPr>
          <w:rFonts w:asciiTheme="minorHAnsi" w:hAnsiTheme="minorHAnsi"/>
          <w:lang w:val="en-US"/>
        </w:rPr>
        <w:t xml:space="preserve">, </w:t>
      </w:r>
      <w:r w:rsidRPr="000A1518">
        <w:rPr>
          <w:rFonts w:asciiTheme="minorHAnsi" w:hAnsiTheme="minorHAnsi"/>
          <w:lang w:val="en-US"/>
        </w:rPr>
        <w:t xml:space="preserve">CHF </w:t>
      </w:r>
      <w:r w:rsidR="000B53F6" w:rsidRPr="004F4E51">
        <w:rPr>
          <w:rFonts w:asciiTheme="minorHAnsi" w:hAnsiTheme="minorHAnsi"/>
          <w:lang w:val="en-US"/>
        </w:rPr>
        <w:t>15.2</w:t>
      </w:r>
      <w:r w:rsidRPr="004F4E51">
        <w:rPr>
          <w:rFonts w:asciiTheme="minorHAnsi" w:hAnsiTheme="minorHAnsi"/>
          <w:lang w:val="en-US"/>
        </w:rPr>
        <w:t xml:space="preserve"> million</w:t>
      </w:r>
      <w:r w:rsidR="00487A94">
        <w:rPr>
          <w:rFonts w:asciiTheme="minorHAnsi" w:hAnsiTheme="minorHAnsi"/>
          <w:lang w:val="en-US"/>
        </w:rPr>
        <w:t>,</w:t>
      </w:r>
      <w:r w:rsidRPr="009778C9">
        <w:rPr>
          <w:rFonts w:asciiTheme="minorHAnsi" w:hAnsiTheme="minorHAnsi"/>
          <w:lang w:val="en-US"/>
        </w:rPr>
        <w:t xml:space="preserve"> comes from the Bureaux and Departments</w:t>
      </w:r>
      <w:r w:rsidR="00F24F86">
        <w:rPr>
          <w:rFonts w:asciiTheme="minorHAnsi" w:hAnsiTheme="minorHAnsi"/>
          <w:lang w:val="en-US"/>
        </w:rPr>
        <w:t xml:space="preserve">. </w:t>
      </w:r>
      <w:r w:rsidRPr="009778C9">
        <w:rPr>
          <w:rFonts w:asciiTheme="minorHAnsi" w:hAnsiTheme="minorHAnsi"/>
          <w:lang w:val="en-US"/>
        </w:rPr>
        <w:t xml:space="preserve"> </w:t>
      </w:r>
    </w:p>
    <w:p w:rsidR="00487A94" w:rsidRDefault="00487A94" w:rsidP="00F24F86">
      <w:pPr>
        <w:pStyle w:val="ListParagraph"/>
        <w:spacing w:after="0"/>
        <w:jc w:val="both"/>
        <w:rPr>
          <w:rFonts w:asciiTheme="minorHAnsi" w:hAnsiTheme="minorHAnsi"/>
          <w:lang w:val="en-US"/>
        </w:rPr>
      </w:pPr>
      <w:r>
        <w:rPr>
          <w:rFonts w:asciiTheme="minorHAnsi" w:hAnsiTheme="minorHAnsi"/>
          <w:lang w:val="en-US"/>
        </w:rPr>
        <w:t>It includes:</w:t>
      </w:r>
    </w:p>
    <w:p w:rsidR="0076337A" w:rsidRDefault="00487A94" w:rsidP="004F4E51">
      <w:pPr>
        <w:pStyle w:val="ListParagraph"/>
        <w:numPr>
          <w:ilvl w:val="0"/>
          <w:numId w:val="25"/>
        </w:numPr>
        <w:spacing w:after="0"/>
        <w:ind w:left="1134" w:hanging="425"/>
        <w:jc w:val="both"/>
        <w:rPr>
          <w:rFonts w:asciiTheme="minorHAnsi" w:hAnsiTheme="minorHAnsi"/>
          <w:lang w:val="en-US"/>
        </w:rPr>
      </w:pPr>
      <w:r w:rsidRPr="0076337A">
        <w:rPr>
          <w:rFonts w:asciiTheme="minorHAnsi" w:hAnsiTheme="minorHAnsi"/>
          <w:lang w:val="en-US"/>
        </w:rPr>
        <w:t xml:space="preserve">Increases in the </w:t>
      </w:r>
      <w:r w:rsidR="001F61F6">
        <w:rPr>
          <w:rFonts w:asciiTheme="minorHAnsi" w:hAnsiTheme="minorHAnsi"/>
          <w:lang w:val="en-US"/>
        </w:rPr>
        <w:t xml:space="preserve">staff </w:t>
      </w:r>
      <w:r w:rsidR="0076337A" w:rsidRPr="0076337A">
        <w:rPr>
          <w:rFonts w:asciiTheme="minorHAnsi" w:hAnsiTheme="minorHAnsi"/>
          <w:lang w:val="en-US"/>
        </w:rPr>
        <w:t xml:space="preserve">cost </w:t>
      </w:r>
      <w:r w:rsidRPr="0076337A">
        <w:rPr>
          <w:rFonts w:asciiTheme="minorHAnsi" w:hAnsiTheme="minorHAnsi"/>
          <w:lang w:val="en-US"/>
        </w:rPr>
        <w:t>calculation</w:t>
      </w:r>
      <w:r w:rsidR="00CA55A9">
        <w:rPr>
          <w:rFonts w:asciiTheme="minorHAnsi" w:hAnsiTheme="minorHAnsi"/>
          <w:lang w:val="en-US"/>
        </w:rPr>
        <w:t xml:space="preserve"> </w:t>
      </w:r>
      <w:r w:rsidR="00CA55A9" w:rsidRPr="0089613A">
        <w:rPr>
          <w:rFonts w:asciiTheme="minorHAnsi" w:hAnsiTheme="minorHAnsi"/>
          <w:lang w:val="en-US"/>
        </w:rPr>
        <w:t>(CHF</w:t>
      </w:r>
      <w:r w:rsidR="00CA55A9">
        <w:rPr>
          <w:rFonts w:asciiTheme="minorHAnsi" w:hAnsiTheme="minorHAnsi"/>
          <w:lang w:val="en-US"/>
        </w:rPr>
        <w:t xml:space="preserve"> </w:t>
      </w:r>
      <w:r w:rsidR="004F4E51">
        <w:rPr>
          <w:rFonts w:asciiTheme="minorHAnsi" w:hAnsiTheme="minorHAnsi"/>
          <w:lang w:val="en-US"/>
        </w:rPr>
        <w:t>8.6</w:t>
      </w:r>
      <w:r w:rsidR="0089613A" w:rsidRPr="004F4E51">
        <w:rPr>
          <w:rFonts w:asciiTheme="minorHAnsi" w:hAnsiTheme="minorHAnsi"/>
          <w:lang w:val="en-US"/>
        </w:rPr>
        <w:t xml:space="preserve"> million</w:t>
      </w:r>
      <w:r w:rsidR="00CA55A9">
        <w:rPr>
          <w:rFonts w:asciiTheme="minorHAnsi" w:hAnsiTheme="minorHAnsi"/>
          <w:lang w:val="en-US"/>
        </w:rPr>
        <w:t>)</w:t>
      </w:r>
      <w:r w:rsidRPr="0076337A">
        <w:rPr>
          <w:rFonts w:asciiTheme="minorHAnsi" w:hAnsiTheme="minorHAnsi"/>
          <w:lang w:val="en-US"/>
        </w:rPr>
        <w:t>.  This increase</w:t>
      </w:r>
      <w:r w:rsidR="009905BC" w:rsidRPr="0076337A">
        <w:rPr>
          <w:rFonts w:asciiTheme="minorHAnsi" w:hAnsiTheme="minorHAnsi"/>
          <w:lang w:val="en-US"/>
        </w:rPr>
        <w:t xml:space="preserve"> is </w:t>
      </w:r>
      <w:r w:rsidR="0076337A" w:rsidRPr="0076337A">
        <w:rPr>
          <w:rFonts w:asciiTheme="minorHAnsi" w:hAnsiTheme="minorHAnsi"/>
          <w:lang w:val="en-US"/>
        </w:rPr>
        <w:t xml:space="preserve">applicable to all </w:t>
      </w:r>
      <w:r w:rsidR="009905BC" w:rsidRPr="0076337A">
        <w:rPr>
          <w:rFonts w:asciiTheme="minorHAnsi" w:hAnsiTheme="minorHAnsi"/>
          <w:lang w:val="en-US"/>
        </w:rPr>
        <w:t>Bureaux and Departments</w:t>
      </w:r>
      <w:r w:rsidR="009905BC" w:rsidRPr="00231466">
        <w:rPr>
          <w:rFonts w:asciiTheme="minorHAnsi" w:hAnsiTheme="minorHAnsi"/>
          <w:lang w:val="en-US"/>
        </w:rPr>
        <w:t>.</w:t>
      </w:r>
      <w:r w:rsidR="0076337A" w:rsidRPr="00231466">
        <w:rPr>
          <w:rFonts w:asciiTheme="minorHAnsi" w:hAnsiTheme="minorHAnsi"/>
          <w:lang w:val="en-US"/>
        </w:rPr>
        <w:t xml:space="preserve">  </w:t>
      </w:r>
      <w:r w:rsidR="00963C1B" w:rsidRPr="00231466">
        <w:rPr>
          <w:rFonts w:asciiTheme="minorHAnsi" w:hAnsiTheme="minorHAnsi"/>
          <w:lang w:val="en-US"/>
        </w:rPr>
        <w:t>A</w:t>
      </w:r>
      <w:r w:rsidR="0076337A" w:rsidRPr="00231466">
        <w:rPr>
          <w:rFonts w:asciiTheme="minorHAnsi" w:hAnsiTheme="minorHAnsi"/>
          <w:lang w:val="en-US"/>
        </w:rPr>
        <w:t xml:space="preserve"> </w:t>
      </w:r>
      <w:r w:rsidR="00D10D66" w:rsidRPr="00231466">
        <w:rPr>
          <w:rFonts w:asciiTheme="minorHAnsi" w:hAnsiTheme="minorHAnsi"/>
          <w:lang w:val="en-US"/>
        </w:rPr>
        <w:t xml:space="preserve">5 % </w:t>
      </w:r>
      <w:r w:rsidR="000A1518" w:rsidRPr="00231466">
        <w:rPr>
          <w:rFonts w:asciiTheme="minorHAnsi" w:hAnsiTheme="minorHAnsi"/>
          <w:lang w:val="en-US"/>
        </w:rPr>
        <w:t>ITU-wide staff cost cut</w:t>
      </w:r>
      <w:r w:rsidR="000A1518">
        <w:rPr>
          <w:rFonts w:asciiTheme="minorHAnsi" w:hAnsiTheme="minorHAnsi"/>
          <w:lang w:val="en-US"/>
        </w:rPr>
        <w:t xml:space="preserve"> </w:t>
      </w:r>
      <w:r w:rsidR="00963C1B">
        <w:rPr>
          <w:rFonts w:asciiTheme="minorHAnsi" w:hAnsiTheme="minorHAnsi"/>
          <w:lang w:val="en-US"/>
        </w:rPr>
        <w:t xml:space="preserve">has been </w:t>
      </w:r>
      <w:r w:rsidR="00D10D66">
        <w:rPr>
          <w:rFonts w:asciiTheme="minorHAnsi" w:hAnsiTheme="minorHAnsi"/>
          <w:lang w:val="en-US"/>
        </w:rPr>
        <w:t xml:space="preserve">applied in </w:t>
      </w:r>
      <w:r w:rsidR="008C2AE4">
        <w:rPr>
          <w:rFonts w:asciiTheme="minorHAnsi" w:hAnsiTheme="minorHAnsi"/>
          <w:lang w:val="en-US"/>
        </w:rPr>
        <w:t xml:space="preserve">the draft budget for </w:t>
      </w:r>
      <w:r w:rsidR="00963C1B">
        <w:rPr>
          <w:rFonts w:asciiTheme="minorHAnsi" w:hAnsiTheme="minorHAnsi"/>
          <w:lang w:val="en-US"/>
        </w:rPr>
        <w:t>2014-2015.</w:t>
      </w:r>
      <w:r w:rsidR="00D10D66">
        <w:rPr>
          <w:rFonts w:asciiTheme="minorHAnsi" w:hAnsiTheme="minorHAnsi"/>
          <w:lang w:val="en-US"/>
        </w:rPr>
        <w:t xml:space="preserve"> </w:t>
      </w:r>
      <w:r w:rsidR="0076337A" w:rsidRPr="0076337A">
        <w:rPr>
          <w:rFonts w:asciiTheme="minorHAnsi" w:hAnsiTheme="minorHAnsi"/>
          <w:lang w:val="en-US"/>
        </w:rPr>
        <w:t xml:space="preserve">The increase in health insurance costs </w:t>
      </w:r>
      <w:r w:rsidR="0076337A">
        <w:rPr>
          <w:rFonts w:asciiTheme="minorHAnsi" w:hAnsiTheme="minorHAnsi"/>
          <w:lang w:val="en-US"/>
        </w:rPr>
        <w:t xml:space="preserve">which </w:t>
      </w:r>
      <w:r w:rsidR="0076337A" w:rsidRPr="0076337A">
        <w:rPr>
          <w:rFonts w:asciiTheme="minorHAnsi" w:hAnsiTheme="minorHAnsi"/>
          <w:lang w:val="en-US"/>
        </w:rPr>
        <w:t xml:space="preserve">is currently under negotiation with the ILO has also  been included. </w:t>
      </w:r>
      <w:r w:rsidR="008A7F92">
        <w:rPr>
          <w:rFonts w:asciiTheme="minorHAnsi" w:hAnsiTheme="minorHAnsi"/>
          <w:lang w:val="en-US"/>
        </w:rPr>
        <w:t xml:space="preserve"> The</w:t>
      </w:r>
      <w:r w:rsidR="00FA4959">
        <w:rPr>
          <w:rFonts w:asciiTheme="minorHAnsi" w:hAnsiTheme="minorHAnsi"/>
          <w:lang w:val="en-US"/>
        </w:rPr>
        <w:t xml:space="preserve"> increase of the contribution rate from 3.3% to </w:t>
      </w:r>
      <w:r w:rsidR="00AD3F04">
        <w:rPr>
          <w:rFonts w:asciiTheme="minorHAnsi" w:hAnsiTheme="minorHAnsi"/>
          <w:lang w:val="en-US"/>
        </w:rPr>
        <w:t>3.91</w:t>
      </w:r>
      <w:r w:rsidR="00FA4959">
        <w:rPr>
          <w:rFonts w:asciiTheme="minorHAnsi" w:hAnsiTheme="minorHAnsi"/>
          <w:lang w:val="en-US"/>
        </w:rPr>
        <w:t xml:space="preserve">%, </w:t>
      </w:r>
      <w:r w:rsidR="008A7F92">
        <w:rPr>
          <w:rFonts w:asciiTheme="minorHAnsi" w:hAnsiTheme="minorHAnsi"/>
          <w:lang w:val="en-US"/>
        </w:rPr>
        <w:t xml:space="preserve">is </w:t>
      </w:r>
      <w:r w:rsidR="00FA4959">
        <w:rPr>
          <w:rFonts w:asciiTheme="minorHAnsi" w:hAnsiTheme="minorHAnsi"/>
          <w:lang w:val="en-US"/>
        </w:rPr>
        <w:t xml:space="preserve">equivalent to CHF </w:t>
      </w:r>
      <w:r w:rsidR="008A7F92">
        <w:rPr>
          <w:rFonts w:asciiTheme="minorHAnsi" w:hAnsiTheme="minorHAnsi"/>
          <w:lang w:val="en-US"/>
        </w:rPr>
        <w:t>1.</w:t>
      </w:r>
      <w:r w:rsidR="00C55D9F">
        <w:rPr>
          <w:rFonts w:asciiTheme="minorHAnsi" w:hAnsiTheme="minorHAnsi"/>
          <w:lang w:val="en-US"/>
        </w:rPr>
        <w:t>5</w:t>
      </w:r>
      <w:r w:rsidR="00FA4959">
        <w:rPr>
          <w:rFonts w:asciiTheme="minorHAnsi" w:hAnsiTheme="minorHAnsi"/>
          <w:lang w:val="en-US"/>
        </w:rPr>
        <w:t xml:space="preserve"> million for active staff</w:t>
      </w:r>
      <w:r w:rsidR="00CD3C19">
        <w:rPr>
          <w:rFonts w:asciiTheme="minorHAnsi" w:hAnsiTheme="minorHAnsi"/>
          <w:lang w:val="en-US"/>
        </w:rPr>
        <w:t xml:space="preserve"> and CHF 2 million for retirees</w:t>
      </w:r>
      <w:r w:rsidR="00FA4959">
        <w:rPr>
          <w:rFonts w:asciiTheme="minorHAnsi" w:hAnsiTheme="minorHAnsi"/>
          <w:lang w:val="en-US"/>
        </w:rPr>
        <w:t>.</w:t>
      </w:r>
    </w:p>
    <w:p w:rsidR="00FA4959" w:rsidRPr="0076337A" w:rsidRDefault="00FA4959" w:rsidP="00FA4959">
      <w:pPr>
        <w:pStyle w:val="ListParagraph"/>
        <w:spacing w:after="0"/>
        <w:ind w:left="1134"/>
        <w:jc w:val="both"/>
        <w:rPr>
          <w:rFonts w:asciiTheme="minorHAnsi" w:hAnsiTheme="minorHAnsi"/>
          <w:lang w:val="en-US"/>
        </w:rPr>
      </w:pPr>
    </w:p>
    <w:p w:rsidR="00FA4959" w:rsidRDefault="00327FA7" w:rsidP="00327FA7">
      <w:pPr>
        <w:pStyle w:val="ListParagraph"/>
        <w:numPr>
          <w:ilvl w:val="0"/>
          <w:numId w:val="25"/>
        </w:numPr>
        <w:spacing w:after="0"/>
        <w:jc w:val="both"/>
        <w:rPr>
          <w:rFonts w:asciiTheme="minorHAnsi" w:hAnsiTheme="minorHAnsi"/>
          <w:lang w:val="en-US"/>
        </w:rPr>
      </w:pPr>
      <w:r w:rsidRPr="004F4E51">
        <w:rPr>
          <w:rFonts w:asciiTheme="minorHAnsi" w:hAnsiTheme="minorHAnsi"/>
          <w:lang w:val="en-US"/>
        </w:rPr>
        <w:t>10</w:t>
      </w:r>
      <w:r w:rsidR="00FA4959" w:rsidRPr="004F4E51">
        <w:rPr>
          <w:rFonts w:asciiTheme="minorHAnsi" w:hAnsiTheme="minorHAnsi"/>
          <w:lang w:val="en-US"/>
        </w:rPr>
        <w:t xml:space="preserve"> additional</w:t>
      </w:r>
      <w:r w:rsidR="00FA4959">
        <w:rPr>
          <w:rFonts w:asciiTheme="minorHAnsi" w:hAnsiTheme="minorHAnsi"/>
          <w:lang w:val="en-US"/>
        </w:rPr>
        <w:t xml:space="preserve"> posts compared to the 2013 budget, the breakdown of which is provided by Sector and Department in Table 2 </w:t>
      </w:r>
      <w:r w:rsidR="00CD3C19">
        <w:rPr>
          <w:rFonts w:asciiTheme="minorHAnsi" w:hAnsiTheme="minorHAnsi"/>
          <w:lang w:val="en-US"/>
        </w:rPr>
        <w:t xml:space="preserve">below  </w:t>
      </w:r>
      <w:r w:rsidR="00FA4959">
        <w:rPr>
          <w:rFonts w:asciiTheme="minorHAnsi" w:hAnsiTheme="minorHAnsi"/>
          <w:lang w:val="en-US"/>
        </w:rPr>
        <w:t>(</w:t>
      </w:r>
      <w:r w:rsidR="00FA4959" w:rsidRPr="004F4E51">
        <w:rPr>
          <w:rFonts w:asciiTheme="minorHAnsi" w:hAnsiTheme="minorHAnsi"/>
          <w:lang w:val="en-US"/>
        </w:rPr>
        <w:t xml:space="preserve">CHF </w:t>
      </w:r>
      <w:r w:rsidR="00E51020" w:rsidRPr="004F4E51">
        <w:rPr>
          <w:rFonts w:asciiTheme="minorHAnsi" w:hAnsiTheme="minorHAnsi"/>
          <w:lang w:val="en-US"/>
        </w:rPr>
        <w:t>2.</w:t>
      </w:r>
      <w:r w:rsidRPr="004F4E51">
        <w:rPr>
          <w:rFonts w:asciiTheme="minorHAnsi" w:hAnsiTheme="minorHAnsi"/>
          <w:lang w:val="en-US"/>
        </w:rPr>
        <w:t>8</w:t>
      </w:r>
      <w:r w:rsidR="00FA4959" w:rsidRPr="004F4E51">
        <w:rPr>
          <w:rFonts w:asciiTheme="minorHAnsi" w:hAnsiTheme="minorHAnsi"/>
          <w:lang w:val="en-US"/>
        </w:rPr>
        <w:t xml:space="preserve"> million</w:t>
      </w:r>
      <w:r w:rsidR="00CD3C19">
        <w:rPr>
          <w:rFonts w:asciiTheme="minorHAnsi" w:hAnsiTheme="minorHAnsi"/>
          <w:lang w:val="en-US"/>
        </w:rPr>
        <w:t>).</w:t>
      </w:r>
    </w:p>
    <w:p w:rsidR="00A806C7" w:rsidRPr="00A806C7" w:rsidRDefault="00A806C7" w:rsidP="00A806C7">
      <w:pPr>
        <w:pStyle w:val="ListParagraph"/>
        <w:rPr>
          <w:rFonts w:asciiTheme="minorHAnsi" w:hAnsiTheme="minorHAnsi"/>
          <w:lang w:val="en-US"/>
        </w:rPr>
      </w:pPr>
    </w:p>
    <w:p w:rsidR="007B64F8" w:rsidRPr="00487A94" w:rsidRDefault="00487A94" w:rsidP="008C2AE4">
      <w:pPr>
        <w:pStyle w:val="ListParagraph"/>
        <w:spacing w:after="0"/>
        <w:ind w:left="709"/>
        <w:jc w:val="center"/>
        <w:rPr>
          <w:rFonts w:asciiTheme="minorHAnsi" w:hAnsiTheme="minorHAnsi"/>
          <w:b/>
          <w:bCs/>
          <w:lang w:val="en-US"/>
        </w:rPr>
      </w:pPr>
      <w:r w:rsidRPr="00487A94">
        <w:rPr>
          <w:rFonts w:asciiTheme="minorHAnsi" w:hAnsiTheme="minorHAnsi"/>
          <w:b/>
          <w:bCs/>
          <w:lang w:val="en-US"/>
        </w:rPr>
        <w:t>Table 2</w:t>
      </w:r>
    </w:p>
    <w:p w:rsidR="000F60AD" w:rsidRDefault="00711ABB" w:rsidP="004F4E51">
      <w:pPr>
        <w:pStyle w:val="ListParagraph"/>
        <w:spacing w:after="0"/>
        <w:ind w:left="284"/>
        <w:jc w:val="right"/>
        <w:rPr>
          <w:rFonts w:asciiTheme="minorHAnsi" w:hAnsiTheme="minorHAnsi"/>
          <w:sz w:val="24"/>
          <w:szCs w:val="24"/>
          <w:lang w:val="en-US"/>
        </w:rPr>
      </w:pPr>
      <w:r w:rsidRPr="00711ABB">
        <w:rPr>
          <w:noProof/>
          <w:lang w:val="en-US" w:eastAsia="zh-CN"/>
        </w:rPr>
        <w:drawing>
          <wp:inline distT="0" distB="0" distL="0" distR="0" wp14:anchorId="481F2835" wp14:editId="6E564A53">
            <wp:extent cx="5002633" cy="1620982"/>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215" cy="1626355"/>
                    </a:xfrm>
                    <a:prstGeom prst="rect">
                      <a:avLst/>
                    </a:prstGeom>
                    <a:noFill/>
                    <a:ln>
                      <a:noFill/>
                    </a:ln>
                  </pic:spPr>
                </pic:pic>
              </a:graphicData>
            </a:graphic>
          </wp:inline>
        </w:drawing>
      </w:r>
    </w:p>
    <w:p w:rsidR="008C2AE4" w:rsidRDefault="008C2AE4" w:rsidP="008C2AE4">
      <w:pPr>
        <w:pStyle w:val="ListParagraph"/>
        <w:ind w:left="1080"/>
        <w:jc w:val="both"/>
        <w:rPr>
          <w:rFonts w:asciiTheme="minorHAnsi" w:hAnsiTheme="minorHAnsi"/>
          <w:lang w:val="en-US"/>
        </w:rPr>
      </w:pPr>
    </w:p>
    <w:p w:rsidR="005765FC" w:rsidRDefault="00751F31" w:rsidP="00E41F9B">
      <w:pPr>
        <w:pStyle w:val="ListParagraph"/>
        <w:numPr>
          <w:ilvl w:val="0"/>
          <w:numId w:val="25"/>
        </w:numPr>
        <w:jc w:val="both"/>
        <w:rPr>
          <w:rFonts w:asciiTheme="minorHAnsi" w:hAnsiTheme="minorHAnsi"/>
          <w:lang w:val="en-US"/>
        </w:rPr>
      </w:pPr>
      <w:r w:rsidRPr="00963C1B">
        <w:rPr>
          <w:rFonts w:asciiTheme="minorHAnsi" w:hAnsiTheme="minorHAnsi"/>
          <w:lang w:val="en-US"/>
        </w:rPr>
        <w:t>Do</w:t>
      </w:r>
      <w:r w:rsidR="005765FC" w:rsidRPr="00963C1B">
        <w:rPr>
          <w:rFonts w:asciiTheme="minorHAnsi" w:hAnsiTheme="minorHAnsi"/>
          <w:lang w:val="en-US"/>
        </w:rPr>
        <w:t xml:space="preserve">cumentation volume has increased variable costs by CHF </w:t>
      </w:r>
      <w:r w:rsidR="00C55D9F">
        <w:rPr>
          <w:rFonts w:asciiTheme="minorHAnsi" w:hAnsiTheme="minorHAnsi"/>
          <w:lang w:val="en-US"/>
        </w:rPr>
        <w:t>2.6</w:t>
      </w:r>
      <w:r w:rsidR="005765FC" w:rsidRPr="00963C1B">
        <w:rPr>
          <w:rFonts w:asciiTheme="minorHAnsi" w:hAnsiTheme="minorHAnsi"/>
          <w:lang w:val="en-US"/>
        </w:rPr>
        <w:t xml:space="preserve"> million</w:t>
      </w:r>
      <w:r w:rsidR="00902421">
        <w:rPr>
          <w:rFonts w:asciiTheme="minorHAnsi" w:hAnsiTheme="minorHAnsi"/>
          <w:lang w:val="en-US"/>
        </w:rPr>
        <w:t xml:space="preserve">.  There is </w:t>
      </w:r>
      <w:r w:rsidR="00A65741">
        <w:rPr>
          <w:rFonts w:asciiTheme="minorHAnsi" w:hAnsiTheme="minorHAnsi"/>
          <w:lang w:val="en-US"/>
        </w:rPr>
        <w:t>increased workload of translation by 19.1 % due to programme variations</w:t>
      </w:r>
      <w:r w:rsidR="00C55D9F">
        <w:rPr>
          <w:rFonts w:asciiTheme="minorHAnsi" w:hAnsiTheme="minorHAnsi"/>
          <w:lang w:val="en-US"/>
        </w:rPr>
        <w:t xml:space="preserve">.  </w:t>
      </w:r>
      <w:r w:rsidR="001B6C24">
        <w:rPr>
          <w:rFonts w:asciiTheme="minorHAnsi" w:hAnsiTheme="minorHAnsi"/>
          <w:lang w:val="en-US"/>
        </w:rPr>
        <w:t>As shown in Annex 7, t</w:t>
      </w:r>
      <w:r w:rsidR="00C55D9F">
        <w:rPr>
          <w:rFonts w:asciiTheme="minorHAnsi" w:hAnsiTheme="minorHAnsi"/>
          <w:lang w:val="en-US"/>
        </w:rPr>
        <w:t xml:space="preserve">otal documentation cost is </w:t>
      </w:r>
      <w:r w:rsidR="00CB32BA" w:rsidRPr="00963C1B">
        <w:rPr>
          <w:rFonts w:asciiTheme="minorHAnsi" w:hAnsiTheme="minorHAnsi"/>
          <w:lang w:val="en-US"/>
        </w:rPr>
        <w:t xml:space="preserve">CHF </w:t>
      </w:r>
      <w:r w:rsidR="007E6647">
        <w:rPr>
          <w:rFonts w:asciiTheme="minorHAnsi" w:hAnsiTheme="minorHAnsi"/>
          <w:lang w:val="en-US"/>
        </w:rPr>
        <w:t>31.7</w:t>
      </w:r>
      <w:r w:rsidR="00CB32BA" w:rsidRPr="00963C1B">
        <w:rPr>
          <w:rFonts w:asciiTheme="minorHAnsi" w:hAnsiTheme="minorHAnsi"/>
          <w:lang w:val="en-US"/>
        </w:rPr>
        <w:t xml:space="preserve"> million in 2014-2015</w:t>
      </w:r>
      <w:r w:rsidR="00C55D9F">
        <w:rPr>
          <w:rFonts w:asciiTheme="minorHAnsi" w:hAnsiTheme="minorHAnsi"/>
          <w:lang w:val="en-US"/>
        </w:rPr>
        <w:t xml:space="preserve"> and total language cost including interpretation is CHF </w:t>
      </w:r>
      <w:r w:rsidR="007E6647">
        <w:rPr>
          <w:rFonts w:asciiTheme="minorHAnsi" w:hAnsiTheme="minorHAnsi"/>
          <w:lang w:val="en-US"/>
        </w:rPr>
        <w:t>39</w:t>
      </w:r>
      <w:r w:rsidR="00C55D9F">
        <w:rPr>
          <w:rFonts w:asciiTheme="minorHAnsi" w:hAnsiTheme="minorHAnsi"/>
          <w:lang w:val="en-US"/>
        </w:rPr>
        <w:t xml:space="preserve"> million</w:t>
      </w:r>
      <w:r w:rsidR="00CB32BA" w:rsidRPr="00963C1B">
        <w:rPr>
          <w:rFonts w:asciiTheme="minorHAnsi" w:hAnsiTheme="minorHAnsi"/>
          <w:lang w:val="en-US"/>
        </w:rPr>
        <w:t>.  I</w:t>
      </w:r>
      <w:r w:rsidR="001E37C8" w:rsidRPr="00963C1B">
        <w:rPr>
          <w:rFonts w:asciiTheme="minorHAnsi" w:hAnsiTheme="minorHAnsi"/>
          <w:lang w:val="en-US"/>
        </w:rPr>
        <w:t xml:space="preserve">ncreases </w:t>
      </w:r>
      <w:r w:rsidR="00CB32BA" w:rsidRPr="00963C1B">
        <w:rPr>
          <w:rFonts w:asciiTheme="minorHAnsi" w:hAnsiTheme="minorHAnsi"/>
          <w:lang w:val="en-US"/>
        </w:rPr>
        <w:t>in</w:t>
      </w:r>
      <w:r w:rsidR="001E37C8" w:rsidRPr="00963C1B">
        <w:rPr>
          <w:rFonts w:asciiTheme="minorHAnsi" w:hAnsiTheme="minorHAnsi"/>
          <w:lang w:val="en-US"/>
        </w:rPr>
        <w:t xml:space="preserve"> volume </w:t>
      </w:r>
      <w:r w:rsidR="00C55D9F">
        <w:rPr>
          <w:rFonts w:asciiTheme="minorHAnsi" w:hAnsiTheme="minorHAnsi"/>
          <w:lang w:val="en-US"/>
        </w:rPr>
        <w:t>are</w:t>
      </w:r>
      <w:r w:rsidR="001E37C8" w:rsidRPr="00963C1B">
        <w:rPr>
          <w:rFonts w:asciiTheme="minorHAnsi" w:hAnsiTheme="minorHAnsi"/>
          <w:lang w:val="en-US"/>
        </w:rPr>
        <w:t xml:space="preserve"> shown in Table 3</w:t>
      </w:r>
      <w:r w:rsidR="00CD3C19" w:rsidRPr="00963C1B">
        <w:rPr>
          <w:rFonts w:asciiTheme="minorHAnsi" w:hAnsiTheme="minorHAnsi"/>
          <w:lang w:val="en-US"/>
        </w:rPr>
        <w:t xml:space="preserve"> below</w:t>
      </w:r>
      <w:r w:rsidR="00CB32BA" w:rsidRPr="00963C1B">
        <w:rPr>
          <w:rFonts w:asciiTheme="minorHAnsi" w:hAnsiTheme="minorHAnsi"/>
          <w:lang w:val="en-US"/>
        </w:rPr>
        <w:t>.</w:t>
      </w:r>
    </w:p>
    <w:p w:rsidR="00EE05DA" w:rsidRPr="00487A94" w:rsidRDefault="00487A94" w:rsidP="00487A94">
      <w:pPr>
        <w:pStyle w:val="ListParagraph"/>
        <w:spacing w:after="0"/>
        <w:ind w:left="709"/>
        <w:jc w:val="center"/>
        <w:rPr>
          <w:rFonts w:asciiTheme="minorHAnsi" w:hAnsiTheme="minorHAnsi"/>
          <w:b/>
          <w:bCs/>
          <w:lang w:val="en-US"/>
        </w:rPr>
      </w:pPr>
      <w:r w:rsidRPr="00487A94">
        <w:rPr>
          <w:rFonts w:asciiTheme="minorHAnsi" w:hAnsiTheme="minorHAnsi"/>
          <w:b/>
          <w:bCs/>
          <w:lang w:val="en-US"/>
        </w:rPr>
        <w:t>Table 3</w:t>
      </w:r>
    </w:p>
    <w:p w:rsidR="000F60AD" w:rsidRDefault="00840C33" w:rsidP="00EE05DA">
      <w:pPr>
        <w:pStyle w:val="ListParagraph"/>
        <w:spacing w:after="0"/>
        <w:ind w:left="360"/>
        <w:jc w:val="center"/>
        <w:rPr>
          <w:rFonts w:asciiTheme="minorHAnsi" w:hAnsiTheme="minorHAnsi"/>
          <w:sz w:val="24"/>
          <w:szCs w:val="24"/>
          <w:lang w:val="en-US"/>
        </w:rPr>
      </w:pPr>
      <w:r w:rsidRPr="00840C33">
        <w:rPr>
          <w:noProof/>
          <w:lang w:val="en-US" w:eastAsia="zh-CN"/>
        </w:rPr>
        <w:drawing>
          <wp:inline distT="0" distB="0" distL="0" distR="0">
            <wp:extent cx="3879215" cy="671830"/>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9215" cy="671830"/>
                    </a:xfrm>
                    <a:prstGeom prst="rect">
                      <a:avLst/>
                    </a:prstGeom>
                    <a:noFill/>
                    <a:ln>
                      <a:noFill/>
                    </a:ln>
                  </pic:spPr>
                </pic:pic>
              </a:graphicData>
            </a:graphic>
          </wp:inline>
        </w:drawing>
      </w:r>
    </w:p>
    <w:p w:rsidR="00EE05DA" w:rsidRDefault="00EE05DA" w:rsidP="00EE05DA">
      <w:pPr>
        <w:pStyle w:val="ListParagraph"/>
        <w:spacing w:after="0"/>
        <w:ind w:left="360"/>
        <w:jc w:val="center"/>
        <w:rPr>
          <w:rFonts w:asciiTheme="minorHAnsi" w:hAnsiTheme="minorHAnsi"/>
          <w:sz w:val="24"/>
          <w:szCs w:val="24"/>
          <w:lang w:val="en-US"/>
        </w:rPr>
      </w:pPr>
    </w:p>
    <w:p w:rsidR="007D6043" w:rsidRDefault="00CD3C19" w:rsidP="008C2AE4">
      <w:pPr>
        <w:pStyle w:val="ListParagraph"/>
        <w:tabs>
          <w:tab w:val="left" w:pos="1134"/>
        </w:tabs>
        <w:spacing w:after="0"/>
        <w:ind w:left="1134" w:hanging="1134"/>
        <w:jc w:val="both"/>
        <w:rPr>
          <w:rFonts w:asciiTheme="minorHAnsi" w:hAnsiTheme="minorHAnsi"/>
          <w:lang w:val="en-US"/>
        </w:rPr>
      </w:pPr>
      <w:r>
        <w:rPr>
          <w:rFonts w:asciiTheme="minorHAnsi" w:hAnsiTheme="minorHAnsi"/>
          <w:sz w:val="24"/>
          <w:szCs w:val="24"/>
          <w:lang w:val="en-US"/>
        </w:rPr>
        <w:lastRenderedPageBreak/>
        <w:tab/>
      </w:r>
      <w:r w:rsidR="007D6043">
        <w:rPr>
          <w:rFonts w:asciiTheme="minorHAnsi" w:hAnsiTheme="minorHAnsi"/>
          <w:lang w:val="en-US"/>
        </w:rPr>
        <w:t xml:space="preserve">Compared with the documentation workload requests received at </w:t>
      </w:r>
      <w:r w:rsidR="008C2AE4">
        <w:rPr>
          <w:rFonts w:asciiTheme="minorHAnsi" w:hAnsiTheme="minorHAnsi"/>
          <w:lang w:val="en-US"/>
        </w:rPr>
        <w:t>22</w:t>
      </w:r>
      <w:r w:rsidR="007D6043">
        <w:rPr>
          <w:rFonts w:asciiTheme="minorHAnsi" w:hAnsiTheme="minorHAnsi"/>
          <w:lang w:val="en-US"/>
        </w:rPr>
        <w:t xml:space="preserve"> November, the current status shows a decrease of CHF 2.5 million corresponding to a decrease in volume of 14% (119,269 pages of translation instead of 138,948 pages) for CHF 2.3 million and a shift in the allocation of the variable costs appropriations between short term recruitment</w:t>
      </w:r>
      <w:r w:rsidR="00003024">
        <w:rPr>
          <w:rFonts w:asciiTheme="minorHAnsi" w:hAnsiTheme="minorHAnsi"/>
          <w:lang w:val="en-US"/>
        </w:rPr>
        <w:t>s</w:t>
      </w:r>
      <w:r w:rsidR="007D6043">
        <w:rPr>
          <w:rFonts w:asciiTheme="minorHAnsi" w:hAnsiTheme="minorHAnsi"/>
          <w:lang w:val="en-US"/>
        </w:rPr>
        <w:t xml:space="preserve"> and external contracts for CH</w:t>
      </w:r>
      <w:r w:rsidR="00003024">
        <w:rPr>
          <w:rFonts w:asciiTheme="minorHAnsi" w:hAnsiTheme="minorHAnsi"/>
          <w:lang w:val="en-US"/>
        </w:rPr>
        <w:t>F 0.2 million.  The ratio short term contract</w:t>
      </w:r>
      <w:r w:rsidR="00877C20">
        <w:rPr>
          <w:rFonts w:asciiTheme="minorHAnsi" w:hAnsiTheme="minorHAnsi"/>
          <w:lang w:val="en-US"/>
        </w:rPr>
        <w:t>s</w:t>
      </w:r>
      <w:r w:rsidR="00003024">
        <w:rPr>
          <w:rFonts w:asciiTheme="minorHAnsi" w:hAnsiTheme="minorHAnsi"/>
          <w:lang w:val="en-US"/>
        </w:rPr>
        <w:t xml:space="preserve"> versus external contracts has changed from 50/50 to 25/75 leaving </w:t>
      </w:r>
      <w:r w:rsidR="00715078">
        <w:rPr>
          <w:rFonts w:asciiTheme="minorHAnsi" w:hAnsiTheme="minorHAnsi"/>
          <w:lang w:val="en-US"/>
        </w:rPr>
        <w:t xml:space="preserve">more opportunities </w:t>
      </w:r>
      <w:r w:rsidR="00003024">
        <w:rPr>
          <w:rFonts w:asciiTheme="minorHAnsi" w:hAnsiTheme="minorHAnsi"/>
          <w:lang w:val="en-US"/>
        </w:rPr>
        <w:t xml:space="preserve"> to place external contracts </w:t>
      </w:r>
      <w:r w:rsidR="00715078">
        <w:rPr>
          <w:rFonts w:asciiTheme="minorHAnsi" w:hAnsiTheme="minorHAnsi"/>
          <w:lang w:val="en-US"/>
        </w:rPr>
        <w:t xml:space="preserve">(additional CHF 0.8 million) </w:t>
      </w:r>
      <w:r w:rsidR="00003024">
        <w:rPr>
          <w:rFonts w:asciiTheme="minorHAnsi" w:hAnsiTheme="minorHAnsi"/>
          <w:lang w:val="en-US"/>
        </w:rPr>
        <w:t xml:space="preserve">and benefit from market </w:t>
      </w:r>
      <w:r w:rsidR="00715078">
        <w:rPr>
          <w:rFonts w:asciiTheme="minorHAnsi" w:hAnsiTheme="minorHAnsi"/>
          <w:lang w:val="en-US"/>
        </w:rPr>
        <w:t xml:space="preserve">conditions </w:t>
      </w:r>
      <w:r w:rsidR="00003024">
        <w:rPr>
          <w:rFonts w:asciiTheme="minorHAnsi" w:hAnsiTheme="minorHAnsi"/>
          <w:lang w:val="en-US"/>
        </w:rPr>
        <w:t>to obtain more pa</w:t>
      </w:r>
      <w:r w:rsidR="00715078">
        <w:rPr>
          <w:rFonts w:asciiTheme="minorHAnsi" w:hAnsiTheme="minorHAnsi"/>
          <w:lang w:val="en-US"/>
        </w:rPr>
        <w:t>ges of translation.</w:t>
      </w:r>
      <w:r w:rsidR="00003024">
        <w:rPr>
          <w:rFonts w:asciiTheme="minorHAnsi" w:hAnsiTheme="minorHAnsi"/>
          <w:lang w:val="en-US"/>
        </w:rPr>
        <w:t xml:space="preserve"> </w:t>
      </w:r>
    </w:p>
    <w:p w:rsidR="003401F7" w:rsidRDefault="003401F7" w:rsidP="00715078">
      <w:pPr>
        <w:pStyle w:val="ListParagraph"/>
        <w:tabs>
          <w:tab w:val="left" w:pos="1134"/>
        </w:tabs>
        <w:spacing w:after="0"/>
        <w:ind w:left="1134" w:hanging="774"/>
        <w:rPr>
          <w:rFonts w:asciiTheme="minorHAnsi" w:hAnsiTheme="minorHAnsi"/>
          <w:lang w:val="en-US"/>
        </w:rPr>
      </w:pPr>
    </w:p>
    <w:p w:rsidR="003401F7" w:rsidRPr="00CB32BA" w:rsidRDefault="003401F7" w:rsidP="00715078">
      <w:pPr>
        <w:pStyle w:val="ListParagraph"/>
        <w:tabs>
          <w:tab w:val="left" w:pos="1134"/>
        </w:tabs>
        <w:spacing w:after="0"/>
        <w:ind w:left="1134" w:hanging="774"/>
        <w:rPr>
          <w:rFonts w:asciiTheme="minorHAnsi" w:hAnsiTheme="minorHAnsi"/>
          <w:lang w:val="en-US"/>
        </w:rPr>
      </w:pPr>
      <w:r>
        <w:rPr>
          <w:rFonts w:asciiTheme="minorHAnsi" w:hAnsiTheme="minorHAnsi"/>
          <w:lang w:val="en-US"/>
        </w:rPr>
        <w:tab/>
        <w:t>Annex 8 provides the documentation detail such as translation and typing comparison from 2010 to 2015 and documentation workload detail for the draft Budget 2014-2015.</w:t>
      </w:r>
    </w:p>
    <w:p w:rsidR="00CD3C19" w:rsidRPr="00CB32BA" w:rsidRDefault="00CD3C19" w:rsidP="00CB32BA">
      <w:pPr>
        <w:pStyle w:val="ListParagraph"/>
        <w:spacing w:after="0"/>
        <w:ind w:left="1134" w:hanging="774"/>
        <w:jc w:val="center"/>
        <w:rPr>
          <w:rFonts w:asciiTheme="minorHAnsi" w:hAnsiTheme="minorHAnsi"/>
          <w:lang w:val="en-US"/>
        </w:rPr>
      </w:pPr>
    </w:p>
    <w:p w:rsidR="00FA4959" w:rsidRDefault="00FA4959" w:rsidP="00715078">
      <w:pPr>
        <w:pStyle w:val="ListParagraph"/>
        <w:numPr>
          <w:ilvl w:val="0"/>
          <w:numId w:val="25"/>
        </w:numPr>
        <w:spacing w:after="0"/>
        <w:jc w:val="both"/>
        <w:rPr>
          <w:rFonts w:asciiTheme="minorHAnsi" w:hAnsiTheme="minorHAnsi"/>
          <w:lang w:val="en-US"/>
        </w:rPr>
      </w:pPr>
      <w:r>
        <w:rPr>
          <w:rFonts w:asciiTheme="minorHAnsi" w:hAnsiTheme="minorHAnsi"/>
          <w:lang w:val="en-US"/>
        </w:rPr>
        <w:t xml:space="preserve">Increases in non-staff costs, categories 3 to 9 </w:t>
      </w:r>
      <w:r w:rsidR="00B2758A">
        <w:rPr>
          <w:rFonts w:asciiTheme="minorHAnsi" w:hAnsiTheme="minorHAnsi"/>
          <w:lang w:val="en-US"/>
        </w:rPr>
        <w:t xml:space="preserve">without documentation costs </w:t>
      </w:r>
      <w:r>
        <w:rPr>
          <w:rFonts w:asciiTheme="minorHAnsi" w:hAnsiTheme="minorHAnsi"/>
          <w:lang w:val="en-US"/>
        </w:rPr>
        <w:t>(</w:t>
      </w:r>
      <w:r w:rsidR="0040549A">
        <w:rPr>
          <w:rFonts w:asciiTheme="minorHAnsi" w:hAnsiTheme="minorHAnsi"/>
          <w:lang w:val="en-US"/>
        </w:rPr>
        <w:t>CHF</w:t>
      </w:r>
      <w:r w:rsidR="00715078">
        <w:rPr>
          <w:rFonts w:asciiTheme="minorHAnsi" w:hAnsiTheme="minorHAnsi"/>
          <w:lang w:val="en-US"/>
        </w:rPr>
        <w:t> </w:t>
      </w:r>
      <w:r w:rsidR="0040549A">
        <w:rPr>
          <w:rFonts w:asciiTheme="minorHAnsi" w:hAnsiTheme="minorHAnsi"/>
          <w:lang w:val="en-US"/>
        </w:rPr>
        <w:t>1.1</w:t>
      </w:r>
      <w:r w:rsidR="00715078">
        <w:rPr>
          <w:rFonts w:asciiTheme="minorHAnsi" w:hAnsiTheme="minorHAnsi"/>
          <w:lang w:val="en-US"/>
        </w:rPr>
        <w:t> </w:t>
      </w:r>
      <w:r w:rsidRPr="00EC29F2">
        <w:rPr>
          <w:rFonts w:asciiTheme="minorHAnsi" w:hAnsiTheme="minorHAnsi"/>
          <w:lang w:val="en-US"/>
        </w:rPr>
        <w:t xml:space="preserve"> million</w:t>
      </w:r>
      <w:r>
        <w:rPr>
          <w:rFonts w:asciiTheme="minorHAnsi" w:hAnsiTheme="minorHAnsi"/>
          <w:lang w:val="en-US"/>
        </w:rPr>
        <w:t>).</w:t>
      </w:r>
    </w:p>
    <w:p w:rsidR="009905BC" w:rsidRDefault="00FA4959" w:rsidP="001F61F6">
      <w:pPr>
        <w:pStyle w:val="ListParagraph"/>
        <w:spacing w:after="0"/>
        <w:ind w:left="360"/>
        <w:rPr>
          <w:rFonts w:asciiTheme="minorHAnsi" w:hAnsiTheme="minorHAnsi"/>
          <w:sz w:val="24"/>
          <w:szCs w:val="24"/>
          <w:lang w:val="en-US"/>
        </w:rPr>
      </w:pPr>
      <w:r>
        <w:rPr>
          <w:rFonts w:asciiTheme="minorHAnsi" w:hAnsiTheme="minorHAnsi"/>
          <w:sz w:val="24"/>
          <w:szCs w:val="24"/>
          <w:lang w:val="en-US"/>
        </w:rPr>
        <w:t xml:space="preserve"> </w:t>
      </w:r>
    </w:p>
    <w:p w:rsidR="0065070B" w:rsidRDefault="000F60AD" w:rsidP="00525709">
      <w:pPr>
        <w:pStyle w:val="ListParagraph"/>
        <w:numPr>
          <w:ilvl w:val="0"/>
          <w:numId w:val="24"/>
        </w:numPr>
        <w:spacing w:after="0"/>
        <w:jc w:val="both"/>
        <w:rPr>
          <w:rFonts w:asciiTheme="minorHAnsi" w:hAnsiTheme="minorHAnsi"/>
          <w:lang w:val="en-US"/>
        </w:rPr>
      </w:pPr>
      <w:r w:rsidRPr="001F61F6">
        <w:rPr>
          <w:rFonts w:asciiTheme="minorHAnsi" w:hAnsiTheme="minorHAnsi"/>
          <w:lang w:val="en-US"/>
        </w:rPr>
        <w:t>Program</w:t>
      </w:r>
      <w:r w:rsidR="00823366" w:rsidRPr="001F61F6">
        <w:rPr>
          <w:rFonts w:asciiTheme="minorHAnsi" w:hAnsiTheme="minorHAnsi"/>
          <w:lang w:val="en-US"/>
        </w:rPr>
        <w:t xml:space="preserve"> variations </w:t>
      </w:r>
      <w:r w:rsidRPr="001F61F6">
        <w:rPr>
          <w:rFonts w:asciiTheme="minorHAnsi" w:hAnsiTheme="minorHAnsi"/>
          <w:lang w:val="en-US"/>
        </w:rPr>
        <w:t>explai</w:t>
      </w:r>
      <w:r w:rsidR="008D0EEB" w:rsidRPr="001F61F6">
        <w:rPr>
          <w:rFonts w:asciiTheme="minorHAnsi" w:hAnsiTheme="minorHAnsi"/>
          <w:lang w:val="en-US"/>
        </w:rPr>
        <w:t xml:space="preserve">n another CHF </w:t>
      </w:r>
      <w:r w:rsidR="00525709">
        <w:rPr>
          <w:rFonts w:asciiTheme="minorHAnsi" w:hAnsiTheme="minorHAnsi"/>
          <w:lang w:val="en-US"/>
        </w:rPr>
        <w:t>3.5</w:t>
      </w:r>
      <w:r w:rsidR="00C91F0A" w:rsidRPr="00C91F0A">
        <w:rPr>
          <w:rFonts w:asciiTheme="minorHAnsi" w:hAnsiTheme="minorHAnsi"/>
          <w:lang w:val="en-US"/>
        </w:rPr>
        <w:t xml:space="preserve"> </w:t>
      </w:r>
      <w:r w:rsidR="008D0EEB" w:rsidRPr="00C91F0A">
        <w:rPr>
          <w:rFonts w:asciiTheme="minorHAnsi" w:hAnsiTheme="minorHAnsi"/>
          <w:lang w:val="en-US"/>
        </w:rPr>
        <w:t>million</w:t>
      </w:r>
      <w:r w:rsidR="00F3168B" w:rsidRPr="001F61F6">
        <w:rPr>
          <w:rFonts w:asciiTheme="minorHAnsi" w:hAnsiTheme="minorHAnsi"/>
          <w:lang w:val="en-US"/>
        </w:rPr>
        <w:t xml:space="preserve"> </w:t>
      </w:r>
      <w:r w:rsidR="00CB32BA">
        <w:rPr>
          <w:rFonts w:asciiTheme="minorHAnsi" w:hAnsiTheme="minorHAnsi"/>
          <w:lang w:val="en-US"/>
        </w:rPr>
        <w:t xml:space="preserve">increase </w:t>
      </w:r>
      <w:r w:rsidR="00F3168B" w:rsidRPr="001F61F6">
        <w:rPr>
          <w:rFonts w:asciiTheme="minorHAnsi" w:hAnsiTheme="minorHAnsi"/>
          <w:lang w:val="en-US"/>
        </w:rPr>
        <w:t>due to n</w:t>
      </w:r>
      <w:r w:rsidR="00F24F86" w:rsidRPr="001F61F6">
        <w:rPr>
          <w:rFonts w:asciiTheme="minorHAnsi" w:hAnsiTheme="minorHAnsi"/>
          <w:lang w:val="en-US"/>
        </w:rPr>
        <w:t>ew requests such as improved external communication</w:t>
      </w:r>
      <w:r w:rsidR="00E87761">
        <w:rPr>
          <w:rFonts w:asciiTheme="minorHAnsi" w:hAnsiTheme="minorHAnsi"/>
          <w:lang w:val="en-US"/>
        </w:rPr>
        <w:t>s</w:t>
      </w:r>
      <w:r w:rsidR="00F3168B" w:rsidRPr="001F61F6">
        <w:rPr>
          <w:rFonts w:asciiTheme="minorHAnsi" w:hAnsiTheme="minorHAnsi"/>
          <w:lang w:val="en-US"/>
        </w:rPr>
        <w:t xml:space="preserve">, </w:t>
      </w:r>
      <w:r w:rsidR="00F24F86" w:rsidRPr="001F61F6">
        <w:rPr>
          <w:rFonts w:asciiTheme="minorHAnsi" w:hAnsiTheme="minorHAnsi"/>
          <w:lang w:val="en-US"/>
        </w:rPr>
        <w:t xml:space="preserve">PP-14, WTDC-14 and WRC-15. </w:t>
      </w:r>
    </w:p>
    <w:p w:rsidR="00E87761" w:rsidRDefault="00E87761" w:rsidP="00E87761">
      <w:pPr>
        <w:pStyle w:val="ListParagraph"/>
        <w:spacing w:after="0"/>
        <w:jc w:val="both"/>
        <w:rPr>
          <w:rFonts w:asciiTheme="minorHAnsi" w:hAnsiTheme="minorHAnsi"/>
          <w:lang w:val="en-US"/>
        </w:rPr>
      </w:pPr>
      <w:r>
        <w:rPr>
          <w:rFonts w:asciiTheme="minorHAnsi" w:hAnsiTheme="minorHAnsi"/>
          <w:lang w:val="en-US"/>
        </w:rPr>
        <w:t>Table 4 below provides the breakdown of the external c</w:t>
      </w:r>
      <w:r w:rsidRPr="00E87761">
        <w:rPr>
          <w:rFonts w:asciiTheme="minorHAnsi" w:hAnsiTheme="minorHAnsi"/>
          <w:lang w:val="en-US"/>
        </w:rPr>
        <w:t>ommunications budget</w:t>
      </w:r>
      <w:r>
        <w:rPr>
          <w:rFonts w:asciiTheme="minorHAnsi" w:hAnsiTheme="minorHAnsi"/>
          <w:lang w:val="en-US"/>
        </w:rPr>
        <w:t xml:space="preserve"> amounting to CHF 0.9 million.</w:t>
      </w:r>
    </w:p>
    <w:p w:rsidR="00E87761" w:rsidRDefault="00E87761" w:rsidP="00E87761">
      <w:pPr>
        <w:pStyle w:val="ListParagraph"/>
        <w:spacing w:after="0"/>
        <w:jc w:val="both"/>
        <w:rPr>
          <w:rFonts w:asciiTheme="minorHAnsi" w:hAnsiTheme="minorHAnsi"/>
          <w:lang w:val="en-US"/>
        </w:rPr>
      </w:pPr>
    </w:p>
    <w:p w:rsidR="00E87761" w:rsidRPr="00E87761" w:rsidRDefault="00E87761" w:rsidP="00E87761">
      <w:pPr>
        <w:pStyle w:val="ListParagraph"/>
        <w:spacing w:after="0"/>
        <w:jc w:val="center"/>
        <w:rPr>
          <w:rFonts w:asciiTheme="minorHAnsi" w:hAnsiTheme="minorHAnsi"/>
          <w:b/>
          <w:bCs/>
          <w:lang w:val="en-US"/>
        </w:rPr>
      </w:pPr>
      <w:r w:rsidRPr="00E87761">
        <w:rPr>
          <w:rFonts w:asciiTheme="minorHAnsi" w:hAnsiTheme="minorHAnsi"/>
          <w:b/>
          <w:bCs/>
          <w:lang w:val="en-US"/>
        </w:rPr>
        <w:t>Table 4</w:t>
      </w:r>
    </w:p>
    <w:p w:rsidR="00E87761" w:rsidRDefault="004C378A" w:rsidP="00E87761">
      <w:pPr>
        <w:pStyle w:val="ListParagraph"/>
        <w:spacing w:after="0"/>
        <w:jc w:val="center"/>
        <w:rPr>
          <w:rFonts w:asciiTheme="minorHAnsi" w:hAnsiTheme="minorHAnsi"/>
          <w:lang w:val="en-US"/>
        </w:rPr>
      </w:pPr>
      <w:r w:rsidRPr="004C378A">
        <w:rPr>
          <w:noProof/>
          <w:lang w:val="en-US" w:eastAsia="zh-CN"/>
        </w:rPr>
        <w:drawing>
          <wp:inline distT="0" distB="0" distL="0" distR="0">
            <wp:extent cx="4455315" cy="3422073"/>
            <wp:effectExtent l="0" t="0" r="254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5315" cy="3422073"/>
                    </a:xfrm>
                    <a:prstGeom prst="rect">
                      <a:avLst/>
                    </a:prstGeom>
                    <a:noFill/>
                    <a:ln>
                      <a:noFill/>
                    </a:ln>
                  </pic:spPr>
                </pic:pic>
              </a:graphicData>
            </a:graphic>
          </wp:inline>
        </w:drawing>
      </w:r>
    </w:p>
    <w:p w:rsidR="00E87761" w:rsidRDefault="00E87761" w:rsidP="00E87761">
      <w:pPr>
        <w:pStyle w:val="ListParagraph"/>
        <w:spacing w:after="0"/>
        <w:jc w:val="both"/>
        <w:rPr>
          <w:rFonts w:asciiTheme="minorHAnsi" w:hAnsiTheme="minorHAnsi"/>
          <w:lang w:val="en-US"/>
        </w:rPr>
      </w:pPr>
    </w:p>
    <w:p w:rsidR="00715078" w:rsidRDefault="00715078" w:rsidP="00715078">
      <w:pPr>
        <w:pStyle w:val="ListParagraph"/>
        <w:spacing w:after="0"/>
        <w:jc w:val="both"/>
        <w:rPr>
          <w:rFonts w:asciiTheme="minorHAnsi" w:hAnsiTheme="minorHAnsi"/>
          <w:lang w:val="en-US"/>
        </w:rPr>
      </w:pPr>
    </w:p>
    <w:p w:rsidR="0065070B" w:rsidRDefault="0065070B" w:rsidP="0065070B">
      <w:pPr>
        <w:spacing w:after="0"/>
        <w:jc w:val="both"/>
        <w:rPr>
          <w:rFonts w:asciiTheme="minorHAnsi" w:hAnsiTheme="minorHAnsi"/>
          <w:lang w:val="en-US"/>
        </w:rPr>
      </w:pPr>
    </w:p>
    <w:p w:rsidR="00BA594A" w:rsidRDefault="003401F7" w:rsidP="0078003D">
      <w:pPr>
        <w:spacing w:after="0"/>
        <w:jc w:val="both"/>
        <w:rPr>
          <w:rFonts w:asciiTheme="minorHAnsi" w:hAnsiTheme="minorHAnsi"/>
          <w:lang w:val="en-US"/>
        </w:rPr>
      </w:pPr>
      <w:r>
        <w:rPr>
          <w:rFonts w:asciiTheme="minorHAnsi" w:hAnsiTheme="minorHAnsi"/>
          <w:lang w:val="en-US"/>
        </w:rPr>
        <w:t>Annex 9</w:t>
      </w:r>
      <w:r w:rsidR="00CB32BA">
        <w:rPr>
          <w:rFonts w:asciiTheme="minorHAnsi" w:hAnsiTheme="minorHAnsi"/>
          <w:lang w:val="en-US"/>
        </w:rPr>
        <w:t xml:space="preserve"> provides the </w:t>
      </w:r>
      <w:r w:rsidR="00215794">
        <w:rPr>
          <w:rFonts w:asciiTheme="minorHAnsi" w:hAnsiTheme="minorHAnsi"/>
          <w:lang w:val="en-US"/>
        </w:rPr>
        <w:t xml:space="preserve">detail of the </w:t>
      </w:r>
      <w:r w:rsidR="009C7343" w:rsidRPr="00D915B1">
        <w:rPr>
          <w:rFonts w:asciiTheme="minorHAnsi" w:hAnsiTheme="minorHAnsi"/>
          <w:lang w:val="en-US"/>
        </w:rPr>
        <w:t xml:space="preserve">CHF </w:t>
      </w:r>
      <w:r w:rsidR="00AB46E4" w:rsidRPr="0078003D">
        <w:rPr>
          <w:rFonts w:asciiTheme="minorHAnsi" w:hAnsiTheme="minorHAnsi"/>
          <w:lang w:val="en-US"/>
        </w:rPr>
        <w:t>2</w:t>
      </w:r>
      <w:r w:rsidR="0078003D" w:rsidRPr="0078003D">
        <w:rPr>
          <w:rFonts w:asciiTheme="minorHAnsi" w:hAnsiTheme="minorHAnsi"/>
          <w:lang w:val="en-US"/>
        </w:rPr>
        <w:t>2.7</w:t>
      </w:r>
      <w:r w:rsidR="00D915B1" w:rsidRPr="0078003D">
        <w:rPr>
          <w:rFonts w:asciiTheme="minorHAnsi" w:hAnsiTheme="minorHAnsi"/>
          <w:lang w:val="en-US"/>
        </w:rPr>
        <w:t xml:space="preserve"> </w:t>
      </w:r>
      <w:r w:rsidR="009C7343" w:rsidRPr="0078003D">
        <w:rPr>
          <w:rFonts w:asciiTheme="minorHAnsi" w:hAnsiTheme="minorHAnsi"/>
          <w:lang w:val="en-US"/>
        </w:rPr>
        <w:t>million</w:t>
      </w:r>
      <w:r w:rsidR="009C7343">
        <w:rPr>
          <w:rFonts w:asciiTheme="minorHAnsi" w:hAnsiTheme="minorHAnsi"/>
          <w:lang w:val="en-US"/>
        </w:rPr>
        <w:t xml:space="preserve"> </w:t>
      </w:r>
      <w:r w:rsidR="00CB32BA">
        <w:rPr>
          <w:rFonts w:asciiTheme="minorHAnsi" w:hAnsiTheme="minorHAnsi"/>
          <w:lang w:val="en-US"/>
        </w:rPr>
        <w:t>reductions</w:t>
      </w:r>
      <w:r w:rsidR="00E41F9B">
        <w:rPr>
          <w:rFonts w:asciiTheme="minorHAnsi" w:hAnsiTheme="minorHAnsi"/>
          <w:lang w:val="en-US"/>
        </w:rPr>
        <w:t xml:space="preserve"> and CHF </w:t>
      </w:r>
      <w:r w:rsidR="00E41F9B" w:rsidRPr="004F4E51">
        <w:rPr>
          <w:rFonts w:asciiTheme="minorHAnsi" w:hAnsiTheme="minorHAnsi"/>
          <w:lang w:val="en-US"/>
        </w:rPr>
        <w:t>9.2 million</w:t>
      </w:r>
      <w:r w:rsidR="00E41F9B">
        <w:rPr>
          <w:rFonts w:asciiTheme="minorHAnsi" w:hAnsiTheme="minorHAnsi"/>
          <w:lang w:val="en-US"/>
        </w:rPr>
        <w:t xml:space="preserve"> revenue increases</w:t>
      </w:r>
      <w:r w:rsidR="00CB32BA">
        <w:rPr>
          <w:rFonts w:asciiTheme="minorHAnsi" w:hAnsiTheme="minorHAnsi"/>
          <w:lang w:val="en-US"/>
        </w:rPr>
        <w:t xml:space="preserve"> made </w:t>
      </w:r>
      <w:r w:rsidR="00590AF1">
        <w:rPr>
          <w:rFonts w:asciiTheme="minorHAnsi" w:hAnsiTheme="minorHAnsi"/>
          <w:lang w:val="en-US"/>
        </w:rPr>
        <w:t xml:space="preserve">during the budgetary preparation process </w:t>
      </w:r>
      <w:r w:rsidR="00085DD0">
        <w:rPr>
          <w:rFonts w:asciiTheme="minorHAnsi" w:hAnsiTheme="minorHAnsi"/>
          <w:lang w:val="en-US"/>
        </w:rPr>
        <w:t>compared with the 1</w:t>
      </w:r>
      <w:r w:rsidR="00085DD0" w:rsidRPr="00085DD0">
        <w:rPr>
          <w:rFonts w:asciiTheme="minorHAnsi" w:hAnsiTheme="minorHAnsi"/>
          <w:vertAlign w:val="superscript"/>
          <w:lang w:val="en-US"/>
        </w:rPr>
        <w:t>st</w:t>
      </w:r>
      <w:r w:rsidR="00085DD0">
        <w:rPr>
          <w:rFonts w:asciiTheme="minorHAnsi" w:hAnsiTheme="minorHAnsi"/>
          <w:lang w:val="en-US"/>
        </w:rPr>
        <w:t xml:space="preserve"> November version which showed a shortfall of CHF 41.5 million</w:t>
      </w:r>
      <w:r w:rsidR="00504652">
        <w:rPr>
          <w:rFonts w:asciiTheme="minorHAnsi" w:hAnsiTheme="minorHAnsi"/>
          <w:lang w:val="en-US"/>
        </w:rPr>
        <w:t>.</w:t>
      </w:r>
      <w:r w:rsidR="00085DD0">
        <w:rPr>
          <w:rFonts w:asciiTheme="minorHAnsi" w:hAnsiTheme="minorHAnsi"/>
          <w:lang w:val="en-US"/>
        </w:rPr>
        <w:t xml:space="preserve"> </w:t>
      </w:r>
    </w:p>
    <w:p w:rsidR="00525709" w:rsidRDefault="00525709" w:rsidP="00BA594A">
      <w:pPr>
        <w:spacing w:after="0"/>
        <w:jc w:val="both"/>
        <w:rPr>
          <w:rFonts w:asciiTheme="minorHAnsi" w:hAnsiTheme="minorHAnsi"/>
          <w:lang w:val="en-US"/>
        </w:rPr>
      </w:pPr>
    </w:p>
    <w:p w:rsidR="008D0EEB" w:rsidRPr="0065070B" w:rsidRDefault="008D0EEB" w:rsidP="0040549A">
      <w:pPr>
        <w:spacing w:after="0"/>
        <w:jc w:val="both"/>
        <w:rPr>
          <w:rFonts w:asciiTheme="minorHAnsi" w:hAnsiTheme="minorHAnsi"/>
          <w:lang w:val="en-US"/>
        </w:rPr>
      </w:pPr>
      <w:r w:rsidRPr="0065070B">
        <w:rPr>
          <w:rFonts w:asciiTheme="minorHAnsi" w:hAnsiTheme="minorHAnsi"/>
          <w:lang w:val="en-US"/>
        </w:rPr>
        <w:br w:type="page"/>
      </w:r>
    </w:p>
    <w:p w:rsidR="00397FC4" w:rsidRPr="00B02A5D" w:rsidRDefault="00B02A5D" w:rsidP="004B0F56">
      <w:pPr>
        <w:jc w:val="center"/>
        <w:rPr>
          <w:b/>
          <w:bCs/>
          <w:noProof/>
          <w:lang w:val="en-US" w:eastAsia="zh-CN"/>
        </w:rPr>
      </w:pPr>
      <w:r w:rsidRPr="00B02A5D">
        <w:rPr>
          <w:b/>
          <w:bCs/>
          <w:noProof/>
          <w:lang w:val="en-US" w:eastAsia="zh-CN"/>
        </w:rPr>
        <w:t>Annex 1</w:t>
      </w:r>
    </w:p>
    <w:p w:rsidR="00B02A5D" w:rsidRDefault="00BD3E1B" w:rsidP="004B0F56">
      <w:pPr>
        <w:ind w:left="-142"/>
        <w:jc w:val="center"/>
        <w:rPr>
          <w:rFonts w:asciiTheme="minorHAnsi" w:hAnsiTheme="minorHAnsi"/>
          <w:lang w:val="en-US"/>
        </w:rPr>
      </w:pPr>
      <w:r w:rsidRPr="00BD3E1B">
        <w:rPr>
          <w:noProof/>
          <w:lang w:val="en-US" w:eastAsia="zh-CN"/>
        </w:rPr>
        <w:drawing>
          <wp:inline distT="0" distB="0" distL="0" distR="0" wp14:anchorId="457AEDB5" wp14:editId="17FE0DBA">
            <wp:extent cx="5760720" cy="7643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7643690"/>
                    </a:xfrm>
                    <a:prstGeom prst="rect">
                      <a:avLst/>
                    </a:prstGeom>
                    <a:noFill/>
                    <a:ln>
                      <a:noFill/>
                    </a:ln>
                  </pic:spPr>
                </pic:pic>
              </a:graphicData>
            </a:graphic>
          </wp:inline>
        </w:drawing>
      </w:r>
    </w:p>
    <w:p w:rsidR="00FE462A" w:rsidRDefault="00FE462A" w:rsidP="00EF52E6">
      <w:pPr>
        <w:ind w:left="360"/>
        <w:rPr>
          <w:rFonts w:asciiTheme="minorHAnsi" w:hAnsiTheme="minorHAnsi"/>
          <w:lang w:val="en-US"/>
        </w:rPr>
      </w:pPr>
      <w:bookmarkStart w:id="0" w:name="_GoBack"/>
      <w:bookmarkEnd w:id="0"/>
    </w:p>
    <w:p w:rsidR="00887B46" w:rsidRDefault="00887B46">
      <w:pPr>
        <w:rPr>
          <w:rFonts w:asciiTheme="minorHAnsi" w:hAnsiTheme="minorHAnsi"/>
          <w:lang w:val="en-US"/>
        </w:rPr>
      </w:pPr>
    </w:p>
    <w:p w:rsidR="001B64CF" w:rsidRDefault="001B64CF">
      <w:pPr>
        <w:rPr>
          <w:rFonts w:asciiTheme="minorHAnsi" w:hAnsiTheme="minorHAnsi"/>
          <w:lang w:val="en-US"/>
        </w:rPr>
      </w:pPr>
      <w:r>
        <w:rPr>
          <w:rFonts w:asciiTheme="minorHAnsi" w:hAnsiTheme="minorHAnsi"/>
          <w:lang w:val="en-US"/>
        </w:rPr>
        <w:br w:type="page"/>
      </w:r>
    </w:p>
    <w:p w:rsidR="001B64CF" w:rsidRPr="001B64CF" w:rsidRDefault="001B64CF" w:rsidP="001B64CF">
      <w:pPr>
        <w:jc w:val="center"/>
        <w:rPr>
          <w:rFonts w:asciiTheme="minorHAnsi" w:hAnsiTheme="minorHAnsi"/>
          <w:b/>
          <w:bCs/>
          <w:lang w:val="en-US"/>
        </w:rPr>
      </w:pPr>
      <w:r w:rsidRPr="001B64CF">
        <w:rPr>
          <w:rFonts w:asciiTheme="minorHAnsi" w:hAnsiTheme="minorHAnsi"/>
          <w:b/>
          <w:bCs/>
          <w:lang w:val="en-US"/>
        </w:rPr>
        <w:t>Annex 2</w:t>
      </w:r>
    </w:p>
    <w:p w:rsidR="00814E9C" w:rsidRDefault="00B10603" w:rsidP="004B0F56">
      <w:pPr>
        <w:jc w:val="center"/>
      </w:pPr>
      <w:r w:rsidRPr="00B10603">
        <w:rPr>
          <w:noProof/>
          <w:lang w:val="en-US" w:eastAsia="zh-CN"/>
        </w:rPr>
        <w:drawing>
          <wp:inline distT="0" distB="0" distL="0" distR="0" wp14:anchorId="74FEF8FD" wp14:editId="74A2F812">
            <wp:extent cx="5974389" cy="8666018"/>
            <wp:effectExtent l="0" t="0" r="762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5672" cy="8667879"/>
                    </a:xfrm>
                    <a:prstGeom prst="rect">
                      <a:avLst/>
                    </a:prstGeom>
                    <a:noFill/>
                    <a:ln>
                      <a:noFill/>
                    </a:ln>
                  </pic:spPr>
                </pic:pic>
              </a:graphicData>
            </a:graphic>
          </wp:inline>
        </w:drawing>
      </w:r>
      <w:r w:rsidR="00814E9C">
        <w:br w:type="page"/>
      </w:r>
    </w:p>
    <w:p w:rsidR="00FC1243" w:rsidRPr="00A538CC" w:rsidRDefault="00FC1243" w:rsidP="008D0EEB">
      <w:pPr>
        <w:jc w:val="center"/>
        <w:rPr>
          <w:rFonts w:asciiTheme="minorHAnsi" w:hAnsiTheme="minorHAnsi"/>
          <w:b/>
          <w:bCs/>
          <w:lang w:val="en-US"/>
        </w:rPr>
      </w:pPr>
      <w:r w:rsidRPr="00A538CC">
        <w:rPr>
          <w:rFonts w:asciiTheme="minorHAnsi" w:hAnsiTheme="minorHAnsi"/>
          <w:b/>
          <w:bCs/>
          <w:lang w:val="en-US"/>
        </w:rPr>
        <w:t>Annex 3</w:t>
      </w:r>
    </w:p>
    <w:p w:rsidR="009E167A" w:rsidRDefault="00231466" w:rsidP="00BC297B">
      <w:pPr>
        <w:jc w:val="center"/>
        <w:rPr>
          <w:rFonts w:asciiTheme="minorHAnsi" w:hAnsiTheme="minorHAnsi"/>
          <w:lang w:val="en-US"/>
        </w:rPr>
        <w:sectPr w:rsidR="009E167A" w:rsidSect="005F45D2">
          <w:headerReference w:type="default" r:id="rId15"/>
          <w:footerReference w:type="first" r:id="rId16"/>
          <w:pgSz w:w="11906" w:h="16838"/>
          <w:pgMar w:top="1135" w:right="1417" w:bottom="709" w:left="1417" w:header="708" w:footer="247" w:gutter="0"/>
          <w:cols w:space="708"/>
          <w:titlePg/>
          <w:docGrid w:linePitch="360"/>
        </w:sectPr>
      </w:pPr>
      <w:r w:rsidRPr="00231466">
        <w:drawing>
          <wp:inline distT="0" distB="0" distL="0" distR="0">
            <wp:extent cx="4717415" cy="813943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7415" cy="8139430"/>
                    </a:xfrm>
                    <a:prstGeom prst="rect">
                      <a:avLst/>
                    </a:prstGeom>
                    <a:noFill/>
                    <a:ln>
                      <a:noFill/>
                    </a:ln>
                  </pic:spPr>
                </pic:pic>
              </a:graphicData>
            </a:graphic>
          </wp:inline>
        </w:drawing>
      </w:r>
      <w:r>
        <w:rPr>
          <w:rFonts w:asciiTheme="minorHAnsi" w:hAnsiTheme="minorHAnsi"/>
          <w:lang w:val="en-US"/>
        </w:rPr>
        <w:t xml:space="preserve"> </w:t>
      </w:r>
    </w:p>
    <w:p w:rsidR="00124040" w:rsidRDefault="004977C2" w:rsidP="00124040">
      <w:pPr>
        <w:jc w:val="center"/>
        <w:rPr>
          <w:rFonts w:asciiTheme="minorHAnsi" w:hAnsiTheme="minorHAnsi"/>
          <w:b/>
          <w:bCs/>
          <w:lang w:val="en-US"/>
        </w:rPr>
      </w:pPr>
      <w:r w:rsidRPr="004977C2">
        <w:rPr>
          <w:rFonts w:asciiTheme="minorHAnsi" w:hAnsiTheme="minorHAnsi"/>
          <w:b/>
          <w:bCs/>
          <w:lang w:val="en-US"/>
        </w:rPr>
        <w:t>Annex 4</w:t>
      </w:r>
    </w:p>
    <w:p w:rsidR="005F45D2" w:rsidRPr="00496421" w:rsidRDefault="002508F4" w:rsidP="00124040">
      <w:pPr>
        <w:jc w:val="center"/>
        <w:rPr>
          <w:rFonts w:asciiTheme="minorHAnsi" w:eastAsia="Times New Roman" w:hAnsiTheme="minorHAnsi" w:cstheme="minorHAnsi"/>
          <w:b/>
          <w:bCs/>
          <w:sz w:val="20"/>
          <w:szCs w:val="20"/>
          <w:lang w:val="en-US" w:eastAsia="zh-CN"/>
        </w:rPr>
      </w:pPr>
      <w:r w:rsidRPr="00496421">
        <w:rPr>
          <w:rFonts w:asciiTheme="minorHAnsi" w:eastAsia="Times New Roman" w:hAnsiTheme="minorHAnsi" w:cstheme="minorHAnsi"/>
          <w:b/>
          <w:bCs/>
          <w:sz w:val="20"/>
          <w:szCs w:val="20"/>
          <w:lang w:val="en-US" w:eastAsia="zh-CN"/>
        </w:rPr>
        <w:t>Departments and Bureaux by c</w:t>
      </w:r>
      <w:r w:rsidR="00FA0F13" w:rsidRPr="00496421">
        <w:rPr>
          <w:rFonts w:asciiTheme="minorHAnsi" w:eastAsia="Times New Roman" w:hAnsiTheme="minorHAnsi" w:cstheme="minorHAnsi"/>
          <w:b/>
          <w:bCs/>
          <w:sz w:val="20"/>
          <w:szCs w:val="20"/>
          <w:lang w:val="en-US" w:eastAsia="zh-CN"/>
        </w:rPr>
        <w:t>ategories of expenses</w:t>
      </w:r>
    </w:p>
    <w:p w:rsidR="00107867" w:rsidRPr="00241F71" w:rsidRDefault="00323253" w:rsidP="00124040">
      <w:pPr>
        <w:jc w:val="center"/>
        <w:rPr>
          <w:rFonts w:asciiTheme="minorHAnsi" w:hAnsiTheme="minorHAnsi"/>
          <w:b/>
          <w:bCs/>
          <w:lang w:val="en-US"/>
        </w:rPr>
      </w:pPr>
      <w:r w:rsidRPr="00323253">
        <w:rPr>
          <w:noProof/>
          <w:lang w:val="en-US" w:eastAsia="zh-CN"/>
        </w:rPr>
        <w:drawing>
          <wp:inline distT="0" distB="0" distL="0" distR="0">
            <wp:extent cx="7072746" cy="5467007"/>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74037" cy="5468005"/>
                    </a:xfrm>
                    <a:prstGeom prst="rect">
                      <a:avLst/>
                    </a:prstGeom>
                    <a:noFill/>
                    <a:ln>
                      <a:noFill/>
                    </a:ln>
                  </pic:spPr>
                </pic:pic>
              </a:graphicData>
            </a:graphic>
          </wp:inline>
        </w:drawing>
      </w:r>
    </w:p>
    <w:p w:rsidR="00107867" w:rsidRDefault="00323253" w:rsidP="00BC297B">
      <w:pPr>
        <w:jc w:val="center"/>
        <w:rPr>
          <w:rFonts w:asciiTheme="minorHAnsi" w:hAnsiTheme="minorHAnsi"/>
          <w:b/>
          <w:bCs/>
          <w:lang w:val="en-US"/>
        </w:rPr>
      </w:pPr>
      <w:r w:rsidRPr="00323253">
        <w:rPr>
          <w:noProof/>
          <w:lang w:val="en-US" w:eastAsia="zh-CN"/>
        </w:rPr>
        <w:drawing>
          <wp:inline distT="0" distB="0" distL="0" distR="0">
            <wp:extent cx="7148945" cy="5808781"/>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56848" cy="5815202"/>
                    </a:xfrm>
                    <a:prstGeom prst="rect">
                      <a:avLst/>
                    </a:prstGeom>
                    <a:noFill/>
                    <a:ln>
                      <a:noFill/>
                    </a:ln>
                  </pic:spPr>
                </pic:pic>
              </a:graphicData>
            </a:graphic>
          </wp:inline>
        </w:drawing>
      </w:r>
    </w:p>
    <w:p w:rsidR="00107867" w:rsidRDefault="004072C3" w:rsidP="00BC297B">
      <w:pPr>
        <w:jc w:val="center"/>
        <w:rPr>
          <w:rFonts w:asciiTheme="minorHAnsi" w:hAnsiTheme="minorHAnsi"/>
          <w:b/>
          <w:bCs/>
          <w:lang w:val="en-US"/>
        </w:rPr>
      </w:pPr>
      <w:r w:rsidRPr="004072C3">
        <w:rPr>
          <w:noProof/>
          <w:lang w:val="en-US" w:eastAsia="zh-CN"/>
        </w:rPr>
        <w:drawing>
          <wp:inline distT="0" distB="0" distL="0" distR="0">
            <wp:extent cx="7161938" cy="581934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69606" cy="5825571"/>
                    </a:xfrm>
                    <a:prstGeom prst="rect">
                      <a:avLst/>
                    </a:prstGeom>
                    <a:noFill/>
                    <a:ln>
                      <a:noFill/>
                    </a:ln>
                  </pic:spPr>
                </pic:pic>
              </a:graphicData>
            </a:graphic>
          </wp:inline>
        </w:drawing>
      </w:r>
    </w:p>
    <w:p w:rsidR="005F7267" w:rsidRDefault="005F7267" w:rsidP="00BC297B">
      <w:pPr>
        <w:jc w:val="center"/>
        <w:rPr>
          <w:rFonts w:asciiTheme="minorHAnsi" w:hAnsiTheme="minorHAnsi"/>
          <w:b/>
          <w:bCs/>
          <w:lang w:val="en-US"/>
        </w:rPr>
      </w:pPr>
    </w:p>
    <w:p w:rsidR="00107867" w:rsidRDefault="002508F4" w:rsidP="00BC297B">
      <w:pPr>
        <w:jc w:val="center"/>
        <w:rPr>
          <w:rFonts w:asciiTheme="minorHAnsi" w:hAnsiTheme="minorHAnsi"/>
          <w:b/>
          <w:bCs/>
          <w:lang w:val="en-US"/>
        </w:rPr>
      </w:pPr>
      <w:r>
        <w:rPr>
          <w:rFonts w:asciiTheme="minorHAnsi" w:hAnsiTheme="minorHAnsi"/>
          <w:b/>
          <w:bCs/>
          <w:lang w:val="en-US"/>
        </w:rPr>
        <w:t>Annex 5</w:t>
      </w:r>
    </w:p>
    <w:p w:rsidR="00CA55A9" w:rsidRPr="004977C2" w:rsidRDefault="00CA55A9" w:rsidP="00BC297B">
      <w:pPr>
        <w:jc w:val="center"/>
        <w:rPr>
          <w:rFonts w:asciiTheme="minorHAnsi" w:hAnsiTheme="minorHAnsi"/>
          <w:b/>
          <w:bCs/>
          <w:lang w:val="en-US"/>
        </w:rPr>
      </w:pPr>
      <w:r>
        <w:rPr>
          <w:rFonts w:asciiTheme="minorHAnsi" w:hAnsiTheme="minorHAnsi"/>
          <w:b/>
          <w:bCs/>
          <w:lang w:val="en-US"/>
        </w:rPr>
        <w:t>Intersectoral Outputs</w:t>
      </w:r>
    </w:p>
    <w:p w:rsidR="004977C2" w:rsidRDefault="00A3602D" w:rsidP="00124040">
      <w:pPr>
        <w:jc w:val="center"/>
        <w:rPr>
          <w:rFonts w:asciiTheme="minorHAnsi" w:hAnsiTheme="minorHAnsi"/>
          <w:lang w:val="en-US"/>
        </w:rPr>
      </w:pPr>
      <w:r w:rsidRPr="00A3602D">
        <w:rPr>
          <w:noProof/>
          <w:lang w:val="en-US" w:eastAsia="zh-CN"/>
        </w:rPr>
        <w:drawing>
          <wp:inline distT="0" distB="0" distL="0" distR="0">
            <wp:extent cx="8001000" cy="4696778"/>
            <wp:effectExtent l="0" t="0" r="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01191" cy="4696890"/>
                    </a:xfrm>
                    <a:prstGeom prst="rect">
                      <a:avLst/>
                    </a:prstGeom>
                    <a:noFill/>
                    <a:ln>
                      <a:noFill/>
                    </a:ln>
                  </pic:spPr>
                </pic:pic>
              </a:graphicData>
            </a:graphic>
          </wp:inline>
        </w:drawing>
      </w:r>
    </w:p>
    <w:p w:rsidR="0003201E" w:rsidRDefault="0003201E" w:rsidP="0003201E">
      <w:pPr>
        <w:ind w:left="-567"/>
        <w:jc w:val="center"/>
        <w:rPr>
          <w:rFonts w:asciiTheme="minorHAnsi" w:hAnsiTheme="minorHAnsi"/>
          <w:lang w:val="en-US"/>
        </w:rPr>
      </w:pPr>
    </w:p>
    <w:p w:rsidR="008959B8" w:rsidRDefault="008959B8" w:rsidP="0003201E">
      <w:pPr>
        <w:ind w:left="-567"/>
        <w:jc w:val="center"/>
        <w:rPr>
          <w:rFonts w:asciiTheme="minorHAnsi" w:hAnsiTheme="minorHAnsi"/>
          <w:lang w:val="en-US"/>
        </w:rPr>
        <w:sectPr w:rsidR="008959B8" w:rsidSect="0011642E">
          <w:pgSz w:w="16838" w:h="11906" w:orient="landscape"/>
          <w:pgMar w:top="993" w:right="1417" w:bottom="993" w:left="1135" w:header="708" w:footer="247" w:gutter="0"/>
          <w:cols w:space="708"/>
          <w:titlePg/>
          <w:docGrid w:linePitch="360"/>
        </w:sectPr>
      </w:pPr>
    </w:p>
    <w:p w:rsidR="00C86C1C" w:rsidRPr="008959B8" w:rsidRDefault="008959B8" w:rsidP="0003201E">
      <w:pPr>
        <w:ind w:left="-567"/>
        <w:jc w:val="center"/>
        <w:rPr>
          <w:rFonts w:asciiTheme="minorHAnsi" w:hAnsiTheme="minorHAnsi"/>
          <w:b/>
          <w:bCs/>
          <w:lang w:val="en-US"/>
        </w:rPr>
      </w:pPr>
      <w:r w:rsidRPr="008959B8">
        <w:rPr>
          <w:rFonts w:asciiTheme="minorHAnsi" w:hAnsiTheme="minorHAnsi"/>
          <w:b/>
          <w:bCs/>
          <w:lang w:val="en-US"/>
        </w:rPr>
        <w:t>Annex 6</w:t>
      </w:r>
    </w:p>
    <w:p w:rsidR="008959B8" w:rsidRDefault="008959B8" w:rsidP="0003201E">
      <w:pPr>
        <w:ind w:left="-567"/>
        <w:jc w:val="center"/>
        <w:rPr>
          <w:rFonts w:asciiTheme="minorHAnsi" w:hAnsiTheme="minorHAnsi"/>
          <w:lang w:val="en-US"/>
        </w:rPr>
      </w:pPr>
      <w:r>
        <w:rPr>
          <w:rFonts w:asciiTheme="minorHAnsi" w:hAnsiTheme="minorHAnsi"/>
          <w:noProof/>
          <w:lang w:val="en-US" w:eastAsia="zh-CN"/>
        </w:rPr>
        <w:drawing>
          <wp:inline distT="0" distB="0" distL="0" distR="0" wp14:anchorId="40FEA7BB">
            <wp:extent cx="5431971" cy="8340437"/>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2006" cy="8340491"/>
                    </a:xfrm>
                    <a:prstGeom prst="rect">
                      <a:avLst/>
                    </a:prstGeom>
                    <a:noFill/>
                  </pic:spPr>
                </pic:pic>
              </a:graphicData>
            </a:graphic>
          </wp:inline>
        </w:drawing>
      </w:r>
    </w:p>
    <w:p w:rsidR="008959B8" w:rsidRDefault="008959B8" w:rsidP="0003201E">
      <w:pPr>
        <w:ind w:left="-567"/>
        <w:jc w:val="center"/>
        <w:rPr>
          <w:rFonts w:asciiTheme="minorHAnsi" w:hAnsiTheme="minorHAnsi"/>
          <w:lang w:val="en-US"/>
        </w:rPr>
      </w:pPr>
    </w:p>
    <w:p w:rsidR="008959B8" w:rsidRDefault="008959B8" w:rsidP="0003201E">
      <w:pPr>
        <w:ind w:left="-567"/>
        <w:jc w:val="center"/>
        <w:rPr>
          <w:rFonts w:asciiTheme="minorHAnsi" w:hAnsiTheme="minorHAnsi"/>
          <w:lang w:val="en-US"/>
        </w:rPr>
      </w:pPr>
      <w:r>
        <w:rPr>
          <w:rFonts w:asciiTheme="minorHAnsi" w:hAnsiTheme="minorHAnsi"/>
          <w:noProof/>
          <w:lang w:val="en-US" w:eastAsia="zh-CN"/>
        </w:rPr>
        <w:drawing>
          <wp:inline distT="0" distB="0" distL="0" distR="0" wp14:anchorId="333C80E5">
            <wp:extent cx="5622308" cy="859674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20945" cy="8594662"/>
                    </a:xfrm>
                    <a:prstGeom prst="rect">
                      <a:avLst/>
                    </a:prstGeom>
                    <a:noFill/>
                  </pic:spPr>
                </pic:pic>
              </a:graphicData>
            </a:graphic>
          </wp:inline>
        </w:drawing>
      </w:r>
    </w:p>
    <w:p w:rsidR="008959B8" w:rsidRDefault="008959B8" w:rsidP="0003201E">
      <w:pPr>
        <w:ind w:left="-567"/>
        <w:jc w:val="center"/>
        <w:rPr>
          <w:rFonts w:asciiTheme="minorHAnsi" w:hAnsiTheme="minorHAnsi"/>
          <w:lang w:val="en-US"/>
        </w:rPr>
      </w:pPr>
    </w:p>
    <w:p w:rsidR="008959B8" w:rsidRPr="008959B8" w:rsidRDefault="008959B8" w:rsidP="0003201E">
      <w:pPr>
        <w:ind w:left="-567"/>
        <w:jc w:val="center"/>
        <w:rPr>
          <w:rFonts w:asciiTheme="minorHAnsi" w:hAnsiTheme="minorHAnsi"/>
          <w:b/>
          <w:bCs/>
          <w:lang w:val="en-US"/>
        </w:rPr>
      </w:pPr>
      <w:r w:rsidRPr="008959B8">
        <w:rPr>
          <w:rFonts w:asciiTheme="minorHAnsi" w:hAnsiTheme="minorHAnsi"/>
          <w:b/>
          <w:bCs/>
          <w:lang w:val="en-US"/>
        </w:rPr>
        <w:t>Annex 7</w:t>
      </w:r>
    </w:p>
    <w:p w:rsidR="008959B8" w:rsidRDefault="0062328D" w:rsidP="0003201E">
      <w:pPr>
        <w:ind w:left="-567"/>
        <w:jc w:val="center"/>
        <w:rPr>
          <w:rFonts w:asciiTheme="minorHAnsi" w:hAnsiTheme="minorHAnsi"/>
          <w:lang w:val="en-US"/>
        </w:rPr>
      </w:pPr>
      <w:r w:rsidRPr="0062328D">
        <w:rPr>
          <w:noProof/>
          <w:lang w:val="en-US" w:eastAsia="zh-CN"/>
        </w:rPr>
        <w:drawing>
          <wp:inline distT="0" distB="0" distL="0" distR="0" wp14:anchorId="44F44A40" wp14:editId="6AD145F9">
            <wp:extent cx="6299200" cy="2396847"/>
            <wp:effectExtent l="0" t="0" r="635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9200" cy="2396847"/>
                    </a:xfrm>
                    <a:prstGeom prst="rect">
                      <a:avLst/>
                    </a:prstGeom>
                    <a:noFill/>
                    <a:ln>
                      <a:noFill/>
                    </a:ln>
                  </pic:spPr>
                </pic:pic>
              </a:graphicData>
            </a:graphic>
          </wp:inline>
        </w:drawing>
      </w:r>
    </w:p>
    <w:p w:rsidR="008959B8" w:rsidRDefault="008959B8" w:rsidP="0003201E">
      <w:pPr>
        <w:ind w:left="-567"/>
        <w:jc w:val="center"/>
        <w:rPr>
          <w:rFonts w:asciiTheme="minorHAnsi" w:hAnsiTheme="minorHAnsi"/>
          <w:lang w:val="en-US"/>
        </w:rPr>
      </w:pPr>
    </w:p>
    <w:p w:rsidR="008959B8" w:rsidRDefault="008959B8" w:rsidP="0003201E">
      <w:pPr>
        <w:ind w:left="-567"/>
        <w:jc w:val="center"/>
        <w:rPr>
          <w:rFonts w:asciiTheme="minorHAnsi" w:hAnsiTheme="minorHAnsi"/>
          <w:lang w:val="en-US"/>
        </w:rPr>
      </w:pPr>
    </w:p>
    <w:p w:rsidR="008959B8" w:rsidRDefault="008959B8" w:rsidP="0003201E">
      <w:pPr>
        <w:ind w:left="-567"/>
        <w:jc w:val="center"/>
        <w:rPr>
          <w:rFonts w:asciiTheme="minorHAnsi" w:hAnsiTheme="minorHAnsi"/>
          <w:lang w:val="en-US"/>
        </w:rPr>
      </w:pPr>
    </w:p>
    <w:p w:rsidR="008959B8" w:rsidRDefault="008959B8" w:rsidP="0003201E">
      <w:pPr>
        <w:ind w:left="-567"/>
        <w:jc w:val="center"/>
        <w:rPr>
          <w:rFonts w:asciiTheme="minorHAnsi" w:hAnsiTheme="minorHAnsi"/>
          <w:lang w:val="en-US"/>
        </w:rPr>
      </w:pPr>
    </w:p>
    <w:p w:rsidR="008959B8" w:rsidRDefault="008959B8"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44678F" w:rsidRDefault="0044678F" w:rsidP="0003201E">
      <w:pPr>
        <w:ind w:left="-567"/>
        <w:jc w:val="center"/>
        <w:rPr>
          <w:rFonts w:asciiTheme="minorHAnsi" w:hAnsiTheme="minorHAnsi"/>
          <w:lang w:val="en-US"/>
        </w:rPr>
      </w:pPr>
    </w:p>
    <w:p w:rsidR="005F62FB" w:rsidRDefault="005F62FB" w:rsidP="0003201E">
      <w:pPr>
        <w:ind w:left="-567"/>
        <w:jc w:val="center"/>
        <w:rPr>
          <w:rFonts w:asciiTheme="minorHAnsi" w:hAnsiTheme="minorHAnsi"/>
          <w:lang w:val="en-US"/>
        </w:rPr>
        <w:sectPr w:rsidR="005F62FB" w:rsidSect="008959B8">
          <w:pgSz w:w="11906" w:h="16838"/>
          <w:pgMar w:top="1417" w:right="993" w:bottom="1135" w:left="993" w:header="708" w:footer="247" w:gutter="0"/>
          <w:cols w:space="708"/>
          <w:titlePg/>
          <w:docGrid w:linePitch="360"/>
        </w:sectPr>
      </w:pPr>
    </w:p>
    <w:p w:rsidR="008959B8" w:rsidRDefault="0044678F" w:rsidP="0003201E">
      <w:pPr>
        <w:ind w:left="-567"/>
        <w:jc w:val="center"/>
        <w:rPr>
          <w:rFonts w:asciiTheme="minorHAnsi" w:hAnsiTheme="minorHAnsi"/>
          <w:lang w:val="en-US"/>
        </w:rPr>
      </w:pPr>
      <w:r>
        <w:rPr>
          <w:rFonts w:asciiTheme="minorHAnsi" w:hAnsiTheme="minorHAnsi"/>
          <w:lang w:val="en-US"/>
        </w:rPr>
        <w:t>Annex 8</w:t>
      </w:r>
    </w:p>
    <w:p w:rsidR="008959B8" w:rsidRDefault="0044678F" w:rsidP="0003201E">
      <w:pPr>
        <w:ind w:left="-567"/>
        <w:jc w:val="center"/>
        <w:rPr>
          <w:rFonts w:asciiTheme="minorHAnsi" w:hAnsiTheme="minorHAnsi"/>
          <w:lang w:val="en-US"/>
        </w:rPr>
      </w:pPr>
      <w:r w:rsidRPr="000C546B">
        <w:rPr>
          <w:noProof/>
          <w:lang w:val="en-US" w:eastAsia="zh-CN"/>
        </w:rPr>
        <w:drawing>
          <wp:inline distT="0" distB="0" distL="0" distR="0" wp14:anchorId="4BD72064" wp14:editId="17027545">
            <wp:extent cx="8712411" cy="54379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20149" cy="5442739"/>
                    </a:xfrm>
                    <a:prstGeom prst="rect">
                      <a:avLst/>
                    </a:prstGeom>
                    <a:noFill/>
                    <a:ln>
                      <a:noFill/>
                    </a:ln>
                  </pic:spPr>
                </pic:pic>
              </a:graphicData>
            </a:graphic>
          </wp:inline>
        </w:drawing>
      </w:r>
    </w:p>
    <w:p w:rsidR="000C546B" w:rsidRDefault="000C546B" w:rsidP="000C546B">
      <w:pPr>
        <w:ind w:left="-567"/>
        <w:jc w:val="center"/>
        <w:rPr>
          <w:rFonts w:asciiTheme="minorHAnsi" w:hAnsiTheme="minorHAnsi"/>
          <w:lang w:val="en-US"/>
        </w:rPr>
      </w:pPr>
      <w:r w:rsidRPr="000C546B">
        <w:rPr>
          <w:noProof/>
          <w:lang w:val="en-US" w:eastAsia="zh-CN"/>
        </w:rPr>
        <w:drawing>
          <wp:inline distT="0" distB="0" distL="0" distR="0" wp14:anchorId="13A56E1D" wp14:editId="4C7E0D1A">
            <wp:extent cx="9074728" cy="610292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71610" cy="6100830"/>
                    </a:xfrm>
                    <a:prstGeom prst="rect">
                      <a:avLst/>
                    </a:prstGeom>
                    <a:noFill/>
                    <a:ln>
                      <a:noFill/>
                    </a:ln>
                  </pic:spPr>
                </pic:pic>
              </a:graphicData>
            </a:graphic>
          </wp:inline>
        </w:drawing>
      </w:r>
    </w:p>
    <w:p w:rsidR="000C546B" w:rsidRDefault="000C546B" w:rsidP="0003201E">
      <w:pPr>
        <w:ind w:left="-567"/>
        <w:jc w:val="center"/>
        <w:rPr>
          <w:rFonts w:asciiTheme="minorHAnsi" w:hAnsiTheme="minorHAnsi"/>
          <w:lang w:val="en-US"/>
        </w:rPr>
      </w:pPr>
      <w:r w:rsidRPr="00626D5B">
        <w:rPr>
          <w:noProof/>
          <w:lang w:val="en-US" w:eastAsia="zh-CN"/>
        </w:rPr>
        <w:drawing>
          <wp:inline distT="0" distB="0" distL="0" distR="0" wp14:anchorId="2718486B" wp14:editId="699EE5FE">
            <wp:extent cx="8603615" cy="5327015"/>
            <wp:effectExtent l="0" t="0" r="698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03615" cy="5327015"/>
                    </a:xfrm>
                    <a:prstGeom prst="rect">
                      <a:avLst/>
                    </a:prstGeom>
                    <a:noFill/>
                    <a:ln>
                      <a:noFill/>
                    </a:ln>
                  </pic:spPr>
                </pic:pic>
              </a:graphicData>
            </a:graphic>
          </wp:inline>
        </w:drawing>
      </w:r>
    </w:p>
    <w:p w:rsidR="000C546B" w:rsidRDefault="000C546B" w:rsidP="0003201E">
      <w:pPr>
        <w:ind w:left="-567"/>
        <w:jc w:val="center"/>
        <w:rPr>
          <w:rFonts w:asciiTheme="minorHAnsi" w:hAnsiTheme="minorHAnsi"/>
          <w:lang w:val="en-US"/>
        </w:rPr>
      </w:pPr>
    </w:p>
    <w:p w:rsidR="000C546B" w:rsidRDefault="000C546B" w:rsidP="0003201E">
      <w:pPr>
        <w:ind w:left="-567"/>
        <w:jc w:val="center"/>
        <w:rPr>
          <w:rFonts w:asciiTheme="minorHAnsi" w:hAnsiTheme="minorHAnsi"/>
          <w:lang w:val="en-US"/>
        </w:rPr>
      </w:pPr>
    </w:p>
    <w:p w:rsidR="000C546B" w:rsidRDefault="000C546B" w:rsidP="0003201E">
      <w:pPr>
        <w:ind w:left="-567"/>
        <w:jc w:val="center"/>
        <w:rPr>
          <w:rFonts w:asciiTheme="minorHAnsi" w:hAnsiTheme="minorHAnsi"/>
          <w:lang w:val="en-US"/>
        </w:rPr>
        <w:sectPr w:rsidR="000C546B" w:rsidSect="005F62FB">
          <w:pgSz w:w="16838" w:h="11906" w:orient="landscape"/>
          <w:pgMar w:top="993" w:right="1417" w:bottom="993" w:left="1135" w:header="708" w:footer="247" w:gutter="0"/>
          <w:cols w:space="708"/>
          <w:titlePg/>
          <w:docGrid w:linePitch="360"/>
        </w:sectPr>
      </w:pPr>
    </w:p>
    <w:p w:rsidR="008959B8" w:rsidRDefault="00842593" w:rsidP="0003201E">
      <w:pPr>
        <w:ind w:left="-567"/>
        <w:jc w:val="center"/>
        <w:rPr>
          <w:rFonts w:asciiTheme="minorHAnsi" w:hAnsiTheme="minorHAnsi"/>
          <w:lang w:val="en-US"/>
        </w:rPr>
      </w:pPr>
      <w:r w:rsidRPr="00842593">
        <w:rPr>
          <w:noProof/>
          <w:lang w:val="en-US" w:eastAsia="zh-CN"/>
        </w:rPr>
        <w:drawing>
          <wp:inline distT="0" distB="0" distL="0" distR="0" wp14:anchorId="70FF9386" wp14:editId="17CB5FF0">
            <wp:extent cx="9071610" cy="5379693"/>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071610" cy="5379693"/>
                    </a:xfrm>
                    <a:prstGeom prst="rect">
                      <a:avLst/>
                    </a:prstGeom>
                    <a:noFill/>
                    <a:ln>
                      <a:noFill/>
                    </a:ln>
                  </pic:spPr>
                </pic:pic>
              </a:graphicData>
            </a:graphic>
          </wp:inline>
        </w:drawing>
      </w:r>
    </w:p>
    <w:p w:rsidR="008959B8" w:rsidRDefault="008959B8" w:rsidP="0003201E">
      <w:pPr>
        <w:ind w:left="-567"/>
        <w:jc w:val="center"/>
        <w:rPr>
          <w:rFonts w:asciiTheme="minorHAnsi" w:hAnsiTheme="minorHAnsi"/>
          <w:lang w:val="en-US"/>
        </w:rPr>
      </w:pPr>
    </w:p>
    <w:p w:rsidR="008959B8" w:rsidRDefault="00842593" w:rsidP="0003201E">
      <w:pPr>
        <w:ind w:left="-567"/>
        <w:jc w:val="center"/>
        <w:rPr>
          <w:rFonts w:asciiTheme="minorHAnsi" w:hAnsiTheme="minorHAnsi"/>
          <w:lang w:val="en-US"/>
        </w:rPr>
      </w:pPr>
      <w:r w:rsidRPr="00842593">
        <w:rPr>
          <w:noProof/>
          <w:lang w:val="en-US" w:eastAsia="zh-CN"/>
        </w:rPr>
        <w:drawing>
          <wp:inline distT="0" distB="0" distL="0" distR="0" wp14:anchorId="2CA854C0" wp14:editId="50C80B63">
            <wp:extent cx="9071610" cy="524812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71610" cy="5248126"/>
                    </a:xfrm>
                    <a:prstGeom prst="rect">
                      <a:avLst/>
                    </a:prstGeom>
                    <a:noFill/>
                    <a:ln>
                      <a:noFill/>
                    </a:ln>
                  </pic:spPr>
                </pic:pic>
              </a:graphicData>
            </a:graphic>
          </wp:inline>
        </w:drawing>
      </w:r>
    </w:p>
    <w:p w:rsidR="00CB32BA" w:rsidRDefault="00CB32BA" w:rsidP="0003201E">
      <w:pPr>
        <w:ind w:left="-567"/>
        <w:jc w:val="center"/>
        <w:rPr>
          <w:rFonts w:asciiTheme="minorHAnsi" w:hAnsiTheme="minorHAnsi"/>
          <w:lang w:val="en-US"/>
        </w:rPr>
        <w:sectPr w:rsidR="00CB32BA" w:rsidSect="008959B8">
          <w:pgSz w:w="16838" w:h="11906" w:orient="landscape"/>
          <w:pgMar w:top="993" w:right="1417" w:bottom="993" w:left="1135" w:header="708" w:footer="247" w:gutter="0"/>
          <w:cols w:space="708"/>
          <w:titlePg/>
          <w:docGrid w:linePitch="360"/>
        </w:sectPr>
      </w:pPr>
    </w:p>
    <w:p w:rsidR="00CB32BA" w:rsidRDefault="00CB32BA" w:rsidP="0044678F">
      <w:pPr>
        <w:ind w:left="-567"/>
        <w:jc w:val="center"/>
        <w:rPr>
          <w:rFonts w:asciiTheme="minorHAnsi" w:hAnsiTheme="minorHAnsi"/>
          <w:b/>
          <w:bCs/>
          <w:lang w:val="en-US"/>
        </w:rPr>
      </w:pPr>
      <w:r w:rsidRPr="00CB32BA">
        <w:rPr>
          <w:rFonts w:asciiTheme="minorHAnsi" w:hAnsiTheme="minorHAnsi"/>
          <w:b/>
          <w:bCs/>
          <w:lang w:val="en-US"/>
        </w:rPr>
        <w:t xml:space="preserve">Annex </w:t>
      </w:r>
      <w:r w:rsidR="0044678F">
        <w:rPr>
          <w:rFonts w:asciiTheme="minorHAnsi" w:hAnsiTheme="minorHAnsi"/>
          <w:b/>
          <w:bCs/>
          <w:lang w:val="en-US"/>
        </w:rPr>
        <w:t>9</w:t>
      </w:r>
    </w:p>
    <w:p w:rsidR="00BA594A" w:rsidRDefault="00BA594A" w:rsidP="0003201E">
      <w:pPr>
        <w:ind w:left="-567"/>
        <w:jc w:val="center"/>
        <w:rPr>
          <w:rFonts w:asciiTheme="minorHAnsi" w:hAnsiTheme="minorHAnsi"/>
          <w:b/>
          <w:bCs/>
          <w:lang w:val="en-US"/>
        </w:rPr>
      </w:pPr>
    </w:p>
    <w:p w:rsidR="00E27BE4" w:rsidRPr="00CB32BA" w:rsidRDefault="00CB3E31" w:rsidP="0003201E">
      <w:pPr>
        <w:ind w:left="-567"/>
        <w:jc w:val="center"/>
        <w:rPr>
          <w:rFonts w:asciiTheme="minorHAnsi" w:hAnsiTheme="minorHAnsi"/>
          <w:b/>
          <w:bCs/>
          <w:lang w:val="en-US"/>
        </w:rPr>
      </w:pPr>
      <w:r>
        <w:rPr>
          <w:rFonts w:asciiTheme="minorHAnsi" w:hAnsiTheme="minorHAnsi"/>
          <w:b/>
          <w:bCs/>
          <w:lang w:val="en-US"/>
        </w:rPr>
        <w:t xml:space="preserve"> </w:t>
      </w:r>
      <w:r w:rsidR="0078003D" w:rsidRPr="0078003D">
        <w:drawing>
          <wp:inline distT="0" distB="0" distL="0" distR="0">
            <wp:extent cx="4315460" cy="734314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15460" cy="7343140"/>
                    </a:xfrm>
                    <a:prstGeom prst="rect">
                      <a:avLst/>
                    </a:prstGeom>
                    <a:noFill/>
                    <a:ln>
                      <a:noFill/>
                    </a:ln>
                  </pic:spPr>
                </pic:pic>
              </a:graphicData>
            </a:graphic>
          </wp:inline>
        </w:drawing>
      </w:r>
      <w:r w:rsidR="0078003D">
        <w:rPr>
          <w:rFonts w:asciiTheme="minorHAnsi" w:hAnsiTheme="minorHAnsi"/>
          <w:b/>
          <w:bCs/>
          <w:lang w:val="en-US"/>
        </w:rPr>
        <w:t xml:space="preserve"> </w:t>
      </w:r>
    </w:p>
    <w:sectPr w:rsidR="00E27BE4" w:rsidRPr="00CB32BA" w:rsidSect="00CB32BA">
      <w:pgSz w:w="11906" w:h="16838"/>
      <w:pgMar w:top="1417" w:right="993" w:bottom="1135" w:left="993" w:header="708" w:footer="2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D0" w:rsidRDefault="00085DD0" w:rsidP="002510E0">
      <w:pPr>
        <w:spacing w:after="0" w:line="240" w:lineRule="auto"/>
      </w:pPr>
      <w:r>
        <w:separator/>
      </w:r>
    </w:p>
  </w:endnote>
  <w:endnote w:type="continuationSeparator" w:id="0">
    <w:p w:rsidR="00085DD0" w:rsidRDefault="00085DD0" w:rsidP="0025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DD0" w:rsidRDefault="00085DD0" w:rsidP="004818CF">
    <w:pPr>
      <w:pStyle w:val="Footer"/>
      <w:rPr>
        <w:sz w:val="20"/>
        <w:szCs w:val="20"/>
        <w:lang w:val="en-US"/>
      </w:rPr>
    </w:pPr>
  </w:p>
  <w:p w:rsidR="00085DD0" w:rsidRDefault="00085DD0" w:rsidP="004818CF">
    <w:pPr>
      <w:pStyle w:val="Footer"/>
      <w:rPr>
        <w:sz w:val="20"/>
        <w:szCs w:val="20"/>
        <w:lang w:val="en-US"/>
      </w:rPr>
    </w:pPr>
  </w:p>
  <w:p w:rsidR="00085DD0" w:rsidRPr="008523A9" w:rsidRDefault="00085DD0" w:rsidP="004C270D">
    <w:pPr>
      <w:pStyle w:val="Footer"/>
      <w:rPr>
        <w:sz w:val="20"/>
        <w:szCs w:val="20"/>
        <w:lang w:val="en-US"/>
      </w:rPr>
    </w:pPr>
    <w:r w:rsidRPr="008523A9">
      <w:rPr>
        <w:sz w:val="20"/>
        <w:szCs w:val="20"/>
        <w:lang w:val="en-US"/>
      </w:rPr>
      <w:t xml:space="preserve">Author :  </w:t>
    </w:r>
    <w:r>
      <w:rPr>
        <w:sz w:val="20"/>
        <w:szCs w:val="20"/>
        <w:lang w:val="en-US"/>
      </w:rPr>
      <w:t>Financial Resources Management Department (FRMD)</w:t>
    </w:r>
  </w:p>
  <w:p w:rsidR="00085DD0" w:rsidRPr="004818CF" w:rsidRDefault="00085DD0">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D0" w:rsidRDefault="00085DD0" w:rsidP="002510E0">
      <w:pPr>
        <w:spacing w:after="0" w:line="240" w:lineRule="auto"/>
      </w:pPr>
      <w:r>
        <w:separator/>
      </w:r>
    </w:p>
  </w:footnote>
  <w:footnote w:type="continuationSeparator" w:id="0">
    <w:p w:rsidR="00085DD0" w:rsidRDefault="00085DD0" w:rsidP="00251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154123"/>
      <w:docPartObj>
        <w:docPartGallery w:val="Page Numbers (Top of Page)"/>
        <w:docPartUnique/>
      </w:docPartObj>
    </w:sdtPr>
    <w:sdtEndPr/>
    <w:sdtContent>
      <w:p w:rsidR="00085DD0" w:rsidRDefault="00085DD0">
        <w:pPr>
          <w:pStyle w:val="Header"/>
          <w:jc w:val="center"/>
        </w:pPr>
        <w:r>
          <w:fldChar w:fldCharType="begin"/>
        </w:r>
        <w:r>
          <w:instrText xml:space="preserve"> PAGE   \* MERGEFORMAT </w:instrText>
        </w:r>
        <w:r>
          <w:fldChar w:fldCharType="separate"/>
        </w:r>
        <w:r w:rsidR="0078003D">
          <w:rPr>
            <w:noProof/>
          </w:rPr>
          <w:t>2</w:t>
        </w:r>
        <w:r>
          <w:rPr>
            <w:noProof/>
          </w:rPr>
          <w:fldChar w:fldCharType="end"/>
        </w:r>
      </w:p>
    </w:sdtContent>
  </w:sdt>
  <w:p w:rsidR="00085DD0" w:rsidRDefault="00085D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0"/>
    <w:lvl w:ilvl="0" w:tplc="FFFFFFFF">
      <w:start w:val="1"/>
      <w:numFmt w:val="decimal"/>
      <w:lvlText w:val="%1."/>
      <w:lvlJc w:val="left"/>
      <w:pPr>
        <w:tabs>
          <w:tab w:val="num" w:pos="0"/>
        </w:tabs>
      </w:pPr>
      <w:rPr>
        <w:rFonts w:cs="Times New Roman"/>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0"/>
    <w:lvl w:ilvl="0" w:tplc="FFFFFFFF">
      <w:start w:val="1"/>
      <w:numFmt w:val="bullet"/>
      <w:lvlText w:val="·"/>
      <w:lvlJc w:val="left"/>
      <w:pPr>
        <w:tabs>
          <w:tab w:val="num" w:pos="0"/>
        </w:tabs>
      </w:pPr>
      <w:rPr>
        <w:rFonts w:ascii="Symbol" w:hAnsi="Symbol"/>
      </w:rPr>
    </w:lvl>
    <w:lvl w:ilvl="1" w:tplc="FFFFFFFF">
      <w:start w:val="1"/>
      <w:numFmt w:val="bullet"/>
      <w:lvlText w:val="·"/>
      <w:lvlJc w:val="left"/>
      <w:pPr>
        <w:tabs>
          <w:tab w:val="num" w:pos="0"/>
        </w:tabs>
      </w:pPr>
      <w:rPr>
        <w:rFonts w:ascii="Symbol" w:hAnsi="Symbol"/>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335BAA"/>
    <w:multiLevelType w:val="hybridMultilevel"/>
    <w:tmpl w:val="AD345A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31517A"/>
    <w:multiLevelType w:val="hybridMultilevel"/>
    <w:tmpl w:val="88465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2078D5"/>
    <w:multiLevelType w:val="hybridMultilevel"/>
    <w:tmpl w:val="3AD2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D41D4"/>
    <w:multiLevelType w:val="hybridMultilevel"/>
    <w:tmpl w:val="23167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A210C0"/>
    <w:multiLevelType w:val="hybridMultilevel"/>
    <w:tmpl w:val="7A6861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2B0C73"/>
    <w:multiLevelType w:val="hybridMultilevel"/>
    <w:tmpl w:val="0C5EAFF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59D571C"/>
    <w:multiLevelType w:val="hybridMultilevel"/>
    <w:tmpl w:val="341C8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E10433"/>
    <w:multiLevelType w:val="hybridMultilevel"/>
    <w:tmpl w:val="7BB66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7CC255C"/>
    <w:multiLevelType w:val="hybridMultilevel"/>
    <w:tmpl w:val="FE86E0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NumberedLis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780F47"/>
    <w:multiLevelType w:val="hybridMultilevel"/>
    <w:tmpl w:val="D9621EB0"/>
    <w:lvl w:ilvl="0" w:tplc="0FB27BAC">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C06E61"/>
    <w:multiLevelType w:val="hybridMultilevel"/>
    <w:tmpl w:val="9322021C"/>
    <w:lvl w:ilvl="0" w:tplc="04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564339"/>
    <w:multiLevelType w:val="hybridMultilevel"/>
    <w:tmpl w:val="A934C088"/>
    <w:lvl w:ilvl="0" w:tplc="9850DBF4">
      <w:start w:val="1"/>
      <w:numFmt w:val="bullet"/>
      <w:pStyle w:val="Enumlev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6560FC3"/>
    <w:multiLevelType w:val="hybridMultilevel"/>
    <w:tmpl w:val="4D0A01D4"/>
    <w:lvl w:ilvl="0" w:tplc="F54290EC">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6E11F4"/>
    <w:multiLevelType w:val="hybridMultilevel"/>
    <w:tmpl w:val="0854E5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4D76F5"/>
    <w:multiLevelType w:val="hybridMultilevel"/>
    <w:tmpl w:val="488442FC"/>
    <w:lvl w:ilvl="0" w:tplc="12F0B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853398"/>
    <w:multiLevelType w:val="hybridMultilevel"/>
    <w:tmpl w:val="36C818B2"/>
    <w:lvl w:ilvl="0" w:tplc="3ED61B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AF480C"/>
    <w:multiLevelType w:val="hybridMultilevel"/>
    <w:tmpl w:val="7EB43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060DF9"/>
    <w:multiLevelType w:val="hybridMultilevel"/>
    <w:tmpl w:val="8F24B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9925CD"/>
    <w:multiLevelType w:val="hybridMultilevel"/>
    <w:tmpl w:val="0DF282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AE12A1"/>
    <w:multiLevelType w:val="hybridMultilevel"/>
    <w:tmpl w:val="93E0878A"/>
    <w:lvl w:ilvl="0" w:tplc="3ED61BA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B2B0D74"/>
    <w:multiLevelType w:val="hybridMultilevel"/>
    <w:tmpl w:val="75DA91B2"/>
    <w:lvl w:ilvl="0" w:tplc="3ED61BA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B916A4"/>
    <w:multiLevelType w:val="hybridMultilevel"/>
    <w:tmpl w:val="EFE4817A"/>
    <w:lvl w:ilvl="0" w:tplc="AB8A6C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CA56B7"/>
    <w:multiLevelType w:val="hybridMultilevel"/>
    <w:tmpl w:val="0710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5920FC"/>
    <w:multiLevelType w:val="hybridMultilevel"/>
    <w:tmpl w:val="16E4A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2851F8B"/>
    <w:multiLevelType w:val="hybridMultilevel"/>
    <w:tmpl w:val="5D2A9F10"/>
    <w:lvl w:ilvl="0" w:tplc="A894DF3A">
      <w:start w:val="2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5B43C72"/>
    <w:multiLevelType w:val="hybridMultilevel"/>
    <w:tmpl w:val="A6C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9C59F6"/>
    <w:multiLevelType w:val="hybridMultilevel"/>
    <w:tmpl w:val="DD28D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B7063F"/>
    <w:multiLevelType w:val="hybridMultilevel"/>
    <w:tmpl w:val="971C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30"/>
  </w:num>
  <w:num w:numId="6">
    <w:abstractNumId w:val="5"/>
  </w:num>
  <w:num w:numId="7">
    <w:abstractNumId w:val="20"/>
  </w:num>
  <w:num w:numId="8">
    <w:abstractNumId w:val="4"/>
  </w:num>
  <w:num w:numId="9">
    <w:abstractNumId w:val="9"/>
  </w:num>
  <w:num w:numId="10">
    <w:abstractNumId w:val="24"/>
  </w:num>
  <w:num w:numId="11">
    <w:abstractNumId w:val="23"/>
  </w:num>
  <w:num w:numId="12">
    <w:abstractNumId w:val="18"/>
  </w:num>
  <w:num w:numId="13">
    <w:abstractNumId w:val="22"/>
  </w:num>
  <w:num w:numId="14">
    <w:abstractNumId w:val="3"/>
  </w:num>
  <w:num w:numId="15">
    <w:abstractNumId w:val="26"/>
  </w:num>
  <w:num w:numId="16">
    <w:abstractNumId w:val="14"/>
  </w:num>
  <w:num w:numId="17">
    <w:abstractNumId w:val="10"/>
  </w:num>
  <w:num w:numId="18">
    <w:abstractNumId w:val="6"/>
  </w:num>
  <w:num w:numId="19">
    <w:abstractNumId w:val="11"/>
  </w:num>
  <w:num w:numId="20">
    <w:abstractNumId w:val="13"/>
  </w:num>
  <w:num w:numId="21">
    <w:abstractNumId w:val="25"/>
  </w:num>
  <w:num w:numId="22">
    <w:abstractNumId w:val="19"/>
  </w:num>
  <w:num w:numId="23">
    <w:abstractNumId w:val="16"/>
  </w:num>
  <w:num w:numId="24">
    <w:abstractNumId w:val="7"/>
  </w:num>
  <w:num w:numId="25">
    <w:abstractNumId w:val="27"/>
  </w:num>
  <w:num w:numId="26">
    <w:abstractNumId w:val="29"/>
  </w:num>
  <w:num w:numId="27">
    <w:abstractNumId w:val="21"/>
  </w:num>
  <w:num w:numId="28">
    <w:abstractNumId w:val="17"/>
  </w:num>
  <w:num w:numId="29">
    <w:abstractNumId w:val="28"/>
  </w:num>
  <w:num w:numId="30">
    <w:abstractNumId w:val="1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40"/>
    <w:rsid w:val="00003024"/>
    <w:rsid w:val="00013D0A"/>
    <w:rsid w:val="00023148"/>
    <w:rsid w:val="00027E25"/>
    <w:rsid w:val="000310B1"/>
    <w:rsid w:val="00031C03"/>
    <w:rsid w:val="0003201E"/>
    <w:rsid w:val="00032C56"/>
    <w:rsid w:val="00037AB3"/>
    <w:rsid w:val="00047B07"/>
    <w:rsid w:val="00056E6E"/>
    <w:rsid w:val="00061A25"/>
    <w:rsid w:val="00064073"/>
    <w:rsid w:val="00064600"/>
    <w:rsid w:val="00083C25"/>
    <w:rsid w:val="00085DD0"/>
    <w:rsid w:val="00086912"/>
    <w:rsid w:val="0009011B"/>
    <w:rsid w:val="000951EC"/>
    <w:rsid w:val="000A1518"/>
    <w:rsid w:val="000A3550"/>
    <w:rsid w:val="000B1732"/>
    <w:rsid w:val="000B2DD6"/>
    <w:rsid w:val="000B4E17"/>
    <w:rsid w:val="000B53F6"/>
    <w:rsid w:val="000C1048"/>
    <w:rsid w:val="000C3481"/>
    <w:rsid w:val="000C49CA"/>
    <w:rsid w:val="000C546B"/>
    <w:rsid w:val="000C5CE6"/>
    <w:rsid w:val="000F237B"/>
    <w:rsid w:val="000F5834"/>
    <w:rsid w:val="000F60AD"/>
    <w:rsid w:val="000F6645"/>
    <w:rsid w:val="00103822"/>
    <w:rsid w:val="00107867"/>
    <w:rsid w:val="001129B7"/>
    <w:rsid w:val="00113E79"/>
    <w:rsid w:val="00115552"/>
    <w:rsid w:val="0011642E"/>
    <w:rsid w:val="00117008"/>
    <w:rsid w:val="00124040"/>
    <w:rsid w:val="00127912"/>
    <w:rsid w:val="00141E1F"/>
    <w:rsid w:val="00147C75"/>
    <w:rsid w:val="00150177"/>
    <w:rsid w:val="00150CB7"/>
    <w:rsid w:val="00160DD2"/>
    <w:rsid w:val="00164A74"/>
    <w:rsid w:val="001701CA"/>
    <w:rsid w:val="001804DE"/>
    <w:rsid w:val="001850E4"/>
    <w:rsid w:val="001873EE"/>
    <w:rsid w:val="00191719"/>
    <w:rsid w:val="00193FA7"/>
    <w:rsid w:val="0019426D"/>
    <w:rsid w:val="00194337"/>
    <w:rsid w:val="001B43B7"/>
    <w:rsid w:val="001B64CF"/>
    <w:rsid w:val="001B6C24"/>
    <w:rsid w:val="001B70CA"/>
    <w:rsid w:val="001D1D43"/>
    <w:rsid w:val="001D1ED9"/>
    <w:rsid w:val="001D456E"/>
    <w:rsid w:val="001E281B"/>
    <w:rsid w:val="001E37C8"/>
    <w:rsid w:val="001E6262"/>
    <w:rsid w:val="001F3D13"/>
    <w:rsid w:val="001F61F6"/>
    <w:rsid w:val="002128D3"/>
    <w:rsid w:val="00213CBE"/>
    <w:rsid w:val="00214E68"/>
    <w:rsid w:val="00215794"/>
    <w:rsid w:val="00221170"/>
    <w:rsid w:val="0022666F"/>
    <w:rsid w:val="00231466"/>
    <w:rsid w:val="00236864"/>
    <w:rsid w:val="00241F71"/>
    <w:rsid w:val="00243D9B"/>
    <w:rsid w:val="00246757"/>
    <w:rsid w:val="002508F4"/>
    <w:rsid w:val="00250FDF"/>
    <w:rsid w:val="002510E0"/>
    <w:rsid w:val="002668C6"/>
    <w:rsid w:val="00271959"/>
    <w:rsid w:val="002A0CCE"/>
    <w:rsid w:val="002A4D54"/>
    <w:rsid w:val="002B71FD"/>
    <w:rsid w:val="002C283C"/>
    <w:rsid w:val="002D6368"/>
    <w:rsid w:val="002D7AA2"/>
    <w:rsid w:val="002E55B1"/>
    <w:rsid w:val="002F2CEC"/>
    <w:rsid w:val="002F7474"/>
    <w:rsid w:val="00314F6E"/>
    <w:rsid w:val="00323253"/>
    <w:rsid w:val="00327FA7"/>
    <w:rsid w:val="00332C3F"/>
    <w:rsid w:val="00334CE3"/>
    <w:rsid w:val="00335DF3"/>
    <w:rsid w:val="003401F7"/>
    <w:rsid w:val="003436F6"/>
    <w:rsid w:val="00345A0B"/>
    <w:rsid w:val="00352F3A"/>
    <w:rsid w:val="00354623"/>
    <w:rsid w:val="00354DC1"/>
    <w:rsid w:val="003551CA"/>
    <w:rsid w:val="00362F70"/>
    <w:rsid w:val="0037027B"/>
    <w:rsid w:val="00372FD9"/>
    <w:rsid w:val="00393D35"/>
    <w:rsid w:val="00395618"/>
    <w:rsid w:val="00397FC4"/>
    <w:rsid w:val="003A57AB"/>
    <w:rsid w:val="003C099D"/>
    <w:rsid w:val="003D533E"/>
    <w:rsid w:val="003D705C"/>
    <w:rsid w:val="003E1B2C"/>
    <w:rsid w:val="003E4B1A"/>
    <w:rsid w:val="003F7880"/>
    <w:rsid w:val="00403CB8"/>
    <w:rsid w:val="0040549A"/>
    <w:rsid w:val="004072C3"/>
    <w:rsid w:val="00411ABD"/>
    <w:rsid w:val="00422CA5"/>
    <w:rsid w:val="004234D8"/>
    <w:rsid w:val="00430A1C"/>
    <w:rsid w:val="004313CD"/>
    <w:rsid w:val="004450DD"/>
    <w:rsid w:val="0044678F"/>
    <w:rsid w:val="00454C3C"/>
    <w:rsid w:val="004632A5"/>
    <w:rsid w:val="0046405A"/>
    <w:rsid w:val="00471AE5"/>
    <w:rsid w:val="00473F6A"/>
    <w:rsid w:val="00476D46"/>
    <w:rsid w:val="00476DEF"/>
    <w:rsid w:val="004818CF"/>
    <w:rsid w:val="00485715"/>
    <w:rsid w:val="00487A94"/>
    <w:rsid w:val="00493C2F"/>
    <w:rsid w:val="00496421"/>
    <w:rsid w:val="004977C2"/>
    <w:rsid w:val="00497AD5"/>
    <w:rsid w:val="004A13B6"/>
    <w:rsid w:val="004B0F56"/>
    <w:rsid w:val="004B6C76"/>
    <w:rsid w:val="004C2167"/>
    <w:rsid w:val="004C270D"/>
    <w:rsid w:val="004C378A"/>
    <w:rsid w:val="004C4386"/>
    <w:rsid w:val="004C4F09"/>
    <w:rsid w:val="004D67B6"/>
    <w:rsid w:val="004F4E51"/>
    <w:rsid w:val="00503F00"/>
    <w:rsid w:val="00504652"/>
    <w:rsid w:val="00506170"/>
    <w:rsid w:val="005101B7"/>
    <w:rsid w:val="005117EB"/>
    <w:rsid w:val="00511B00"/>
    <w:rsid w:val="00512D97"/>
    <w:rsid w:val="00524587"/>
    <w:rsid w:val="00525709"/>
    <w:rsid w:val="00526ABB"/>
    <w:rsid w:val="00531A97"/>
    <w:rsid w:val="005415D7"/>
    <w:rsid w:val="00544335"/>
    <w:rsid w:val="00551662"/>
    <w:rsid w:val="00554079"/>
    <w:rsid w:val="00556C57"/>
    <w:rsid w:val="0056665D"/>
    <w:rsid w:val="00573434"/>
    <w:rsid w:val="005765FC"/>
    <w:rsid w:val="00582B44"/>
    <w:rsid w:val="005836A8"/>
    <w:rsid w:val="00590AF1"/>
    <w:rsid w:val="00592AB6"/>
    <w:rsid w:val="005A4296"/>
    <w:rsid w:val="005A5E11"/>
    <w:rsid w:val="005C1BE4"/>
    <w:rsid w:val="005C3637"/>
    <w:rsid w:val="005C6324"/>
    <w:rsid w:val="005C75E5"/>
    <w:rsid w:val="005E3045"/>
    <w:rsid w:val="005F24D7"/>
    <w:rsid w:val="005F45D2"/>
    <w:rsid w:val="005F62FB"/>
    <w:rsid w:val="005F7267"/>
    <w:rsid w:val="00601547"/>
    <w:rsid w:val="00603778"/>
    <w:rsid w:val="00606FC8"/>
    <w:rsid w:val="006074E3"/>
    <w:rsid w:val="00612524"/>
    <w:rsid w:val="00620264"/>
    <w:rsid w:val="006206E9"/>
    <w:rsid w:val="00621ACA"/>
    <w:rsid w:val="0062328D"/>
    <w:rsid w:val="006246A7"/>
    <w:rsid w:val="00626D5B"/>
    <w:rsid w:val="00627003"/>
    <w:rsid w:val="00640BF0"/>
    <w:rsid w:val="006421EB"/>
    <w:rsid w:val="006449CB"/>
    <w:rsid w:val="006465A4"/>
    <w:rsid w:val="0065070B"/>
    <w:rsid w:val="00650971"/>
    <w:rsid w:val="00653459"/>
    <w:rsid w:val="00657648"/>
    <w:rsid w:val="00663892"/>
    <w:rsid w:val="00664E7D"/>
    <w:rsid w:val="006652B4"/>
    <w:rsid w:val="006706F8"/>
    <w:rsid w:val="006765F6"/>
    <w:rsid w:val="00677D59"/>
    <w:rsid w:val="00681FFF"/>
    <w:rsid w:val="006841BD"/>
    <w:rsid w:val="00692C49"/>
    <w:rsid w:val="0069660D"/>
    <w:rsid w:val="00696CDF"/>
    <w:rsid w:val="006A2432"/>
    <w:rsid w:val="006B1DFE"/>
    <w:rsid w:val="006B2BA9"/>
    <w:rsid w:val="006B2C3F"/>
    <w:rsid w:val="006B3D0F"/>
    <w:rsid w:val="006C1E9A"/>
    <w:rsid w:val="006D012F"/>
    <w:rsid w:val="006E3D5D"/>
    <w:rsid w:val="006E7587"/>
    <w:rsid w:val="006F2650"/>
    <w:rsid w:val="00700CE4"/>
    <w:rsid w:val="00704589"/>
    <w:rsid w:val="00711ABB"/>
    <w:rsid w:val="007128D3"/>
    <w:rsid w:val="00715078"/>
    <w:rsid w:val="00730C0A"/>
    <w:rsid w:val="00737C01"/>
    <w:rsid w:val="00746607"/>
    <w:rsid w:val="00751F31"/>
    <w:rsid w:val="0076337A"/>
    <w:rsid w:val="00763A06"/>
    <w:rsid w:val="007670DC"/>
    <w:rsid w:val="00767FBD"/>
    <w:rsid w:val="007728E4"/>
    <w:rsid w:val="0078003D"/>
    <w:rsid w:val="00781E12"/>
    <w:rsid w:val="00784045"/>
    <w:rsid w:val="0078442A"/>
    <w:rsid w:val="00792EC7"/>
    <w:rsid w:val="00797CC8"/>
    <w:rsid w:val="007A51BB"/>
    <w:rsid w:val="007A78C2"/>
    <w:rsid w:val="007B45DF"/>
    <w:rsid w:val="007B517D"/>
    <w:rsid w:val="007B64F8"/>
    <w:rsid w:val="007B65B4"/>
    <w:rsid w:val="007C5722"/>
    <w:rsid w:val="007C6F8E"/>
    <w:rsid w:val="007D6043"/>
    <w:rsid w:val="007E0085"/>
    <w:rsid w:val="007E0EF8"/>
    <w:rsid w:val="007E6647"/>
    <w:rsid w:val="00801B77"/>
    <w:rsid w:val="00801D74"/>
    <w:rsid w:val="00810F40"/>
    <w:rsid w:val="0081365E"/>
    <w:rsid w:val="00814E9C"/>
    <w:rsid w:val="00814FD0"/>
    <w:rsid w:val="0082099A"/>
    <w:rsid w:val="00820EDE"/>
    <w:rsid w:val="00823366"/>
    <w:rsid w:val="00831D03"/>
    <w:rsid w:val="00834A3B"/>
    <w:rsid w:val="0083518C"/>
    <w:rsid w:val="00840C33"/>
    <w:rsid w:val="00842593"/>
    <w:rsid w:val="008523A9"/>
    <w:rsid w:val="00861160"/>
    <w:rsid w:val="00863F61"/>
    <w:rsid w:val="00864A83"/>
    <w:rsid w:val="00877C20"/>
    <w:rsid w:val="00884A35"/>
    <w:rsid w:val="00887B46"/>
    <w:rsid w:val="008959B8"/>
    <w:rsid w:val="0089613A"/>
    <w:rsid w:val="008A1A4E"/>
    <w:rsid w:val="008A1FE4"/>
    <w:rsid w:val="008A7F92"/>
    <w:rsid w:val="008B316E"/>
    <w:rsid w:val="008B4317"/>
    <w:rsid w:val="008C2AE4"/>
    <w:rsid w:val="008D0EEB"/>
    <w:rsid w:val="008D2431"/>
    <w:rsid w:val="008D2924"/>
    <w:rsid w:val="008D357D"/>
    <w:rsid w:val="008E3374"/>
    <w:rsid w:val="008E3627"/>
    <w:rsid w:val="008E52F6"/>
    <w:rsid w:val="008F3AFC"/>
    <w:rsid w:val="00902421"/>
    <w:rsid w:val="0090457E"/>
    <w:rsid w:val="009050E5"/>
    <w:rsid w:val="00913975"/>
    <w:rsid w:val="00915F2B"/>
    <w:rsid w:val="00917F7F"/>
    <w:rsid w:val="009207E1"/>
    <w:rsid w:val="00923A57"/>
    <w:rsid w:val="00925079"/>
    <w:rsid w:val="00931D33"/>
    <w:rsid w:val="009369F1"/>
    <w:rsid w:val="009473FC"/>
    <w:rsid w:val="00950F51"/>
    <w:rsid w:val="00952ECB"/>
    <w:rsid w:val="0095346A"/>
    <w:rsid w:val="0096083B"/>
    <w:rsid w:val="00963C1B"/>
    <w:rsid w:val="0096749B"/>
    <w:rsid w:val="009675E2"/>
    <w:rsid w:val="00973899"/>
    <w:rsid w:val="009778C9"/>
    <w:rsid w:val="00980296"/>
    <w:rsid w:val="009841C8"/>
    <w:rsid w:val="009905BC"/>
    <w:rsid w:val="00992A55"/>
    <w:rsid w:val="009B2307"/>
    <w:rsid w:val="009B7FA3"/>
    <w:rsid w:val="009C4C7D"/>
    <w:rsid w:val="009C5FBC"/>
    <w:rsid w:val="009C7343"/>
    <w:rsid w:val="009E167A"/>
    <w:rsid w:val="009F1366"/>
    <w:rsid w:val="00A04ED4"/>
    <w:rsid w:val="00A054CE"/>
    <w:rsid w:val="00A10F2C"/>
    <w:rsid w:val="00A11AB4"/>
    <w:rsid w:val="00A17822"/>
    <w:rsid w:val="00A3602D"/>
    <w:rsid w:val="00A409CF"/>
    <w:rsid w:val="00A510DE"/>
    <w:rsid w:val="00A538CC"/>
    <w:rsid w:val="00A60BAE"/>
    <w:rsid w:val="00A65741"/>
    <w:rsid w:val="00A661A1"/>
    <w:rsid w:val="00A70DB5"/>
    <w:rsid w:val="00A71176"/>
    <w:rsid w:val="00A71406"/>
    <w:rsid w:val="00A73B7A"/>
    <w:rsid w:val="00A80633"/>
    <w:rsid w:val="00A806C7"/>
    <w:rsid w:val="00A82DB5"/>
    <w:rsid w:val="00A83ED4"/>
    <w:rsid w:val="00AA7F2C"/>
    <w:rsid w:val="00AA7FC6"/>
    <w:rsid w:val="00AB3A54"/>
    <w:rsid w:val="00AB46E4"/>
    <w:rsid w:val="00AB5EE3"/>
    <w:rsid w:val="00AC6A9B"/>
    <w:rsid w:val="00AC7088"/>
    <w:rsid w:val="00AD0765"/>
    <w:rsid w:val="00AD3063"/>
    <w:rsid w:val="00AD3F04"/>
    <w:rsid w:val="00AE3E30"/>
    <w:rsid w:val="00AE73C2"/>
    <w:rsid w:val="00AE7760"/>
    <w:rsid w:val="00AF31EA"/>
    <w:rsid w:val="00B02A5D"/>
    <w:rsid w:val="00B06B32"/>
    <w:rsid w:val="00B1017C"/>
    <w:rsid w:val="00B10603"/>
    <w:rsid w:val="00B124A3"/>
    <w:rsid w:val="00B20766"/>
    <w:rsid w:val="00B2425C"/>
    <w:rsid w:val="00B2758A"/>
    <w:rsid w:val="00B3720F"/>
    <w:rsid w:val="00B40748"/>
    <w:rsid w:val="00B425A7"/>
    <w:rsid w:val="00B4669A"/>
    <w:rsid w:val="00B5143E"/>
    <w:rsid w:val="00B52955"/>
    <w:rsid w:val="00B5768D"/>
    <w:rsid w:val="00B60871"/>
    <w:rsid w:val="00B60DE5"/>
    <w:rsid w:val="00B7157C"/>
    <w:rsid w:val="00B7338C"/>
    <w:rsid w:val="00B73833"/>
    <w:rsid w:val="00B777A1"/>
    <w:rsid w:val="00B85859"/>
    <w:rsid w:val="00B945EE"/>
    <w:rsid w:val="00BA5004"/>
    <w:rsid w:val="00BA5185"/>
    <w:rsid w:val="00BA594A"/>
    <w:rsid w:val="00BA776E"/>
    <w:rsid w:val="00BB1689"/>
    <w:rsid w:val="00BB6211"/>
    <w:rsid w:val="00BC297B"/>
    <w:rsid w:val="00BD0534"/>
    <w:rsid w:val="00BD3E1B"/>
    <w:rsid w:val="00BD6496"/>
    <w:rsid w:val="00C023E0"/>
    <w:rsid w:val="00C077F9"/>
    <w:rsid w:val="00C20DE1"/>
    <w:rsid w:val="00C23FFC"/>
    <w:rsid w:val="00C24CA5"/>
    <w:rsid w:val="00C26337"/>
    <w:rsid w:val="00C356D7"/>
    <w:rsid w:val="00C4292F"/>
    <w:rsid w:val="00C43849"/>
    <w:rsid w:val="00C43878"/>
    <w:rsid w:val="00C4487D"/>
    <w:rsid w:val="00C52FA6"/>
    <w:rsid w:val="00C55D9F"/>
    <w:rsid w:val="00C5672A"/>
    <w:rsid w:val="00C74ED0"/>
    <w:rsid w:val="00C76A50"/>
    <w:rsid w:val="00C77BAA"/>
    <w:rsid w:val="00C86721"/>
    <w:rsid w:val="00C86C1C"/>
    <w:rsid w:val="00C876EC"/>
    <w:rsid w:val="00C91F0A"/>
    <w:rsid w:val="00C927AE"/>
    <w:rsid w:val="00C92A5B"/>
    <w:rsid w:val="00CA55A9"/>
    <w:rsid w:val="00CA703C"/>
    <w:rsid w:val="00CB24DE"/>
    <w:rsid w:val="00CB32BA"/>
    <w:rsid w:val="00CB3E31"/>
    <w:rsid w:val="00CC68D6"/>
    <w:rsid w:val="00CD3C19"/>
    <w:rsid w:val="00CE534A"/>
    <w:rsid w:val="00CE6EA3"/>
    <w:rsid w:val="00D01A3C"/>
    <w:rsid w:val="00D036F4"/>
    <w:rsid w:val="00D10D66"/>
    <w:rsid w:val="00D24368"/>
    <w:rsid w:val="00D31F3A"/>
    <w:rsid w:val="00D45592"/>
    <w:rsid w:val="00D47B0A"/>
    <w:rsid w:val="00D539B0"/>
    <w:rsid w:val="00D60EFF"/>
    <w:rsid w:val="00D61027"/>
    <w:rsid w:val="00D65662"/>
    <w:rsid w:val="00D73424"/>
    <w:rsid w:val="00D77535"/>
    <w:rsid w:val="00D77722"/>
    <w:rsid w:val="00D8039E"/>
    <w:rsid w:val="00D83D06"/>
    <w:rsid w:val="00D915B1"/>
    <w:rsid w:val="00D96745"/>
    <w:rsid w:val="00D96A18"/>
    <w:rsid w:val="00D9732F"/>
    <w:rsid w:val="00D9760A"/>
    <w:rsid w:val="00DA0CC2"/>
    <w:rsid w:val="00DC1143"/>
    <w:rsid w:val="00DC1BDE"/>
    <w:rsid w:val="00DC7B59"/>
    <w:rsid w:val="00DC7F9B"/>
    <w:rsid w:val="00DD16D6"/>
    <w:rsid w:val="00DD7572"/>
    <w:rsid w:val="00DE4313"/>
    <w:rsid w:val="00DE498D"/>
    <w:rsid w:val="00DE7F33"/>
    <w:rsid w:val="00DF3E1E"/>
    <w:rsid w:val="00E03166"/>
    <w:rsid w:val="00E0491C"/>
    <w:rsid w:val="00E07F06"/>
    <w:rsid w:val="00E103D5"/>
    <w:rsid w:val="00E150E3"/>
    <w:rsid w:val="00E22292"/>
    <w:rsid w:val="00E237CB"/>
    <w:rsid w:val="00E24841"/>
    <w:rsid w:val="00E24BF0"/>
    <w:rsid w:val="00E25E4D"/>
    <w:rsid w:val="00E27BE4"/>
    <w:rsid w:val="00E303DA"/>
    <w:rsid w:val="00E409F6"/>
    <w:rsid w:val="00E41F9B"/>
    <w:rsid w:val="00E43D07"/>
    <w:rsid w:val="00E51020"/>
    <w:rsid w:val="00E52927"/>
    <w:rsid w:val="00E70FCA"/>
    <w:rsid w:val="00E74AD3"/>
    <w:rsid w:val="00E74CCA"/>
    <w:rsid w:val="00E87761"/>
    <w:rsid w:val="00E94819"/>
    <w:rsid w:val="00EA394F"/>
    <w:rsid w:val="00EA3BFE"/>
    <w:rsid w:val="00EB4385"/>
    <w:rsid w:val="00EC29F2"/>
    <w:rsid w:val="00EC3774"/>
    <w:rsid w:val="00ED24EB"/>
    <w:rsid w:val="00ED2F8E"/>
    <w:rsid w:val="00ED62B9"/>
    <w:rsid w:val="00EE05DA"/>
    <w:rsid w:val="00EE73CD"/>
    <w:rsid w:val="00EF1914"/>
    <w:rsid w:val="00EF4377"/>
    <w:rsid w:val="00EF52E6"/>
    <w:rsid w:val="00F01976"/>
    <w:rsid w:val="00F12A1D"/>
    <w:rsid w:val="00F13B5D"/>
    <w:rsid w:val="00F15795"/>
    <w:rsid w:val="00F24F86"/>
    <w:rsid w:val="00F3168B"/>
    <w:rsid w:val="00F32740"/>
    <w:rsid w:val="00F37A09"/>
    <w:rsid w:val="00F41356"/>
    <w:rsid w:val="00F43889"/>
    <w:rsid w:val="00F4464E"/>
    <w:rsid w:val="00F46F17"/>
    <w:rsid w:val="00F50AFF"/>
    <w:rsid w:val="00F53168"/>
    <w:rsid w:val="00F6308F"/>
    <w:rsid w:val="00F66565"/>
    <w:rsid w:val="00F66685"/>
    <w:rsid w:val="00F67614"/>
    <w:rsid w:val="00F724B8"/>
    <w:rsid w:val="00F75F9A"/>
    <w:rsid w:val="00F84B91"/>
    <w:rsid w:val="00F86370"/>
    <w:rsid w:val="00FA0929"/>
    <w:rsid w:val="00FA0F13"/>
    <w:rsid w:val="00FA0F67"/>
    <w:rsid w:val="00FA2DB6"/>
    <w:rsid w:val="00FA3935"/>
    <w:rsid w:val="00FA4390"/>
    <w:rsid w:val="00FA4959"/>
    <w:rsid w:val="00FA5BA2"/>
    <w:rsid w:val="00FB7263"/>
    <w:rsid w:val="00FC1243"/>
    <w:rsid w:val="00FD08B4"/>
    <w:rsid w:val="00FD19C0"/>
    <w:rsid w:val="00FD5841"/>
    <w:rsid w:val="00FD5FB8"/>
    <w:rsid w:val="00FE1454"/>
    <w:rsid w:val="00FE462A"/>
    <w:rsid w:val="00FF6381"/>
    <w:rsid w:val="00FF7055"/>
    <w:rsid w:val="00FF7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740"/>
    <w:rPr>
      <w:rFonts w:ascii="Calibri" w:eastAsia="Calibri" w:hAnsi="Calibri" w:cs="Arial"/>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7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3892"/>
    <w:pPr>
      <w:ind w:left="720"/>
      <w:contextualSpacing/>
    </w:pPr>
  </w:style>
  <w:style w:type="paragraph" w:styleId="BalloonText">
    <w:name w:val="Balloon Text"/>
    <w:basedOn w:val="Normal"/>
    <w:link w:val="BalloonTextChar"/>
    <w:uiPriority w:val="99"/>
    <w:semiHidden/>
    <w:unhideWhenUsed/>
    <w:rsid w:val="008E5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2F6"/>
    <w:rPr>
      <w:rFonts w:ascii="Tahoma" w:eastAsia="Calibri" w:hAnsi="Tahoma" w:cs="Tahoma"/>
      <w:sz w:val="16"/>
      <w:szCs w:val="16"/>
      <w:lang w:val="fr-FR" w:eastAsia="en-US"/>
    </w:rPr>
  </w:style>
  <w:style w:type="paragraph" w:styleId="Date">
    <w:name w:val="Date"/>
    <w:basedOn w:val="Normal"/>
    <w:next w:val="Normal"/>
    <w:link w:val="DateChar"/>
    <w:uiPriority w:val="99"/>
    <w:semiHidden/>
    <w:unhideWhenUsed/>
    <w:rsid w:val="00C927AE"/>
  </w:style>
  <w:style w:type="character" w:customStyle="1" w:styleId="DateChar">
    <w:name w:val="Date Char"/>
    <w:basedOn w:val="DefaultParagraphFont"/>
    <w:link w:val="Date"/>
    <w:uiPriority w:val="99"/>
    <w:semiHidden/>
    <w:rsid w:val="00C927AE"/>
    <w:rPr>
      <w:rFonts w:ascii="Calibri" w:eastAsia="Calibri" w:hAnsi="Calibri" w:cs="Arial"/>
      <w:lang w:val="fr-FR" w:eastAsia="en-US"/>
    </w:rPr>
  </w:style>
  <w:style w:type="paragraph" w:customStyle="1" w:styleId="Enumlev1">
    <w:name w:val="Enumlev1"/>
    <w:basedOn w:val="Normal"/>
    <w:rsid w:val="008D2924"/>
    <w:pPr>
      <w:numPr>
        <w:numId w:val="16"/>
      </w:numPr>
      <w:spacing w:before="60" w:after="0" w:line="240" w:lineRule="auto"/>
    </w:pPr>
    <w:rPr>
      <w:rFonts w:eastAsia="Times New Roman"/>
      <w:bCs/>
      <w:lang w:val="en-US"/>
    </w:rPr>
  </w:style>
  <w:style w:type="paragraph" w:customStyle="1" w:styleId="StyleSessiontimeDarkBlueBefore0cmHanging508cm">
    <w:name w:val="Style Session time + Dark Blue Before:  0 cm Hanging:  508 cm"/>
    <w:basedOn w:val="Normal"/>
    <w:rsid w:val="00E70FCA"/>
    <w:pPr>
      <w:shd w:val="clear" w:color="auto" w:fill="C00000"/>
      <w:tabs>
        <w:tab w:val="left" w:pos="454"/>
        <w:tab w:val="left" w:pos="907"/>
        <w:tab w:val="left" w:pos="1701"/>
      </w:tabs>
      <w:spacing w:after="0" w:line="240" w:lineRule="auto"/>
      <w:ind w:left="2880" w:hanging="2880"/>
      <w:jc w:val="both"/>
    </w:pPr>
    <w:rPr>
      <w:rFonts w:eastAsia="Times New Roman" w:cs="Times New Roman"/>
      <w:b/>
      <w:caps/>
      <w:color w:val="FFFFFF"/>
      <w:lang w:val="en-US"/>
    </w:rPr>
  </w:style>
  <w:style w:type="character" w:styleId="Hyperlink">
    <w:name w:val="Hyperlink"/>
    <w:basedOn w:val="DefaultParagraphFont"/>
    <w:uiPriority w:val="99"/>
    <w:unhideWhenUsed/>
    <w:rsid w:val="007A51BB"/>
    <w:rPr>
      <w:color w:val="0000FF"/>
      <w:u w:val="single"/>
    </w:rPr>
  </w:style>
  <w:style w:type="character" w:customStyle="1" w:styleId="longtext">
    <w:name w:val="long_text"/>
    <w:basedOn w:val="DefaultParagraphFont"/>
    <w:rsid w:val="009C5FBC"/>
  </w:style>
  <w:style w:type="character" w:customStyle="1" w:styleId="gt-icon-text1">
    <w:name w:val="gt-icon-text1"/>
    <w:basedOn w:val="DefaultParagraphFont"/>
    <w:rsid w:val="009C5FBC"/>
  </w:style>
  <w:style w:type="paragraph" w:styleId="NormalWeb">
    <w:name w:val="Normal (Web)"/>
    <w:basedOn w:val="Normal"/>
    <w:unhideWhenUsed/>
    <w:rsid w:val="00C43878"/>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Header">
    <w:name w:val="header"/>
    <w:aliases w:val="encabezado"/>
    <w:basedOn w:val="Normal"/>
    <w:link w:val="HeaderChar"/>
    <w:unhideWhenUsed/>
    <w:rsid w:val="002510E0"/>
    <w:pPr>
      <w:tabs>
        <w:tab w:val="center" w:pos="4680"/>
        <w:tab w:val="right" w:pos="9360"/>
      </w:tabs>
      <w:spacing w:after="0" w:line="240" w:lineRule="auto"/>
    </w:pPr>
  </w:style>
  <w:style w:type="character" w:customStyle="1" w:styleId="HeaderChar">
    <w:name w:val="Header Char"/>
    <w:aliases w:val="encabezado Char"/>
    <w:basedOn w:val="DefaultParagraphFont"/>
    <w:link w:val="Header"/>
    <w:uiPriority w:val="99"/>
    <w:rsid w:val="002510E0"/>
    <w:rPr>
      <w:rFonts w:ascii="Calibri" w:eastAsia="Calibri" w:hAnsi="Calibri" w:cs="Arial"/>
      <w:lang w:val="fr-FR" w:eastAsia="en-US"/>
    </w:rPr>
  </w:style>
  <w:style w:type="paragraph" w:styleId="Footer">
    <w:name w:val="footer"/>
    <w:basedOn w:val="Normal"/>
    <w:link w:val="FooterChar"/>
    <w:uiPriority w:val="99"/>
    <w:unhideWhenUsed/>
    <w:rsid w:val="00251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0E0"/>
    <w:rPr>
      <w:rFonts w:ascii="Calibri" w:eastAsia="Calibri" w:hAnsi="Calibri" w:cs="Arial"/>
      <w:lang w:val="fr-FR" w:eastAsia="en-US"/>
    </w:rPr>
  </w:style>
  <w:style w:type="paragraph" w:customStyle="1" w:styleId="enumlev10">
    <w:name w:val="enumlev1"/>
    <w:basedOn w:val="Normal"/>
    <w:link w:val="enumlev1Char"/>
    <w:rsid w:val="009675E2"/>
    <w:pPr>
      <w:tabs>
        <w:tab w:val="left" w:pos="567"/>
        <w:tab w:val="left" w:pos="1134"/>
        <w:tab w:val="left" w:pos="1701"/>
        <w:tab w:val="left" w:pos="2268"/>
        <w:tab w:val="left" w:pos="2835"/>
      </w:tabs>
      <w:overflowPunct w:val="0"/>
      <w:autoSpaceDE w:val="0"/>
      <w:autoSpaceDN w:val="0"/>
      <w:adjustRightInd w:val="0"/>
      <w:spacing w:before="86" w:after="0" w:line="240" w:lineRule="auto"/>
      <w:ind w:left="567" w:hanging="567"/>
      <w:textAlignment w:val="baseline"/>
    </w:pPr>
    <w:rPr>
      <w:rFonts w:ascii="Times New Roman" w:eastAsia="Times New Roman" w:hAnsi="Times New Roman" w:cs="Times New Roman"/>
      <w:sz w:val="24"/>
      <w:szCs w:val="20"/>
      <w:lang w:val="en-GB"/>
    </w:rPr>
  </w:style>
  <w:style w:type="character" w:customStyle="1" w:styleId="enumlev1Char">
    <w:name w:val="enumlev1 Char"/>
    <w:basedOn w:val="DefaultParagraphFont"/>
    <w:link w:val="enumlev10"/>
    <w:rsid w:val="009675E2"/>
    <w:rPr>
      <w:rFonts w:ascii="Times New Roman" w:eastAsia="Times New Roman" w:hAnsi="Times New Roman" w:cs="Times New Roman"/>
      <w:sz w:val="24"/>
      <w:szCs w:val="20"/>
      <w:lang w:val="en-GB" w:eastAsia="en-US"/>
    </w:rPr>
  </w:style>
  <w:style w:type="paragraph" w:customStyle="1" w:styleId="AnnexNo">
    <w:name w:val="Annex_No"/>
    <w:basedOn w:val="Normal"/>
    <w:next w:val="Normal"/>
    <w:link w:val="AnnexNoChar"/>
    <w:rsid w:val="009675E2"/>
    <w:pPr>
      <w:tabs>
        <w:tab w:val="left" w:pos="567"/>
        <w:tab w:val="left" w:pos="1134"/>
        <w:tab w:val="left" w:pos="1701"/>
        <w:tab w:val="left" w:pos="2268"/>
        <w:tab w:val="left" w:pos="2835"/>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Annextitle">
    <w:name w:val="Annex_title"/>
    <w:basedOn w:val="Normal"/>
    <w:next w:val="Normal"/>
    <w:rsid w:val="009675E2"/>
    <w:pPr>
      <w:tabs>
        <w:tab w:val="left" w:pos="567"/>
        <w:tab w:val="left" w:pos="1134"/>
        <w:tab w:val="left" w:pos="1701"/>
        <w:tab w:val="left" w:pos="2268"/>
        <w:tab w:val="left" w:pos="2835"/>
      </w:tabs>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sz w:val="28"/>
      <w:szCs w:val="20"/>
      <w:lang w:val="en-GB"/>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9675E2"/>
    <w:pPr>
      <w:spacing w:after="0" w:line="240" w:lineRule="auto"/>
    </w:pPr>
    <w:rPr>
      <w:rFonts w:ascii="Arial" w:eastAsia="Times New Roman" w:hAnsi="Arial" w:cs="Times New Roman"/>
      <w:sz w:val="20"/>
      <w:szCs w:val="20"/>
      <w:lang w:val="en-GB"/>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675E2"/>
    <w:rPr>
      <w:rFonts w:ascii="Arial" w:eastAsia="Times New Roman" w:hAnsi="Arial" w:cs="Times New Roman"/>
      <w:sz w:val="20"/>
      <w:szCs w:val="20"/>
      <w:lang w:val="en-GB" w:eastAsia="en-US"/>
    </w:rPr>
  </w:style>
  <w:style w:type="character" w:styleId="FootnoteReference">
    <w:name w:val="footnote reference"/>
    <w:aliases w:val="Appel note de bas de p,Footnote Reference/,Footnote symbol,Ref,de nota al pie"/>
    <w:basedOn w:val="DefaultParagraphFont"/>
    <w:rsid w:val="009675E2"/>
    <w:rPr>
      <w:vertAlign w:val="superscript"/>
    </w:rPr>
  </w:style>
  <w:style w:type="paragraph" w:customStyle="1" w:styleId="enumlev2">
    <w:name w:val="enumlev2"/>
    <w:basedOn w:val="enumlev10"/>
    <w:link w:val="enumlev2Char"/>
    <w:rsid w:val="009675E2"/>
    <w:pPr>
      <w:ind w:left="1134"/>
    </w:pPr>
    <w:rPr>
      <w:rFonts w:ascii="Calibri" w:hAnsi="Calibri"/>
    </w:rPr>
  </w:style>
  <w:style w:type="character" w:customStyle="1" w:styleId="AnnexNoChar">
    <w:name w:val="Annex_No Char"/>
    <w:basedOn w:val="DefaultParagraphFont"/>
    <w:link w:val="AnnexNo"/>
    <w:rsid w:val="009675E2"/>
    <w:rPr>
      <w:rFonts w:ascii="Times New Roman" w:eastAsia="Times New Roman" w:hAnsi="Times New Roman" w:cs="Times New Roman"/>
      <w:caps/>
      <w:sz w:val="28"/>
      <w:szCs w:val="20"/>
      <w:lang w:val="en-GB" w:eastAsia="en-US"/>
    </w:rPr>
  </w:style>
  <w:style w:type="character" w:customStyle="1" w:styleId="enumlev2Char">
    <w:name w:val="enumlev2 Char"/>
    <w:basedOn w:val="enumlev1Char"/>
    <w:link w:val="enumlev2"/>
    <w:rsid w:val="009675E2"/>
    <w:rPr>
      <w:rFonts w:ascii="Calibri" w:eastAsia="Times New Roman" w:hAnsi="Calibri" w:cs="Times New Roman"/>
      <w:sz w:val="24"/>
      <w:szCs w:val="20"/>
      <w:lang w:val="en-GB" w:eastAsia="en-US"/>
    </w:rPr>
  </w:style>
  <w:style w:type="paragraph" w:customStyle="1" w:styleId="Call">
    <w:name w:val="Call"/>
    <w:basedOn w:val="Normal"/>
    <w:next w:val="Normal"/>
    <w:link w:val="CallChar"/>
    <w:rsid w:val="009675E2"/>
    <w:pPr>
      <w:keepNext/>
      <w:keepLines/>
      <w:tabs>
        <w:tab w:val="left" w:pos="567"/>
      </w:tabs>
      <w:overflowPunct w:val="0"/>
      <w:autoSpaceDE w:val="0"/>
      <w:autoSpaceDN w:val="0"/>
      <w:adjustRightInd w:val="0"/>
      <w:spacing w:before="160" w:after="0" w:line="240" w:lineRule="auto"/>
      <w:ind w:left="567"/>
      <w:textAlignment w:val="baseline"/>
    </w:pPr>
    <w:rPr>
      <w:rFonts w:eastAsia="Times New Roman" w:cs="Times New Roman"/>
      <w:i/>
      <w:sz w:val="24"/>
      <w:szCs w:val="20"/>
      <w:lang w:val="en-GB"/>
    </w:rPr>
  </w:style>
  <w:style w:type="paragraph" w:customStyle="1" w:styleId="ResNo">
    <w:name w:val="Res_No"/>
    <w:basedOn w:val="AnnexNo"/>
    <w:next w:val="Restitle"/>
    <w:link w:val="ResNoChar"/>
    <w:rsid w:val="009675E2"/>
    <w:rPr>
      <w:rFonts w:ascii="Calibri" w:hAnsi="Calibri"/>
    </w:rPr>
  </w:style>
  <w:style w:type="paragraph" w:customStyle="1" w:styleId="Restitle">
    <w:name w:val="Res_title"/>
    <w:basedOn w:val="Annextitle"/>
    <w:next w:val="Normal"/>
    <w:link w:val="RestitleChar"/>
    <w:rsid w:val="009675E2"/>
    <w:rPr>
      <w:rFonts w:ascii="Calibri" w:hAnsi="Calibri"/>
    </w:rPr>
  </w:style>
  <w:style w:type="character" w:customStyle="1" w:styleId="href">
    <w:name w:val="href"/>
    <w:basedOn w:val="DefaultParagraphFont"/>
    <w:rsid w:val="009675E2"/>
    <w:rPr>
      <w:color w:val="auto"/>
    </w:rPr>
  </w:style>
  <w:style w:type="character" w:customStyle="1" w:styleId="RestitleChar">
    <w:name w:val="Res_title Char"/>
    <w:basedOn w:val="DefaultParagraphFont"/>
    <w:link w:val="Restitle"/>
    <w:rsid w:val="009675E2"/>
    <w:rPr>
      <w:rFonts w:ascii="Calibri" w:eastAsia="Times New Roman" w:hAnsi="Calibri" w:cs="Times New Roman"/>
      <w:b/>
      <w:sz w:val="28"/>
      <w:szCs w:val="20"/>
      <w:lang w:val="en-GB" w:eastAsia="en-US"/>
    </w:rPr>
  </w:style>
  <w:style w:type="character" w:customStyle="1" w:styleId="CallChar">
    <w:name w:val="Call Char"/>
    <w:basedOn w:val="DefaultParagraphFont"/>
    <w:link w:val="Call"/>
    <w:locked/>
    <w:rsid w:val="009675E2"/>
    <w:rPr>
      <w:rFonts w:ascii="Calibri" w:eastAsia="Times New Roman" w:hAnsi="Calibri" w:cs="Times New Roman"/>
      <w:i/>
      <w:sz w:val="24"/>
      <w:szCs w:val="20"/>
      <w:lang w:val="en-GB" w:eastAsia="en-US"/>
    </w:rPr>
  </w:style>
  <w:style w:type="character" w:customStyle="1" w:styleId="ResNoChar">
    <w:name w:val="Res_No Char"/>
    <w:basedOn w:val="DefaultParagraphFont"/>
    <w:link w:val="ResNo"/>
    <w:rsid w:val="009675E2"/>
    <w:rPr>
      <w:rFonts w:ascii="Calibri" w:eastAsia="Times New Roman" w:hAnsi="Calibri" w:cs="Times New Roman"/>
      <w:caps/>
      <w:sz w:val="28"/>
      <w:szCs w:val="20"/>
      <w:lang w:val="en-GB" w:eastAsia="en-US"/>
    </w:rPr>
  </w:style>
  <w:style w:type="character" w:customStyle="1" w:styleId="HeaderChar1">
    <w:name w:val="Header Char1"/>
    <w:aliases w:val="encabezado Char1"/>
    <w:basedOn w:val="DefaultParagraphFont"/>
    <w:rsid w:val="009675E2"/>
    <w:rPr>
      <w:rFonts w:ascii="Arial" w:hAnsi="Arial"/>
      <w:sz w:val="22"/>
      <w:szCs w:val="24"/>
      <w:lang w:val="en-GB" w:eastAsia="en-US"/>
    </w:rPr>
  </w:style>
  <w:style w:type="paragraph" w:customStyle="1" w:styleId="NumberedList">
    <w:name w:val="NumberedList"/>
    <w:basedOn w:val="Normal"/>
    <w:rsid w:val="009675E2"/>
    <w:pPr>
      <w:numPr>
        <w:ilvl w:val="1"/>
        <w:numId w:val="19"/>
      </w:numPr>
      <w:spacing w:after="0" w:line="240" w:lineRule="auto"/>
      <w:jc w:val="both"/>
    </w:pPr>
    <w:rPr>
      <w:rFonts w:ascii="Times New Roman" w:eastAsia="Times New Roman" w:hAnsi="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740"/>
    <w:rPr>
      <w:rFonts w:ascii="Calibri" w:eastAsia="Calibri" w:hAnsi="Calibri" w:cs="Arial"/>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7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63892"/>
    <w:pPr>
      <w:ind w:left="720"/>
      <w:contextualSpacing/>
    </w:pPr>
  </w:style>
  <w:style w:type="paragraph" w:styleId="BalloonText">
    <w:name w:val="Balloon Text"/>
    <w:basedOn w:val="Normal"/>
    <w:link w:val="BalloonTextChar"/>
    <w:uiPriority w:val="99"/>
    <w:semiHidden/>
    <w:unhideWhenUsed/>
    <w:rsid w:val="008E52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2F6"/>
    <w:rPr>
      <w:rFonts w:ascii="Tahoma" w:eastAsia="Calibri" w:hAnsi="Tahoma" w:cs="Tahoma"/>
      <w:sz w:val="16"/>
      <w:szCs w:val="16"/>
      <w:lang w:val="fr-FR" w:eastAsia="en-US"/>
    </w:rPr>
  </w:style>
  <w:style w:type="paragraph" w:styleId="Date">
    <w:name w:val="Date"/>
    <w:basedOn w:val="Normal"/>
    <w:next w:val="Normal"/>
    <w:link w:val="DateChar"/>
    <w:uiPriority w:val="99"/>
    <w:semiHidden/>
    <w:unhideWhenUsed/>
    <w:rsid w:val="00C927AE"/>
  </w:style>
  <w:style w:type="character" w:customStyle="1" w:styleId="DateChar">
    <w:name w:val="Date Char"/>
    <w:basedOn w:val="DefaultParagraphFont"/>
    <w:link w:val="Date"/>
    <w:uiPriority w:val="99"/>
    <w:semiHidden/>
    <w:rsid w:val="00C927AE"/>
    <w:rPr>
      <w:rFonts w:ascii="Calibri" w:eastAsia="Calibri" w:hAnsi="Calibri" w:cs="Arial"/>
      <w:lang w:val="fr-FR" w:eastAsia="en-US"/>
    </w:rPr>
  </w:style>
  <w:style w:type="paragraph" w:customStyle="1" w:styleId="Enumlev1">
    <w:name w:val="Enumlev1"/>
    <w:basedOn w:val="Normal"/>
    <w:rsid w:val="008D2924"/>
    <w:pPr>
      <w:numPr>
        <w:numId w:val="16"/>
      </w:numPr>
      <w:spacing w:before="60" w:after="0" w:line="240" w:lineRule="auto"/>
    </w:pPr>
    <w:rPr>
      <w:rFonts w:eastAsia="Times New Roman"/>
      <w:bCs/>
      <w:lang w:val="en-US"/>
    </w:rPr>
  </w:style>
  <w:style w:type="paragraph" w:customStyle="1" w:styleId="StyleSessiontimeDarkBlueBefore0cmHanging508cm">
    <w:name w:val="Style Session time + Dark Blue Before:  0 cm Hanging:  508 cm"/>
    <w:basedOn w:val="Normal"/>
    <w:rsid w:val="00E70FCA"/>
    <w:pPr>
      <w:shd w:val="clear" w:color="auto" w:fill="C00000"/>
      <w:tabs>
        <w:tab w:val="left" w:pos="454"/>
        <w:tab w:val="left" w:pos="907"/>
        <w:tab w:val="left" w:pos="1701"/>
      </w:tabs>
      <w:spacing w:after="0" w:line="240" w:lineRule="auto"/>
      <w:ind w:left="2880" w:hanging="2880"/>
      <w:jc w:val="both"/>
    </w:pPr>
    <w:rPr>
      <w:rFonts w:eastAsia="Times New Roman" w:cs="Times New Roman"/>
      <w:b/>
      <w:caps/>
      <w:color w:val="FFFFFF"/>
      <w:lang w:val="en-US"/>
    </w:rPr>
  </w:style>
  <w:style w:type="character" w:styleId="Hyperlink">
    <w:name w:val="Hyperlink"/>
    <w:basedOn w:val="DefaultParagraphFont"/>
    <w:uiPriority w:val="99"/>
    <w:unhideWhenUsed/>
    <w:rsid w:val="007A51BB"/>
    <w:rPr>
      <w:color w:val="0000FF"/>
      <w:u w:val="single"/>
    </w:rPr>
  </w:style>
  <w:style w:type="character" w:customStyle="1" w:styleId="longtext">
    <w:name w:val="long_text"/>
    <w:basedOn w:val="DefaultParagraphFont"/>
    <w:rsid w:val="009C5FBC"/>
  </w:style>
  <w:style w:type="character" w:customStyle="1" w:styleId="gt-icon-text1">
    <w:name w:val="gt-icon-text1"/>
    <w:basedOn w:val="DefaultParagraphFont"/>
    <w:rsid w:val="009C5FBC"/>
  </w:style>
  <w:style w:type="paragraph" w:styleId="NormalWeb">
    <w:name w:val="Normal (Web)"/>
    <w:basedOn w:val="Normal"/>
    <w:unhideWhenUsed/>
    <w:rsid w:val="00C43878"/>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Header">
    <w:name w:val="header"/>
    <w:aliases w:val="encabezado"/>
    <w:basedOn w:val="Normal"/>
    <w:link w:val="HeaderChar"/>
    <w:unhideWhenUsed/>
    <w:rsid w:val="002510E0"/>
    <w:pPr>
      <w:tabs>
        <w:tab w:val="center" w:pos="4680"/>
        <w:tab w:val="right" w:pos="9360"/>
      </w:tabs>
      <w:spacing w:after="0" w:line="240" w:lineRule="auto"/>
    </w:pPr>
  </w:style>
  <w:style w:type="character" w:customStyle="1" w:styleId="HeaderChar">
    <w:name w:val="Header Char"/>
    <w:aliases w:val="encabezado Char"/>
    <w:basedOn w:val="DefaultParagraphFont"/>
    <w:link w:val="Header"/>
    <w:uiPriority w:val="99"/>
    <w:rsid w:val="002510E0"/>
    <w:rPr>
      <w:rFonts w:ascii="Calibri" w:eastAsia="Calibri" w:hAnsi="Calibri" w:cs="Arial"/>
      <w:lang w:val="fr-FR" w:eastAsia="en-US"/>
    </w:rPr>
  </w:style>
  <w:style w:type="paragraph" w:styleId="Footer">
    <w:name w:val="footer"/>
    <w:basedOn w:val="Normal"/>
    <w:link w:val="FooterChar"/>
    <w:uiPriority w:val="99"/>
    <w:unhideWhenUsed/>
    <w:rsid w:val="00251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0E0"/>
    <w:rPr>
      <w:rFonts w:ascii="Calibri" w:eastAsia="Calibri" w:hAnsi="Calibri" w:cs="Arial"/>
      <w:lang w:val="fr-FR" w:eastAsia="en-US"/>
    </w:rPr>
  </w:style>
  <w:style w:type="paragraph" w:customStyle="1" w:styleId="enumlev10">
    <w:name w:val="enumlev1"/>
    <w:basedOn w:val="Normal"/>
    <w:link w:val="enumlev1Char"/>
    <w:rsid w:val="009675E2"/>
    <w:pPr>
      <w:tabs>
        <w:tab w:val="left" w:pos="567"/>
        <w:tab w:val="left" w:pos="1134"/>
        <w:tab w:val="left" w:pos="1701"/>
        <w:tab w:val="left" w:pos="2268"/>
        <w:tab w:val="left" w:pos="2835"/>
      </w:tabs>
      <w:overflowPunct w:val="0"/>
      <w:autoSpaceDE w:val="0"/>
      <w:autoSpaceDN w:val="0"/>
      <w:adjustRightInd w:val="0"/>
      <w:spacing w:before="86" w:after="0" w:line="240" w:lineRule="auto"/>
      <w:ind w:left="567" w:hanging="567"/>
      <w:textAlignment w:val="baseline"/>
    </w:pPr>
    <w:rPr>
      <w:rFonts w:ascii="Times New Roman" w:eastAsia="Times New Roman" w:hAnsi="Times New Roman" w:cs="Times New Roman"/>
      <w:sz w:val="24"/>
      <w:szCs w:val="20"/>
      <w:lang w:val="en-GB"/>
    </w:rPr>
  </w:style>
  <w:style w:type="character" w:customStyle="1" w:styleId="enumlev1Char">
    <w:name w:val="enumlev1 Char"/>
    <w:basedOn w:val="DefaultParagraphFont"/>
    <w:link w:val="enumlev10"/>
    <w:rsid w:val="009675E2"/>
    <w:rPr>
      <w:rFonts w:ascii="Times New Roman" w:eastAsia="Times New Roman" w:hAnsi="Times New Roman" w:cs="Times New Roman"/>
      <w:sz w:val="24"/>
      <w:szCs w:val="20"/>
      <w:lang w:val="en-GB" w:eastAsia="en-US"/>
    </w:rPr>
  </w:style>
  <w:style w:type="paragraph" w:customStyle="1" w:styleId="AnnexNo">
    <w:name w:val="Annex_No"/>
    <w:basedOn w:val="Normal"/>
    <w:next w:val="Normal"/>
    <w:link w:val="AnnexNoChar"/>
    <w:rsid w:val="009675E2"/>
    <w:pPr>
      <w:tabs>
        <w:tab w:val="left" w:pos="567"/>
        <w:tab w:val="left" w:pos="1134"/>
        <w:tab w:val="left" w:pos="1701"/>
        <w:tab w:val="left" w:pos="2268"/>
        <w:tab w:val="left" w:pos="2835"/>
      </w:tabs>
      <w:overflowPunct w:val="0"/>
      <w:autoSpaceDE w:val="0"/>
      <w:autoSpaceDN w:val="0"/>
      <w:adjustRightInd w:val="0"/>
      <w:spacing w:before="72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Annextitle">
    <w:name w:val="Annex_title"/>
    <w:basedOn w:val="Normal"/>
    <w:next w:val="Normal"/>
    <w:rsid w:val="009675E2"/>
    <w:pPr>
      <w:tabs>
        <w:tab w:val="left" w:pos="567"/>
        <w:tab w:val="left" w:pos="1134"/>
        <w:tab w:val="left" w:pos="1701"/>
        <w:tab w:val="left" w:pos="2268"/>
        <w:tab w:val="left" w:pos="2835"/>
      </w:tabs>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sz w:val="28"/>
      <w:szCs w:val="20"/>
      <w:lang w:val="en-GB"/>
    </w:r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9675E2"/>
    <w:pPr>
      <w:spacing w:after="0" w:line="240" w:lineRule="auto"/>
    </w:pPr>
    <w:rPr>
      <w:rFonts w:ascii="Arial" w:eastAsia="Times New Roman" w:hAnsi="Arial" w:cs="Times New Roman"/>
      <w:sz w:val="20"/>
      <w:szCs w:val="20"/>
      <w:lang w:val="en-GB"/>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9675E2"/>
    <w:rPr>
      <w:rFonts w:ascii="Arial" w:eastAsia="Times New Roman" w:hAnsi="Arial" w:cs="Times New Roman"/>
      <w:sz w:val="20"/>
      <w:szCs w:val="20"/>
      <w:lang w:val="en-GB" w:eastAsia="en-US"/>
    </w:rPr>
  </w:style>
  <w:style w:type="character" w:styleId="FootnoteReference">
    <w:name w:val="footnote reference"/>
    <w:aliases w:val="Appel note de bas de p,Footnote Reference/,Footnote symbol,Ref,de nota al pie"/>
    <w:basedOn w:val="DefaultParagraphFont"/>
    <w:rsid w:val="009675E2"/>
    <w:rPr>
      <w:vertAlign w:val="superscript"/>
    </w:rPr>
  </w:style>
  <w:style w:type="paragraph" w:customStyle="1" w:styleId="enumlev2">
    <w:name w:val="enumlev2"/>
    <w:basedOn w:val="enumlev10"/>
    <w:link w:val="enumlev2Char"/>
    <w:rsid w:val="009675E2"/>
    <w:pPr>
      <w:ind w:left="1134"/>
    </w:pPr>
    <w:rPr>
      <w:rFonts w:ascii="Calibri" w:hAnsi="Calibri"/>
    </w:rPr>
  </w:style>
  <w:style w:type="character" w:customStyle="1" w:styleId="AnnexNoChar">
    <w:name w:val="Annex_No Char"/>
    <w:basedOn w:val="DefaultParagraphFont"/>
    <w:link w:val="AnnexNo"/>
    <w:rsid w:val="009675E2"/>
    <w:rPr>
      <w:rFonts w:ascii="Times New Roman" w:eastAsia="Times New Roman" w:hAnsi="Times New Roman" w:cs="Times New Roman"/>
      <w:caps/>
      <w:sz w:val="28"/>
      <w:szCs w:val="20"/>
      <w:lang w:val="en-GB" w:eastAsia="en-US"/>
    </w:rPr>
  </w:style>
  <w:style w:type="character" w:customStyle="1" w:styleId="enumlev2Char">
    <w:name w:val="enumlev2 Char"/>
    <w:basedOn w:val="enumlev1Char"/>
    <w:link w:val="enumlev2"/>
    <w:rsid w:val="009675E2"/>
    <w:rPr>
      <w:rFonts w:ascii="Calibri" w:eastAsia="Times New Roman" w:hAnsi="Calibri" w:cs="Times New Roman"/>
      <w:sz w:val="24"/>
      <w:szCs w:val="20"/>
      <w:lang w:val="en-GB" w:eastAsia="en-US"/>
    </w:rPr>
  </w:style>
  <w:style w:type="paragraph" w:customStyle="1" w:styleId="Call">
    <w:name w:val="Call"/>
    <w:basedOn w:val="Normal"/>
    <w:next w:val="Normal"/>
    <w:link w:val="CallChar"/>
    <w:rsid w:val="009675E2"/>
    <w:pPr>
      <w:keepNext/>
      <w:keepLines/>
      <w:tabs>
        <w:tab w:val="left" w:pos="567"/>
      </w:tabs>
      <w:overflowPunct w:val="0"/>
      <w:autoSpaceDE w:val="0"/>
      <w:autoSpaceDN w:val="0"/>
      <w:adjustRightInd w:val="0"/>
      <w:spacing w:before="160" w:after="0" w:line="240" w:lineRule="auto"/>
      <w:ind w:left="567"/>
      <w:textAlignment w:val="baseline"/>
    </w:pPr>
    <w:rPr>
      <w:rFonts w:eastAsia="Times New Roman" w:cs="Times New Roman"/>
      <w:i/>
      <w:sz w:val="24"/>
      <w:szCs w:val="20"/>
      <w:lang w:val="en-GB"/>
    </w:rPr>
  </w:style>
  <w:style w:type="paragraph" w:customStyle="1" w:styleId="ResNo">
    <w:name w:val="Res_No"/>
    <w:basedOn w:val="AnnexNo"/>
    <w:next w:val="Restitle"/>
    <w:link w:val="ResNoChar"/>
    <w:rsid w:val="009675E2"/>
    <w:rPr>
      <w:rFonts w:ascii="Calibri" w:hAnsi="Calibri"/>
    </w:rPr>
  </w:style>
  <w:style w:type="paragraph" w:customStyle="1" w:styleId="Restitle">
    <w:name w:val="Res_title"/>
    <w:basedOn w:val="Annextitle"/>
    <w:next w:val="Normal"/>
    <w:link w:val="RestitleChar"/>
    <w:rsid w:val="009675E2"/>
    <w:rPr>
      <w:rFonts w:ascii="Calibri" w:hAnsi="Calibri"/>
    </w:rPr>
  </w:style>
  <w:style w:type="character" w:customStyle="1" w:styleId="href">
    <w:name w:val="href"/>
    <w:basedOn w:val="DefaultParagraphFont"/>
    <w:rsid w:val="009675E2"/>
    <w:rPr>
      <w:color w:val="auto"/>
    </w:rPr>
  </w:style>
  <w:style w:type="character" w:customStyle="1" w:styleId="RestitleChar">
    <w:name w:val="Res_title Char"/>
    <w:basedOn w:val="DefaultParagraphFont"/>
    <w:link w:val="Restitle"/>
    <w:rsid w:val="009675E2"/>
    <w:rPr>
      <w:rFonts w:ascii="Calibri" w:eastAsia="Times New Roman" w:hAnsi="Calibri" w:cs="Times New Roman"/>
      <w:b/>
      <w:sz w:val="28"/>
      <w:szCs w:val="20"/>
      <w:lang w:val="en-GB" w:eastAsia="en-US"/>
    </w:rPr>
  </w:style>
  <w:style w:type="character" w:customStyle="1" w:styleId="CallChar">
    <w:name w:val="Call Char"/>
    <w:basedOn w:val="DefaultParagraphFont"/>
    <w:link w:val="Call"/>
    <w:locked/>
    <w:rsid w:val="009675E2"/>
    <w:rPr>
      <w:rFonts w:ascii="Calibri" w:eastAsia="Times New Roman" w:hAnsi="Calibri" w:cs="Times New Roman"/>
      <w:i/>
      <w:sz w:val="24"/>
      <w:szCs w:val="20"/>
      <w:lang w:val="en-GB" w:eastAsia="en-US"/>
    </w:rPr>
  </w:style>
  <w:style w:type="character" w:customStyle="1" w:styleId="ResNoChar">
    <w:name w:val="Res_No Char"/>
    <w:basedOn w:val="DefaultParagraphFont"/>
    <w:link w:val="ResNo"/>
    <w:rsid w:val="009675E2"/>
    <w:rPr>
      <w:rFonts w:ascii="Calibri" w:eastAsia="Times New Roman" w:hAnsi="Calibri" w:cs="Times New Roman"/>
      <w:caps/>
      <w:sz w:val="28"/>
      <w:szCs w:val="20"/>
      <w:lang w:val="en-GB" w:eastAsia="en-US"/>
    </w:rPr>
  </w:style>
  <w:style w:type="character" w:customStyle="1" w:styleId="HeaderChar1">
    <w:name w:val="Header Char1"/>
    <w:aliases w:val="encabezado Char1"/>
    <w:basedOn w:val="DefaultParagraphFont"/>
    <w:rsid w:val="009675E2"/>
    <w:rPr>
      <w:rFonts w:ascii="Arial" w:hAnsi="Arial"/>
      <w:sz w:val="22"/>
      <w:szCs w:val="24"/>
      <w:lang w:val="en-GB" w:eastAsia="en-US"/>
    </w:rPr>
  </w:style>
  <w:style w:type="paragraph" w:customStyle="1" w:styleId="NumberedList">
    <w:name w:val="NumberedList"/>
    <w:basedOn w:val="Normal"/>
    <w:rsid w:val="009675E2"/>
    <w:pPr>
      <w:numPr>
        <w:ilvl w:val="1"/>
        <w:numId w:val="19"/>
      </w:numPr>
      <w:spacing w:after="0" w:line="240" w:lineRule="auto"/>
      <w:jc w:val="both"/>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6574">
      <w:bodyDiv w:val="1"/>
      <w:marLeft w:val="0"/>
      <w:marRight w:val="0"/>
      <w:marTop w:val="0"/>
      <w:marBottom w:val="0"/>
      <w:divBdr>
        <w:top w:val="none" w:sz="0" w:space="0" w:color="auto"/>
        <w:left w:val="none" w:sz="0" w:space="0" w:color="auto"/>
        <w:bottom w:val="none" w:sz="0" w:space="0" w:color="auto"/>
        <w:right w:val="none" w:sz="0" w:space="0" w:color="auto"/>
      </w:divBdr>
    </w:div>
    <w:div w:id="356587989">
      <w:bodyDiv w:val="1"/>
      <w:marLeft w:val="0"/>
      <w:marRight w:val="0"/>
      <w:marTop w:val="0"/>
      <w:marBottom w:val="0"/>
      <w:divBdr>
        <w:top w:val="none" w:sz="0" w:space="0" w:color="auto"/>
        <w:left w:val="none" w:sz="0" w:space="0" w:color="auto"/>
        <w:bottom w:val="none" w:sz="0" w:space="0" w:color="auto"/>
        <w:right w:val="none" w:sz="0" w:space="0" w:color="auto"/>
      </w:divBdr>
    </w:div>
    <w:div w:id="472408552">
      <w:bodyDiv w:val="1"/>
      <w:marLeft w:val="0"/>
      <w:marRight w:val="0"/>
      <w:marTop w:val="0"/>
      <w:marBottom w:val="0"/>
      <w:divBdr>
        <w:top w:val="none" w:sz="0" w:space="0" w:color="auto"/>
        <w:left w:val="none" w:sz="0" w:space="0" w:color="auto"/>
        <w:bottom w:val="none" w:sz="0" w:space="0" w:color="auto"/>
        <w:right w:val="none" w:sz="0" w:space="0" w:color="auto"/>
      </w:divBdr>
    </w:div>
    <w:div w:id="842470146">
      <w:bodyDiv w:val="1"/>
      <w:marLeft w:val="0"/>
      <w:marRight w:val="0"/>
      <w:marTop w:val="0"/>
      <w:marBottom w:val="0"/>
      <w:divBdr>
        <w:top w:val="none" w:sz="0" w:space="0" w:color="auto"/>
        <w:left w:val="none" w:sz="0" w:space="0" w:color="auto"/>
        <w:bottom w:val="none" w:sz="0" w:space="0" w:color="auto"/>
        <w:right w:val="none" w:sz="0" w:space="0" w:color="auto"/>
      </w:divBdr>
    </w:div>
    <w:div w:id="862978834">
      <w:bodyDiv w:val="1"/>
      <w:marLeft w:val="0"/>
      <w:marRight w:val="0"/>
      <w:marTop w:val="0"/>
      <w:marBottom w:val="0"/>
      <w:divBdr>
        <w:top w:val="none" w:sz="0" w:space="0" w:color="auto"/>
        <w:left w:val="none" w:sz="0" w:space="0" w:color="auto"/>
        <w:bottom w:val="none" w:sz="0" w:space="0" w:color="auto"/>
        <w:right w:val="none" w:sz="0" w:space="0" w:color="auto"/>
      </w:divBdr>
    </w:div>
    <w:div w:id="943418920">
      <w:bodyDiv w:val="1"/>
      <w:marLeft w:val="0"/>
      <w:marRight w:val="0"/>
      <w:marTop w:val="0"/>
      <w:marBottom w:val="0"/>
      <w:divBdr>
        <w:top w:val="none" w:sz="0" w:space="0" w:color="auto"/>
        <w:left w:val="none" w:sz="0" w:space="0" w:color="auto"/>
        <w:bottom w:val="none" w:sz="0" w:space="0" w:color="auto"/>
        <w:right w:val="none" w:sz="0" w:space="0" w:color="auto"/>
      </w:divBdr>
    </w:div>
    <w:div w:id="976254189">
      <w:bodyDiv w:val="1"/>
      <w:marLeft w:val="0"/>
      <w:marRight w:val="0"/>
      <w:marTop w:val="0"/>
      <w:marBottom w:val="0"/>
      <w:divBdr>
        <w:top w:val="none" w:sz="0" w:space="0" w:color="auto"/>
        <w:left w:val="none" w:sz="0" w:space="0" w:color="auto"/>
        <w:bottom w:val="none" w:sz="0" w:space="0" w:color="auto"/>
        <w:right w:val="none" w:sz="0" w:space="0" w:color="auto"/>
      </w:divBdr>
    </w:div>
    <w:div w:id="987593250">
      <w:bodyDiv w:val="1"/>
      <w:marLeft w:val="0"/>
      <w:marRight w:val="0"/>
      <w:marTop w:val="0"/>
      <w:marBottom w:val="0"/>
      <w:divBdr>
        <w:top w:val="none" w:sz="0" w:space="0" w:color="auto"/>
        <w:left w:val="none" w:sz="0" w:space="0" w:color="auto"/>
        <w:bottom w:val="none" w:sz="0" w:space="0" w:color="auto"/>
        <w:right w:val="none" w:sz="0" w:space="0" w:color="auto"/>
      </w:divBdr>
    </w:div>
    <w:div w:id="992031195">
      <w:bodyDiv w:val="1"/>
      <w:marLeft w:val="0"/>
      <w:marRight w:val="0"/>
      <w:marTop w:val="0"/>
      <w:marBottom w:val="0"/>
      <w:divBdr>
        <w:top w:val="none" w:sz="0" w:space="0" w:color="auto"/>
        <w:left w:val="none" w:sz="0" w:space="0" w:color="auto"/>
        <w:bottom w:val="none" w:sz="0" w:space="0" w:color="auto"/>
        <w:right w:val="none" w:sz="0" w:space="0" w:color="auto"/>
      </w:divBdr>
    </w:div>
    <w:div w:id="1105272427">
      <w:bodyDiv w:val="1"/>
      <w:marLeft w:val="0"/>
      <w:marRight w:val="0"/>
      <w:marTop w:val="0"/>
      <w:marBottom w:val="0"/>
      <w:divBdr>
        <w:top w:val="none" w:sz="0" w:space="0" w:color="auto"/>
        <w:left w:val="none" w:sz="0" w:space="0" w:color="auto"/>
        <w:bottom w:val="none" w:sz="0" w:space="0" w:color="auto"/>
        <w:right w:val="none" w:sz="0" w:space="0" w:color="auto"/>
      </w:divBdr>
    </w:div>
    <w:div w:id="1226599150">
      <w:bodyDiv w:val="1"/>
      <w:marLeft w:val="0"/>
      <w:marRight w:val="0"/>
      <w:marTop w:val="0"/>
      <w:marBottom w:val="0"/>
      <w:divBdr>
        <w:top w:val="none" w:sz="0" w:space="0" w:color="auto"/>
        <w:left w:val="none" w:sz="0" w:space="0" w:color="auto"/>
        <w:bottom w:val="none" w:sz="0" w:space="0" w:color="auto"/>
        <w:right w:val="none" w:sz="0" w:space="0" w:color="auto"/>
      </w:divBdr>
      <w:divsChild>
        <w:div w:id="216360125">
          <w:marLeft w:val="0"/>
          <w:marRight w:val="0"/>
          <w:marTop w:val="0"/>
          <w:marBottom w:val="0"/>
          <w:divBdr>
            <w:top w:val="none" w:sz="0" w:space="0" w:color="auto"/>
            <w:left w:val="none" w:sz="0" w:space="0" w:color="auto"/>
            <w:bottom w:val="none" w:sz="0" w:space="0" w:color="auto"/>
            <w:right w:val="none" w:sz="0" w:space="0" w:color="auto"/>
          </w:divBdr>
          <w:divsChild>
            <w:div w:id="755321408">
              <w:marLeft w:val="0"/>
              <w:marRight w:val="0"/>
              <w:marTop w:val="0"/>
              <w:marBottom w:val="0"/>
              <w:divBdr>
                <w:top w:val="none" w:sz="0" w:space="0" w:color="auto"/>
                <w:left w:val="none" w:sz="0" w:space="0" w:color="auto"/>
                <w:bottom w:val="none" w:sz="0" w:space="0" w:color="auto"/>
                <w:right w:val="none" w:sz="0" w:space="0" w:color="auto"/>
              </w:divBdr>
              <w:divsChild>
                <w:div w:id="17319225">
                  <w:marLeft w:val="0"/>
                  <w:marRight w:val="0"/>
                  <w:marTop w:val="0"/>
                  <w:marBottom w:val="0"/>
                  <w:divBdr>
                    <w:top w:val="none" w:sz="0" w:space="0" w:color="auto"/>
                    <w:left w:val="none" w:sz="0" w:space="0" w:color="auto"/>
                    <w:bottom w:val="none" w:sz="0" w:space="0" w:color="auto"/>
                    <w:right w:val="none" w:sz="0" w:space="0" w:color="auto"/>
                  </w:divBdr>
                  <w:divsChild>
                    <w:div w:id="261770279">
                      <w:marLeft w:val="0"/>
                      <w:marRight w:val="0"/>
                      <w:marTop w:val="0"/>
                      <w:marBottom w:val="0"/>
                      <w:divBdr>
                        <w:top w:val="none" w:sz="0" w:space="0" w:color="auto"/>
                        <w:left w:val="none" w:sz="0" w:space="0" w:color="auto"/>
                        <w:bottom w:val="none" w:sz="0" w:space="0" w:color="auto"/>
                        <w:right w:val="none" w:sz="0" w:space="0" w:color="auto"/>
                      </w:divBdr>
                      <w:divsChild>
                        <w:div w:id="621226528">
                          <w:marLeft w:val="0"/>
                          <w:marRight w:val="0"/>
                          <w:marTop w:val="0"/>
                          <w:marBottom w:val="0"/>
                          <w:divBdr>
                            <w:top w:val="none" w:sz="0" w:space="0" w:color="auto"/>
                            <w:left w:val="none" w:sz="0" w:space="0" w:color="auto"/>
                            <w:bottom w:val="none" w:sz="0" w:space="0" w:color="auto"/>
                            <w:right w:val="none" w:sz="0" w:space="0" w:color="auto"/>
                          </w:divBdr>
                          <w:divsChild>
                            <w:div w:id="243299149">
                              <w:marLeft w:val="0"/>
                              <w:marRight w:val="0"/>
                              <w:marTop w:val="0"/>
                              <w:marBottom w:val="0"/>
                              <w:divBdr>
                                <w:top w:val="none" w:sz="0" w:space="0" w:color="auto"/>
                                <w:left w:val="none" w:sz="0" w:space="0" w:color="auto"/>
                                <w:bottom w:val="none" w:sz="0" w:space="0" w:color="auto"/>
                                <w:right w:val="none" w:sz="0" w:space="0" w:color="auto"/>
                              </w:divBdr>
                            </w:div>
                            <w:div w:id="1735934792">
                              <w:marLeft w:val="0"/>
                              <w:marRight w:val="0"/>
                              <w:marTop w:val="0"/>
                              <w:marBottom w:val="0"/>
                              <w:divBdr>
                                <w:top w:val="none" w:sz="0" w:space="0" w:color="auto"/>
                                <w:left w:val="none" w:sz="0" w:space="0" w:color="auto"/>
                                <w:bottom w:val="none" w:sz="0" w:space="0" w:color="auto"/>
                                <w:right w:val="none" w:sz="0" w:space="0" w:color="auto"/>
                              </w:divBdr>
                              <w:divsChild>
                                <w:div w:id="252319605">
                                  <w:marLeft w:val="0"/>
                                  <w:marRight w:val="0"/>
                                  <w:marTop w:val="0"/>
                                  <w:marBottom w:val="0"/>
                                  <w:divBdr>
                                    <w:top w:val="none" w:sz="0" w:space="0" w:color="auto"/>
                                    <w:left w:val="none" w:sz="0" w:space="0" w:color="auto"/>
                                    <w:bottom w:val="none" w:sz="0" w:space="0" w:color="auto"/>
                                    <w:right w:val="none" w:sz="0" w:space="0" w:color="auto"/>
                                  </w:divBdr>
                                  <w:divsChild>
                                    <w:div w:id="1618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6518">
                              <w:marLeft w:val="0"/>
                              <w:marRight w:val="0"/>
                              <w:marTop w:val="96"/>
                              <w:marBottom w:val="0"/>
                              <w:divBdr>
                                <w:top w:val="none" w:sz="0" w:space="0" w:color="auto"/>
                                <w:left w:val="none" w:sz="0" w:space="0" w:color="auto"/>
                                <w:bottom w:val="none" w:sz="0" w:space="0" w:color="auto"/>
                                <w:right w:val="none" w:sz="0" w:space="0" w:color="auto"/>
                              </w:divBdr>
                              <w:divsChild>
                                <w:div w:id="1278489000">
                                  <w:marLeft w:val="0"/>
                                  <w:marRight w:val="240"/>
                                  <w:marTop w:val="0"/>
                                  <w:marBottom w:val="0"/>
                                  <w:divBdr>
                                    <w:top w:val="none" w:sz="0" w:space="0" w:color="auto"/>
                                    <w:left w:val="none" w:sz="0" w:space="0" w:color="auto"/>
                                    <w:bottom w:val="none" w:sz="0" w:space="0" w:color="auto"/>
                                    <w:right w:val="none" w:sz="0" w:space="0" w:color="auto"/>
                                  </w:divBdr>
                                </w:div>
                                <w:div w:id="210877055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416845">
      <w:bodyDiv w:val="1"/>
      <w:marLeft w:val="0"/>
      <w:marRight w:val="0"/>
      <w:marTop w:val="0"/>
      <w:marBottom w:val="0"/>
      <w:divBdr>
        <w:top w:val="none" w:sz="0" w:space="0" w:color="auto"/>
        <w:left w:val="none" w:sz="0" w:space="0" w:color="auto"/>
        <w:bottom w:val="none" w:sz="0" w:space="0" w:color="auto"/>
        <w:right w:val="none" w:sz="0" w:space="0" w:color="auto"/>
      </w:divBdr>
    </w:div>
    <w:div w:id="1448310833">
      <w:bodyDiv w:val="1"/>
      <w:marLeft w:val="0"/>
      <w:marRight w:val="0"/>
      <w:marTop w:val="0"/>
      <w:marBottom w:val="0"/>
      <w:divBdr>
        <w:top w:val="none" w:sz="0" w:space="0" w:color="auto"/>
        <w:left w:val="none" w:sz="0" w:space="0" w:color="auto"/>
        <w:bottom w:val="none" w:sz="0" w:space="0" w:color="auto"/>
        <w:right w:val="none" w:sz="0" w:space="0" w:color="auto"/>
      </w:divBdr>
    </w:div>
    <w:div w:id="1452745252">
      <w:bodyDiv w:val="1"/>
      <w:marLeft w:val="0"/>
      <w:marRight w:val="0"/>
      <w:marTop w:val="0"/>
      <w:marBottom w:val="0"/>
      <w:divBdr>
        <w:top w:val="none" w:sz="0" w:space="0" w:color="auto"/>
        <w:left w:val="none" w:sz="0" w:space="0" w:color="auto"/>
        <w:bottom w:val="none" w:sz="0" w:space="0" w:color="auto"/>
        <w:right w:val="none" w:sz="0" w:space="0" w:color="auto"/>
      </w:divBdr>
    </w:div>
    <w:div w:id="1460033805">
      <w:bodyDiv w:val="1"/>
      <w:marLeft w:val="0"/>
      <w:marRight w:val="0"/>
      <w:marTop w:val="0"/>
      <w:marBottom w:val="0"/>
      <w:divBdr>
        <w:top w:val="none" w:sz="0" w:space="0" w:color="auto"/>
        <w:left w:val="none" w:sz="0" w:space="0" w:color="auto"/>
        <w:bottom w:val="none" w:sz="0" w:space="0" w:color="auto"/>
        <w:right w:val="none" w:sz="0" w:space="0" w:color="auto"/>
      </w:divBdr>
    </w:div>
    <w:div w:id="1468207779">
      <w:bodyDiv w:val="1"/>
      <w:marLeft w:val="0"/>
      <w:marRight w:val="0"/>
      <w:marTop w:val="0"/>
      <w:marBottom w:val="0"/>
      <w:divBdr>
        <w:top w:val="none" w:sz="0" w:space="0" w:color="auto"/>
        <w:left w:val="none" w:sz="0" w:space="0" w:color="auto"/>
        <w:bottom w:val="none" w:sz="0" w:space="0" w:color="auto"/>
        <w:right w:val="none" w:sz="0" w:space="0" w:color="auto"/>
      </w:divBdr>
    </w:div>
    <w:div w:id="159543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8.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0.emf"/><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4.emf"/><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13.png"/><Relationship Id="rId28" Type="http://schemas.openxmlformats.org/officeDocument/2006/relationships/image" Target="media/image18.emf"/><Relationship Id="rId10" Type="http://schemas.openxmlformats.org/officeDocument/2006/relationships/image" Target="media/image2.emf"/><Relationship Id="rId19" Type="http://schemas.openxmlformats.org/officeDocument/2006/relationships/image" Target="media/image9.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2.png"/><Relationship Id="rId27" Type="http://schemas.openxmlformats.org/officeDocument/2006/relationships/image" Target="media/image17.emf"/><Relationship Id="rId30"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D19A6-855E-4B8C-BC39-D914CCE2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19</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fallma</dc:creator>
  <cp:keywords/>
  <dc:description/>
  <cp:lastModifiedBy>perewost</cp:lastModifiedBy>
  <cp:revision>17</cp:revision>
  <cp:lastPrinted>2012-12-20T15:55:00Z</cp:lastPrinted>
  <dcterms:created xsi:type="dcterms:W3CDTF">2012-12-19T16:01:00Z</dcterms:created>
  <dcterms:modified xsi:type="dcterms:W3CDTF">2012-12-20T16:07:00Z</dcterms:modified>
</cp:coreProperties>
</file>