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67" w:rsidRDefault="00244F67" w:rsidP="00244F67">
      <w:pPr>
        <w:pStyle w:val="Nagwek4"/>
        <w:jc w:val="right"/>
        <w:rPr>
          <w:rFonts w:ascii="Calibri" w:hAnsi="Calibri" w:cs="Calibri"/>
        </w:rPr>
      </w:pPr>
    </w:p>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44F67" w:rsidRPr="008E2415" w:rsidTr="00E2428A">
        <w:trPr>
          <w:cantSplit/>
        </w:trPr>
        <w:tc>
          <w:tcPr>
            <w:tcW w:w="6071" w:type="dxa"/>
            <w:gridSpan w:val="3"/>
            <w:tcBorders>
              <w:top w:val="nil"/>
              <w:left w:val="nil"/>
              <w:bottom w:val="nil"/>
              <w:right w:val="nil"/>
            </w:tcBorders>
          </w:tcPr>
          <w:p w:rsidR="00244F67" w:rsidRPr="008E2415" w:rsidRDefault="00244F67" w:rsidP="00E2428A">
            <w:pPr>
              <w:tabs>
                <w:tab w:val="center" w:pos="4536"/>
                <w:tab w:val="right" w:pos="9072"/>
              </w:tabs>
              <w:rPr>
                <w:rFonts w:ascii="Arial" w:hAnsi="Arial"/>
                <w:b/>
                <w:sz w:val="22"/>
                <w:lang w:val="nb-NO" w:eastAsia="de-DE"/>
              </w:rPr>
            </w:pPr>
          </w:p>
          <w:p w:rsidR="00244F67" w:rsidRPr="008E2415" w:rsidRDefault="00244F67" w:rsidP="00E2428A">
            <w:pPr>
              <w:tabs>
                <w:tab w:val="center" w:pos="4536"/>
                <w:tab w:val="right" w:pos="9072"/>
              </w:tabs>
              <w:rPr>
                <w:rFonts w:ascii="Arial" w:hAnsi="Arial"/>
                <w:b/>
                <w:sz w:val="22"/>
                <w:lang w:val="nb-NO" w:eastAsia="de-DE"/>
              </w:rPr>
            </w:pPr>
            <w:r w:rsidRPr="008E2415">
              <w:rPr>
                <w:rFonts w:ascii="Arial" w:hAnsi="Arial"/>
                <w:b/>
                <w:noProof/>
                <w:sz w:val="22"/>
                <w:lang w:val="pl-PL" w:eastAsia="pl-PL"/>
              </w:rPr>
              <w:drawing>
                <wp:inline distT="0" distB="0" distL="0" distR="0">
                  <wp:extent cx="1943735" cy="5340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244F67" w:rsidRPr="008E2415" w:rsidRDefault="00244F67" w:rsidP="00E2428A">
            <w:pPr>
              <w:tabs>
                <w:tab w:val="center" w:pos="4536"/>
                <w:tab w:val="right" w:pos="9072"/>
              </w:tabs>
              <w:rPr>
                <w:rFonts w:ascii="Arial" w:hAnsi="Arial" w:cs="Arial"/>
                <w:b/>
                <w:color w:val="000000"/>
                <w:sz w:val="22"/>
                <w:lang w:val="en-GB" w:eastAsia="de-DE"/>
              </w:rPr>
            </w:pPr>
          </w:p>
        </w:tc>
        <w:tc>
          <w:tcPr>
            <w:tcW w:w="3569" w:type="dxa"/>
            <w:tcBorders>
              <w:top w:val="nil"/>
              <w:left w:val="nil"/>
              <w:bottom w:val="nil"/>
              <w:right w:val="nil"/>
            </w:tcBorders>
          </w:tcPr>
          <w:p w:rsidR="00244F67" w:rsidRPr="008E2415" w:rsidRDefault="00244F67" w:rsidP="00E2428A">
            <w:pPr>
              <w:tabs>
                <w:tab w:val="right" w:pos="3357"/>
                <w:tab w:val="right" w:pos="9072"/>
              </w:tabs>
              <w:rPr>
                <w:rFonts w:ascii="Arial" w:hAnsi="Arial"/>
                <w:b/>
                <w:sz w:val="22"/>
                <w:lang w:val="nb-NO" w:eastAsia="de-DE"/>
              </w:rPr>
            </w:pPr>
            <w:r w:rsidRPr="008E2415">
              <w:rPr>
                <w:rFonts w:ascii="Arial" w:hAnsi="Arial"/>
                <w:b/>
                <w:sz w:val="22"/>
                <w:lang w:val="nb-NO" w:eastAsia="de-DE"/>
              </w:rPr>
              <w:t xml:space="preserve">Doc. </w:t>
            </w:r>
            <w:r w:rsidR="00D85D58">
              <w:rPr>
                <w:rFonts w:ascii="Arial" w:hAnsi="Arial"/>
                <w:b/>
                <w:sz w:val="22"/>
                <w:lang w:val="nb-NO" w:eastAsia="de-DE"/>
              </w:rPr>
              <w:t>(13) 009</w:t>
            </w:r>
          </w:p>
        </w:tc>
      </w:tr>
      <w:tr w:rsidR="00244F67" w:rsidRPr="008E2415" w:rsidTr="00E2428A">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szCs w:val="22"/>
                <w:lang w:val="nb-NO" w:eastAsia="de-DE"/>
              </w:rPr>
            </w:pPr>
          </w:p>
        </w:tc>
        <w:tc>
          <w:tcPr>
            <w:tcW w:w="530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en-GB" w:eastAsia="de-DE"/>
              </w:rPr>
            </w:pPr>
          </w:p>
        </w:tc>
      </w:tr>
      <w:tr w:rsidR="00244F67" w:rsidRPr="008E2415" w:rsidTr="00E2428A">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nb-NO" w:eastAsia="de-DE"/>
              </w:rPr>
            </w:pPr>
          </w:p>
        </w:tc>
        <w:tc>
          <w:tcPr>
            <w:tcW w:w="530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en-GB" w:eastAsia="de-DE"/>
              </w:rPr>
            </w:pPr>
          </w:p>
        </w:tc>
      </w:tr>
      <w:tr w:rsidR="00244F67" w:rsidRPr="008E2415" w:rsidTr="00E2428A">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8"/>
                <w:lang w:val="nb-NO" w:eastAsia="de-DE"/>
              </w:rPr>
            </w:pPr>
          </w:p>
        </w:tc>
        <w:tc>
          <w:tcPr>
            <w:tcW w:w="5300" w:type="dxa"/>
            <w:gridSpan w:val="2"/>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8"/>
                <w:lang w:val="en-GB" w:eastAsia="de-DE"/>
              </w:rPr>
            </w:pPr>
          </w:p>
        </w:tc>
      </w:tr>
      <w:tr w:rsidR="00244F67" w:rsidRPr="008E2415" w:rsidTr="00E2428A">
        <w:tblPrEx>
          <w:tblCellMar>
            <w:left w:w="108" w:type="dxa"/>
            <w:right w:w="108" w:type="dxa"/>
          </w:tblCellMar>
        </w:tblPrEx>
        <w:trPr>
          <w:cantSplit/>
          <w:trHeight w:val="405"/>
        </w:trPr>
        <w:tc>
          <w:tcPr>
            <w:tcW w:w="1843" w:type="dxa"/>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nb-NO" w:eastAsia="de-DE"/>
              </w:rPr>
            </w:pPr>
            <w:r w:rsidRPr="008E2415">
              <w:rPr>
                <w:rFonts w:ascii="Arial" w:hAnsi="Arial"/>
                <w:b/>
                <w:sz w:val="22"/>
                <w:lang w:val="nb-NO" w:eastAsia="de-DE"/>
              </w:rPr>
              <w:t>Date issued:</w:t>
            </w:r>
          </w:p>
        </w:tc>
        <w:tc>
          <w:tcPr>
            <w:tcW w:w="7797" w:type="dxa"/>
            <w:gridSpan w:val="3"/>
            <w:tcBorders>
              <w:top w:val="nil"/>
              <w:left w:val="nil"/>
              <w:bottom w:val="nil"/>
              <w:right w:val="nil"/>
            </w:tcBorders>
            <w:vAlign w:val="center"/>
          </w:tcPr>
          <w:p w:rsidR="00244F67" w:rsidRPr="008E2415" w:rsidRDefault="00244F67" w:rsidP="00244F67">
            <w:pPr>
              <w:tabs>
                <w:tab w:val="center" w:pos="4536"/>
                <w:tab w:val="right" w:pos="9072"/>
              </w:tabs>
              <w:rPr>
                <w:rFonts w:ascii="Arial" w:hAnsi="Arial"/>
                <w:b/>
                <w:sz w:val="22"/>
                <w:lang w:val="en-GB" w:eastAsia="de-DE"/>
              </w:rPr>
            </w:pPr>
            <w:r>
              <w:rPr>
                <w:rFonts w:ascii="Arial" w:hAnsi="Arial"/>
                <w:b/>
                <w:sz w:val="22"/>
                <w:lang w:val="en-GB" w:eastAsia="de-DE"/>
              </w:rPr>
              <w:t>26 February 2013</w:t>
            </w:r>
          </w:p>
        </w:tc>
      </w:tr>
      <w:tr w:rsidR="00244F67" w:rsidRPr="008E2415" w:rsidTr="00E2428A">
        <w:tblPrEx>
          <w:tblCellMar>
            <w:left w:w="108" w:type="dxa"/>
            <w:right w:w="108" w:type="dxa"/>
          </w:tblCellMar>
        </w:tblPrEx>
        <w:trPr>
          <w:cantSplit/>
          <w:trHeight w:val="405"/>
        </w:trPr>
        <w:tc>
          <w:tcPr>
            <w:tcW w:w="1843" w:type="dxa"/>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nb-NO" w:eastAsia="de-DE"/>
              </w:rPr>
            </w:pPr>
            <w:r w:rsidRPr="008E2415">
              <w:rPr>
                <w:rFonts w:ascii="Arial" w:hAnsi="Arial"/>
                <w:b/>
                <w:sz w:val="22"/>
                <w:lang w:val="nb-NO" w:eastAsia="de-DE"/>
              </w:rPr>
              <w:t>Source:</w:t>
            </w:r>
          </w:p>
        </w:tc>
        <w:tc>
          <w:tcPr>
            <w:tcW w:w="7797" w:type="dxa"/>
            <w:gridSpan w:val="3"/>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en-GB" w:eastAsia="de-DE"/>
              </w:rPr>
            </w:pPr>
            <w:r>
              <w:rPr>
                <w:rFonts w:ascii="Arial" w:hAnsi="Arial"/>
                <w:b/>
                <w:sz w:val="22"/>
                <w:lang w:val="en-GB" w:eastAsia="de-DE"/>
              </w:rPr>
              <w:t>DG WCIT-12</w:t>
            </w:r>
            <w:r w:rsidR="00D85D58">
              <w:rPr>
                <w:rFonts w:ascii="Arial" w:hAnsi="Arial"/>
                <w:b/>
                <w:sz w:val="22"/>
                <w:lang w:val="en-GB" w:eastAsia="de-DE"/>
              </w:rPr>
              <w:t>/Com-ITU Chairman</w:t>
            </w:r>
          </w:p>
        </w:tc>
      </w:tr>
      <w:tr w:rsidR="00244F67" w:rsidRPr="008E2415" w:rsidTr="00E2428A">
        <w:tblPrEx>
          <w:tblCellMar>
            <w:left w:w="108" w:type="dxa"/>
            <w:right w:w="108" w:type="dxa"/>
          </w:tblCellMar>
        </w:tblPrEx>
        <w:trPr>
          <w:cantSplit/>
          <w:trHeight w:val="405"/>
        </w:trPr>
        <w:tc>
          <w:tcPr>
            <w:tcW w:w="1843" w:type="dxa"/>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nb-NO" w:eastAsia="de-DE"/>
              </w:rPr>
            </w:pPr>
            <w:r w:rsidRPr="008E2415">
              <w:rPr>
                <w:rFonts w:ascii="Arial" w:hAnsi="Arial"/>
                <w:b/>
                <w:sz w:val="22"/>
                <w:lang w:val="en-GB" w:eastAsia="de-DE"/>
              </w:rPr>
              <w:t>Subject:</w:t>
            </w:r>
          </w:p>
        </w:tc>
        <w:tc>
          <w:tcPr>
            <w:tcW w:w="7797" w:type="dxa"/>
            <w:gridSpan w:val="3"/>
            <w:tcBorders>
              <w:top w:val="nil"/>
              <w:left w:val="nil"/>
              <w:bottom w:val="nil"/>
              <w:right w:val="nil"/>
            </w:tcBorders>
            <w:vAlign w:val="center"/>
          </w:tcPr>
          <w:p w:rsidR="00244F67" w:rsidRPr="008E2415" w:rsidRDefault="00244F67" w:rsidP="00E2428A">
            <w:pPr>
              <w:tabs>
                <w:tab w:val="center" w:pos="4536"/>
                <w:tab w:val="right" w:pos="9072"/>
              </w:tabs>
              <w:rPr>
                <w:rFonts w:ascii="Arial" w:hAnsi="Arial"/>
                <w:b/>
                <w:sz w:val="22"/>
                <w:lang w:val="en-GB" w:eastAsia="de-DE"/>
              </w:rPr>
            </w:pPr>
            <w:r>
              <w:rPr>
                <w:rFonts w:ascii="Arial" w:hAnsi="Arial"/>
                <w:b/>
                <w:sz w:val="22"/>
                <w:lang w:val="en-GB" w:eastAsia="de-DE"/>
              </w:rPr>
              <w:t>Report</w:t>
            </w:r>
          </w:p>
        </w:tc>
      </w:tr>
    </w:tbl>
    <w:p w:rsidR="00244F67" w:rsidRPr="008E2415" w:rsidRDefault="001C5B0D" w:rsidP="00244F67">
      <w:pPr>
        <w:spacing w:after="120"/>
        <w:jc w:val="both"/>
        <w:rPr>
          <w:rFonts w:ascii="Arial" w:hAnsi="Arial"/>
          <w:sz w:val="22"/>
          <w:lang w:val="en-GB" w:eastAsia="de-DE"/>
        </w:rPr>
      </w:pPr>
      <w:r w:rsidRPr="008E2415">
        <w:rPr>
          <w:rFonts w:ascii="Arial" w:hAnsi="Arial"/>
          <w:noProof/>
          <w:sz w:val="22"/>
          <w:lang w:val="pl-PL" w:eastAsia="pl-PL"/>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13335" t="10160" r="5715" b="13970"/>
                <wp:wrapTight wrapText="bothSides">
                  <wp:wrapPolygon edited="0">
                    <wp:start x="-450" y="0"/>
                    <wp:lineTo x="-450" y="21600"/>
                    <wp:lineTo x="22050" y="21600"/>
                    <wp:lineTo x="22050" y="0"/>
                    <wp:lineTo x="-45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44F67" w:rsidRPr="00254FD9" w:rsidRDefault="00244F67" w:rsidP="00244F67">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J5G4PScCAABPBAAADgAAAAAAAAAAAAAAAAAuAgAAZHJzL2Uy&#10;b0RvYy54bWxQSwECLQAUAAYACAAAACEAp9xGBeAAAAAJAQAADwAAAAAAAAAAAAAAAACBBAAAZHJz&#10;L2Rvd25yZXYueG1sUEsFBgAAAAAEAAQA8wAAAI4FAAAAAA==&#10;">
                <v:textbox>
                  <w:txbxContent>
                    <w:p w:rsidR="00244F67" w:rsidRPr="00254FD9" w:rsidRDefault="00244F67" w:rsidP="00244F67">
                      <w:pPr>
                        <w:jc w:val="center"/>
                        <w:rPr>
                          <w:rFonts w:cs="Arial"/>
                          <w:szCs w:val="24"/>
                          <w:lang w:val="de-DE"/>
                        </w:rPr>
                      </w:pPr>
                      <w:r>
                        <w:rPr>
                          <w:rFonts w:cs="Arial"/>
                          <w:szCs w:val="24"/>
                          <w:lang w:val="de-DE"/>
                        </w:rPr>
                        <w:t>N</w:t>
                      </w:r>
                    </w:p>
                  </w:txbxContent>
                </v:textbox>
                <w10:wrap type="tight"/>
              </v:shape>
            </w:pict>
          </mc:Fallback>
        </mc:AlternateContent>
      </w:r>
    </w:p>
    <w:p w:rsidR="00244F67" w:rsidRPr="008E2415" w:rsidRDefault="00244F67" w:rsidP="00244F67">
      <w:pPr>
        <w:spacing w:after="120"/>
        <w:jc w:val="both"/>
        <w:rPr>
          <w:rFonts w:ascii="Arial" w:hAnsi="Arial"/>
          <w:sz w:val="22"/>
          <w:lang w:val="en-GB" w:eastAsia="de-DE"/>
        </w:rPr>
      </w:pPr>
      <w:r w:rsidRPr="008E2415">
        <w:rPr>
          <w:rFonts w:ascii="Arial" w:hAnsi="Arial"/>
          <w:sz w:val="22"/>
          <w:lang w:val="en-GB" w:eastAsia="de-DE"/>
        </w:rPr>
        <w:t xml:space="preserve">Password protection required? (Y/N) </w:t>
      </w:r>
    </w:p>
    <w:p w:rsidR="00244F67" w:rsidRPr="008E2415" w:rsidRDefault="00244F67" w:rsidP="00244F67">
      <w:pPr>
        <w:spacing w:after="120"/>
        <w:jc w:val="center"/>
        <w:rPr>
          <w:rFonts w:ascii="Arial" w:hAnsi="Arial"/>
          <w:b/>
          <w:sz w:val="28"/>
          <w:lang w:val="en-GB"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44F67" w:rsidRPr="008E2415" w:rsidTr="00E2428A">
        <w:trPr>
          <w:cantSplit/>
          <w:trHeight w:val="446"/>
        </w:trPr>
        <w:tc>
          <w:tcPr>
            <w:tcW w:w="9640" w:type="dxa"/>
            <w:tcBorders>
              <w:bottom w:val="nil"/>
            </w:tcBorders>
          </w:tcPr>
          <w:p w:rsidR="00244F67" w:rsidRPr="008E2415" w:rsidRDefault="00244F67" w:rsidP="00E2428A">
            <w:pPr>
              <w:tabs>
                <w:tab w:val="center" w:pos="4536"/>
                <w:tab w:val="right" w:pos="9072"/>
              </w:tabs>
              <w:rPr>
                <w:rFonts w:ascii="Arial" w:hAnsi="Arial"/>
                <w:b/>
                <w:sz w:val="22"/>
                <w:lang w:val="en-US" w:eastAsia="de-DE"/>
              </w:rPr>
            </w:pPr>
            <w:r w:rsidRPr="008E2415">
              <w:rPr>
                <w:rFonts w:ascii="Arial" w:hAnsi="Arial"/>
                <w:b/>
                <w:sz w:val="22"/>
                <w:lang w:val="en-US" w:eastAsia="de-DE"/>
              </w:rPr>
              <w:t xml:space="preserve">Summary: </w:t>
            </w:r>
          </w:p>
        </w:tc>
      </w:tr>
      <w:tr w:rsidR="00244F67" w:rsidRPr="008E2415" w:rsidTr="00E2428A">
        <w:trPr>
          <w:cantSplit/>
          <w:trHeight w:val="1112"/>
        </w:trPr>
        <w:tc>
          <w:tcPr>
            <w:tcW w:w="9640" w:type="dxa"/>
            <w:tcBorders>
              <w:top w:val="nil"/>
              <w:bottom w:val="single" w:sz="4" w:space="0" w:color="auto"/>
            </w:tcBorders>
          </w:tcPr>
          <w:p w:rsidR="00244F67" w:rsidRPr="008E2415" w:rsidRDefault="00244F67" w:rsidP="00244F67">
            <w:pPr>
              <w:spacing w:after="120"/>
              <w:jc w:val="both"/>
              <w:rPr>
                <w:rFonts w:ascii="Arial" w:hAnsi="Arial"/>
                <w:sz w:val="22"/>
                <w:lang w:val="nb-NO" w:eastAsia="de-DE"/>
              </w:rPr>
            </w:pPr>
            <w:r>
              <w:rPr>
                <w:rFonts w:ascii="Arial" w:hAnsi="Arial"/>
                <w:bCs/>
                <w:sz w:val="22"/>
                <w:lang w:val="nb-NO" w:eastAsia="de-DE"/>
              </w:rPr>
              <w:t>Report of WCIT-12</w:t>
            </w:r>
          </w:p>
        </w:tc>
      </w:tr>
      <w:tr w:rsidR="00244F67" w:rsidRPr="008E2415" w:rsidTr="00E2428A">
        <w:trPr>
          <w:cantSplit/>
          <w:trHeight w:val="443"/>
        </w:trPr>
        <w:tc>
          <w:tcPr>
            <w:tcW w:w="9640" w:type="dxa"/>
            <w:tcBorders>
              <w:bottom w:val="nil"/>
            </w:tcBorders>
          </w:tcPr>
          <w:p w:rsidR="00244F67" w:rsidRPr="008E2415" w:rsidRDefault="00244F67" w:rsidP="00E2428A">
            <w:pPr>
              <w:tabs>
                <w:tab w:val="center" w:pos="4536"/>
                <w:tab w:val="right" w:pos="9072"/>
              </w:tabs>
              <w:rPr>
                <w:rFonts w:ascii="Arial" w:hAnsi="Arial"/>
                <w:b/>
                <w:sz w:val="22"/>
                <w:lang w:val="en-US" w:eastAsia="de-DE"/>
              </w:rPr>
            </w:pPr>
            <w:r w:rsidRPr="008E2415">
              <w:rPr>
                <w:rFonts w:ascii="Arial" w:hAnsi="Arial"/>
                <w:b/>
                <w:sz w:val="22"/>
                <w:lang w:val="en-US" w:eastAsia="de-DE"/>
              </w:rPr>
              <w:t xml:space="preserve">Proposal: </w:t>
            </w:r>
          </w:p>
        </w:tc>
      </w:tr>
      <w:tr w:rsidR="00244F67" w:rsidRPr="008E2415" w:rsidTr="00E2428A">
        <w:trPr>
          <w:cantSplit/>
          <w:trHeight w:val="945"/>
        </w:trPr>
        <w:tc>
          <w:tcPr>
            <w:tcW w:w="9640" w:type="dxa"/>
            <w:tcBorders>
              <w:top w:val="nil"/>
              <w:bottom w:val="single" w:sz="4" w:space="0" w:color="auto"/>
            </w:tcBorders>
          </w:tcPr>
          <w:p w:rsidR="00244F67" w:rsidRPr="008E2415" w:rsidRDefault="00244F67" w:rsidP="00E2428A">
            <w:pPr>
              <w:spacing w:after="120"/>
              <w:jc w:val="both"/>
              <w:rPr>
                <w:rFonts w:ascii="Arial" w:hAnsi="Arial"/>
                <w:sz w:val="22"/>
                <w:lang w:val="en-US" w:eastAsia="de-DE"/>
              </w:rPr>
            </w:pPr>
            <w:r w:rsidRPr="008E2415">
              <w:rPr>
                <w:rFonts w:ascii="Arial" w:hAnsi="Arial"/>
                <w:sz w:val="22"/>
                <w:lang w:val="en-US" w:eastAsia="de-DE"/>
              </w:rPr>
              <w:t>For consideration.</w:t>
            </w:r>
          </w:p>
          <w:p w:rsidR="00244F67" w:rsidRPr="008E2415" w:rsidRDefault="00244F67" w:rsidP="00E2428A">
            <w:pPr>
              <w:spacing w:after="120"/>
              <w:jc w:val="both"/>
              <w:rPr>
                <w:rFonts w:ascii="Arial" w:hAnsi="Arial"/>
                <w:sz w:val="22"/>
                <w:lang w:val="en-US" w:eastAsia="de-DE"/>
              </w:rPr>
            </w:pPr>
          </w:p>
        </w:tc>
      </w:tr>
      <w:tr w:rsidR="00244F67" w:rsidRPr="008E2415" w:rsidTr="00E2428A">
        <w:trPr>
          <w:cantSplit/>
          <w:trHeight w:val="431"/>
        </w:trPr>
        <w:tc>
          <w:tcPr>
            <w:tcW w:w="9640" w:type="dxa"/>
            <w:tcBorders>
              <w:bottom w:val="nil"/>
            </w:tcBorders>
          </w:tcPr>
          <w:p w:rsidR="00244F67" w:rsidRPr="008E2415" w:rsidRDefault="00244F67" w:rsidP="00E2428A">
            <w:pPr>
              <w:tabs>
                <w:tab w:val="center" w:pos="4536"/>
                <w:tab w:val="right" w:pos="9072"/>
              </w:tabs>
              <w:rPr>
                <w:rFonts w:ascii="Arial" w:hAnsi="Arial"/>
                <w:b/>
                <w:sz w:val="22"/>
                <w:lang w:val="en-US" w:eastAsia="de-DE"/>
              </w:rPr>
            </w:pPr>
            <w:r w:rsidRPr="008E2415">
              <w:rPr>
                <w:rFonts w:ascii="Arial" w:hAnsi="Arial"/>
                <w:b/>
                <w:sz w:val="22"/>
                <w:lang w:val="en-US" w:eastAsia="de-DE"/>
              </w:rPr>
              <w:t xml:space="preserve">Background: </w:t>
            </w:r>
          </w:p>
        </w:tc>
      </w:tr>
      <w:tr w:rsidR="00244F67" w:rsidRPr="008E2415" w:rsidTr="00E2428A">
        <w:trPr>
          <w:cantSplit/>
          <w:trHeight w:val="784"/>
        </w:trPr>
        <w:tc>
          <w:tcPr>
            <w:tcW w:w="9640" w:type="dxa"/>
            <w:tcBorders>
              <w:top w:val="nil"/>
              <w:bottom w:val="single" w:sz="4" w:space="0" w:color="auto"/>
            </w:tcBorders>
          </w:tcPr>
          <w:p w:rsidR="00244F67" w:rsidRPr="008E2415" w:rsidRDefault="00244F67" w:rsidP="00E2428A">
            <w:pPr>
              <w:spacing w:after="120"/>
              <w:jc w:val="both"/>
              <w:rPr>
                <w:rFonts w:ascii="Arial" w:hAnsi="Arial"/>
                <w:bCs/>
                <w:sz w:val="22"/>
                <w:szCs w:val="24"/>
                <w:lang w:val="en-GB" w:eastAsia="de-DE"/>
              </w:rPr>
            </w:pPr>
          </w:p>
        </w:tc>
      </w:tr>
    </w:tbl>
    <w:p w:rsidR="00244F67" w:rsidRPr="008E2415" w:rsidRDefault="00244F67" w:rsidP="00244F67">
      <w:pPr>
        <w:spacing w:after="120"/>
        <w:jc w:val="both"/>
        <w:rPr>
          <w:rFonts w:ascii="Arial" w:hAnsi="Arial"/>
          <w:sz w:val="22"/>
          <w:lang w:val="en-GB" w:eastAsia="de-DE"/>
        </w:rPr>
      </w:pPr>
    </w:p>
    <w:p w:rsidR="00244F67" w:rsidRDefault="00244F67">
      <w:pPr>
        <w:spacing w:before="120"/>
        <w:rPr>
          <w:rFonts w:asciiTheme="minorHAnsi" w:hAnsiTheme="minorHAnsi"/>
          <w:b/>
          <w:sz w:val="24"/>
          <w:szCs w:val="24"/>
          <w:u w:val="single"/>
          <w:lang w:val="en-GB"/>
        </w:rPr>
      </w:pPr>
      <w:r>
        <w:rPr>
          <w:rFonts w:asciiTheme="minorHAnsi" w:hAnsiTheme="minorHAnsi"/>
          <w:szCs w:val="24"/>
          <w:lang w:val="en-GB"/>
        </w:rPr>
        <w:br w:type="page"/>
      </w:r>
    </w:p>
    <w:p w:rsidR="00095B88" w:rsidRPr="00552C5F" w:rsidRDefault="00E009BB" w:rsidP="00986220">
      <w:pPr>
        <w:pStyle w:val="Nagwek7"/>
        <w:tabs>
          <w:tab w:val="left" w:pos="1418"/>
        </w:tabs>
        <w:spacing w:before="120"/>
        <w:jc w:val="both"/>
        <w:rPr>
          <w:rFonts w:asciiTheme="minorHAnsi" w:hAnsiTheme="minorHAnsi"/>
          <w:szCs w:val="24"/>
          <w:lang w:val="en-GB"/>
        </w:rPr>
      </w:pPr>
      <w:r w:rsidRPr="00552C5F">
        <w:rPr>
          <w:rFonts w:asciiTheme="minorHAnsi" w:hAnsiTheme="minorHAnsi"/>
          <w:szCs w:val="24"/>
          <w:lang w:val="en-GB"/>
        </w:rPr>
        <w:lastRenderedPageBreak/>
        <w:t>Executive Summary</w:t>
      </w:r>
    </w:p>
    <w:p w:rsidR="00095B88" w:rsidRPr="00552C5F" w:rsidRDefault="00095B88"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WCIT-12 took place in Dubai from 3 to 14 December 2012. It was chaired by Mohamed Nasser Al </w:t>
      </w:r>
      <w:proofErr w:type="spellStart"/>
      <w:r w:rsidRPr="00552C5F">
        <w:rPr>
          <w:rFonts w:asciiTheme="minorHAnsi" w:hAnsiTheme="minorHAnsi"/>
          <w:sz w:val="24"/>
          <w:szCs w:val="24"/>
          <w:lang w:val="en-GB"/>
        </w:rPr>
        <w:t>Ghanim</w:t>
      </w:r>
      <w:proofErr w:type="spellEnd"/>
      <w:r w:rsidRPr="00552C5F">
        <w:rPr>
          <w:rFonts w:asciiTheme="minorHAnsi" w:hAnsiTheme="minorHAnsi"/>
          <w:sz w:val="24"/>
          <w:szCs w:val="24"/>
          <w:lang w:val="en-GB"/>
        </w:rPr>
        <w:t xml:space="preserve"> (UAE). It was attended by more than 1500 participants from 146 countries. CEPT representatives were elected to the Conference bodies: Manuel Costa Cabral (POR) as VC of the Conference, Frederic </w:t>
      </w:r>
      <w:proofErr w:type="spellStart"/>
      <w:r w:rsidRPr="00552C5F">
        <w:rPr>
          <w:rFonts w:asciiTheme="minorHAnsi" w:hAnsiTheme="minorHAnsi"/>
          <w:sz w:val="24"/>
          <w:szCs w:val="24"/>
          <w:lang w:val="en-GB"/>
        </w:rPr>
        <w:t>Riehl</w:t>
      </w:r>
      <w:proofErr w:type="spellEnd"/>
      <w:r w:rsidRPr="00552C5F">
        <w:rPr>
          <w:rFonts w:asciiTheme="minorHAnsi" w:hAnsiTheme="minorHAnsi"/>
          <w:sz w:val="24"/>
          <w:szCs w:val="24"/>
          <w:lang w:val="en-GB"/>
        </w:rPr>
        <w:t xml:space="preserve"> (CH) as VC of Committee 5</w:t>
      </w:r>
      <w:r w:rsidR="00736E82" w:rsidRPr="00552C5F">
        <w:rPr>
          <w:rFonts w:asciiTheme="minorHAnsi" w:hAnsiTheme="minorHAnsi"/>
          <w:sz w:val="24"/>
          <w:szCs w:val="24"/>
          <w:lang w:val="en-GB"/>
        </w:rPr>
        <w:t xml:space="preserve">, </w:t>
      </w:r>
      <w:r w:rsidRPr="00552C5F">
        <w:rPr>
          <w:rFonts w:asciiTheme="minorHAnsi" w:hAnsiTheme="minorHAnsi"/>
          <w:sz w:val="24"/>
          <w:szCs w:val="24"/>
          <w:lang w:val="en-GB"/>
        </w:rPr>
        <w:t xml:space="preserve">F. </w:t>
      </w:r>
      <w:proofErr w:type="spellStart"/>
      <w:r w:rsidRPr="00552C5F">
        <w:rPr>
          <w:rFonts w:asciiTheme="minorHAnsi" w:hAnsiTheme="minorHAnsi"/>
          <w:sz w:val="24"/>
          <w:szCs w:val="24"/>
          <w:lang w:val="en-GB"/>
        </w:rPr>
        <w:t>Bigi</w:t>
      </w:r>
      <w:proofErr w:type="spellEnd"/>
      <w:r w:rsidRPr="00552C5F">
        <w:rPr>
          <w:rFonts w:asciiTheme="minorHAnsi" w:hAnsiTheme="minorHAnsi"/>
          <w:sz w:val="24"/>
          <w:szCs w:val="24"/>
          <w:lang w:val="en-GB"/>
        </w:rPr>
        <w:t xml:space="preserve"> (I) as a Chair </w:t>
      </w:r>
      <w:r w:rsidR="00736E82" w:rsidRPr="00552C5F">
        <w:rPr>
          <w:rFonts w:asciiTheme="minorHAnsi" w:hAnsiTheme="minorHAnsi"/>
          <w:sz w:val="24"/>
          <w:szCs w:val="24"/>
          <w:lang w:val="en-GB"/>
        </w:rPr>
        <w:t>of the WG2 of Committe</w:t>
      </w:r>
      <w:bookmarkStart w:id="0" w:name="_GoBack"/>
      <w:bookmarkEnd w:id="0"/>
      <w:r w:rsidR="00736E82" w:rsidRPr="00552C5F">
        <w:rPr>
          <w:rFonts w:asciiTheme="minorHAnsi" w:hAnsiTheme="minorHAnsi"/>
          <w:sz w:val="24"/>
          <w:szCs w:val="24"/>
          <w:lang w:val="en-GB"/>
        </w:rPr>
        <w:t>e 5 and Ms Marie-</w:t>
      </w:r>
      <w:proofErr w:type="spellStart"/>
      <w:r w:rsidR="00736E82" w:rsidRPr="00552C5F">
        <w:rPr>
          <w:rFonts w:asciiTheme="minorHAnsi" w:hAnsiTheme="minorHAnsi"/>
          <w:sz w:val="24"/>
          <w:szCs w:val="24"/>
          <w:lang w:val="en-GB"/>
        </w:rPr>
        <w:t>Thérèse</w:t>
      </w:r>
      <w:proofErr w:type="spellEnd"/>
      <w:r w:rsidR="00736E82" w:rsidRPr="00552C5F">
        <w:rPr>
          <w:rFonts w:asciiTheme="minorHAnsi" w:hAnsiTheme="minorHAnsi"/>
          <w:sz w:val="24"/>
          <w:szCs w:val="24"/>
          <w:lang w:val="en-GB"/>
        </w:rPr>
        <w:t xml:space="preserve"> ALAJOUANINE (F) as Chair of Committee 4.</w:t>
      </w:r>
    </w:p>
    <w:p w:rsidR="00095B88" w:rsidRPr="00552C5F" w:rsidRDefault="00095B88"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During WCIT,</w:t>
      </w:r>
      <w:r w:rsidR="00D42278" w:rsidRPr="00552C5F">
        <w:rPr>
          <w:rFonts w:asciiTheme="minorHAnsi" w:hAnsiTheme="minorHAnsi"/>
          <w:sz w:val="24"/>
          <w:szCs w:val="24"/>
          <w:lang w:val="en-GB"/>
        </w:rPr>
        <w:t xml:space="preserve"> a</w:t>
      </w:r>
      <w:r w:rsidRPr="00552C5F">
        <w:rPr>
          <w:rFonts w:asciiTheme="minorHAnsi" w:hAnsiTheme="minorHAnsi"/>
          <w:sz w:val="24"/>
          <w:szCs w:val="24"/>
          <w:lang w:val="en-GB"/>
        </w:rPr>
        <w:t xml:space="preserve"> number of CEPT coordination meetings took place chaired by Manuel Costa Cabral and Marcin Krasuski (POL).</w:t>
      </w:r>
    </w:p>
    <w:p w:rsidR="00431AE6" w:rsidRPr="00552C5F" w:rsidRDefault="00D7750B"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Among 151 Member States present in Dubai, 89 have signed the </w:t>
      </w:r>
      <w:r w:rsidR="00A61BCC" w:rsidRPr="00552C5F">
        <w:rPr>
          <w:rFonts w:asciiTheme="minorHAnsi" w:hAnsiTheme="minorHAnsi"/>
          <w:sz w:val="24"/>
          <w:szCs w:val="24"/>
          <w:lang w:val="en-GB"/>
        </w:rPr>
        <w:t>F</w:t>
      </w:r>
      <w:r w:rsidRPr="00552C5F">
        <w:rPr>
          <w:rFonts w:asciiTheme="minorHAnsi" w:hAnsiTheme="minorHAnsi"/>
          <w:sz w:val="24"/>
          <w:szCs w:val="24"/>
          <w:lang w:val="en-GB"/>
        </w:rPr>
        <w:t>inal Acts of the Conference</w:t>
      </w:r>
      <w:r w:rsidR="00E63AE7" w:rsidRPr="00552C5F">
        <w:rPr>
          <w:rFonts w:asciiTheme="minorHAnsi" w:hAnsiTheme="minorHAnsi"/>
          <w:sz w:val="24"/>
          <w:szCs w:val="24"/>
          <w:lang w:val="en-GB"/>
        </w:rPr>
        <w:t xml:space="preserve"> (</w:t>
      </w:r>
      <w:r w:rsidR="00E63AE7" w:rsidRPr="00552C5F">
        <w:rPr>
          <w:rFonts w:asciiTheme="minorHAnsi" w:hAnsiTheme="minorHAnsi"/>
          <w:b/>
          <w:sz w:val="24"/>
          <w:szCs w:val="24"/>
          <w:lang w:val="en-GB"/>
        </w:rPr>
        <w:t>Annex 1</w:t>
      </w:r>
      <w:r w:rsidR="00E63AE7" w:rsidRPr="00552C5F">
        <w:rPr>
          <w:rFonts w:asciiTheme="minorHAnsi" w:hAnsiTheme="minorHAnsi"/>
          <w:sz w:val="24"/>
          <w:szCs w:val="24"/>
          <w:lang w:val="en-GB"/>
        </w:rPr>
        <w:t>)</w:t>
      </w:r>
      <w:r w:rsidRPr="00552C5F">
        <w:rPr>
          <w:rFonts w:asciiTheme="minorHAnsi" w:hAnsiTheme="minorHAnsi"/>
          <w:sz w:val="24"/>
          <w:szCs w:val="24"/>
          <w:lang w:val="en-GB"/>
        </w:rPr>
        <w:t>.</w:t>
      </w:r>
      <w:r w:rsidR="00431AE6" w:rsidRPr="00552C5F">
        <w:rPr>
          <w:rFonts w:asciiTheme="minorHAnsi" w:hAnsiTheme="minorHAnsi"/>
          <w:sz w:val="24"/>
          <w:szCs w:val="24"/>
          <w:lang w:val="en-GB"/>
        </w:rPr>
        <w:t xml:space="preserve"> </w:t>
      </w:r>
      <w:r w:rsidR="00431AE6" w:rsidRPr="00552C5F">
        <w:rPr>
          <w:rFonts w:asciiTheme="minorHAnsi" w:hAnsiTheme="minorHAnsi"/>
          <w:b/>
          <w:sz w:val="24"/>
          <w:szCs w:val="24"/>
          <w:lang w:val="en-GB"/>
        </w:rPr>
        <w:t>Annex 2</w:t>
      </w:r>
      <w:r w:rsidR="00431AE6" w:rsidRPr="00552C5F">
        <w:rPr>
          <w:rFonts w:asciiTheme="minorHAnsi" w:hAnsiTheme="minorHAnsi"/>
          <w:sz w:val="24"/>
          <w:szCs w:val="24"/>
          <w:lang w:val="en-GB"/>
        </w:rPr>
        <w:t xml:space="preserve"> compares WATCC-88 with WCIT-12 outcomes.</w:t>
      </w:r>
      <w:r w:rsidRPr="00552C5F">
        <w:rPr>
          <w:rFonts w:asciiTheme="minorHAnsi" w:hAnsiTheme="minorHAnsi"/>
          <w:sz w:val="24"/>
          <w:szCs w:val="24"/>
          <w:lang w:val="en-GB"/>
        </w:rPr>
        <w:t xml:space="preserve"> </w:t>
      </w:r>
    </w:p>
    <w:p w:rsidR="00B83D7D" w:rsidRPr="00552C5F" w:rsidRDefault="00DE788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M</w:t>
      </w:r>
      <w:r w:rsidR="00095B88" w:rsidRPr="00552C5F">
        <w:rPr>
          <w:rFonts w:asciiTheme="minorHAnsi" w:hAnsiTheme="minorHAnsi"/>
          <w:sz w:val="24"/>
          <w:szCs w:val="24"/>
          <w:lang w:val="en-GB"/>
        </w:rPr>
        <w:t>ost CEPT Members have not signed</w:t>
      </w:r>
      <w:r w:rsidR="00D7750B" w:rsidRPr="00552C5F">
        <w:rPr>
          <w:rFonts w:asciiTheme="minorHAnsi" w:hAnsiTheme="minorHAnsi"/>
          <w:sz w:val="24"/>
          <w:szCs w:val="24"/>
          <w:lang w:val="en-GB"/>
        </w:rPr>
        <w:t xml:space="preserve"> </w:t>
      </w:r>
      <w:r w:rsidR="00431AE6" w:rsidRPr="00552C5F">
        <w:rPr>
          <w:rFonts w:asciiTheme="minorHAnsi" w:hAnsiTheme="minorHAnsi"/>
          <w:sz w:val="24"/>
          <w:szCs w:val="24"/>
          <w:lang w:val="en-GB"/>
        </w:rPr>
        <w:t>WCIT-12 Final</w:t>
      </w:r>
      <w:r w:rsidR="00095B88" w:rsidRPr="00552C5F">
        <w:rPr>
          <w:rFonts w:asciiTheme="minorHAnsi" w:hAnsiTheme="minorHAnsi"/>
          <w:sz w:val="24"/>
          <w:szCs w:val="24"/>
          <w:lang w:val="en-GB"/>
        </w:rPr>
        <w:t xml:space="preserve"> Acts</w:t>
      </w:r>
      <w:r w:rsidR="00B83D7D" w:rsidRPr="00552C5F">
        <w:rPr>
          <w:rFonts w:asciiTheme="minorHAnsi" w:hAnsiTheme="minorHAnsi"/>
          <w:sz w:val="24"/>
          <w:szCs w:val="24"/>
          <w:lang w:val="en-GB"/>
        </w:rPr>
        <w:t>, incl</w:t>
      </w:r>
      <w:r w:rsidR="00244F67">
        <w:rPr>
          <w:rFonts w:asciiTheme="minorHAnsi" w:hAnsiTheme="minorHAnsi"/>
          <w:sz w:val="24"/>
          <w:szCs w:val="24"/>
          <w:lang w:val="en-GB"/>
        </w:rPr>
        <w:t>uding all European Union Member States</w:t>
      </w:r>
      <w:r w:rsidR="00B83D7D" w:rsidRPr="00552C5F">
        <w:rPr>
          <w:rFonts w:asciiTheme="minorHAnsi" w:hAnsiTheme="minorHAnsi"/>
          <w:sz w:val="24"/>
          <w:szCs w:val="24"/>
          <w:lang w:val="en-GB"/>
        </w:rPr>
        <w:t>.</w:t>
      </w:r>
      <w:r w:rsidR="00095B88" w:rsidRPr="00552C5F">
        <w:rPr>
          <w:rFonts w:asciiTheme="minorHAnsi" w:hAnsiTheme="minorHAnsi"/>
          <w:sz w:val="24"/>
          <w:szCs w:val="24"/>
          <w:lang w:val="en-GB"/>
        </w:rPr>
        <w:t xml:space="preserve"> </w:t>
      </w:r>
    </w:p>
    <w:p w:rsidR="00095B88" w:rsidRPr="00552C5F" w:rsidRDefault="00B83D7D"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According to </w:t>
      </w:r>
      <w:r w:rsidR="00244F67">
        <w:rPr>
          <w:rFonts w:asciiTheme="minorHAnsi" w:hAnsiTheme="minorHAnsi"/>
          <w:sz w:val="24"/>
          <w:szCs w:val="24"/>
          <w:lang w:val="en-GB"/>
        </w:rPr>
        <w:t xml:space="preserve">the </w:t>
      </w:r>
      <w:r w:rsidRPr="00552C5F">
        <w:rPr>
          <w:rFonts w:asciiTheme="minorHAnsi" w:hAnsiTheme="minorHAnsi"/>
          <w:sz w:val="24"/>
          <w:szCs w:val="24"/>
          <w:lang w:val="en-GB"/>
        </w:rPr>
        <w:t>ITU Constitution,</w:t>
      </w:r>
      <w:r w:rsidR="00095B88" w:rsidRPr="00552C5F">
        <w:rPr>
          <w:rFonts w:asciiTheme="minorHAnsi" w:hAnsiTheme="minorHAnsi"/>
          <w:sz w:val="24"/>
          <w:szCs w:val="24"/>
          <w:lang w:val="en-GB"/>
        </w:rPr>
        <w:t xml:space="preserve"> </w:t>
      </w:r>
      <w:r w:rsidRPr="00552C5F">
        <w:rPr>
          <w:rFonts w:asciiTheme="minorHAnsi" w:hAnsiTheme="minorHAnsi"/>
          <w:sz w:val="24"/>
          <w:szCs w:val="24"/>
          <w:lang w:val="en-GB"/>
        </w:rPr>
        <w:t xml:space="preserve">Members may </w:t>
      </w:r>
      <w:r w:rsidR="00D42278" w:rsidRPr="00552C5F">
        <w:rPr>
          <w:rFonts w:asciiTheme="minorHAnsi" w:hAnsiTheme="minorHAnsi"/>
          <w:sz w:val="24"/>
          <w:szCs w:val="24"/>
          <w:lang w:val="en-GB"/>
        </w:rPr>
        <w:t>accede to</w:t>
      </w:r>
      <w:r w:rsidRPr="00552C5F">
        <w:rPr>
          <w:rFonts w:asciiTheme="minorHAnsi" w:hAnsiTheme="minorHAnsi"/>
          <w:sz w:val="24"/>
          <w:szCs w:val="24"/>
          <w:lang w:val="en-GB"/>
        </w:rPr>
        <w:t xml:space="preserve"> the International Telecommunication Regulations in the future. </w:t>
      </w:r>
    </w:p>
    <w:p w:rsidR="0060379F" w:rsidRPr="00552C5F" w:rsidRDefault="001708E0"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Some outcomes of the WCIT are considered to be positive. In particular, key CEPT criteria seem</w:t>
      </w:r>
      <w:r w:rsidR="00244F67">
        <w:rPr>
          <w:rFonts w:asciiTheme="minorHAnsi" w:hAnsiTheme="minorHAnsi"/>
          <w:sz w:val="24"/>
          <w:szCs w:val="24"/>
          <w:lang w:val="en-GB"/>
        </w:rPr>
        <w:t xml:space="preserve"> to have been met, such as the h</w:t>
      </w:r>
      <w:r w:rsidRPr="00552C5F">
        <w:rPr>
          <w:rFonts w:asciiTheme="minorHAnsi" w:hAnsiTheme="minorHAnsi"/>
          <w:sz w:val="24"/>
          <w:szCs w:val="24"/>
          <w:lang w:val="en-GB"/>
        </w:rPr>
        <w:t>igh level character of the Treaty and the non binding nature of Recommendations. In addition, the Final Acts do not include some controversial issues</w:t>
      </w:r>
      <w:r w:rsidR="00244F67">
        <w:rPr>
          <w:rFonts w:asciiTheme="minorHAnsi" w:hAnsiTheme="minorHAnsi"/>
          <w:sz w:val="24"/>
          <w:szCs w:val="24"/>
          <w:lang w:val="en-GB"/>
        </w:rPr>
        <w:t>,</w:t>
      </w:r>
      <w:r w:rsidRPr="00552C5F">
        <w:rPr>
          <w:rFonts w:asciiTheme="minorHAnsi" w:hAnsiTheme="minorHAnsi"/>
          <w:sz w:val="24"/>
          <w:szCs w:val="24"/>
          <w:lang w:val="en-GB"/>
        </w:rPr>
        <w:t xml:space="preserve"> which were not supported by CEPT (e.g. </w:t>
      </w:r>
      <w:r w:rsidR="00244F67">
        <w:rPr>
          <w:rFonts w:asciiTheme="minorHAnsi" w:hAnsiTheme="minorHAnsi"/>
          <w:sz w:val="24"/>
          <w:szCs w:val="24"/>
          <w:lang w:val="en-GB"/>
        </w:rPr>
        <w:t>n</w:t>
      </w:r>
      <w:r w:rsidRPr="00552C5F">
        <w:rPr>
          <w:rFonts w:asciiTheme="minorHAnsi" w:hAnsiTheme="minorHAnsi"/>
          <w:sz w:val="24"/>
          <w:szCs w:val="24"/>
          <w:lang w:val="en-GB"/>
        </w:rPr>
        <w:t xml:space="preserve">ew definition </w:t>
      </w:r>
      <w:r w:rsidR="00244F67">
        <w:rPr>
          <w:rFonts w:asciiTheme="minorHAnsi" w:hAnsiTheme="minorHAnsi"/>
          <w:sz w:val="24"/>
          <w:szCs w:val="24"/>
          <w:lang w:val="en-GB"/>
        </w:rPr>
        <w:t xml:space="preserve">of </w:t>
      </w:r>
      <w:r w:rsidRPr="00552C5F">
        <w:rPr>
          <w:rFonts w:asciiTheme="minorHAnsi" w:hAnsiTheme="minorHAnsi"/>
          <w:sz w:val="24"/>
          <w:szCs w:val="24"/>
          <w:lang w:val="en-GB"/>
        </w:rPr>
        <w:t>“ICT”; information on traffic routing; provisions concerning naming, identification and addressing resources; cost orientation of prices; and principles of fair compensation and differentiated quality of service).</w:t>
      </w:r>
    </w:p>
    <w:p w:rsidR="00986220" w:rsidRPr="00552C5F" w:rsidRDefault="00986220"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However, some provisions of the ITRs and </w:t>
      </w:r>
      <w:r w:rsidR="00244F67">
        <w:rPr>
          <w:rFonts w:asciiTheme="minorHAnsi" w:hAnsiTheme="minorHAnsi"/>
          <w:sz w:val="24"/>
          <w:szCs w:val="24"/>
          <w:lang w:val="en-GB"/>
        </w:rPr>
        <w:t>the</w:t>
      </w:r>
      <w:r w:rsidRPr="00552C5F">
        <w:rPr>
          <w:rFonts w:asciiTheme="minorHAnsi" w:hAnsiTheme="minorHAnsi"/>
          <w:sz w:val="24"/>
          <w:szCs w:val="24"/>
          <w:lang w:val="en-GB"/>
        </w:rPr>
        <w:t xml:space="preserve"> </w:t>
      </w:r>
      <w:r w:rsidRPr="00C92825">
        <w:rPr>
          <w:rFonts w:asciiTheme="minorHAnsi" w:hAnsiTheme="minorHAnsi"/>
          <w:i/>
          <w:sz w:val="24"/>
          <w:szCs w:val="24"/>
          <w:lang w:val="en-GB"/>
        </w:rPr>
        <w:t xml:space="preserve">Resolution </w:t>
      </w:r>
      <w:r w:rsidR="00244F67" w:rsidRPr="00C92825">
        <w:rPr>
          <w:rFonts w:asciiTheme="minorHAnsi" w:hAnsiTheme="minorHAnsi"/>
          <w:i/>
          <w:sz w:val="24"/>
          <w:szCs w:val="24"/>
          <w:lang w:val="en-GB"/>
        </w:rPr>
        <w:t>to foster an enabling environment for th</w:t>
      </w:r>
      <w:r w:rsidR="00C92825" w:rsidRPr="00C92825">
        <w:rPr>
          <w:rFonts w:asciiTheme="minorHAnsi" w:hAnsiTheme="minorHAnsi"/>
          <w:i/>
          <w:sz w:val="24"/>
          <w:szCs w:val="24"/>
          <w:lang w:val="en-GB"/>
        </w:rPr>
        <w:t>e greater growth of the Internet</w:t>
      </w:r>
      <w:r w:rsidR="00244F67">
        <w:rPr>
          <w:rFonts w:asciiTheme="minorHAnsi" w:hAnsiTheme="minorHAnsi"/>
          <w:sz w:val="24"/>
          <w:szCs w:val="24"/>
          <w:lang w:val="en-GB"/>
        </w:rPr>
        <w:t xml:space="preserve"> </w:t>
      </w:r>
      <w:r w:rsidRPr="00552C5F">
        <w:rPr>
          <w:rFonts w:asciiTheme="minorHAnsi" w:hAnsiTheme="minorHAnsi"/>
          <w:sz w:val="24"/>
          <w:szCs w:val="24"/>
          <w:lang w:val="en-GB"/>
        </w:rPr>
        <w:t xml:space="preserve">are considered to be more critical. In fact, some Member States opposed the final drafting of the Preamble, the </w:t>
      </w:r>
      <w:r w:rsidR="00C92825">
        <w:rPr>
          <w:rFonts w:asciiTheme="minorHAnsi" w:hAnsiTheme="minorHAnsi"/>
          <w:sz w:val="24"/>
          <w:szCs w:val="24"/>
          <w:lang w:val="en-GB"/>
        </w:rPr>
        <w:t>i</w:t>
      </w:r>
      <w:r w:rsidRPr="00552C5F">
        <w:rPr>
          <w:rFonts w:asciiTheme="minorHAnsi" w:hAnsiTheme="minorHAnsi"/>
          <w:sz w:val="24"/>
          <w:szCs w:val="24"/>
          <w:lang w:val="en-GB"/>
        </w:rPr>
        <w:t xml:space="preserve">ndirect </w:t>
      </w:r>
      <w:r w:rsidR="00C92825">
        <w:rPr>
          <w:rFonts w:asciiTheme="minorHAnsi" w:hAnsiTheme="minorHAnsi"/>
          <w:sz w:val="24"/>
          <w:szCs w:val="24"/>
          <w:lang w:val="en-GB"/>
        </w:rPr>
        <w:t>a</w:t>
      </w:r>
      <w:r w:rsidRPr="00552C5F">
        <w:rPr>
          <w:rFonts w:asciiTheme="minorHAnsi" w:hAnsiTheme="minorHAnsi"/>
          <w:sz w:val="24"/>
          <w:szCs w:val="24"/>
          <w:lang w:val="en-GB"/>
        </w:rPr>
        <w:t>pplication of the Treaty</w:t>
      </w:r>
      <w:r w:rsidR="00D42278" w:rsidRPr="00552C5F">
        <w:rPr>
          <w:rFonts w:asciiTheme="minorHAnsi" w:hAnsiTheme="minorHAnsi"/>
          <w:sz w:val="24"/>
          <w:szCs w:val="24"/>
          <w:lang w:val="en-GB"/>
        </w:rPr>
        <w:t>,</w:t>
      </w:r>
      <w:r w:rsidRPr="00552C5F">
        <w:rPr>
          <w:rFonts w:asciiTheme="minorHAnsi" w:hAnsiTheme="minorHAnsi"/>
          <w:sz w:val="24"/>
          <w:szCs w:val="24"/>
          <w:lang w:val="en-GB"/>
        </w:rPr>
        <w:t xml:space="preserve"> Article 5A (Security and robustness of networks), Article 5B (Unsolicited bulk electronic communications) and Resolution 3 (To foster an enabling environment for the greater growth of the Internet).</w:t>
      </w:r>
    </w:p>
    <w:p w:rsidR="007E18DF" w:rsidRPr="00552C5F" w:rsidRDefault="007E18DF"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Other relevant issues are included in the Final A</w:t>
      </w:r>
      <w:r w:rsidR="00A61BCC" w:rsidRPr="00552C5F">
        <w:rPr>
          <w:rFonts w:asciiTheme="minorHAnsi" w:hAnsiTheme="minorHAnsi"/>
          <w:sz w:val="24"/>
          <w:szCs w:val="24"/>
          <w:lang w:val="en-GB"/>
        </w:rPr>
        <w:t>cts, but the final wording seem</w:t>
      </w:r>
      <w:r w:rsidR="00C92825">
        <w:rPr>
          <w:rFonts w:asciiTheme="minorHAnsi" w:hAnsiTheme="minorHAnsi"/>
          <w:sz w:val="24"/>
          <w:szCs w:val="24"/>
          <w:lang w:val="en-GB"/>
        </w:rPr>
        <w:t>s</w:t>
      </w:r>
      <w:r w:rsidR="00A61BCC" w:rsidRPr="00552C5F">
        <w:rPr>
          <w:rFonts w:asciiTheme="minorHAnsi" w:hAnsiTheme="minorHAnsi"/>
          <w:sz w:val="24"/>
          <w:szCs w:val="24"/>
          <w:lang w:val="en-GB"/>
        </w:rPr>
        <w:t xml:space="preserve"> to </w:t>
      </w:r>
      <w:r w:rsidR="00C92825">
        <w:rPr>
          <w:rFonts w:asciiTheme="minorHAnsi" w:hAnsiTheme="minorHAnsi"/>
          <w:sz w:val="24"/>
          <w:szCs w:val="24"/>
          <w:lang w:val="en-GB"/>
        </w:rPr>
        <w:t>be</w:t>
      </w:r>
      <w:r w:rsidR="00A61BCC" w:rsidRPr="00552C5F">
        <w:rPr>
          <w:rFonts w:asciiTheme="minorHAnsi" w:hAnsiTheme="minorHAnsi"/>
          <w:sz w:val="24"/>
          <w:szCs w:val="24"/>
          <w:lang w:val="en-GB"/>
        </w:rPr>
        <w:t xml:space="preserve"> less controversial (International Roaming; Calling Line Identification and Numbering Misuse; Charging and Accounting; Resolution 4 - Periodic review of the International Telecommunication Regulations).</w:t>
      </w:r>
    </w:p>
    <w:p w:rsidR="00CA3B50" w:rsidRPr="00552C5F" w:rsidRDefault="00CA3B50"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In addition to the </w:t>
      </w:r>
      <w:r w:rsidR="00C92825" w:rsidRPr="00552C5F">
        <w:rPr>
          <w:rFonts w:asciiTheme="minorHAnsi" w:hAnsiTheme="minorHAnsi"/>
          <w:sz w:val="24"/>
          <w:szCs w:val="24"/>
          <w:lang w:val="en-GB"/>
        </w:rPr>
        <w:t>contentious</w:t>
      </w:r>
      <w:r w:rsidRPr="00552C5F">
        <w:rPr>
          <w:rFonts w:asciiTheme="minorHAnsi" w:hAnsiTheme="minorHAnsi"/>
          <w:sz w:val="24"/>
          <w:szCs w:val="24"/>
          <w:lang w:val="en-GB"/>
        </w:rPr>
        <w:t xml:space="preserve"> topics </w:t>
      </w:r>
      <w:r w:rsidR="00DE788A" w:rsidRPr="00552C5F">
        <w:rPr>
          <w:rFonts w:asciiTheme="minorHAnsi" w:hAnsiTheme="minorHAnsi"/>
          <w:sz w:val="24"/>
          <w:szCs w:val="24"/>
          <w:lang w:val="en-GB"/>
        </w:rPr>
        <w:t xml:space="preserve">mentioned </w:t>
      </w:r>
      <w:r w:rsidRPr="00552C5F">
        <w:rPr>
          <w:rFonts w:asciiTheme="minorHAnsi" w:hAnsiTheme="minorHAnsi"/>
          <w:sz w:val="24"/>
          <w:szCs w:val="24"/>
          <w:lang w:val="en-GB"/>
        </w:rPr>
        <w:t>above,</w:t>
      </w:r>
      <w:r w:rsidR="00D7750B" w:rsidRPr="00552C5F">
        <w:rPr>
          <w:rFonts w:asciiTheme="minorHAnsi" w:hAnsiTheme="minorHAnsi"/>
          <w:sz w:val="24"/>
          <w:szCs w:val="24"/>
          <w:lang w:val="en-GB"/>
        </w:rPr>
        <w:t xml:space="preserve"> the European Commission in its preliminary assessment, concluded that the revised ITRs </w:t>
      </w:r>
      <w:r w:rsidR="00552C5F" w:rsidRPr="00552C5F">
        <w:rPr>
          <w:rFonts w:asciiTheme="minorHAnsi" w:hAnsiTheme="minorHAnsi"/>
          <w:sz w:val="24"/>
          <w:szCs w:val="24"/>
          <w:lang w:val="en-GB"/>
        </w:rPr>
        <w:t>were</w:t>
      </w:r>
      <w:r w:rsidR="00D7750B" w:rsidRPr="00552C5F">
        <w:rPr>
          <w:rFonts w:asciiTheme="minorHAnsi" w:hAnsiTheme="minorHAnsi"/>
          <w:sz w:val="24"/>
          <w:szCs w:val="24"/>
          <w:lang w:val="en-GB"/>
        </w:rPr>
        <w:t xml:space="preserve"> in conflict both with the Council decision of November 29 and with the EU’s </w:t>
      </w:r>
      <w:proofErr w:type="spellStart"/>
      <w:r w:rsidR="00D7750B" w:rsidRPr="00552C5F">
        <w:rPr>
          <w:rFonts w:asciiTheme="minorHAnsi" w:hAnsiTheme="minorHAnsi"/>
          <w:i/>
          <w:sz w:val="24"/>
          <w:szCs w:val="24"/>
          <w:lang w:val="en-GB"/>
        </w:rPr>
        <w:t>acquis</w:t>
      </w:r>
      <w:proofErr w:type="spellEnd"/>
      <w:r w:rsidR="00D7750B" w:rsidRPr="00552C5F">
        <w:rPr>
          <w:rFonts w:asciiTheme="minorHAnsi" w:hAnsiTheme="minorHAnsi"/>
          <w:i/>
          <w:sz w:val="24"/>
          <w:szCs w:val="24"/>
          <w:lang w:val="en-GB"/>
        </w:rPr>
        <w:t xml:space="preserve"> </w:t>
      </w:r>
      <w:proofErr w:type="spellStart"/>
      <w:r w:rsidR="00D7750B" w:rsidRPr="00552C5F">
        <w:rPr>
          <w:rFonts w:asciiTheme="minorHAnsi" w:hAnsiTheme="minorHAnsi"/>
          <w:i/>
          <w:sz w:val="24"/>
          <w:szCs w:val="24"/>
          <w:lang w:val="en-GB"/>
        </w:rPr>
        <w:t>communautaire</w:t>
      </w:r>
      <w:proofErr w:type="spellEnd"/>
      <w:r w:rsidR="00D7750B" w:rsidRPr="00552C5F">
        <w:rPr>
          <w:rFonts w:asciiTheme="minorHAnsi" w:hAnsiTheme="minorHAnsi"/>
          <w:sz w:val="24"/>
          <w:szCs w:val="24"/>
          <w:lang w:val="en-GB"/>
        </w:rPr>
        <w:t>.</w:t>
      </w:r>
      <w:r w:rsidR="0060379F" w:rsidRPr="00552C5F">
        <w:rPr>
          <w:rFonts w:asciiTheme="minorHAnsi" w:hAnsiTheme="minorHAnsi"/>
          <w:sz w:val="24"/>
          <w:szCs w:val="24"/>
          <w:lang w:val="en-GB"/>
        </w:rPr>
        <w:t xml:space="preserve"> </w:t>
      </w:r>
      <w:r w:rsidR="00986220" w:rsidRPr="00552C5F">
        <w:rPr>
          <w:rFonts w:asciiTheme="minorHAnsi" w:hAnsiTheme="minorHAnsi"/>
          <w:sz w:val="24"/>
          <w:szCs w:val="24"/>
          <w:lang w:val="en-GB"/>
        </w:rPr>
        <w:t>However, t</w:t>
      </w:r>
      <w:r w:rsidR="00986220" w:rsidRPr="00552C5F">
        <w:rPr>
          <w:rFonts w:asciiTheme="minorHAnsi" w:eastAsiaTheme="minorEastAsia" w:hAnsiTheme="minorHAnsi" w:cs="Calibri"/>
          <w:sz w:val="24"/>
          <w:szCs w:val="24"/>
          <w:lang w:val="en-GB" w:eastAsia="zh-CN"/>
        </w:rPr>
        <w:t xml:space="preserve">he European Union </w:t>
      </w:r>
      <w:r w:rsidR="00D42278" w:rsidRPr="00552C5F">
        <w:rPr>
          <w:rFonts w:asciiTheme="minorHAnsi" w:eastAsiaTheme="minorEastAsia" w:hAnsiTheme="minorHAnsi" w:cs="Calibri"/>
          <w:sz w:val="24"/>
          <w:szCs w:val="24"/>
          <w:lang w:val="en-GB" w:eastAsia="zh-CN"/>
        </w:rPr>
        <w:t>is conducting</w:t>
      </w:r>
      <w:r w:rsidR="00986220" w:rsidRPr="00552C5F">
        <w:rPr>
          <w:rFonts w:asciiTheme="minorHAnsi" w:eastAsiaTheme="minorEastAsia" w:hAnsiTheme="minorHAnsi" w:cs="Calibri"/>
          <w:sz w:val="24"/>
          <w:szCs w:val="24"/>
          <w:lang w:val="en-GB" w:eastAsia="zh-CN"/>
        </w:rPr>
        <w:t xml:space="preserve"> a legal analysis on possible conflicts between the WCIT Final Acts and the Council Decision of 29 November and the EU </w:t>
      </w:r>
      <w:proofErr w:type="spellStart"/>
      <w:r w:rsidR="00986220" w:rsidRPr="00552C5F">
        <w:rPr>
          <w:rFonts w:asciiTheme="minorHAnsi" w:eastAsiaTheme="minorEastAsia" w:hAnsiTheme="minorHAnsi" w:cs="Calibri"/>
          <w:sz w:val="24"/>
          <w:szCs w:val="24"/>
          <w:lang w:val="en-GB" w:eastAsia="zh-CN"/>
        </w:rPr>
        <w:t>acquis</w:t>
      </w:r>
      <w:proofErr w:type="spellEnd"/>
      <w:r w:rsidR="00986220" w:rsidRPr="00552C5F">
        <w:rPr>
          <w:rFonts w:asciiTheme="minorHAnsi" w:eastAsiaTheme="minorEastAsia" w:hAnsiTheme="minorHAnsi" w:cs="Calibri"/>
          <w:sz w:val="24"/>
          <w:szCs w:val="24"/>
          <w:lang w:val="en-GB" w:eastAsia="zh-CN"/>
        </w:rPr>
        <w:t>.</w:t>
      </w:r>
    </w:p>
    <w:p w:rsidR="00D7750B" w:rsidRPr="00552C5F" w:rsidRDefault="00D7750B" w:rsidP="00986220">
      <w:pPr>
        <w:spacing w:before="120"/>
        <w:jc w:val="both"/>
        <w:rPr>
          <w:rFonts w:asciiTheme="minorHAnsi" w:hAnsiTheme="minorHAnsi"/>
          <w:szCs w:val="24"/>
          <w:lang w:val="en-GB"/>
        </w:rPr>
      </w:pPr>
    </w:p>
    <w:p w:rsidR="00095B88" w:rsidRPr="00552C5F" w:rsidRDefault="00095B88" w:rsidP="00986220">
      <w:pPr>
        <w:spacing w:before="120"/>
        <w:rPr>
          <w:lang w:val="en-GB"/>
        </w:rPr>
      </w:pPr>
    </w:p>
    <w:p w:rsidR="00986220" w:rsidRPr="00552C5F" w:rsidRDefault="00986220" w:rsidP="00986220">
      <w:pPr>
        <w:spacing w:before="120"/>
        <w:rPr>
          <w:lang w:val="en-GB"/>
        </w:rPr>
      </w:pPr>
    </w:p>
    <w:p w:rsidR="00986220" w:rsidRPr="00552C5F" w:rsidRDefault="00986220" w:rsidP="00986220">
      <w:pPr>
        <w:spacing w:before="120"/>
        <w:rPr>
          <w:lang w:val="en-GB"/>
        </w:rPr>
      </w:pPr>
    </w:p>
    <w:p w:rsidR="00986220" w:rsidRPr="00552C5F" w:rsidRDefault="00986220" w:rsidP="00986220">
      <w:pPr>
        <w:spacing w:before="120"/>
        <w:rPr>
          <w:lang w:val="en-GB"/>
        </w:rPr>
      </w:pPr>
    </w:p>
    <w:p w:rsidR="00CA3B50" w:rsidRPr="00552C5F" w:rsidRDefault="00CA3B50" w:rsidP="00986220">
      <w:pPr>
        <w:spacing w:before="120"/>
        <w:rPr>
          <w:lang w:val="en-GB"/>
        </w:rPr>
      </w:pPr>
    </w:p>
    <w:p w:rsidR="00B6595E" w:rsidRPr="00552C5F" w:rsidRDefault="00B6595E" w:rsidP="00986220">
      <w:pPr>
        <w:pStyle w:val="Nagwek7"/>
        <w:tabs>
          <w:tab w:val="left" w:pos="1418"/>
        </w:tabs>
        <w:spacing w:before="120"/>
        <w:jc w:val="both"/>
        <w:rPr>
          <w:rFonts w:asciiTheme="minorHAnsi" w:hAnsiTheme="minorHAnsi"/>
          <w:szCs w:val="24"/>
          <w:lang w:val="en-GB"/>
        </w:rPr>
      </w:pPr>
      <w:r w:rsidRPr="00552C5F">
        <w:rPr>
          <w:rFonts w:asciiTheme="minorHAnsi" w:hAnsiTheme="minorHAnsi"/>
          <w:szCs w:val="24"/>
          <w:lang w:val="en-GB"/>
        </w:rPr>
        <w:t>Preparation to the WCIT-12</w:t>
      </w:r>
    </w:p>
    <w:p w:rsidR="00B6595E" w:rsidRPr="00552C5F" w:rsidRDefault="00B6595E" w:rsidP="00986220">
      <w:pPr>
        <w:pStyle w:val="En-tteencabezado"/>
        <w:spacing w:before="120"/>
        <w:jc w:val="both"/>
        <w:rPr>
          <w:rFonts w:asciiTheme="minorHAnsi" w:hAnsiTheme="minorHAnsi"/>
          <w:bCs/>
        </w:rPr>
      </w:pPr>
      <w:r w:rsidRPr="00552C5F">
        <w:rPr>
          <w:rFonts w:asciiTheme="minorHAnsi" w:hAnsiTheme="minorHAnsi"/>
          <w:bCs/>
        </w:rPr>
        <w:t xml:space="preserve">In advance of the Conference, Com-ITU during its several meetings worked hard to develop European Common Proposals (ECPs - </w:t>
      </w:r>
      <w:hyperlink r:id="rId8" w:history="1">
        <w:r w:rsidRPr="00552C5F">
          <w:rPr>
            <w:rStyle w:val="Hipercze"/>
            <w:rFonts w:asciiTheme="minorHAnsi" w:hAnsiTheme="minorHAnsi"/>
            <w:bCs/>
          </w:rPr>
          <w:t>http://www.cept.org/com-itu/deliverables</w:t>
        </w:r>
      </w:hyperlink>
      <w:r w:rsidRPr="00552C5F">
        <w:rPr>
          <w:rFonts w:asciiTheme="minorHAnsi" w:hAnsiTheme="minorHAnsi"/>
          <w:bCs/>
        </w:rPr>
        <w:t xml:space="preserve">) on changes to the International Telecommunications Regulations (ITRs). The ECPs were based on a set of guiding principles aiming to foster continued development of international telecommunications services, without overburdening the telecommunications sector with unnecessary and intrusive regulation.  </w:t>
      </w:r>
    </w:p>
    <w:p w:rsidR="00B6595E" w:rsidRPr="00552C5F" w:rsidRDefault="00B6595E" w:rsidP="00986220">
      <w:pPr>
        <w:pStyle w:val="En-tteencabezado"/>
        <w:spacing w:before="120"/>
        <w:jc w:val="both"/>
        <w:rPr>
          <w:rFonts w:asciiTheme="minorHAnsi" w:hAnsiTheme="minorHAnsi"/>
          <w:bCs/>
        </w:rPr>
      </w:pPr>
      <w:r w:rsidRPr="00552C5F">
        <w:rPr>
          <w:rFonts w:asciiTheme="minorHAnsi" w:hAnsiTheme="minorHAnsi"/>
          <w:bCs/>
        </w:rPr>
        <w:t>The most important guidelines were:</w:t>
      </w:r>
    </w:p>
    <w:p w:rsidR="00B6595E" w:rsidRPr="00552C5F" w:rsidRDefault="00B6595E" w:rsidP="00986220">
      <w:pPr>
        <w:pStyle w:val="En-tteencabezado"/>
        <w:numPr>
          <w:ilvl w:val="0"/>
          <w:numId w:val="9"/>
        </w:numPr>
        <w:spacing w:before="120"/>
        <w:jc w:val="both"/>
        <w:rPr>
          <w:rFonts w:asciiTheme="minorHAnsi" w:hAnsiTheme="minorHAnsi"/>
          <w:bCs/>
        </w:rPr>
      </w:pPr>
      <w:r w:rsidRPr="00552C5F">
        <w:rPr>
          <w:rFonts w:asciiTheme="minorHAnsi" w:hAnsiTheme="minorHAnsi"/>
          <w:bCs/>
        </w:rPr>
        <w:t>Criterion 1: As an International Treaty, the ITRs should address high level strategic and policy issues,</w:t>
      </w:r>
    </w:p>
    <w:p w:rsidR="00B6595E" w:rsidRPr="00552C5F" w:rsidRDefault="00B6595E" w:rsidP="00986220">
      <w:pPr>
        <w:pStyle w:val="En-tteencabezado"/>
        <w:numPr>
          <w:ilvl w:val="0"/>
          <w:numId w:val="9"/>
        </w:numPr>
        <w:spacing w:before="120"/>
        <w:jc w:val="both"/>
        <w:rPr>
          <w:rFonts w:asciiTheme="minorHAnsi" w:hAnsiTheme="minorHAnsi"/>
          <w:bCs/>
        </w:rPr>
      </w:pPr>
      <w:r w:rsidRPr="00552C5F">
        <w:rPr>
          <w:rFonts w:asciiTheme="minorHAnsi" w:hAnsiTheme="minorHAnsi"/>
          <w:bCs/>
        </w:rPr>
        <w:t>Criterion 2: Consistency with ITU Constitution, in particular the Preamble and Article 1,</w:t>
      </w:r>
    </w:p>
    <w:p w:rsidR="00B6595E" w:rsidRPr="00552C5F" w:rsidRDefault="00B6595E" w:rsidP="00986220">
      <w:pPr>
        <w:pStyle w:val="En-tteencabezado"/>
        <w:numPr>
          <w:ilvl w:val="0"/>
          <w:numId w:val="9"/>
        </w:numPr>
        <w:spacing w:before="120"/>
        <w:jc w:val="both"/>
        <w:rPr>
          <w:rFonts w:asciiTheme="minorHAnsi" w:hAnsiTheme="minorHAnsi"/>
          <w:bCs/>
        </w:rPr>
      </w:pPr>
      <w:r w:rsidRPr="00552C5F">
        <w:rPr>
          <w:rFonts w:asciiTheme="minorHAnsi" w:hAnsiTheme="minorHAnsi"/>
          <w:bCs/>
        </w:rPr>
        <w:t>Criterion 3: Consistency with International agreements / legislation adopted by CEPT members,</w:t>
      </w:r>
    </w:p>
    <w:p w:rsidR="00B6595E" w:rsidRPr="00552C5F" w:rsidRDefault="00B6595E" w:rsidP="00986220">
      <w:pPr>
        <w:pStyle w:val="En-tteencabezado"/>
        <w:numPr>
          <w:ilvl w:val="0"/>
          <w:numId w:val="9"/>
        </w:numPr>
        <w:spacing w:before="120"/>
        <w:jc w:val="both"/>
        <w:rPr>
          <w:rFonts w:asciiTheme="minorHAnsi" w:hAnsiTheme="minorHAnsi"/>
          <w:bCs/>
        </w:rPr>
      </w:pPr>
      <w:r w:rsidRPr="00552C5F">
        <w:rPr>
          <w:rFonts w:asciiTheme="minorHAnsi" w:hAnsiTheme="minorHAnsi"/>
          <w:bCs/>
        </w:rPr>
        <w:t>Criterion 4: Exclusion of Areas related to Member States' application of legal or policy principles which are within their sovereign rights,</w:t>
      </w:r>
    </w:p>
    <w:p w:rsidR="00B6595E" w:rsidRPr="00552C5F" w:rsidRDefault="00B6595E" w:rsidP="00986220">
      <w:pPr>
        <w:pStyle w:val="En-tteencabezado"/>
        <w:numPr>
          <w:ilvl w:val="0"/>
          <w:numId w:val="9"/>
        </w:numPr>
        <w:spacing w:before="120"/>
        <w:jc w:val="both"/>
        <w:rPr>
          <w:rFonts w:asciiTheme="minorHAnsi" w:hAnsiTheme="minorHAnsi"/>
          <w:bCs/>
        </w:rPr>
      </w:pPr>
      <w:r w:rsidRPr="00552C5F">
        <w:rPr>
          <w:rFonts w:asciiTheme="minorHAnsi" w:hAnsiTheme="minorHAnsi"/>
          <w:bCs/>
        </w:rPr>
        <w:t>Criterion 5: Exclusion of areas not related to the Purpose and Scope of the ITRs,</w:t>
      </w:r>
    </w:p>
    <w:p w:rsidR="00B6595E" w:rsidRPr="00552C5F" w:rsidRDefault="00B6595E" w:rsidP="00986220">
      <w:pPr>
        <w:pStyle w:val="En-tteencabezado"/>
        <w:spacing w:before="120"/>
        <w:jc w:val="both"/>
        <w:rPr>
          <w:rFonts w:asciiTheme="minorHAnsi" w:hAnsiTheme="minorHAnsi"/>
          <w:bCs/>
        </w:rPr>
      </w:pPr>
      <w:r w:rsidRPr="00552C5F">
        <w:rPr>
          <w:rFonts w:asciiTheme="minorHAnsi" w:hAnsiTheme="minorHAnsi"/>
          <w:bCs/>
        </w:rPr>
        <w:t>The invitation of the Com-ITU Chair to the European Commission initiated cooperation between the CEPT and the EU in preparations for the WCIT-12. Based on the decision of the Council of the EU</w:t>
      </w:r>
      <w:r w:rsidR="0028028C" w:rsidRPr="00552C5F">
        <w:rPr>
          <w:rFonts w:asciiTheme="minorHAnsi" w:hAnsiTheme="minorHAnsi"/>
          <w:bCs/>
        </w:rPr>
        <w:t xml:space="preserve"> (</w:t>
      </w:r>
      <w:r w:rsidR="0028028C" w:rsidRPr="00552C5F">
        <w:rPr>
          <w:rFonts w:asciiTheme="minorHAnsi" w:hAnsiTheme="minorHAnsi"/>
          <w:b/>
          <w:bCs/>
        </w:rPr>
        <w:t xml:space="preserve">Annex </w:t>
      </w:r>
      <w:r w:rsidR="00431AE6" w:rsidRPr="00552C5F">
        <w:rPr>
          <w:rFonts w:asciiTheme="minorHAnsi" w:hAnsiTheme="minorHAnsi"/>
          <w:b/>
          <w:bCs/>
        </w:rPr>
        <w:t>3</w:t>
      </w:r>
      <w:r w:rsidR="0028028C" w:rsidRPr="00552C5F">
        <w:rPr>
          <w:rFonts w:asciiTheme="minorHAnsi" w:hAnsiTheme="minorHAnsi"/>
          <w:bCs/>
        </w:rPr>
        <w:t>)</w:t>
      </w:r>
      <w:r w:rsidRPr="00552C5F">
        <w:rPr>
          <w:rFonts w:asciiTheme="minorHAnsi" w:hAnsiTheme="minorHAnsi"/>
          <w:bCs/>
        </w:rPr>
        <w:t xml:space="preserve">, the European Commission was involved in the preparatory process and in the Conference itself. The excellent cooperation between the Commission and the Presidency of the Council of the EU needs to be underlined as well as the excellent cooperation between the European Union and CEPT.  </w:t>
      </w:r>
    </w:p>
    <w:p w:rsidR="00CA3B50" w:rsidRPr="00552C5F" w:rsidRDefault="00CA3B50" w:rsidP="00986220">
      <w:pPr>
        <w:spacing w:before="120"/>
        <w:rPr>
          <w:lang w:val="en-GB"/>
        </w:rPr>
      </w:pPr>
    </w:p>
    <w:p w:rsidR="00CA3B50" w:rsidRPr="00552C5F" w:rsidRDefault="00CA3B50" w:rsidP="00986220">
      <w:pPr>
        <w:pStyle w:val="Nagwek7"/>
        <w:tabs>
          <w:tab w:val="left" w:pos="1418"/>
        </w:tabs>
        <w:spacing w:before="120"/>
        <w:jc w:val="both"/>
        <w:rPr>
          <w:rFonts w:asciiTheme="minorHAnsi" w:hAnsiTheme="minorHAnsi"/>
          <w:szCs w:val="24"/>
          <w:lang w:val="en-GB"/>
        </w:rPr>
      </w:pPr>
      <w:r w:rsidRPr="00552C5F">
        <w:rPr>
          <w:rFonts w:asciiTheme="minorHAnsi" w:hAnsiTheme="minorHAnsi"/>
          <w:szCs w:val="24"/>
          <w:lang w:val="en-GB"/>
        </w:rPr>
        <w:t>Opening of the Conference</w:t>
      </w:r>
    </w:p>
    <w:p w:rsidR="00CA3B50" w:rsidRPr="00552C5F" w:rsidRDefault="00B41AB0"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T</w:t>
      </w:r>
      <w:r w:rsidR="00DE788A" w:rsidRPr="00552C5F">
        <w:rPr>
          <w:rFonts w:asciiTheme="minorHAnsi" w:hAnsiTheme="minorHAnsi"/>
          <w:sz w:val="24"/>
          <w:szCs w:val="24"/>
          <w:lang w:val="en-GB"/>
        </w:rPr>
        <w:t>he</w:t>
      </w:r>
      <w:r w:rsidR="00CA3B50" w:rsidRPr="00552C5F">
        <w:rPr>
          <w:rFonts w:asciiTheme="minorHAnsi" w:hAnsiTheme="minorHAnsi"/>
          <w:sz w:val="24"/>
          <w:szCs w:val="24"/>
          <w:lang w:val="en-GB"/>
        </w:rPr>
        <w:t xml:space="preserve"> World Conference on International Telecommunication – WCIT-12 </w:t>
      </w:r>
      <w:r w:rsidRPr="00552C5F">
        <w:rPr>
          <w:rFonts w:asciiTheme="minorHAnsi" w:hAnsiTheme="minorHAnsi"/>
          <w:sz w:val="24"/>
          <w:szCs w:val="24"/>
          <w:lang w:val="en-GB"/>
        </w:rPr>
        <w:t>–</w:t>
      </w:r>
      <w:r w:rsidR="00CA3B50" w:rsidRPr="00552C5F">
        <w:rPr>
          <w:rFonts w:asciiTheme="minorHAnsi" w:hAnsiTheme="minorHAnsi"/>
          <w:sz w:val="24"/>
          <w:szCs w:val="24"/>
          <w:lang w:val="en-GB"/>
        </w:rPr>
        <w:t xml:space="preserve"> </w:t>
      </w:r>
      <w:r w:rsidRPr="00552C5F">
        <w:rPr>
          <w:rFonts w:asciiTheme="minorHAnsi" w:hAnsiTheme="minorHAnsi"/>
          <w:sz w:val="24"/>
          <w:szCs w:val="24"/>
          <w:lang w:val="en-GB"/>
        </w:rPr>
        <w:t>took place in</w:t>
      </w:r>
      <w:r w:rsidR="00CA3B50" w:rsidRPr="00552C5F">
        <w:rPr>
          <w:rFonts w:asciiTheme="minorHAnsi" w:hAnsiTheme="minorHAnsi"/>
          <w:sz w:val="24"/>
          <w:szCs w:val="24"/>
          <w:lang w:val="en-GB"/>
        </w:rPr>
        <w:t xml:space="preserve"> Dubai, </w:t>
      </w:r>
      <w:r w:rsidRPr="00552C5F">
        <w:rPr>
          <w:rFonts w:asciiTheme="minorHAnsi" w:hAnsiTheme="minorHAnsi"/>
          <w:sz w:val="24"/>
          <w:szCs w:val="24"/>
          <w:lang w:val="en-GB"/>
        </w:rPr>
        <w:t>from</w:t>
      </w:r>
      <w:r w:rsidR="00CA3B50" w:rsidRPr="00552C5F">
        <w:rPr>
          <w:rFonts w:asciiTheme="minorHAnsi" w:hAnsiTheme="minorHAnsi"/>
          <w:sz w:val="24"/>
          <w:szCs w:val="24"/>
          <w:lang w:val="en-GB"/>
        </w:rPr>
        <w:t xml:space="preserve"> 3 </w:t>
      </w:r>
      <w:r w:rsidRPr="00552C5F">
        <w:rPr>
          <w:rFonts w:asciiTheme="minorHAnsi" w:hAnsiTheme="minorHAnsi"/>
          <w:sz w:val="24"/>
          <w:szCs w:val="24"/>
          <w:lang w:val="en-GB"/>
        </w:rPr>
        <w:t>to</w:t>
      </w:r>
      <w:r w:rsidR="00CA3B50" w:rsidRPr="00552C5F">
        <w:rPr>
          <w:rFonts w:asciiTheme="minorHAnsi" w:hAnsiTheme="minorHAnsi"/>
          <w:sz w:val="24"/>
          <w:szCs w:val="24"/>
          <w:lang w:val="en-GB"/>
        </w:rPr>
        <w:t xml:space="preserve"> 14 </w:t>
      </w:r>
      <w:r w:rsidRPr="00552C5F">
        <w:rPr>
          <w:rFonts w:asciiTheme="minorHAnsi" w:hAnsiTheme="minorHAnsi"/>
          <w:sz w:val="24"/>
          <w:szCs w:val="24"/>
          <w:lang w:val="en-GB"/>
        </w:rPr>
        <w:t>December 2012</w:t>
      </w:r>
      <w:r w:rsidR="006F4B84" w:rsidRPr="00552C5F">
        <w:rPr>
          <w:rFonts w:asciiTheme="minorHAnsi" w:hAnsiTheme="minorHAnsi"/>
          <w:sz w:val="24"/>
          <w:szCs w:val="24"/>
          <w:lang w:val="en-GB"/>
        </w:rPr>
        <w:t xml:space="preserve">, and it was attended by </w:t>
      </w:r>
      <w:r w:rsidRPr="00552C5F">
        <w:rPr>
          <w:rFonts w:asciiTheme="minorHAnsi" w:hAnsiTheme="minorHAnsi"/>
          <w:sz w:val="24"/>
          <w:szCs w:val="24"/>
          <w:lang w:val="en-GB"/>
        </w:rPr>
        <w:t>1581 delegates and 151 Member States</w:t>
      </w:r>
      <w:r w:rsidR="00CA3B50" w:rsidRPr="00552C5F">
        <w:rPr>
          <w:rFonts w:asciiTheme="minorHAnsi" w:hAnsiTheme="minorHAnsi"/>
          <w:sz w:val="24"/>
          <w:szCs w:val="24"/>
          <w:lang w:val="en-GB"/>
        </w:rPr>
        <w:t xml:space="preserve">. </w:t>
      </w:r>
    </w:p>
    <w:p w:rsidR="000E207C" w:rsidRPr="00552C5F" w:rsidRDefault="006F4B84" w:rsidP="00986220">
      <w:pPr>
        <w:spacing w:before="120"/>
        <w:jc w:val="both"/>
        <w:rPr>
          <w:rFonts w:asciiTheme="minorHAnsi" w:hAnsiTheme="minorHAnsi"/>
          <w:sz w:val="24"/>
          <w:szCs w:val="24"/>
          <w:lang w:val="en-GB" w:eastAsia="zh-CN"/>
        </w:rPr>
      </w:pPr>
      <w:r w:rsidRPr="00552C5F">
        <w:rPr>
          <w:rFonts w:asciiTheme="minorHAnsi" w:hAnsiTheme="minorHAnsi"/>
          <w:sz w:val="24"/>
          <w:szCs w:val="24"/>
          <w:lang w:val="en-GB"/>
        </w:rPr>
        <w:t xml:space="preserve">In </w:t>
      </w:r>
      <w:r w:rsidR="002C11CA">
        <w:rPr>
          <w:rFonts w:asciiTheme="minorHAnsi" w:hAnsiTheme="minorHAnsi"/>
          <w:sz w:val="24"/>
          <w:szCs w:val="24"/>
          <w:lang w:val="en-GB"/>
        </w:rPr>
        <w:t>his</w:t>
      </w:r>
      <w:r w:rsidRPr="00552C5F">
        <w:rPr>
          <w:rFonts w:asciiTheme="minorHAnsi" w:hAnsiTheme="minorHAnsi"/>
          <w:sz w:val="24"/>
          <w:szCs w:val="24"/>
          <w:lang w:val="en-GB"/>
        </w:rPr>
        <w:t xml:space="preserve"> opening speech, the ITU Secretary General</w:t>
      </w:r>
      <w:r w:rsidR="00CA3B50" w:rsidRPr="00552C5F">
        <w:rPr>
          <w:rFonts w:asciiTheme="minorHAnsi" w:hAnsiTheme="minorHAnsi"/>
          <w:sz w:val="24"/>
          <w:szCs w:val="24"/>
          <w:lang w:val="en-GB"/>
        </w:rPr>
        <w:t xml:space="preserve">, Dr. </w:t>
      </w:r>
      <w:proofErr w:type="spellStart"/>
      <w:r w:rsidR="00CA3B50" w:rsidRPr="00552C5F">
        <w:rPr>
          <w:rFonts w:asciiTheme="minorHAnsi" w:hAnsiTheme="minorHAnsi"/>
          <w:sz w:val="24"/>
          <w:szCs w:val="24"/>
          <w:lang w:val="en-GB"/>
        </w:rPr>
        <w:t>Hamadoun</w:t>
      </w:r>
      <w:proofErr w:type="spellEnd"/>
      <w:r w:rsidR="00CA3B50" w:rsidRPr="00552C5F">
        <w:rPr>
          <w:rFonts w:asciiTheme="minorHAnsi" w:hAnsiTheme="minorHAnsi"/>
          <w:sz w:val="24"/>
          <w:szCs w:val="24"/>
          <w:lang w:val="en-GB"/>
        </w:rPr>
        <w:t xml:space="preserve"> </w:t>
      </w:r>
      <w:proofErr w:type="spellStart"/>
      <w:r w:rsidR="00CA3B50" w:rsidRPr="00552C5F">
        <w:rPr>
          <w:rFonts w:asciiTheme="minorHAnsi" w:hAnsiTheme="minorHAnsi"/>
          <w:sz w:val="24"/>
          <w:szCs w:val="24"/>
          <w:lang w:val="en-GB"/>
        </w:rPr>
        <w:t>Touré</w:t>
      </w:r>
      <w:proofErr w:type="spellEnd"/>
      <w:r w:rsidR="00CA3B50" w:rsidRPr="00552C5F">
        <w:rPr>
          <w:rFonts w:asciiTheme="minorHAnsi" w:hAnsiTheme="minorHAnsi"/>
          <w:sz w:val="24"/>
          <w:szCs w:val="24"/>
          <w:lang w:val="en-GB"/>
        </w:rPr>
        <w:t xml:space="preserve">, </w:t>
      </w:r>
      <w:r w:rsidRPr="00552C5F">
        <w:rPr>
          <w:rFonts w:asciiTheme="minorHAnsi" w:hAnsiTheme="minorHAnsi"/>
          <w:sz w:val="24"/>
          <w:szCs w:val="24"/>
          <w:lang w:val="en-GB"/>
        </w:rPr>
        <w:t xml:space="preserve">has </w:t>
      </w:r>
      <w:r w:rsidR="000E207C" w:rsidRPr="00552C5F">
        <w:rPr>
          <w:rFonts w:asciiTheme="minorHAnsi" w:hAnsiTheme="minorHAnsi"/>
          <w:sz w:val="24"/>
          <w:szCs w:val="24"/>
          <w:lang w:val="en-GB"/>
        </w:rPr>
        <w:t xml:space="preserve">identified a number of topics to be discussed in Dubai, such as: </w:t>
      </w:r>
      <w:r w:rsidR="002C11CA">
        <w:rPr>
          <w:rFonts w:asciiTheme="minorHAnsi" w:hAnsiTheme="minorHAnsi"/>
          <w:sz w:val="24"/>
          <w:szCs w:val="24"/>
          <w:lang w:val="en-GB" w:eastAsia="zh-CN"/>
        </w:rPr>
        <w:t>b</w:t>
      </w:r>
      <w:r w:rsidR="000E207C" w:rsidRPr="00552C5F">
        <w:rPr>
          <w:rFonts w:asciiTheme="minorHAnsi" w:hAnsiTheme="minorHAnsi"/>
          <w:sz w:val="24"/>
          <w:szCs w:val="24"/>
          <w:lang w:val="en-GB" w:eastAsia="zh-CN"/>
        </w:rPr>
        <w:t>roadband investment</w:t>
      </w:r>
      <w:r w:rsidR="002C11CA">
        <w:rPr>
          <w:rFonts w:asciiTheme="minorHAnsi" w:hAnsiTheme="minorHAnsi"/>
          <w:sz w:val="24"/>
          <w:szCs w:val="24"/>
          <w:lang w:val="en-GB" w:eastAsia="zh-CN"/>
        </w:rPr>
        <w:t>s</w:t>
      </w:r>
      <w:r w:rsidR="000E207C" w:rsidRPr="00552C5F">
        <w:rPr>
          <w:rFonts w:asciiTheme="minorHAnsi" w:hAnsiTheme="minorHAnsi"/>
          <w:sz w:val="24"/>
          <w:szCs w:val="24"/>
          <w:lang w:val="en-GB" w:eastAsia="zh-CN"/>
        </w:rPr>
        <w:t xml:space="preserve"> (to ensure that there is sufficient infrastructure to handle massively increasing demand for bandwidth), spam, </w:t>
      </w:r>
      <w:r w:rsidR="00D42278" w:rsidRPr="00552C5F">
        <w:rPr>
          <w:rFonts w:asciiTheme="minorHAnsi" w:hAnsiTheme="minorHAnsi"/>
          <w:sz w:val="24"/>
          <w:szCs w:val="24"/>
          <w:lang w:val="en-GB" w:eastAsia="zh-CN"/>
        </w:rPr>
        <w:t>n</w:t>
      </w:r>
      <w:r w:rsidR="000E207C" w:rsidRPr="00552C5F">
        <w:rPr>
          <w:rFonts w:asciiTheme="minorHAnsi" w:hAnsiTheme="minorHAnsi"/>
          <w:sz w:val="24"/>
          <w:szCs w:val="24"/>
          <w:lang w:val="en-GB" w:eastAsia="zh-CN"/>
        </w:rPr>
        <w:t xml:space="preserve">umber misuse, </w:t>
      </w:r>
      <w:r w:rsidR="00D42278" w:rsidRPr="00552C5F">
        <w:rPr>
          <w:rFonts w:asciiTheme="minorHAnsi" w:hAnsiTheme="minorHAnsi"/>
          <w:sz w:val="24"/>
          <w:szCs w:val="24"/>
          <w:lang w:val="en-GB" w:eastAsia="zh-CN"/>
        </w:rPr>
        <w:t>r</w:t>
      </w:r>
      <w:r w:rsidR="000E207C" w:rsidRPr="00552C5F">
        <w:rPr>
          <w:rFonts w:asciiTheme="minorHAnsi" w:hAnsiTheme="minorHAnsi"/>
          <w:sz w:val="24"/>
          <w:szCs w:val="24"/>
          <w:lang w:val="en-GB" w:eastAsia="zh-CN"/>
        </w:rPr>
        <w:t xml:space="preserve">oaming, </w:t>
      </w:r>
      <w:r w:rsidR="00D42278" w:rsidRPr="00552C5F">
        <w:rPr>
          <w:rFonts w:asciiTheme="minorHAnsi" w:hAnsiTheme="minorHAnsi"/>
          <w:sz w:val="24"/>
          <w:szCs w:val="24"/>
          <w:lang w:val="en-GB" w:eastAsia="zh-CN"/>
        </w:rPr>
        <w:t>p</w:t>
      </w:r>
      <w:r w:rsidR="000E207C" w:rsidRPr="00552C5F">
        <w:rPr>
          <w:rFonts w:asciiTheme="minorHAnsi" w:hAnsiTheme="minorHAnsi"/>
          <w:sz w:val="24"/>
          <w:szCs w:val="24"/>
          <w:lang w:val="en-GB" w:eastAsia="zh-CN"/>
        </w:rPr>
        <w:t>rice transparency, fostering of competitive and liberalized telecommunications markets and freedom of expression</w:t>
      </w:r>
      <w:r w:rsidR="00F529D8" w:rsidRPr="00552C5F">
        <w:rPr>
          <w:rFonts w:asciiTheme="minorHAnsi" w:hAnsiTheme="minorHAnsi"/>
          <w:sz w:val="24"/>
          <w:szCs w:val="24"/>
          <w:lang w:val="en-GB" w:eastAsia="zh-CN"/>
        </w:rPr>
        <w:t>.</w:t>
      </w:r>
    </w:p>
    <w:p w:rsidR="000E207C" w:rsidRPr="00552C5F" w:rsidRDefault="002C11CA" w:rsidP="00986220">
      <w:pPr>
        <w:spacing w:before="120"/>
        <w:jc w:val="both"/>
        <w:rPr>
          <w:rFonts w:asciiTheme="minorHAnsi" w:hAnsiTheme="minorHAnsi"/>
          <w:sz w:val="24"/>
          <w:szCs w:val="24"/>
          <w:lang w:val="en-GB"/>
        </w:rPr>
      </w:pPr>
      <w:r>
        <w:rPr>
          <w:rFonts w:asciiTheme="minorHAnsi" w:hAnsiTheme="minorHAnsi"/>
          <w:sz w:val="24"/>
          <w:szCs w:val="24"/>
          <w:lang w:val="en-GB"/>
        </w:rPr>
        <w:t>During</w:t>
      </w:r>
      <w:r w:rsidR="000E207C" w:rsidRPr="00552C5F">
        <w:rPr>
          <w:rFonts w:asciiTheme="minorHAnsi" w:hAnsiTheme="minorHAnsi"/>
          <w:sz w:val="24"/>
          <w:szCs w:val="24"/>
          <w:lang w:val="en-GB"/>
        </w:rPr>
        <w:t xml:space="preserve"> the opening ceremony</w:t>
      </w:r>
      <w:r>
        <w:rPr>
          <w:rFonts w:asciiTheme="minorHAnsi" w:hAnsiTheme="minorHAnsi"/>
          <w:sz w:val="24"/>
          <w:szCs w:val="24"/>
          <w:lang w:val="en-GB"/>
        </w:rPr>
        <w:t>,</w:t>
      </w:r>
      <w:r w:rsidR="000E207C" w:rsidRPr="00552C5F">
        <w:rPr>
          <w:rFonts w:asciiTheme="minorHAnsi" w:hAnsiTheme="minorHAnsi"/>
          <w:sz w:val="24"/>
          <w:szCs w:val="24"/>
          <w:lang w:val="en-GB"/>
        </w:rPr>
        <w:t xml:space="preserve"> Mr </w:t>
      </w:r>
      <w:proofErr w:type="spellStart"/>
      <w:r w:rsidR="000E207C" w:rsidRPr="00552C5F">
        <w:rPr>
          <w:rFonts w:asciiTheme="minorHAnsi" w:hAnsiTheme="minorHAnsi"/>
          <w:sz w:val="24"/>
          <w:szCs w:val="24"/>
          <w:lang w:val="en-GB"/>
        </w:rPr>
        <w:t>Fadi</w:t>
      </w:r>
      <w:proofErr w:type="spellEnd"/>
      <w:r w:rsidR="000E207C" w:rsidRPr="00552C5F">
        <w:rPr>
          <w:rFonts w:asciiTheme="minorHAnsi" w:hAnsiTheme="minorHAnsi"/>
          <w:sz w:val="24"/>
          <w:szCs w:val="24"/>
          <w:lang w:val="en-GB"/>
        </w:rPr>
        <w:t xml:space="preserve"> </w:t>
      </w:r>
      <w:proofErr w:type="spellStart"/>
      <w:r w:rsidR="000E207C" w:rsidRPr="00552C5F">
        <w:rPr>
          <w:rFonts w:asciiTheme="minorHAnsi" w:hAnsiTheme="minorHAnsi"/>
          <w:sz w:val="24"/>
          <w:szCs w:val="24"/>
          <w:lang w:val="en-GB"/>
        </w:rPr>
        <w:t>Chehadé</w:t>
      </w:r>
      <w:proofErr w:type="spellEnd"/>
      <w:r w:rsidR="000E207C" w:rsidRPr="00552C5F">
        <w:rPr>
          <w:rFonts w:asciiTheme="minorHAnsi" w:hAnsiTheme="minorHAnsi"/>
          <w:sz w:val="24"/>
          <w:szCs w:val="24"/>
          <w:lang w:val="en-GB"/>
        </w:rPr>
        <w:t xml:space="preserve">, President </w:t>
      </w:r>
      <w:r w:rsidR="000418DE" w:rsidRPr="00552C5F">
        <w:rPr>
          <w:rFonts w:asciiTheme="minorHAnsi" w:hAnsiTheme="minorHAnsi"/>
          <w:sz w:val="24"/>
          <w:szCs w:val="24"/>
          <w:lang w:val="en-GB"/>
        </w:rPr>
        <w:t>and</w:t>
      </w:r>
      <w:r w:rsidR="000E207C" w:rsidRPr="00552C5F">
        <w:rPr>
          <w:rFonts w:asciiTheme="minorHAnsi" w:hAnsiTheme="minorHAnsi"/>
          <w:sz w:val="24"/>
          <w:szCs w:val="24"/>
          <w:lang w:val="en-GB"/>
        </w:rPr>
        <w:t xml:space="preserve"> CEO of ICANN</w:t>
      </w:r>
      <w:r w:rsidR="000418DE" w:rsidRPr="00552C5F">
        <w:rPr>
          <w:rFonts w:asciiTheme="minorHAnsi" w:hAnsiTheme="minorHAnsi"/>
          <w:sz w:val="24"/>
          <w:szCs w:val="24"/>
          <w:lang w:val="en-GB"/>
        </w:rPr>
        <w:t>,</w:t>
      </w:r>
      <w:r w:rsidR="000E207C" w:rsidRPr="00552C5F">
        <w:rPr>
          <w:rFonts w:asciiTheme="minorHAnsi" w:hAnsiTheme="minorHAnsi"/>
          <w:sz w:val="24"/>
          <w:szCs w:val="24"/>
          <w:lang w:val="en-GB"/>
        </w:rPr>
        <w:t xml:space="preserve"> mentioned that a new season for cooper</w:t>
      </w:r>
      <w:r w:rsidR="000418DE" w:rsidRPr="00552C5F">
        <w:rPr>
          <w:rFonts w:asciiTheme="minorHAnsi" w:hAnsiTheme="minorHAnsi"/>
          <w:sz w:val="24"/>
          <w:szCs w:val="24"/>
          <w:lang w:val="en-GB"/>
        </w:rPr>
        <w:t>ation between ICANN and ITU</w:t>
      </w:r>
      <w:r w:rsidR="000E207C" w:rsidRPr="00552C5F">
        <w:rPr>
          <w:rFonts w:asciiTheme="minorHAnsi" w:hAnsiTheme="minorHAnsi"/>
          <w:sz w:val="24"/>
          <w:szCs w:val="24"/>
          <w:lang w:val="en-GB"/>
        </w:rPr>
        <w:t xml:space="preserve"> </w:t>
      </w:r>
      <w:r w:rsidR="00D42278" w:rsidRPr="00552C5F">
        <w:rPr>
          <w:rFonts w:asciiTheme="minorHAnsi" w:hAnsiTheme="minorHAnsi"/>
          <w:sz w:val="24"/>
          <w:szCs w:val="24"/>
          <w:lang w:val="en-GB"/>
        </w:rPr>
        <w:t xml:space="preserve">had </w:t>
      </w:r>
      <w:r w:rsidR="000E207C" w:rsidRPr="00552C5F">
        <w:rPr>
          <w:rFonts w:asciiTheme="minorHAnsi" w:hAnsiTheme="minorHAnsi"/>
          <w:sz w:val="24"/>
          <w:szCs w:val="24"/>
          <w:lang w:val="en-GB"/>
        </w:rPr>
        <w:t>started</w:t>
      </w:r>
      <w:r>
        <w:rPr>
          <w:rFonts w:asciiTheme="minorHAnsi" w:hAnsiTheme="minorHAnsi"/>
          <w:sz w:val="24"/>
          <w:szCs w:val="24"/>
          <w:lang w:val="en-GB"/>
        </w:rPr>
        <w:t xml:space="preserve"> at the meeting with d</w:t>
      </w:r>
      <w:r w:rsidR="000E207C" w:rsidRPr="00552C5F">
        <w:rPr>
          <w:rFonts w:asciiTheme="minorHAnsi" w:hAnsiTheme="minorHAnsi"/>
          <w:sz w:val="24"/>
          <w:szCs w:val="24"/>
          <w:lang w:val="en-GB"/>
        </w:rPr>
        <w:t xml:space="preserve">r. </w:t>
      </w:r>
      <w:proofErr w:type="spellStart"/>
      <w:r w:rsidR="000E207C" w:rsidRPr="00552C5F">
        <w:rPr>
          <w:rFonts w:asciiTheme="minorHAnsi" w:hAnsiTheme="minorHAnsi"/>
          <w:sz w:val="24"/>
          <w:szCs w:val="24"/>
          <w:lang w:val="en-GB"/>
        </w:rPr>
        <w:t>Touré</w:t>
      </w:r>
      <w:proofErr w:type="spellEnd"/>
      <w:r w:rsidR="000E207C" w:rsidRPr="00552C5F">
        <w:rPr>
          <w:rFonts w:asciiTheme="minorHAnsi" w:hAnsiTheme="minorHAnsi"/>
          <w:sz w:val="24"/>
          <w:szCs w:val="24"/>
          <w:lang w:val="en-GB"/>
        </w:rPr>
        <w:t xml:space="preserve"> </w:t>
      </w:r>
      <w:r>
        <w:rPr>
          <w:rFonts w:asciiTheme="minorHAnsi" w:hAnsiTheme="minorHAnsi"/>
          <w:sz w:val="24"/>
          <w:szCs w:val="24"/>
          <w:lang w:val="en-GB"/>
        </w:rPr>
        <w:t>during</w:t>
      </w:r>
      <w:r w:rsidR="000E207C" w:rsidRPr="00552C5F">
        <w:rPr>
          <w:rFonts w:asciiTheme="minorHAnsi" w:hAnsiTheme="minorHAnsi"/>
          <w:sz w:val="24"/>
          <w:szCs w:val="24"/>
          <w:lang w:val="en-GB"/>
        </w:rPr>
        <w:t xml:space="preserve"> the IGF</w:t>
      </w:r>
      <w:r>
        <w:rPr>
          <w:rFonts w:asciiTheme="minorHAnsi" w:hAnsiTheme="minorHAnsi"/>
          <w:sz w:val="24"/>
          <w:szCs w:val="24"/>
          <w:lang w:val="en-GB"/>
        </w:rPr>
        <w:t xml:space="preserve">. </w:t>
      </w:r>
      <w:r w:rsidR="000E207C" w:rsidRPr="00552C5F">
        <w:rPr>
          <w:rFonts w:asciiTheme="minorHAnsi" w:hAnsiTheme="minorHAnsi"/>
          <w:sz w:val="24"/>
          <w:szCs w:val="24"/>
          <w:lang w:val="en-GB"/>
        </w:rPr>
        <w:t xml:space="preserve"> </w:t>
      </w:r>
      <w:r>
        <w:rPr>
          <w:rFonts w:asciiTheme="minorHAnsi" w:hAnsiTheme="minorHAnsi"/>
          <w:sz w:val="24"/>
          <w:szCs w:val="24"/>
          <w:lang w:val="en-GB"/>
        </w:rPr>
        <w:t xml:space="preserve">The </w:t>
      </w:r>
      <w:r w:rsidRPr="00552C5F">
        <w:rPr>
          <w:rFonts w:asciiTheme="minorHAnsi" w:hAnsiTheme="minorHAnsi"/>
          <w:sz w:val="24"/>
          <w:szCs w:val="24"/>
          <w:lang w:val="en-GB"/>
        </w:rPr>
        <w:t>complementary roles</w:t>
      </w:r>
      <w:r>
        <w:rPr>
          <w:rFonts w:asciiTheme="minorHAnsi" w:hAnsiTheme="minorHAnsi"/>
          <w:sz w:val="24"/>
          <w:szCs w:val="24"/>
          <w:lang w:val="en-GB"/>
        </w:rPr>
        <w:t xml:space="preserve"> of ITU and ICANN have been underlined.</w:t>
      </w:r>
      <w:r w:rsidR="000E207C" w:rsidRPr="00552C5F">
        <w:rPr>
          <w:rFonts w:asciiTheme="minorHAnsi" w:hAnsiTheme="minorHAnsi"/>
          <w:sz w:val="24"/>
          <w:szCs w:val="24"/>
          <w:lang w:val="en-GB"/>
        </w:rPr>
        <w:t xml:space="preserve"> </w:t>
      </w:r>
    </w:p>
    <w:p w:rsidR="00A9338D" w:rsidRPr="00552C5F" w:rsidRDefault="000659FA" w:rsidP="00986220">
      <w:pPr>
        <w:tabs>
          <w:tab w:val="center" w:pos="8222"/>
        </w:tabs>
        <w:spacing w:before="120"/>
        <w:jc w:val="both"/>
        <w:rPr>
          <w:rFonts w:asciiTheme="minorHAnsi" w:hAnsiTheme="minorHAnsi"/>
          <w:sz w:val="24"/>
          <w:szCs w:val="24"/>
          <w:lang w:val="en-GB"/>
        </w:rPr>
      </w:pPr>
      <w:hyperlink r:id="rId9" w:history="1">
        <w:r w:rsidR="000418DE" w:rsidRPr="00552C5F">
          <w:rPr>
            <w:rFonts w:asciiTheme="minorHAnsi" w:hAnsiTheme="minorHAnsi"/>
            <w:sz w:val="24"/>
            <w:szCs w:val="24"/>
            <w:lang w:val="en-GB"/>
          </w:rPr>
          <w:t>Ban Ki-moon,</w:t>
        </w:r>
        <w:r w:rsidR="002C11CA">
          <w:rPr>
            <w:rFonts w:asciiTheme="minorHAnsi" w:hAnsiTheme="minorHAnsi"/>
            <w:sz w:val="24"/>
            <w:szCs w:val="24"/>
            <w:lang w:val="en-GB"/>
          </w:rPr>
          <w:t xml:space="preserve"> the</w:t>
        </w:r>
        <w:r w:rsidR="000418DE" w:rsidRPr="00552C5F">
          <w:rPr>
            <w:rFonts w:asciiTheme="minorHAnsi" w:hAnsiTheme="minorHAnsi"/>
            <w:sz w:val="24"/>
            <w:szCs w:val="24"/>
            <w:lang w:val="en-GB"/>
          </w:rPr>
          <w:t xml:space="preserve"> UN Secretary-General</w:t>
        </w:r>
      </w:hyperlink>
      <w:r w:rsidR="002C11CA">
        <w:rPr>
          <w:rFonts w:asciiTheme="minorHAnsi" w:hAnsiTheme="minorHAnsi"/>
          <w:sz w:val="24"/>
          <w:szCs w:val="24"/>
          <w:lang w:val="en-GB"/>
        </w:rPr>
        <w:t xml:space="preserve"> (through v</w:t>
      </w:r>
      <w:r w:rsidR="000418DE" w:rsidRPr="00552C5F">
        <w:rPr>
          <w:rFonts w:asciiTheme="minorHAnsi" w:hAnsiTheme="minorHAnsi"/>
          <w:sz w:val="24"/>
          <w:szCs w:val="24"/>
          <w:lang w:val="en-GB"/>
        </w:rPr>
        <w:t xml:space="preserve">ideoconference) and Mohammed Mohamed Al </w:t>
      </w:r>
      <w:proofErr w:type="spellStart"/>
      <w:r w:rsidR="000418DE" w:rsidRPr="00552C5F">
        <w:rPr>
          <w:rFonts w:asciiTheme="minorHAnsi" w:hAnsiTheme="minorHAnsi"/>
          <w:sz w:val="24"/>
          <w:szCs w:val="24"/>
          <w:lang w:val="en-GB"/>
        </w:rPr>
        <w:t>Ghanim</w:t>
      </w:r>
      <w:proofErr w:type="spellEnd"/>
      <w:r w:rsidR="00B75EF6" w:rsidRPr="00552C5F">
        <w:rPr>
          <w:rFonts w:asciiTheme="minorHAnsi" w:hAnsiTheme="minorHAnsi"/>
          <w:sz w:val="24"/>
          <w:szCs w:val="24"/>
          <w:lang w:val="en-GB"/>
        </w:rPr>
        <w:t>, WCIT-12 Chair,</w:t>
      </w:r>
      <w:r w:rsidR="000418DE" w:rsidRPr="00552C5F">
        <w:rPr>
          <w:rFonts w:asciiTheme="minorHAnsi" w:hAnsiTheme="minorHAnsi"/>
          <w:sz w:val="24"/>
          <w:szCs w:val="24"/>
          <w:lang w:val="en-GB"/>
        </w:rPr>
        <w:t xml:space="preserve"> also delivered speeches at the opening ceremony.</w:t>
      </w:r>
    </w:p>
    <w:p w:rsidR="000418DE" w:rsidRPr="00552C5F" w:rsidRDefault="000418DE" w:rsidP="00986220">
      <w:pPr>
        <w:tabs>
          <w:tab w:val="center" w:pos="8222"/>
        </w:tabs>
        <w:spacing w:before="120"/>
        <w:jc w:val="both"/>
        <w:rPr>
          <w:rFonts w:asciiTheme="minorHAnsi" w:hAnsiTheme="minorHAnsi"/>
          <w:lang w:val="en-GB"/>
        </w:rPr>
      </w:pPr>
    </w:p>
    <w:p w:rsidR="00CA3B50" w:rsidRPr="00552C5F" w:rsidRDefault="00CA3B50" w:rsidP="00986220">
      <w:pPr>
        <w:pStyle w:val="Nagwek7"/>
        <w:tabs>
          <w:tab w:val="left" w:pos="1418"/>
        </w:tabs>
        <w:spacing w:before="120"/>
        <w:jc w:val="both"/>
        <w:rPr>
          <w:rFonts w:asciiTheme="minorHAnsi" w:hAnsiTheme="minorHAnsi"/>
          <w:szCs w:val="24"/>
          <w:lang w:val="en-GB"/>
        </w:rPr>
      </w:pPr>
      <w:r w:rsidRPr="00552C5F">
        <w:rPr>
          <w:rFonts w:asciiTheme="minorHAnsi" w:hAnsiTheme="minorHAnsi"/>
          <w:szCs w:val="24"/>
          <w:lang w:val="en-GB"/>
        </w:rPr>
        <w:lastRenderedPageBreak/>
        <w:t>Structure of the Conference</w:t>
      </w:r>
    </w:p>
    <w:p w:rsidR="00B75EF6" w:rsidRPr="00552C5F" w:rsidRDefault="00B75EF6"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The Conference was chaired by Mohammed Mohamed Al </w:t>
      </w:r>
      <w:proofErr w:type="spellStart"/>
      <w:r w:rsidRPr="00552C5F">
        <w:rPr>
          <w:rFonts w:asciiTheme="minorHAnsi" w:hAnsiTheme="minorHAnsi"/>
          <w:sz w:val="24"/>
          <w:szCs w:val="24"/>
          <w:lang w:val="en-GB"/>
        </w:rPr>
        <w:t>Ghanim</w:t>
      </w:r>
      <w:proofErr w:type="spellEnd"/>
      <w:r w:rsidRPr="00552C5F">
        <w:rPr>
          <w:rFonts w:asciiTheme="minorHAnsi" w:hAnsiTheme="minorHAnsi"/>
          <w:sz w:val="24"/>
          <w:szCs w:val="24"/>
          <w:lang w:val="en-GB"/>
        </w:rPr>
        <w:t xml:space="preserve">, from the United Arab Emirates, the host country. Russia, Portugal, the United States of America, Egypt, South Africa and Philippines were elected as the Vice-chairs of the Conference. </w:t>
      </w:r>
    </w:p>
    <w:p w:rsidR="00CA3B50" w:rsidRPr="00552C5F" w:rsidRDefault="00736E82"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The</w:t>
      </w:r>
      <w:r w:rsidR="00CA3B50" w:rsidRPr="00552C5F">
        <w:rPr>
          <w:rFonts w:asciiTheme="minorHAnsi" w:hAnsiTheme="minorHAnsi"/>
          <w:sz w:val="24"/>
          <w:szCs w:val="24"/>
          <w:lang w:val="en-GB"/>
        </w:rPr>
        <w:t xml:space="preserve"> </w:t>
      </w:r>
      <w:r w:rsidRPr="00552C5F">
        <w:rPr>
          <w:rFonts w:asciiTheme="minorHAnsi" w:hAnsiTheme="minorHAnsi"/>
          <w:sz w:val="24"/>
          <w:szCs w:val="24"/>
          <w:lang w:val="en-GB"/>
        </w:rPr>
        <w:t>WCIT-12</w:t>
      </w:r>
      <w:r w:rsidR="00CA3B50" w:rsidRPr="00552C5F">
        <w:rPr>
          <w:rFonts w:asciiTheme="minorHAnsi" w:hAnsiTheme="minorHAnsi"/>
          <w:sz w:val="24"/>
          <w:szCs w:val="24"/>
          <w:lang w:val="en-GB"/>
        </w:rPr>
        <w:t xml:space="preserve"> </w:t>
      </w:r>
      <w:r w:rsidRPr="00552C5F">
        <w:rPr>
          <w:rFonts w:asciiTheme="minorHAnsi" w:hAnsiTheme="minorHAnsi"/>
          <w:sz w:val="24"/>
          <w:szCs w:val="24"/>
          <w:lang w:val="en-GB"/>
        </w:rPr>
        <w:t>set up</w:t>
      </w:r>
      <w:r w:rsidR="00CA3B50" w:rsidRPr="00552C5F">
        <w:rPr>
          <w:rFonts w:asciiTheme="minorHAnsi" w:hAnsiTheme="minorHAnsi"/>
          <w:sz w:val="24"/>
          <w:szCs w:val="24"/>
          <w:lang w:val="en-GB"/>
        </w:rPr>
        <w:t xml:space="preserve"> 5 Com</w:t>
      </w:r>
      <w:r w:rsidRPr="00552C5F">
        <w:rPr>
          <w:rFonts w:asciiTheme="minorHAnsi" w:hAnsiTheme="minorHAnsi"/>
          <w:sz w:val="24"/>
          <w:szCs w:val="24"/>
          <w:lang w:val="en-GB"/>
        </w:rPr>
        <w:t>m</w:t>
      </w:r>
      <w:r w:rsidR="00CA3B50" w:rsidRPr="00552C5F">
        <w:rPr>
          <w:rFonts w:asciiTheme="minorHAnsi" w:hAnsiTheme="minorHAnsi"/>
          <w:sz w:val="24"/>
          <w:szCs w:val="24"/>
          <w:lang w:val="en-GB"/>
        </w:rPr>
        <w:t>it</w:t>
      </w:r>
      <w:r w:rsidRPr="00552C5F">
        <w:rPr>
          <w:rFonts w:asciiTheme="minorHAnsi" w:hAnsiTheme="minorHAnsi"/>
          <w:sz w:val="24"/>
          <w:szCs w:val="24"/>
          <w:lang w:val="en-GB"/>
        </w:rPr>
        <w:t>tee</w:t>
      </w:r>
      <w:r w:rsidR="00CA3B50" w:rsidRPr="00552C5F">
        <w:rPr>
          <w:rFonts w:asciiTheme="minorHAnsi" w:hAnsiTheme="minorHAnsi"/>
          <w:sz w:val="24"/>
          <w:szCs w:val="24"/>
          <w:lang w:val="en-GB"/>
        </w:rPr>
        <w:t>s:</w:t>
      </w:r>
    </w:p>
    <w:p w:rsidR="00CA3B50" w:rsidRPr="00552C5F" w:rsidRDefault="00552C5F"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Committee</w:t>
      </w:r>
      <w:r w:rsidR="00CA3B50" w:rsidRPr="00552C5F">
        <w:rPr>
          <w:rFonts w:asciiTheme="minorHAnsi" w:hAnsiTheme="minorHAnsi"/>
          <w:bCs/>
          <w:sz w:val="24"/>
          <w:szCs w:val="24"/>
          <w:lang w:val="en-GB" w:eastAsia="zh-CN"/>
        </w:rPr>
        <w:t xml:space="preserve"> 1: Steering;</w:t>
      </w:r>
    </w:p>
    <w:p w:rsidR="00CA3B50" w:rsidRPr="00552C5F" w:rsidRDefault="00552C5F"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Committee</w:t>
      </w:r>
      <w:r w:rsidR="00736E82" w:rsidRPr="00552C5F">
        <w:rPr>
          <w:rFonts w:asciiTheme="minorHAnsi" w:hAnsiTheme="minorHAnsi"/>
          <w:bCs/>
          <w:sz w:val="24"/>
          <w:szCs w:val="24"/>
          <w:lang w:val="en-GB" w:eastAsia="zh-CN"/>
        </w:rPr>
        <w:t xml:space="preserve"> </w:t>
      </w:r>
      <w:r w:rsidR="00CA3B50" w:rsidRPr="00552C5F">
        <w:rPr>
          <w:rFonts w:asciiTheme="minorHAnsi" w:hAnsiTheme="minorHAnsi"/>
          <w:sz w:val="24"/>
          <w:szCs w:val="24"/>
          <w:lang w:val="en-GB"/>
        </w:rPr>
        <w:t xml:space="preserve">2: </w:t>
      </w:r>
      <w:r w:rsidR="00736E82" w:rsidRPr="00552C5F">
        <w:rPr>
          <w:rFonts w:asciiTheme="minorHAnsi" w:hAnsiTheme="minorHAnsi"/>
          <w:sz w:val="24"/>
          <w:szCs w:val="24"/>
          <w:lang w:val="en-GB"/>
        </w:rPr>
        <w:t>Credentials</w:t>
      </w:r>
      <w:r w:rsidR="00CA3B50" w:rsidRPr="00552C5F">
        <w:rPr>
          <w:rFonts w:asciiTheme="minorHAnsi" w:hAnsiTheme="minorHAnsi"/>
          <w:sz w:val="24"/>
          <w:szCs w:val="24"/>
          <w:lang w:val="en-GB"/>
        </w:rPr>
        <w:t>;</w:t>
      </w:r>
    </w:p>
    <w:p w:rsidR="00CA3B50" w:rsidRPr="00552C5F" w:rsidRDefault="00552C5F"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Committee</w:t>
      </w:r>
      <w:r w:rsidR="00736E82" w:rsidRPr="00552C5F">
        <w:rPr>
          <w:rFonts w:asciiTheme="minorHAnsi" w:hAnsiTheme="minorHAnsi"/>
          <w:bCs/>
          <w:sz w:val="24"/>
          <w:szCs w:val="24"/>
          <w:lang w:val="en-GB" w:eastAsia="zh-CN"/>
        </w:rPr>
        <w:t xml:space="preserve"> </w:t>
      </w:r>
      <w:r w:rsidR="00CA3B50" w:rsidRPr="00552C5F">
        <w:rPr>
          <w:rFonts w:asciiTheme="minorHAnsi" w:hAnsiTheme="minorHAnsi"/>
          <w:sz w:val="24"/>
          <w:szCs w:val="24"/>
          <w:lang w:val="en-GB"/>
        </w:rPr>
        <w:t xml:space="preserve">3: </w:t>
      </w:r>
      <w:r w:rsidR="00736E82" w:rsidRPr="00552C5F">
        <w:rPr>
          <w:rFonts w:asciiTheme="minorHAnsi" w:hAnsiTheme="minorHAnsi"/>
          <w:sz w:val="24"/>
          <w:szCs w:val="24"/>
          <w:lang w:val="en-GB"/>
        </w:rPr>
        <w:t>Budget</w:t>
      </w:r>
      <w:r w:rsidR="00CA3B50" w:rsidRPr="00552C5F">
        <w:rPr>
          <w:rFonts w:asciiTheme="minorHAnsi" w:hAnsiTheme="minorHAnsi"/>
          <w:sz w:val="24"/>
          <w:szCs w:val="24"/>
          <w:lang w:val="en-GB"/>
        </w:rPr>
        <w:t>;</w:t>
      </w:r>
    </w:p>
    <w:p w:rsidR="00CA3B50" w:rsidRPr="00552C5F" w:rsidRDefault="00552C5F"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Committee</w:t>
      </w:r>
      <w:r w:rsidR="00736E82" w:rsidRPr="00552C5F">
        <w:rPr>
          <w:rFonts w:asciiTheme="minorHAnsi" w:hAnsiTheme="minorHAnsi"/>
          <w:bCs/>
          <w:sz w:val="24"/>
          <w:szCs w:val="24"/>
          <w:lang w:val="en-GB" w:eastAsia="zh-CN"/>
        </w:rPr>
        <w:t xml:space="preserve"> </w:t>
      </w:r>
      <w:r w:rsidR="00CA3B50" w:rsidRPr="00552C5F">
        <w:rPr>
          <w:rFonts w:asciiTheme="minorHAnsi" w:hAnsiTheme="minorHAnsi"/>
          <w:sz w:val="24"/>
          <w:szCs w:val="24"/>
          <w:lang w:val="en-GB"/>
        </w:rPr>
        <w:t>4: Editorial;</w:t>
      </w:r>
    </w:p>
    <w:p w:rsidR="00CA3B50" w:rsidRPr="00552C5F" w:rsidRDefault="00552C5F"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Committee</w:t>
      </w:r>
      <w:r w:rsidR="00736E82" w:rsidRPr="00552C5F">
        <w:rPr>
          <w:rFonts w:asciiTheme="minorHAnsi" w:hAnsiTheme="minorHAnsi"/>
          <w:bCs/>
          <w:sz w:val="24"/>
          <w:szCs w:val="24"/>
          <w:lang w:val="en-GB" w:eastAsia="zh-CN"/>
        </w:rPr>
        <w:t xml:space="preserve"> </w:t>
      </w:r>
      <w:r w:rsidR="00CA3B50" w:rsidRPr="00552C5F">
        <w:rPr>
          <w:rFonts w:asciiTheme="minorHAnsi" w:hAnsiTheme="minorHAnsi"/>
          <w:sz w:val="24"/>
          <w:szCs w:val="24"/>
          <w:lang w:val="en-GB"/>
        </w:rPr>
        <w:t>5: Revis</w:t>
      </w:r>
      <w:r w:rsidR="00736E82" w:rsidRPr="00552C5F">
        <w:rPr>
          <w:rFonts w:asciiTheme="minorHAnsi" w:hAnsiTheme="minorHAnsi"/>
          <w:sz w:val="24"/>
          <w:szCs w:val="24"/>
          <w:lang w:val="en-GB"/>
        </w:rPr>
        <w:t>ion</w:t>
      </w:r>
      <w:r w:rsidR="00CA3B50" w:rsidRPr="00552C5F">
        <w:rPr>
          <w:rFonts w:asciiTheme="minorHAnsi" w:hAnsiTheme="minorHAnsi"/>
          <w:sz w:val="24"/>
          <w:szCs w:val="24"/>
          <w:lang w:val="en-GB"/>
        </w:rPr>
        <w:t>.</w:t>
      </w:r>
    </w:p>
    <w:p w:rsidR="00736E82" w:rsidRPr="00552C5F" w:rsidRDefault="00B75EF6" w:rsidP="00986220">
      <w:pPr>
        <w:tabs>
          <w:tab w:val="center" w:pos="8222"/>
        </w:tabs>
        <w:spacing w:before="120"/>
        <w:jc w:val="both"/>
        <w:rPr>
          <w:rFonts w:asciiTheme="minorHAnsi" w:hAnsiTheme="minorHAnsi"/>
          <w:sz w:val="24"/>
          <w:szCs w:val="24"/>
          <w:lang w:val="en-GB"/>
        </w:rPr>
      </w:pPr>
      <w:r w:rsidRPr="00552C5F">
        <w:rPr>
          <w:rFonts w:asciiTheme="minorHAnsi" w:hAnsiTheme="minorHAnsi"/>
          <w:sz w:val="24"/>
          <w:szCs w:val="24"/>
          <w:lang w:val="en-GB"/>
        </w:rPr>
        <w:t>The editorial committee was chaired by Ms Marie-</w:t>
      </w:r>
      <w:proofErr w:type="spellStart"/>
      <w:r w:rsidRPr="00552C5F">
        <w:rPr>
          <w:rFonts w:asciiTheme="minorHAnsi" w:hAnsiTheme="minorHAnsi"/>
          <w:sz w:val="24"/>
          <w:szCs w:val="24"/>
          <w:lang w:val="en-GB"/>
        </w:rPr>
        <w:t>Thérèse</w:t>
      </w:r>
      <w:proofErr w:type="spellEnd"/>
      <w:r w:rsidRPr="00552C5F">
        <w:rPr>
          <w:rFonts w:asciiTheme="minorHAnsi" w:hAnsiTheme="minorHAnsi"/>
          <w:sz w:val="24"/>
          <w:szCs w:val="24"/>
          <w:lang w:val="en-GB"/>
        </w:rPr>
        <w:t xml:space="preserve"> ALAJOUANINE (F). Among others, the committee was vice-chaired by Ms Blanca Gonzalez (Spain), Prof. Vladimir </w:t>
      </w:r>
      <w:proofErr w:type="spellStart"/>
      <w:r w:rsidRPr="00552C5F">
        <w:rPr>
          <w:rFonts w:asciiTheme="minorHAnsi" w:hAnsiTheme="minorHAnsi"/>
          <w:sz w:val="24"/>
          <w:szCs w:val="24"/>
          <w:lang w:val="en-GB"/>
        </w:rPr>
        <w:t>Minkin</w:t>
      </w:r>
      <w:proofErr w:type="spellEnd"/>
      <w:r w:rsidRPr="00552C5F">
        <w:rPr>
          <w:rFonts w:asciiTheme="minorHAnsi" w:hAnsiTheme="minorHAnsi"/>
          <w:sz w:val="24"/>
          <w:szCs w:val="24"/>
          <w:lang w:val="en-GB"/>
        </w:rPr>
        <w:t xml:space="preserve"> (Russian Federation) and Mr Chris Woolford (United Kingdom).</w:t>
      </w:r>
    </w:p>
    <w:p w:rsidR="00CA3B50" w:rsidRPr="00552C5F" w:rsidRDefault="009D392E" w:rsidP="00986220">
      <w:pPr>
        <w:tabs>
          <w:tab w:val="center" w:pos="8222"/>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Committee 5 was responsible for the </w:t>
      </w:r>
      <w:r w:rsidR="00552C5F" w:rsidRPr="00552C5F">
        <w:rPr>
          <w:rFonts w:asciiTheme="minorHAnsi" w:hAnsiTheme="minorHAnsi"/>
          <w:sz w:val="24"/>
          <w:szCs w:val="24"/>
          <w:lang w:val="en-GB"/>
        </w:rPr>
        <w:t>substantial</w:t>
      </w:r>
      <w:r w:rsidR="0037087F" w:rsidRPr="00552C5F">
        <w:rPr>
          <w:rFonts w:asciiTheme="minorHAnsi" w:hAnsiTheme="minorHAnsi"/>
          <w:sz w:val="24"/>
          <w:szCs w:val="24"/>
          <w:lang w:val="en-GB"/>
        </w:rPr>
        <w:t xml:space="preserve"> discussion of the ITRs revision. It was chaired by</w:t>
      </w:r>
      <w:r w:rsidR="00986220" w:rsidRPr="00552C5F">
        <w:rPr>
          <w:rFonts w:asciiTheme="minorHAnsi" w:hAnsiTheme="minorHAnsi"/>
          <w:sz w:val="24"/>
          <w:szCs w:val="24"/>
          <w:lang w:val="en-GB"/>
        </w:rPr>
        <w:t xml:space="preserve"> Mr</w:t>
      </w:r>
      <w:r w:rsidR="00CA3B50" w:rsidRPr="00552C5F">
        <w:rPr>
          <w:rFonts w:asciiTheme="minorHAnsi" w:hAnsiTheme="minorHAnsi"/>
          <w:sz w:val="24"/>
          <w:szCs w:val="24"/>
          <w:lang w:val="en-GB"/>
        </w:rPr>
        <w:t xml:space="preserve"> Joshua </w:t>
      </w:r>
      <w:proofErr w:type="spellStart"/>
      <w:r w:rsidR="00CA3B50" w:rsidRPr="00552C5F">
        <w:rPr>
          <w:rFonts w:asciiTheme="minorHAnsi" w:hAnsiTheme="minorHAnsi"/>
          <w:sz w:val="24"/>
          <w:szCs w:val="24"/>
          <w:lang w:val="en-GB"/>
        </w:rPr>
        <w:t>Peprah</w:t>
      </w:r>
      <w:proofErr w:type="spellEnd"/>
      <w:r w:rsidR="0037087F" w:rsidRPr="00552C5F">
        <w:rPr>
          <w:rFonts w:asciiTheme="minorHAnsi" w:hAnsiTheme="minorHAnsi"/>
          <w:sz w:val="24"/>
          <w:szCs w:val="24"/>
          <w:lang w:val="en-GB"/>
        </w:rPr>
        <w:t xml:space="preserve"> (Ghana). </w:t>
      </w:r>
      <w:r w:rsidR="00986220" w:rsidRPr="00552C5F">
        <w:rPr>
          <w:rFonts w:asciiTheme="minorHAnsi" w:hAnsiTheme="minorHAnsi"/>
          <w:sz w:val="24"/>
          <w:szCs w:val="24"/>
          <w:lang w:val="en-GB"/>
        </w:rPr>
        <w:t xml:space="preserve">Mr </w:t>
      </w:r>
      <w:r w:rsidR="0037087F" w:rsidRPr="00552C5F">
        <w:rPr>
          <w:rFonts w:asciiTheme="minorHAnsi" w:hAnsiTheme="minorHAnsi"/>
          <w:sz w:val="24"/>
          <w:szCs w:val="24"/>
          <w:lang w:val="en-GB"/>
        </w:rPr>
        <w:t xml:space="preserve">Frederic </w:t>
      </w:r>
      <w:proofErr w:type="spellStart"/>
      <w:r w:rsidR="0037087F" w:rsidRPr="00552C5F">
        <w:rPr>
          <w:rFonts w:asciiTheme="minorHAnsi" w:hAnsiTheme="minorHAnsi"/>
          <w:sz w:val="24"/>
          <w:szCs w:val="24"/>
          <w:lang w:val="en-GB"/>
        </w:rPr>
        <w:t>Riehl</w:t>
      </w:r>
      <w:proofErr w:type="spellEnd"/>
      <w:r w:rsidR="0037087F" w:rsidRPr="00552C5F">
        <w:rPr>
          <w:rFonts w:asciiTheme="minorHAnsi" w:hAnsiTheme="minorHAnsi"/>
          <w:sz w:val="24"/>
          <w:szCs w:val="24"/>
          <w:lang w:val="en-GB"/>
        </w:rPr>
        <w:t xml:space="preserve"> (CH) was elected as Vice-chair of Committee 5. </w:t>
      </w:r>
      <w:r w:rsidR="00CA3B50" w:rsidRPr="00552C5F">
        <w:rPr>
          <w:rFonts w:asciiTheme="minorHAnsi" w:hAnsiTheme="minorHAnsi"/>
          <w:sz w:val="24"/>
          <w:szCs w:val="24"/>
          <w:lang w:val="en-GB"/>
        </w:rPr>
        <w:t>Com</w:t>
      </w:r>
      <w:r w:rsidR="0037087F" w:rsidRPr="00552C5F">
        <w:rPr>
          <w:rFonts w:asciiTheme="minorHAnsi" w:hAnsiTheme="minorHAnsi"/>
          <w:sz w:val="24"/>
          <w:szCs w:val="24"/>
          <w:lang w:val="en-GB"/>
        </w:rPr>
        <w:t>m</w:t>
      </w:r>
      <w:r w:rsidR="00CA3B50" w:rsidRPr="00552C5F">
        <w:rPr>
          <w:rFonts w:asciiTheme="minorHAnsi" w:hAnsiTheme="minorHAnsi"/>
          <w:sz w:val="24"/>
          <w:szCs w:val="24"/>
          <w:lang w:val="en-GB"/>
        </w:rPr>
        <w:t>it</w:t>
      </w:r>
      <w:r w:rsidR="0037087F" w:rsidRPr="00552C5F">
        <w:rPr>
          <w:rFonts w:asciiTheme="minorHAnsi" w:hAnsiTheme="minorHAnsi"/>
          <w:sz w:val="24"/>
          <w:szCs w:val="24"/>
          <w:lang w:val="en-GB"/>
        </w:rPr>
        <w:t>tee</w:t>
      </w:r>
      <w:r w:rsidR="00CA3B50" w:rsidRPr="00552C5F">
        <w:rPr>
          <w:rFonts w:asciiTheme="minorHAnsi" w:hAnsiTheme="minorHAnsi"/>
          <w:sz w:val="24"/>
          <w:szCs w:val="24"/>
          <w:lang w:val="en-GB"/>
        </w:rPr>
        <w:t xml:space="preserve"> 5</w:t>
      </w:r>
      <w:r w:rsidR="0037087F" w:rsidRPr="00552C5F">
        <w:rPr>
          <w:rFonts w:asciiTheme="minorHAnsi" w:hAnsiTheme="minorHAnsi"/>
          <w:sz w:val="24"/>
          <w:szCs w:val="24"/>
          <w:lang w:val="en-GB"/>
        </w:rPr>
        <w:t xml:space="preserve"> was split into two</w:t>
      </w:r>
      <w:r w:rsidR="00CA3B50" w:rsidRPr="00552C5F">
        <w:rPr>
          <w:rFonts w:asciiTheme="minorHAnsi" w:hAnsiTheme="minorHAnsi"/>
          <w:sz w:val="24"/>
          <w:szCs w:val="24"/>
          <w:lang w:val="en-GB"/>
        </w:rPr>
        <w:t xml:space="preserve"> Working Groups: </w:t>
      </w:r>
    </w:p>
    <w:p w:rsidR="00CA3B50" w:rsidRPr="00552C5F" w:rsidRDefault="00CA3B50"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WG1:</w:t>
      </w:r>
      <w:r w:rsidR="0002780E" w:rsidRPr="00552C5F">
        <w:rPr>
          <w:rFonts w:asciiTheme="minorHAnsi" w:hAnsiTheme="minorHAnsi"/>
          <w:bCs/>
          <w:sz w:val="24"/>
          <w:szCs w:val="24"/>
          <w:lang w:val="en-GB" w:eastAsia="zh-CN"/>
        </w:rPr>
        <w:t>Revision of articles 6 and 9 and</w:t>
      </w:r>
      <w:r w:rsidRPr="00552C5F">
        <w:rPr>
          <w:rFonts w:asciiTheme="minorHAnsi" w:hAnsiTheme="minorHAnsi"/>
          <w:bCs/>
          <w:sz w:val="24"/>
          <w:szCs w:val="24"/>
          <w:lang w:val="en-GB" w:eastAsia="zh-CN"/>
        </w:rPr>
        <w:t xml:space="preserve"> a</w:t>
      </w:r>
      <w:r w:rsidR="0002780E" w:rsidRPr="00552C5F">
        <w:rPr>
          <w:rFonts w:asciiTheme="minorHAnsi" w:hAnsiTheme="minorHAnsi"/>
          <w:bCs/>
          <w:sz w:val="24"/>
          <w:szCs w:val="24"/>
          <w:lang w:val="en-GB" w:eastAsia="zh-CN"/>
        </w:rPr>
        <w:t>ppendix</w:t>
      </w:r>
      <w:r w:rsidRPr="00552C5F">
        <w:rPr>
          <w:rFonts w:asciiTheme="minorHAnsi" w:hAnsiTheme="minorHAnsi"/>
          <w:bCs/>
          <w:sz w:val="24"/>
          <w:szCs w:val="24"/>
          <w:lang w:val="en-GB" w:eastAsia="zh-CN"/>
        </w:rPr>
        <w:t>es</w:t>
      </w:r>
      <w:r w:rsidR="0002780E" w:rsidRPr="00552C5F">
        <w:rPr>
          <w:rFonts w:asciiTheme="minorHAnsi" w:hAnsiTheme="minorHAnsi"/>
          <w:bCs/>
          <w:sz w:val="24"/>
          <w:szCs w:val="24"/>
          <w:lang w:val="en-GB" w:eastAsia="zh-CN"/>
        </w:rPr>
        <w:t xml:space="preserve"> as well as related definitions</w:t>
      </w:r>
      <w:r w:rsidRPr="00552C5F">
        <w:rPr>
          <w:rFonts w:asciiTheme="minorHAnsi" w:hAnsiTheme="minorHAnsi"/>
          <w:bCs/>
          <w:sz w:val="24"/>
          <w:szCs w:val="24"/>
          <w:lang w:val="en-GB" w:eastAsia="zh-CN"/>
        </w:rPr>
        <w:t>;</w:t>
      </w:r>
    </w:p>
    <w:p w:rsidR="0002780E" w:rsidRPr="00552C5F" w:rsidRDefault="00CA3B50" w:rsidP="00986220">
      <w:pPr>
        <w:pStyle w:val="Akapitzlist"/>
        <w:numPr>
          <w:ilvl w:val="0"/>
          <w:numId w:val="7"/>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bCs/>
          <w:sz w:val="24"/>
          <w:szCs w:val="24"/>
          <w:lang w:val="en-GB" w:eastAsia="zh-CN"/>
        </w:rPr>
        <w:t>WG2: Rev</w:t>
      </w:r>
      <w:r w:rsidR="0002780E" w:rsidRPr="00552C5F">
        <w:rPr>
          <w:rFonts w:asciiTheme="minorHAnsi" w:hAnsiTheme="minorHAnsi"/>
          <w:bCs/>
          <w:sz w:val="24"/>
          <w:szCs w:val="24"/>
          <w:lang w:val="en-GB" w:eastAsia="zh-CN"/>
        </w:rPr>
        <w:t>ision of remaining articles (</w:t>
      </w:r>
      <w:r w:rsidR="00986220" w:rsidRPr="00552C5F">
        <w:rPr>
          <w:rFonts w:asciiTheme="minorHAnsi" w:hAnsiTheme="minorHAnsi"/>
          <w:bCs/>
          <w:sz w:val="24"/>
          <w:szCs w:val="24"/>
          <w:lang w:val="en-GB" w:eastAsia="zh-CN"/>
        </w:rPr>
        <w:t xml:space="preserve">chaired by Mr Fabio </w:t>
      </w:r>
      <w:proofErr w:type="spellStart"/>
      <w:r w:rsidR="00986220" w:rsidRPr="00552C5F">
        <w:rPr>
          <w:rFonts w:asciiTheme="minorHAnsi" w:hAnsiTheme="minorHAnsi"/>
          <w:bCs/>
          <w:sz w:val="24"/>
          <w:szCs w:val="24"/>
          <w:lang w:val="en-GB" w:eastAsia="zh-CN"/>
        </w:rPr>
        <w:t>Bigi</w:t>
      </w:r>
      <w:proofErr w:type="spellEnd"/>
      <w:r w:rsidR="00986220" w:rsidRPr="00552C5F">
        <w:rPr>
          <w:rFonts w:asciiTheme="minorHAnsi" w:hAnsiTheme="minorHAnsi"/>
          <w:bCs/>
          <w:sz w:val="24"/>
          <w:szCs w:val="24"/>
          <w:lang w:val="en-GB" w:eastAsia="zh-CN"/>
        </w:rPr>
        <w:t xml:space="preserve"> (I)</w:t>
      </w:r>
      <w:r w:rsidR="0002780E" w:rsidRPr="00552C5F">
        <w:rPr>
          <w:rFonts w:asciiTheme="minorHAnsi" w:hAnsiTheme="minorHAnsi"/>
          <w:bCs/>
          <w:sz w:val="24"/>
          <w:szCs w:val="24"/>
          <w:lang w:val="en-GB" w:eastAsia="zh-CN"/>
        </w:rPr>
        <w:t>)</w:t>
      </w:r>
    </w:p>
    <w:p w:rsidR="003B3C66" w:rsidRPr="00552C5F" w:rsidRDefault="00986220" w:rsidP="00986220">
      <w:pPr>
        <w:tabs>
          <w:tab w:val="center" w:pos="8222"/>
        </w:tabs>
        <w:spacing w:before="120"/>
        <w:jc w:val="both"/>
        <w:rPr>
          <w:rFonts w:asciiTheme="minorHAnsi" w:hAnsiTheme="minorHAnsi"/>
          <w:bCs/>
          <w:sz w:val="24"/>
          <w:szCs w:val="24"/>
          <w:lang w:val="en-GB" w:eastAsia="zh-CN"/>
        </w:rPr>
      </w:pPr>
      <w:r w:rsidRPr="00552C5F">
        <w:rPr>
          <w:rFonts w:asciiTheme="minorHAnsi" w:hAnsiTheme="minorHAnsi"/>
          <w:sz w:val="24"/>
          <w:szCs w:val="24"/>
          <w:lang w:val="en-GB"/>
        </w:rPr>
        <w:t>T</w:t>
      </w:r>
      <w:r w:rsidR="0002780E" w:rsidRPr="00552C5F">
        <w:rPr>
          <w:rFonts w:asciiTheme="minorHAnsi" w:hAnsiTheme="minorHAnsi"/>
          <w:sz w:val="24"/>
          <w:szCs w:val="24"/>
          <w:lang w:val="en-GB"/>
        </w:rPr>
        <w:t xml:space="preserve">he </w:t>
      </w:r>
      <w:r w:rsidR="00CA3B50" w:rsidRPr="00552C5F">
        <w:rPr>
          <w:rFonts w:asciiTheme="minorHAnsi" w:hAnsiTheme="minorHAnsi"/>
          <w:sz w:val="24"/>
          <w:szCs w:val="24"/>
          <w:lang w:val="en-GB"/>
        </w:rPr>
        <w:t>Plen</w:t>
      </w:r>
      <w:r w:rsidR="0002780E" w:rsidRPr="00552C5F">
        <w:rPr>
          <w:rFonts w:asciiTheme="minorHAnsi" w:hAnsiTheme="minorHAnsi"/>
          <w:sz w:val="24"/>
          <w:szCs w:val="24"/>
          <w:lang w:val="en-GB"/>
        </w:rPr>
        <w:t>ary set up</w:t>
      </w:r>
      <w:r w:rsidR="002C11CA">
        <w:rPr>
          <w:rFonts w:asciiTheme="minorHAnsi" w:hAnsiTheme="minorHAnsi"/>
          <w:sz w:val="24"/>
          <w:szCs w:val="24"/>
          <w:lang w:val="en-GB"/>
        </w:rPr>
        <w:t xml:space="preserve"> a</w:t>
      </w:r>
      <w:r w:rsidR="00CA3B50" w:rsidRPr="00552C5F">
        <w:rPr>
          <w:rFonts w:asciiTheme="minorHAnsi" w:hAnsiTheme="minorHAnsi"/>
          <w:sz w:val="24"/>
          <w:szCs w:val="24"/>
          <w:lang w:val="en-GB"/>
        </w:rPr>
        <w:t>d</w:t>
      </w:r>
      <w:r w:rsidR="002C11CA">
        <w:rPr>
          <w:rFonts w:asciiTheme="minorHAnsi" w:hAnsiTheme="minorHAnsi"/>
          <w:sz w:val="24"/>
          <w:szCs w:val="24"/>
          <w:lang w:val="en-GB"/>
        </w:rPr>
        <w:t xml:space="preserve"> </w:t>
      </w:r>
      <w:r w:rsidR="00CA3B50" w:rsidRPr="00552C5F">
        <w:rPr>
          <w:rFonts w:asciiTheme="minorHAnsi" w:hAnsiTheme="minorHAnsi"/>
          <w:sz w:val="24"/>
          <w:szCs w:val="24"/>
          <w:lang w:val="en-GB"/>
        </w:rPr>
        <w:t>hoc</w:t>
      </w:r>
      <w:r w:rsidR="0002780E" w:rsidRPr="00552C5F">
        <w:rPr>
          <w:rFonts w:asciiTheme="minorHAnsi" w:hAnsiTheme="minorHAnsi"/>
          <w:sz w:val="24"/>
          <w:szCs w:val="24"/>
          <w:lang w:val="en-GB"/>
        </w:rPr>
        <w:t xml:space="preserve"> groups to discuss horizontal issues.</w:t>
      </w:r>
      <w:r w:rsidR="00CA3B50" w:rsidRPr="00552C5F">
        <w:rPr>
          <w:rFonts w:asciiTheme="minorHAnsi" w:hAnsiTheme="minorHAnsi"/>
          <w:sz w:val="24"/>
          <w:szCs w:val="24"/>
          <w:lang w:val="en-GB"/>
        </w:rPr>
        <w:t xml:space="preserve"> </w:t>
      </w:r>
      <w:r w:rsidR="002C11CA">
        <w:rPr>
          <w:rFonts w:asciiTheme="minorHAnsi" w:hAnsiTheme="minorHAnsi"/>
          <w:sz w:val="24"/>
          <w:szCs w:val="24"/>
          <w:lang w:val="en-GB"/>
        </w:rPr>
        <w:t>In particular, one of the a</w:t>
      </w:r>
      <w:r w:rsidR="003B3C66" w:rsidRPr="00552C5F">
        <w:rPr>
          <w:rFonts w:asciiTheme="minorHAnsi" w:hAnsiTheme="minorHAnsi"/>
          <w:sz w:val="24"/>
          <w:szCs w:val="24"/>
          <w:lang w:val="en-GB"/>
        </w:rPr>
        <w:t>d</w:t>
      </w:r>
      <w:r w:rsidR="002C11CA">
        <w:rPr>
          <w:rFonts w:asciiTheme="minorHAnsi" w:hAnsiTheme="minorHAnsi"/>
          <w:sz w:val="24"/>
          <w:szCs w:val="24"/>
          <w:lang w:val="en-GB"/>
        </w:rPr>
        <w:t xml:space="preserve"> </w:t>
      </w:r>
      <w:r w:rsidR="003B3C66" w:rsidRPr="00552C5F">
        <w:rPr>
          <w:rFonts w:asciiTheme="minorHAnsi" w:hAnsiTheme="minorHAnsi"/>
          <w:sz w:val="24"/>
          <w:szCs w:val="24"/>
          <w:lang w:val="en-GB"/>
        </w:rPr>
        <w:t xml:space="preserve">hoc </w:t>
      </w:r>
      <w:r w:rsidR="002C11CA">
        <w:rPr>
          <w:rFonts w:asciiTheme="minorHAnsi" w:hAnsiTheme="minorHAnsi"/>
          <w:sz w:val="24"/>
          <w:szCs w:val="24"/>
          <w:lang w:val="en-GB"/>
        </w:rPr>
        <w:t>g</w:t>
      </w:r>
      <w:r w:rsidR="003B3C66" w:rsidRPr="00552C5F">
        <w:rPr>
          <w:rFonts w:asciiTheme="minorHAnsi" w:hAnsiTheme="minorHAnsi"/>
          <w:sz w:val="24"/>
          <w:szCs w:val="24"/>
          <w:lang w:val="en-GB"/>
        </w:rPr>
        <w:t xml:space="preserve">roups was of utmost importance for the WCIT outcome, as some ITU Members indicated that they could not accept that the Treaty would indirectly apply to “Authorised Operating Agencies” (see details in </w:t>
      </w:r>
      <w:r w:rsidR="00C67508" w:rsidRPr="00552C5F">
        <w:rPr>
          <w:rFonts w:asciiTheme="minorHAnsi" w:hAnsiTheme="minorHAnsi"/>
          <w:sz w:val="24"/>
          <w:szCs w:val="24"/>
          <w:lang w:val="en-GB"/>
        </w:rPr>
        <w:t>“Main issues discussed in Dubai” / “controversial outcomes”</w:t>
      </w:r>
      <w:r w:rsidR="003B3C66" w:rsidRPr="00552C5F">
        <w:rPr>
          <w:rFonts w:asciiTheme="minorHAnsi" w:hAnsiTheme="minorHAnsi"/>
          <w:bCs/>
          <w:sz w:val="24"/>
          <w:szCs w:val="24"/>
          <w:lang w:val="en-GB" w:eastAsia="zh-CN"/>
        </w:rPr>
        <w:t>).</w:t>
      </w:r>
    </w:p>
    <w:p w:rsidR="003B3C66" w:rsidRPr="00552C5F" w:rsidRDefault="00986220" w:rsidP="00986220">
      <w:pPr>
        <w:tabs>
          <w:tab w:val="center" w:pos="8222"/>
        </w:tabs>
        <w:spacing w:before="120"/>
        <w:jc w:val="both"/>
        <w:rPr>
          <w:rFonts w:asciiTheme="minorHAnsi" w:hAnsiTheme="minorHAnsi"/>
          <w:sz w:val="24"/>
          <w:szCs w:val="24"/>
          <w:lang w:val="en-GB"/>
        </w:rPr>
      </w:pPr>
      <w:r w:rsidRPr="00552C5F">
        <w:rPr>
          <w:rFonts w:asciiTheme="minorHAnsi" w:hAnsiTheme="minorHAnsi"/>
          <w:sz w:val="24"/>
          <w:szCs w:val="24"/>
          <w:lang w:val="en-GB"/>
        </w:rPr>
        <w:t>In the scope of WG1 and WG2, s</w:t>
      </w:r>
      <w:r w:rsidR="002C11CA">
        <w:rPr>
          <w:rFonts w:asciiTheme="minorHAnsi" w:hAnsiTheme="minorHAnsi"/>
          <w:sz w:val="24"/>
          <w:szCs w:val="24"/>
          <w:lang w:val="en-GB"/>
        </w:rPr>
        <w:t>ome a</w:t>
      </w:r>
      <w:r w:rsidR="00966C7C" w:rsidRPr="00552C5F">
        <w:rPr>
          <w:rFonts w:asciiTheme="minorHAnsi" w:hAnsiTheme="minorHAnsi"/>
          <w:sz w:val="24"/>
          <w:szCs w:val="24"/>
          <w:lang w:val="en-GB"/>
        </w:rPr>
        <w:t>d</w:t>
      </w:r>
      <w:r w:rsidR="002C11CA">
        <w:rPr>
          <w:rFonts w:asciiTheme="minorHAnsi" w:hAnsiTheme="minorHAnsi"/>
          <w:sz w:val="24"/>
          <w:szCs w:val="24"/>
          <w:lang w:val="en-GB"/>
        </w:rPr>
        <w:t xml:space="preserve"> </w:t>
      </w:r>
      <w:r w:rsidR="00966C7C" w:rsidRPr="00552C5F">
        <w:rPr>
          <w:rFonts w:asciiTheme="minorHAnsi" w:hAnsiTheme="minorHAnsi"/>
          <w:sz w:val="24"/>
          <w:szCs w:val="24"/>
          <w:lang w:val="en-GB"/>
        </w:rPr>
        <w:t>hoc groups</w:t>
      </w:r>
      <w:r w:rsidR="00C67508" w:rsidRPr="00552C5F">
        <w:rPr>
          <w:rFonts w:asciiTheme="minorHAnsi" w:hAnsiTheme="minorHAnsi"/>
          <w:sz w:val="24"/>
          <w:szCs w:val="24"/>
          <w:lang w:val="en-GB"/>
        </w:rPr>
        <w:t xml:space="preserve"> </w:t>
      </w:r>
      <w:r w:rsidRPr="00552C5F">
        <w:rPr>
          <w:rFonts w:asciiTheme="minorHAnsi" w:hAnsiTheme="minorHAnsi"/>
          <w:sz w:val="24"/>
          <w:szCs w:val="24"/>
          <w:lang w:val="en-GB"/>
        </w:rPr>
        <w:t xml:space="preserve">were </w:t>
      </w:r>
      <w:r w:rsidR="00C67508" w:rsidRPr="00552C5F">
        <w:rPr>
          <w:rFonts w:asciiTheme="minorHAnsi" w:hAnsiTheme="minorHAnsi"/>
          <w:sz w:val="24"/>
          <w:szCs w:val="24"/>
          <w:lang w:val="en-GB"/>
        </w:rPr>
        <w:t xml:space="preserve">set up </w:t>
      </w:r>
      <w:r w:rsidRPr="00552C5F">
        <w:rPr>
          <w:rFonts w:asciiTheme="minorHAnsi" w:hAnsiTheme="minorHAnsi"/>
          <w:sz w:val="24"/>
          <w:szCs w:val="24"/>
          <w:lang w:val="en-GB"/>
        </w:rPr>
        <w:t>and</w:t>
      </w:r>
      <w:r w:rsidR="00966C7C" w:rsidRPr="00552C5F">
        <w:rPr>
          <w:rFonts w:asciiTheme="minorHAnsi" w:hAnsiTheme="minorHAnsi"/>
          <w:sz w:val="24"/>
          <w:szCs w:val="24"/>
          <w:lang w:val="en-GB"/>
        </w:rPr>
        <w:t xml:space="preserve"> chaired by CEPT members: </w:t>
      </w:r>
    </w:p>
    <w:p w:rsidR="00C67508" w:rsidRPr="00552C5F" w:rsidRDefault="00986220" w:rsidP="00986220">
      <w:pPr>
        <w:pStyle w:val="Akapitzlist"/>
        <w:numPr>
          <w:ilvl w:val="0"/>
          <w:numId w:val="15"/>
        </w:numPr>
        <w:tabs>
          <w:tab w:val="center" w:pos="8222"/>
        </w:tabs>
        <w:spacing w:before="120"/>
        <w:jc w:val="both"/>
        <w:rPr>
          <w:rFonts w:asciiTheme="minorHAnsi" w:hAnsiTheme="minorHAnsi"/>
          <w:bCs/>
          <w:sz w:val="24"/>
          <w:szCs w:val="24"/>
          <w:lang w:val="en-GB" w:eastAsia="zh-CN"/>
        </w:rPr>
      </w:pPr>
      <w:r w:rsidRPr="00552C5F">
        <w:rPr>
          <w:rFonts w:asciiTheme="minorHAnsi" w:hAnsiTheme="minorHAnsi"/>
          <w:bCs/>
          <w:sz w:val="24"/>
          <w:szCs w:val="24"/>
          <w:lang w:val="en-GB" w:eastAsia="zh-CN"/>
        </w:rPr>
        <w:t xml:space="preserve">Ms </w:t>
      </w:r>
      <w:r w:rsidR="00C67508" w:rsidRPr="00552C5F">
        <w:rPr>
          <w:rFonts w:asciiTheme="minorHAnsi" w:hAnsiTheme="minorHAnsi"/>
          <w:bCs/>
          <w:sz w:val="24"/>
          <w:szCs w:val="24"/>
          <w:lang w:val="en-GB" w:eastAsia="zh-CN"/>
        </w:rPr>
        <w:t xml:space="preserve">Elena Plexida (Greece) chaired the </w:t>
      </w:r>
      <w:r w:rsidR="002C11CA">
        <w:rPr>
          <w:rFonts w:asciiTheme="minorHAnsi" w:hAnsiTheme="minorHAnsi"/>
          <w:bCs/>
          <w:sz w:val="24"/>
          <w:szCs w:val="24"/>
          <w:lang w:val="en-GB" w:eastAsia="zh-CN"/>
        </w:rPr>
        <w:t>a</w:t>
      </w:r>
      <w:r w:rsidR="00C67508" w:rsidRPr="00552C5F">
        <w:rPr>
          <w:rFonts w:asciiTheme="minorHAnsi" w:hAnsiTheme="minorHAnsi"/>
          <w:bCs/>
          <w:sz w:val="24"/>
          <w:szCs w:val="24"/>
          <w:lang w:val="en-GB" w:eastAsia="zh-CN"/>
        </w:rPr>
        <w:t>d</w:t>
      </w:r>
      <w:r w:rsidR="002C11CA">
        <w:rPr>
          <w:rFonts w:asciiTheme="minorHAnsi" w:hAnsiTheme="minorHAnsi"/>
          <w:bCs/>
          <w:sz w:val="24"/>
          <w:szCs w:val="24"/>
          <w:lang w:val="en-GB" w:eastAsia="zh-CN"/>
        </w:rPr>
        <w:t xml:space="preserve"> </w:t>
      </w:r>
      <w:r w:rsidR="00C67508" w:rsidRPr="00552C5F">
        <w:rPr>
          <w:rFonts w:asciiTheme="minorHAnsi" w:hAnsiTheme="minorHAnsi"/>
          <w:bCs/>
          <w:sz w:val="24"/>
          <w:szCs w:val="24"/>
          <w:lang w:val="en-GB" w:eastAsia="zh-CN"/>
        </w:rPr>
        <w:t>hoc Group on the Appendix 2;</w:t>
      </w:r>
    </w:p>
    <w:p w:rsidR="00966C7C" w:rsidRPr="00552C5F" w:rsidRDefault="00986220" w:rsidP="00986220">
      <w:pPr>
        <w:pStyle w:val="Akapitzlist"/>
        <w:numPr>
          <w:ilvl w:val="0"/>
          <w:numId w:val="15"/>
        </w:numPr>
        <w:tabs>
          <w:tab w:val="center" w:pos="8222"/>
        </w:tabs>
        <w:spacing w:before="120"/>
        <w:jc w:val="both"/>
        <w:rPr>
          <w:rFonts w:asciiTheme="minorHAnsi" w:hAnsiTheme="minorHAnsi"/>
          <w:bCs/>
          <w:sz w:val="24"/>
          <w:szCs w:val="24"/>
          <w:lang w:val="en-GB" w:eastAsia="zh-CN"/>
        </w:rPr>
      </w:pPr>
      <w:r w:rsidRPr="00552C5F">
        <w:rPr>
          <w:rFonts w:asciiTheme="minorHAnsi" w:hAnsiTheme="minorHAnsi"/>
          <w:bCs/>
          <w:sz w:val="24"/>
          <w:szCs w:val="24"/>
          <w:lang w:val="en-GB" w:eastAsia="zh-CN"/>
        </w:rPr>
        <w:t xml:space="preserve">Mr </w:t>
      </w:r>
      <w:r w:rsidR="00966C7C" w:rsidRPr="00552C5F">
        <w:rPr>
          <w:rFonts w:asciiTheme="minorHAnsi" w:hAnsiTheme="minorHAnsi"/>
          <w:bCs/>
          <w:sz w:val="24"/>
          <w:szCs w:val="24"/>
          <w:lang w:val="en-GB" w:eastAsia="zh-CN"/>
        </w:rPr>
        <w:t>P</w:t>
      </w:r>
      <w:r w:rsidR="002C11CA">
        <w:rPr>
          <w:rFonts w:asciiTheme="minorHAnsi" w:hAnsiTheme="minorHAnsi"/>
          <w:bCs/>
          <w:sz w:val="24"/>
          <w:szCs w:val="24"/>
          <w:lang w:val="en-GB" w:eastAsia="zh-CN"/>
        </w:rPr>
        <w:t>hilip Rushton (UK) chaired the a</w:t>
      </w:r>
      <w:r w:rsidR="00966C7C" w:rsidRPr="00552C5F">
        <w:rPr>
          <w:rFonts w:asciiTheme="minorHAnsi" w:hAnsiTheme="minorHAnsi"/>
          <w:bCs/>
          <w:sz w:val="24"/>
          <w:szCs w:val="24"/>
          <w:lang w:val="en-GB" w:eastAsia="zh-CN"/>
        </w:rPr>
        <w:t>d</w:t>
      </w:r>
      <w:r w:rsidR="002C11CA">
        <w:rPr>
          <w:rFonts w:asciiTheme="minorHAnsi" w:hAnsiTheme="minorHAnsi"/>
          <w:bCs/>
          <w:sz w:val="24"/>
          <w:szCs w:val="24"/>
          <w:lang w:val="en-GB" w:eastAsia="zh-CN"/>
        </w:rPr>
        <w:t xml:space="preserve"> </w:t>
      </w:r>
      <w:r w:rsidR="00966C7C" w:rsidRPr="00552C5F">
        <w:rPr>
          <w:rFonts w:asciiTheme="minorHAnsi" w:hAnsiTheme="minorHAnsi"/>
          <w:bCs/>
          <w:sz w:val="24"/>
          <w:szCs w:val="24"/>
          <w:lang w:val="en-GB" w:eastAsia="zh-CN"/>
        </w:rPr>
        <w:t>hoc Group on Numbering;</w:t>
      </w:r>
    </w:p>
    <w:p w:rsidR="00C67508" w:rsidRPr="002C11CA" w:rsidRDefault="00986220" w:rsidP="00986220">
      <w:pPr>
        <w:pStyle w:val="Akapitzlist"/>
        <w:numPr>
          <w:ilvl w:val="0"/>
          <w:numId w:val="15"/>
        </w:numPr>
        <w:tabs>
          <w:tab w:val="center" w:pos="8222"/>
        </w:tabs>
        <w:spacing w:before="120"/>
        <w:jc w:val="both"/>
        <w:rPr>
          <w:rFonts w:asciiTheme="minorHAnsi" w:hAnsiTheme="minorHAnsi"/>
          <w:bCs/>
          <w:sz w:val="24"/>
          <w:szCs w:val="24"/>
          <w:lang w:val="en-GB" w:eastAsia="zh-CN"/>
        </w:rPr>
      </w:pPr>
      <w:r w:rsidRPr="002C11CA">
        <w:rPr>
          <w:rFonts w:asciiTheme="minorHAnsi" w:hAnsiTheme="minorHAnsi"/>
          <w:bCs/>
          <w:sz w:val="24"/>
          <w:szCs w:val="24"/>
          <w:lang w:val="en-GB" w:eastAsia="zh-CN"/>
        </w:rPr>
        <w:t xml:space="preserve">Mr </w:t>
      </w:r>
      <w:proofErr w:type="spellStart"/>
      <w:r w:rsidR="00C67508" w:rsidRPr="002C11CA">
        <w:rPr>
          <w:rFonts w:asciiTheme="minorHAnsi" w:hAnsiTheme="minorHAnsi"/>
          <w:bCs/>
          <w:sz w:val="24"/>
          <w:szCs w:val="24"/>
          <w:lang w:val="en-GB" w:eastAsia="zh-CN"/>
        </w:rPr>
        <w:t>Petko</w:t>
      </w:r>
      <w:proofErr w:type="spellEnd"/>
      <w:r w:rsidR="00C67508" w:rsidRPr="002C11CA">
        <w:rPr>
          <w:rFonts w:asciiTheme="minorHAnsi" w:hAnsiTheme="minorHAnsi"/>
          <w:bCs/>
          <w:sz w:val="24"/>
          <w:szCs w:val="24"/>
          <w:lang w:val="en-GB" w:eastAsia="zh-CN"/>
        </w:rPr>
        <w:t xml:space="preserve"> </w:t>
      </w:r>
      <w:proofErr w:type="spellStart"/>
      <w:r w:rsidR="00C67508" w:rsidRPr="002C11CA">
        <w:rPr>
          <w:rFonts w:asciiTheme="minorHAnsi" w:hAnsiTheme="minorHAnsi"/>
          <w:bCs/>
          <w:iCs/>
          <w:sz w:val="24"/>
          <w:szCs w:val="24"/>
          <w:lang w:val="en-GB" w:eastAsia="zh-CN"/>
        </w:rPr>
        <w:t>Kantchev</w:t>
      </w:r>
      <w:proofErr w:type="spellEnd"/>
      <w:r w:rsidR="00C67508" w:rsidRPr="002C11CA">
        <w:rPr>
          <w:rFonts w:asciiTheme="minorHAnsi" w:hAnsiTheme="minorHAnsi"/>
          <w:bCs/>
          <w:iCs/>
          <w:sz w:val="24"/>
          <w:szCs w:val="24"/>
          <w:lang w:val="en-GB" w:eastAsia="zh-CN"/>
        </w:rPr>
        <w:t xml:space="preserve"> (Bulgaria) chaired the </w:t>
      </w:r>
      <w:r w:rsidR="002C11CA">
        <w:rPr>
          <w:rFonts w:asciiTheme="minorHAnsi" w:hAnsiTheme="minorHAnsi"/>
          <w:bCs/>
          <w:iCs/>
          <w:sz w:val="24"/>
          <w:szCs w:val="24"/>
          <w:lang w:val="en-GB" w:eastAsia="zh-CN"/>
        </w:rPr>
        <w:t>a</w:t>
      </w:r>
      <w:r w:rsidR="00C67508" w:rsidRPr="002C11CA">
        <w:rPr>
          <w:rFonts w:asciiTheme="minorHAnsi" w:hAnsiTheme="minorHAnsi"/>
          <w:bCs/>
          <w:iCs/>
          <w:sz w:val="24"/>
          <w:szCs w:val="24"/>
          <w:lang w:val="en-GB" w:eastAsia="zh-CN"/>
        </w:rPr>
        <w:t>d</w:t>
      </w:r>
      <w:r w:rsidR="002C11CA">
        <w:rPr>
          <w:rFonts w:asciiTheme="minorHAnsi" w:hAnsiTheme="minorHAnsi"/>
          <w:bCs/>
          <w:iCs/>
          <w:sz w:val="24"/>
          <w:szCs w:val="24"/>
          <w:lang w:val="en-GB" w:eastAsia="zh-CN"/>
        </w:rPr>
        <w:t xml:space="preserve"> </w:t>
      </w:r>
      <w:r w:rsidR="00C67508" w:rsidRPr="002C11CA">
        <w:rPr>
          <w:rFonts w:asciiTheme="minorHAnsi" w:hAnsiTheme="minorHAnsi"/>
          <w:bCs/>
          <w:iCs/>
          <w:sz w:val="24"/>
          <w:szCs w:val="24"/>
          <w:lang w:val="en-GB" w:eastAsia="zh-CN"/>
        </w:rPr>
        <w:t>hoc Group on Spam.</w:t>
      </w:r>
    </w:p>
    <w:p w:rsidR="00CA3B50" w:rsidRPr="00552C5F" w:rsidRDefault="00C67508" w:rsidP="00986220">
      <w:pPr>
        <w:spacing w:before="120"/>
        <w:rPr>
          <w:rFonts w:asciiTheme="minorHAnsi" w:hAnsiTheme="minorHAnsi"/>
          <w:bCs/>
          <w:sz w:val="24"/>
          <w:szCs w:val="24"/>
          <w:lang w:val="en-GB" w:eastAsia="zh-CN"/>
        </w:rPr>
      </w:pPr>
      <w:r w:rsidRPr="00552C5F">
        <w:rPr>
          <w:rFonts w:asciiTheme="minorHAnsi" w:hAnsiTheme="minorHAnsi"/>
          <w:b/>
          <w:bCs/>
          <w:sz w:val="24"/>
          <w:szCs w:val="24"/>
          <w:lang w:val="en-GB" w:eastAsia="zh-CN"/>
        </w:rPr>
        <w:t xml:space="preserve">Annex </w:t>
      </w:r>
      <w:r w:rsidR="00431AE6" w:rsidRPr="00552C5F">
        <w:rPr>
          <w:rFonts w:asciiTheme="minorHAnsi" w:hAnsiTheme="minorHAnsi"/>
          <w:b/>
          <w:bCs/>
          <w:sz w:val="24"/>
          <w:szCs w:val="24"/>
          <w:lang w:val="en-GB" w:eastAsia="zh-CN"/>
        </w:rPr>
        <w:t>4</w:t>
      </w:r>
      <w:r w:rsidR="002C11CA">
        <w:rPr>
          <w:rFonts w:asciiTheme="minorHAnsi" w:hAnsiTheme="minorHAnsi"/>
          <w:bCs/>
          <w:sz w:val="24"/>
          <w:szCs w:val="24"/>
          <w:lang w:val="en-GB" w:eastAsia="zh-CN"/>
        </w:rPr>
        <w:t xml:space="preserve"> presents the full list of a</w:t>
      </w:r>
      <w:r w:rsidRPr="00552C5F">
        <w:rPr>
          <w:rFonts w:asciiTheme="minorHAnsi" w:hAnsiTheme="minorHAnsi"/>
          <w:bCs/>
          <w:sz w:val="24"/>
          <w:szCs w:val="24"/>
          <w:lang w:val="en-GB" w:eastAsia="zh-CN"/>
        </w:rPr>
        <w:t>d</w:t>
      </w:r>
      <w:r w:rsidR="002C11CA">
        <w:rPr>
          <w:rFonts w:asciiTheme="minorHAnsi" w:hAnsiTheme="minorHAnsi"/>
          <w:bCs/>
          <w:sz w:val="24"/>
          <w:szCs w:val="24"/>
          <w:lang w:val="en-GB" w:eastAsia="zh-CN"/>
        </w:rPr>
        <w:t xml:space="preserve"> </w:t>
      </w:r>
      <w:r w:rsidRPr="00552C5F">
        <w:rPr>
          <w:rFonts w:asciiTheme="minorHAnsi" w:hAnsiTheme="minorHAnsi"/>
          <w:bCs/>
          <w:sz w:val="24"/>
          <w:szCs w:val="24"/>
          <w:lang w:val="en-GB" w:eastAsia="zh-CN"/>
        </w:rPr>
        <w:t xml:space="preserve">hoc </w:t>
      </w:r>
      <w:r w:rsidR="002C11CA">
        <w:rPr>
          <w:rFonts w:asciiTheme="minorHAnsi" w:hAnsiTheme="minorHAnsi"/>
          <w:bCs/>
          <w:sz w:val="24"/>
          <w:szCs w:val="24"/>
          <w:lang w:val="en-GB" w:eastAsia="zh-CN"/>
        </w:rPr>
        <w:t>g</w:t>
      </w:r>
      <w:r w:rsidRPr="00552C5F">
        <w:rPr>
          <w:rFonts w:asciiTheme="minorHAnsi" w:hAnsiTheme="minorHAnsi"/>
          <w:bCs/>
          <w:sz w:val="24"/>
          <w:szCs w:val="24"/>
          <w:lang w:val="en-GB" w:eastAsia="zh-CN"/>
        </w:rPr>
        <w:t>roups.</w:t>
      </w:r>
    </w:p>
    <w:p w:rsidR="00C67508" w:rsidRPr="00552C5F" w:rsidRDefault="00C67508" w:rsidP="00986220">
      <w:pPr>
        <w:spacing w:before="120"/>
        <w:rPr>
          <w:lang w:val="en-GB"/>
        </w:rPr>
      </w:pPr>
    </w:p>
    <w:p w:rsidR="003B3C66" w:rsidRPr="00552C5F" w:rsidRDefault="00892AF3" w:rsidP="00986220">
      <w:pPr>
        <w:pStyle w:val="Nagwek7"/>
        <w:tabs>
          <w:tab w:val="left" w:pos="1418"/>
        </w:tabs>
        <w:spacing w:before="120"/>
        <w:jc w:val="both"/>
        <w:rPr>
          <w:rFonts w:asciiTheme="minorHAnsi" w:hAnsiTheme="minorHAnsi"/>
          <w:szCs w:val="24"/>
          <w:lang w:val="en-GB"/>
        </w:rPr>
      </w:pPr>
      <w:r w:rsidRPr="00552C5F">
        <w:rPr>
          <w:rFonts w:asciiTheme="minorHAnsi" w:hAnsiTheme="minorHAnsi"/>
          <w:szCs w:val="24"/>
          <w:lang w:val="en-GB"/>
        </w:rPr>
        <w:t>Main issues discussed in Dubai</w:t>
      </w:r>
    </w:p>
    <w:p w:rsidR="004B2534" w:rsidRPr="00552C5F" w:rsidRDefault="004B2534" w:rsidP="00986220">
      <w:pPr>
        <w:tabs>
          <w:tab w:val="left" w:pos="1418"/>
        </w:tabs>
        <w:spacing w:before="120"/>
        <w:jc w:val="both"/>
        <w:rPr>
          <w:rFonts w:asciiTheme="minorHAnsi" w:hAnsiTheme="minorHAnsi"/>
          <w:i/>
          <w:sz w:val="24"/>
          <w:szCs w:val="24"/>
          <w:lang w:val="en-GB"/>
        </w:rPr>
      </w:pPr>
      <w:r w:rsidRPr="00552C5F">
        <w:rPr>
          <w:rFonts w:asciiTheme="minorHAnsi" w:hAnsiTheme="minorHAnsi"/>
          <w:b/>
          <w:sz w:val="24"/>
          <w:szCs w:val="24"/>
          <w:lang w:val="en-GB"/>
        </w:rPr>
        <w:t xml:space="preserve">Annex 1 </w:t>
      </w:r>
      <w:r w:rsidRPr="00552C5F">
        <w:rPr>
          <w:rFonts w:asciiTheme="minorHAnsi" w:hAnsiTheme="minorHAnsi"/>
          <w:sz w:val="24"/>
          <w:szCs w:val="24"/>
          <w:lang w:val="en-GB"/>
        </w:rPr>
        <w:t>includes the Final Acts of the Conference. This report presents the outcomes of the WCIT</w:t>
      </w:r>
      <w:r w:rsidR="002C11CA">
        <w:rPr>
          <w:rFonts w:asciiTheme="minorHAnsi" w:hAnsiTheme="minorHAnsi"/>
          <w:sz w:val="24"/>
          <w:szCs w:val="24"/>
          <w:lang w:val="en-GB"/>
        </w:rPr>
        <w:t>-12 in 3 sub-sections: p</w:t>
      </w:r>
      <w:r w:rsidRPr="00552C5F">
        <w:rPr>
          <w:rFonts w:asciiTheme="minorHAnsi" w:hAnsiTheme="minorHAnsi"/>
          <w:sz w:val="24"/>
          <w:szCs w:val="24"/>
          <w:lang w:val="en-GB"/>
        </w:rPr>
        <w:t>ositive outcomes, controversial outcomes, less controversial outcomes.</w:t>
      </w:r>
    </w:p>
    <w:p w:rsidR="00986220" w:rsidRPr="00552C5F" w:rsidRDefault="00986220" w:rsidP="00986220">
      <w:pPr>
        <w:tabs>
          <w:tab w:val="left" w:pos="1418"/>
        </w:tabs>
        <w:spacing w:before="120"/>
        <w:jc w:val="both"/>
        <w:rPr>
          <w:rFonts w:asciiTheme="minorHAnsi" w:hAnsiTheme="minorHAnsi"/>
          <w:i/>
          <w:sz w:val="24"/>
          <w:szCs w:val="24"/>
          <w:lang w:val="en-GB"/>
        </w:rPr>
      </w:pPr>
    </w:p>
    <w:p w:rsidR="00453D7A" w:rsidRPr="00552C5F" w:rsidRDefault="00453D7A" w:rsidP="00986220">
      <w:pPr>
        <w:tabs>
          <w:tab w:val="left" w:pos="1418"/>
        </w:tabs>
        <w:spacing w:before="120"/>
        <w:jc w:val="both"/>
        <w:rPr>
          <w:rFonts w:asciiTheme="minorHAnsi" w:hAnsiTheme="minorHAnsi"/>
          <w:i/>
          <w:sz w:val="24"/>
          <w:szCs w:val="24"/>
          <w:lang w:val="en-GB"/>
        </w:rPr>
      </w:pPr>
      <w:r w:rsidRPr="00552C5F">
        <w:rPr>
          <w:rFonts w:asciiTheme="minorHAnsi" w:hAnsiTheme="minorHAnsi"/>
          <w:i/>
          <w:sz w:val="24"/>
          <w:szCs w:val="24"/>
          <w:lang w:val="en-GB"/>
        </w:rPr>
        <w:t>Positive outcomes</w:t>
      </w:r>
    </w:p>
    <w:p w:rsidR="00453D7A" w:rsidRPr="00552C5F" w:rsidRDefault="00453D7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In </w:t>
      </w:r>
      <w:r w:rsidR="00D42278" w:rsidRPr="00552C5F">
        <w:rPr>
          <w:rFonts w:asciiTheme="minorHAnsi" w:hAnsiTheme="minorHAnsi"/>
          <w:sz w:val="24"/>
          <w:szCs w:val="24"/>
          <w:lang w:val="en-GB"/>
        </w:rPr>
        <w:t xml:space="preserve">the </w:t>
      </w:r>
      <w:r w:rsidRPr="00552C5F">
        <w:rPr>
          <w:rFonts w:asciiTheme="minorHAnsi" w:hAnsiTheme="minorHAnsi"/>
          <w:sz w:val="24"/>
          <w:szCs w:val="24"/>
          <w:lang w:val="en-GB"/>
        </w:rPr>
        <w:t>first place, in many instances the Treaty seem to be in line</w:t>
      </w:r>
      <w:r w:rsidR="00D42278" w:rsidRPr="00552C5F">
        <w:rPr>
          <w:rFonts w:asciiTheme="minorHAnsi" w:hAnsiTheme="minorHAnsi"/>
          <w:sz w:val="24"/>
          <w:szCs w:val="24"/>
          <w:lang w:val="en-GB"/>
        </w:rPr>
        <w:t xml:space="preserve"> with</w:t>
      </w:r>
      <w:r w:rsidRPr="00552C5F">
        <w:rPr>
          <w:rFonts w:asciiTheme="minorHAnsi" w:hAnsiTheme="minorHAnsi"/>
          <w:sz w:val="24"/>
          <w:szCs w:val="24"/>
          <w:lang w:val="en-GB"/>
        </w:rPr>
        <w:t xml:space="preserve"> CEPT criteria:</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The revised ITRs are a high level Treaty. Some of the provisions that can be considered as more detailed result from the old ITR</w:t>
      </w:r>
      <w:r w:rsidR="002C11CA">
        <w:rPr>
          <w:rFonts w:asciiTheme="minorHAnsi" w:hAnsiTheme="minorHAnsi"/>
          <w:sz w:val="24"/>
          <w:szCs w:val="24"/>
          <w:lang w:val="en-GB"/>
        </w:rPr>
        <w:t>s</w:t>
      </w:r>
      <w:r w:rsidRPr="00552C5F">
        <w:rPr>
          <w:rFonts w:asciiTheme="minorHAnsi" w:hAnsiTheme="minorHAnsi"/>
          <w:sz w:val="24"/>
          <w:szCs w:val="24"/>
          <w:lang w:val="en-GB"/>
        </w:rPr>
        <w:t xml:space="preserve"> and are contained in </w:t>
      </w:r>
      <w:r w:rsidRPr="00552C5F">
        <w:rPr>
          <w:rFonts w:asciiTheme="minorHAnsi" w:hAnsiTheme="minorHAnsi"/>
          <w:sz w:val="24"/>
          <w:szCs w:val="24"/>
          <w:lang w:val="en-GB"/>
        </w:rPr>
        <w:lastRenderedPageBreak/>
        <w:t>Appendixes 1 and 2 (noting that amendments to Appendix 2 have been supported by CEPT);</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The nature of the ITU recommendation</w:t>
      </w:r>
      <w:r w:rsidR="00D42278" w:rsidRPr="00552C5F">
        <w:rPr>
          <w:rFonts w:asciiTheme="minorHAnsi" w:hAnsiTheme="minorHAnsi"/>
          <w:sz w:val="24"/>
          <w:szCs w:val="24"/>
          <w:lang w:val="en-GB"/>
        </w:rPr>
        <w:t>s</w:t>
      </w:r>
      <w:r w:rsidRPr="00552C5F">
        <w:rPr>
          <w:rFonts w:asciiTheme="minorHAnsi" w:hAnsiTheme="minorHAnsi"/>
          <w:sz w:val="24"/>
          <w:szCs w:val="24"/>
          <w:lang w:val="en-GB"/>
        </w:rPr>
        <w:t xml:space="preserve"> has not been changed. </w:t>
      </w:r>
      <w:r w:rsidR="008D4367">
        <w:rPr>
          <w:rFonts w:asciiTheme="minorHAnsi" w:hAnsiTheme="minorHAnsi"/>
          <w:sz w:val="24"/>
          <w:szCs w:val="24"/>
          <w:lang w:val="en-GB"/>
        </w:rPr>
        <w:t>In fact, provision 1.4 and 1.6 undergone</w:t>
      </w:r>
      <w:r w:rsidRPr="00552C5F">
        <w:rPr>
          <w:rFonts w:asciiTheme="minorHAnsi" w:hAnsiTheme="minorHAnsi"/>
          <w:sz w:val="24"/>
          <w:szCs w:val="24"/>
          <w:lang w:val="en-GB"/>
        </w:rPr>
        <w:t xml:space="preserve"> only editorial amendments;</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 “Cybercrime”</w:t>
      </w:r>
      <w:r w:rsidR="008D4367">
        <w:rPr>
          <w:rFonts w:asciiTheme="minorHAnsi" w:hAnsiTheme="minorHAnsi"/>
          <w:sz w:val="24"/>
          <w:szCs w:val="24"/>
          <w:lang w:val="en-GB"/>
        </w:rPr>
        <w:t xml:space="preserve"> and “content related aspects” are</w:t>
      </w:r>
      <w:r w:rsidRPr="00552C5F">
        <w:rPr>
          <w:rFonts w:asciiTheme="minorHAnsi" w:hAnsiTheme="minorHAnsi"/>
          <w:sz w:val="24"/>
          <w:szCs w:val="24"/>
          <w:lang w:val="en-GB"/>
        </w:rPr>
        <w:t xml:space="preserve"> not included in the final ITRs</w:t>
      </w:r>
      <w:r w:rsidR="008D4367">
        <w:rPr>
          <w:rFonts w:asciiTheme="minorHAnsi" w:hAnsiTheme="minorHAnsi"/>
          <w:sz w:val="24"/>
          <w:szCs w:val="24"/>
          <w:lang w:val="en-GB"/>
        </w:rPr>
        <w:t xml:space="preserve">. There is additional strengthening of the exclusion of content in provision 1.1a), which now </w:t>
      </w:r>
      <w:r w:rsidRPr="00552C5F">
        <w:rPr>
          <w:rFonts w:asciiTheme="minorHAnsi" w:hAnsiTheme="minorHAnsi"/>
          <w:sz w:val="24"/>
          <w:szCs w:val="24"/>
          <w:lang w:val="en-GB"/>
        </w:rPr>
        <w:t>states that “These Regulations do not address the content-related aspects of telecommunications”;</w:t>
      </w:r>
    </w:p>
    <w:p w:rsidR="00453D7A" w:rsidRPr="00552C5F" w:rsidRDefault="00453D7A" w:rsidP="008D4367">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The Treaty does not contain explicit references to Internet Governance or even to Internet. However, Internet is mentioned </w:t>
      </w:r>
      <w:r w:rsidR="008D4367">
        <w:rPr>
          <w:rFonts w:asciiTheme="minorHAnsi" w:hAnsiTheme="minorHAnsi"/>
          <w:sz w:val="24"/>
          <w:szCs w:val="24"/>
          <w:lang w:val="en-GB"/>
        </w:rPr>
        <w:t>in</w:t>
      </w:r>
      <w:r w:rsidRPr="00552C5F">
        <w:rPr>
          <w:rFonts w:asciiTheme="minorHAnsi" w:hAnsiTheme="minorHAnsi"/>
          <w:sz w:val="24"/>
          <w:szCs w:val="24"/>
          <w:lang w:val="en-GB"/>
        </w:rPr>
        <w:t xml:space="preserve"> </w:t>
      </w:r>
      <w:r w:rsidR="008D4367">
        <w:rPr>
          <w:rFonts w:asciiTheme="minorHAnsi" w:hAnsiTheme="minorHAnsi"/>
          <w:sz w:val="24"/>
          <w:szCs w:val="24"/>
          <w:lang w:val="en-GB"/>
        </w:rPr>
        <w:t xml:space="preserve">the </w:t>
      </w:r>
      <w:r w:rsidR="008D4367" w:rsidRPr="008D4367">
        <w:rPr>
          <w:rFonts w:asciiTheme="minorHAnsi" w:hAnsiTheme="minorHAnsi"/>
          <w:i/>
          <w:sz w:val="24"/>
          <w:szCs w:val="24"/>
          <w:lang w:val="en-GB"/>
        </w:rPr>
        <w:t>Resolution to foster an enabling environment for the greater growth of the Internet</w:t>
      </w:r>
      <w:r w:rsidRPr="00552C5F">
        <w:rPr>
          <w:rFonts w:asciiTheme="minorHAnsi" w:hAnsiTheme="minorHAnsi"/>
          <w:sz w:val="24"/>
          <w:szCs w:val="24"/>
          <w:lang w:val="en-GB"/>
        </w:rPr>
        <w:t xml:space="preserve"> and some Member States indicated that the Treaty has implicit references to Internet (</w:t>
      </w:r>
      <w:r w:rsidRPr="00552C5F">
        <w:rPr>
          <w:rFonts w:asciiTheme="minorHAnsi" w:hAnsiTheme="minorHAnsi"/>
          <w:i/>
          <w:sz w:val="24"/>
          <w:szCs w:val="24"/>
          <w:lang w:val="en-GB"/>
        </w:rPr>
        <w:t>see controversial outcomes</w:t>
      </w:r>
      <w:r w:rsidRPr="00552C5F">
        <w:rPr>
          <w:rFonts w:asciiTheme="minorHAnsi" w:hAnsiTheme="minorHAnsi"/>
          <w:sz w:val="24"/>
          <w:szCs w:val="24"/>
          <w:lang w:val="en-GB"/>
        </w:rPr>
        <w:t xml:space="preserve">). </w:t>
      </w:r>
    </w:p>
    <w:p w:rsidR="00453D7A" w:rsidRPr="00552C5F" w:rsidRDefault="00453D7A" w:rsidP="00986220">
      <w:pPr>
        <w:tabs>
          <w:tab w:val="left" w:pos="1418"/>
        </w:tabs>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sz w:val="24"/>
          <w:szCs w:val="24"/>
          <w:lang w:val="en-GB" w:eastAsia="zh-CN"/>
        </w:rPr>
        <w:t xml:space="preserve">The European Union </w:t>
      </w:r>
      <w:r w:rsidR="00D42278" w:rsidRPr="00552C5F">
        <w:rPr>
          <w:rFonts w:asciiTheme="minorHAnsi" w:eastAsiaTheme="minorEastAsia" w:hAnsiTheme="minorHAnsi" w:cs="Calibri"/>
          <w:sz w:val="24"/>
          <w:szCs w:val="24"/>
          <w:lang w:val="en-GB" w:eastAsia="zh-CN"/>
        </w:rPr>
        <w:t>is conducting</w:t>
      </w:r>
      <w:r w:rsidRPr="00552C5F">
        <w:rPr>
          <w:rFonts w:asciiTheme="minorHAnsi" w:eastAsiaTheme="minorEastAsia" w:hAnsiTheme="minorHAnsi" w:cs="Calibri"/>
          <w:sz w:val="24"/>
          <w:szCs w:val="24"/>
          <w:lang w:val="en-GB" w:eastAsia="zh-CN"/>
        </w:rPr>
        <w:t xml:space="preserve"> a legal analysis on possible conflicts between the WCIT Final Acts and the Council Decision of 29 November and the EU </w:t>
      </w:r>
      <w:proofErr w:type="spellStart"/>
      <w:r w:rsidRPr="00552C5F">
        <w:rPr>
          <w:rFonts w:asciiTheme="minorHAnsi" w:eastAsiaTheme="minorEastAsia" w:hAnsiTheme="minorHAnsi" w:cs="Calibri"/>
          <w:i/>
          <w:sz w:val="24"/>
          <w:szCs w:val="24"/>
          <w:lang w:val="en-GB" w:eastAsia="zh-CN"/>
        </w:rPr>
        <w:t>acquis</w:t>
      </w:r>
      <w:proofErr w:type="spellEnd"/>
      <w:r w:rsidRPr="00552C5F">
        <w:rPr>
          <w:rFonts w:asciiTheme="minorHAnsi" w:eastAsiaTheme="minorEastAsia" w:hAnsiTheme="minorHAnsi" w:cs="Calibri"/>
          <w:sz w:val="24"/>
          <w:szCs w:val="24"/>
          <w:lang w:val="en-GB" w:eastAsia="zh-CN"/>
        </w:rPr>
        <w:t xml:space="preserve">. </w:t>
      </w:r>
      <w:r w:rsidRPr="00552C5F">
        <w:rPr>
          <w:rFonts w:asciiTheme="minorHAnsi" w:eastAsiaTheme="minorEastAsia" w:hAnsiTheme="minorHAnsi" w:cs="Calibri"/>
          <w:sz w:val="24"/>
          <w:szCs w:val="24"/>
          <w:highlight w:val="yellow"/>
          <w:lang w:val="en-GB" w:eastAsia="zh-CN"/>
        </w:rPr>
        <w:t>Thus the observance of CEPT Criterion 3 is yet to be confirmed</w:t>
      </w:r>
      <w:r w:rsidR="00C67508" w:rsidRPr="00552C5F">
        <w:rPr>
          <w:rFonts w:asciiTheme="minorHAnsi" w:eastAsiaTheme="minorEastAsia" w:hAnsiTheme="minorHAnsi" w:cs="Calibri"/>
          <w:sz w:val="24"/>
          <w:szCs w:val="24"/>
          <w:highlight w:val="yellow"/>
          <w:lang w:val="en-GB" w:eastAsia="zh-CN"/>
        </w:rPr>
        <w:t xml:space="preserve"> (TO BE UPDATED CLOSER TO THE MEETING)</w:t>
      </w:r>
      <w:r w:rsidRPr="00552C5F">
        <w:rPr>
          <w:rFonts w:asciiTheme="minorHAnsi" w:eastAsiaTheme="minorEastAsia" w:hAnsiTheme="minorHAnsi" w:cs="Calibri"/>
          <w:sz w:val="24"/>
          <w:szCs w:val="24"/>
          <w:highlight w:val="yellow"/>
          <w:lang w:val="en-GB" w:eastAsia="zh-CN"/>
        </w:rPr>
        <w:t>.</w:t>
      </w:r>
      <w:r w:rsidRPr="00552C5F">
        <w:rPr>
          <w:rFonts w:asciiTheme="minorHAnsi" w:eastAsiaTheme="minorEastAsia" w:hAnsiTheme="minorHAnsi" w:cs="Calibri"/>
          <w:sz w:val="24"/>
          <w:szCs w:val="24"/>
          <w:lang w:val="en-GB" w:eastAsia="zh-CN"/>
        </w:rPr>
        <w:t xml:space="preserve"> </w:t>
      </w:r>
    </w:p>
    <w:p w:rsidR="00453D7A" w:rsidRPr="00552C5F" w:rsidRDefault="00453D7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Yet, on the positive side a number of </w:t>
      </w:r>
      <w:r w:rsidR="00986220" w:rsidRPr="00552C5F">
        <w:rPr>
          <w:rFonts w:asciiTheme="minorHAnsi" w:hAnsiTheme="minorHAnsi"/>
          <w:sz w:val="24"/>
          <w:szCs w:val="24"/>
          <w:lang w:val="en-GB"/>
        </w:rPr>
        <w:t>problematic</w:t>
      </w:r>
      <w:r w:rsidRPr="00552C5F">
        <w:rPr>
          <w:rFonts w:asciiTheme="minorHAnsi" w:hAnsiTheme="minorHAnsi"/>
          <w:sz w:val="24"/>
          <w:szCs w:val="24"/>
          <w:lang w:val="en-GB"/>
        </w:rPr>
        <w:t xml:space="preserve"> proposals, which were not supported by CEPT, have not been included in the Final Acts, such as:</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New definition </w:t>
      </w:r>
      <w:r w:rsidR="00986220" w:rsidRPr="00552C5F">
        <w:rPr>
          <w:rFonts w:asciiTheme="minorHAnsi" w:hAnsiTheme="minorHAnsi"/>
          <w:sz w:val="24"/>
          <w:szCs w:val="24"/>
          <w:lang w:val="en-GB"/>
        </w:rPr>
        <w:t xml:space="preserve">of </w:t>
      </w:r>
      <w:r w:rsidRPr="00552C5F">
        <w:rPr>
          <w:rFonts w:asciiTheme="minorHAnsi" w:hAnsiTheme="minorHAnsi"/>
          <w:sz w:val="24"/>
          <w:szCs w:val="24"/>
          <w:lang w:val="en-GB"/>
        </w:rPr>
        <w:t>“ICT”;</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Information on traffic routing;</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Naming, identification and addressing resources;</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Cost orientation of prices;</w:t>
      </w:r>
    </w:p>
    <w:p w:rsidR="00453D7A" w:rsidRPr="00552C5F" w:rsidRDefault="00453D7A" w:rsidP="00986220">
      <w:pPr>
        <w:numPr>
          <w:ilvl w:val="0"/>
          <w:numId w:val="5"/>
        </w:numPr>
        <w:autoSpaceDE w:val="0"/>
        <w:autoSpaceDN w:val="0"/>
        <w:adjustRightInd w:val="0"/>
        <w:spacing w:before="120"/>
        <w:jc w:val="both"/>
        <w:rPr>
          <w:rFonts w:asciiTheme="minorHAnsi" w:hAnsiTheme="minorHAnsi"/>
          <w:sz w:val="24"/>
          <w:szCs w:val="24"/>
          <w:lang w:val="en-GB"/>
        </w:rPr>
      </w:pPr>
      <w:r w:rsidRPr="00552C5F">
        <w:rPr>
          <w:rFonts w:asciiTheme="minorHAnsi" w:hAnsiTheme="minorHAnsi"/>
          <w:sz w:val="24"/>
          <w:szCs w:val="24"/>
          <w:lang w:val="en-GB"/>
        </w:rPr>
        <w:t>Principles of fair compensation and differentiated quality of service.</w:t>
      </w:r>
    </w:p>
    <w:p w:rsidR="007B0E58" w:rsidRPr="00552C5F" w:rsidRDefault="007B0E58" w:rsidP="007B0E58">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Finally, the revised ITRs may </w:t>
      </w:r>
      <w:r w:rsidR="00D42278" w:rsidRPr="00552C5F">
        <w:rPr>
          <w:rFonts w:asciiTheme="minorHAnsi" w:hAnsiTheme="minorHAnsi"/>
          <w:sz w:val="24"/>
          <w:szCs w:val="24"/>
          <w:lang w:val="en-GB"/>
        </w:rPr>
        <w:t xml:space="preserve">encourage some ITU Member States and regulators to address issues such as </w:t>
      </w:r>
      <w:r w:rsidR="008D4367">
        <w:rPr>
          <w:rFonts w:asciiTheme="minorHAnsi" w:hAnsiTheme="minorHAnsi"/>
          <w:sz w:val="24"/>
          <w:szCs w:val="24"/>
          <w:lang w:val="en-GB"/>
        </w:rPr>
        <w:t xml:space="preserve">excessive </w:t>
      </w:r>
      <w:r w:rsidR="00D42278" w:rsidRPr="00552C5F">
        <w:rPr>
          <w:rFonts w:asciiTheme="minorHAnsi" w:hAnsiTheme="minorHAnsi"/>
          <w:sz w:val="24"/>
          <w:szCs w:val="24"/>
          <w:lang w:val="en-GB"/>
        </w:rPr>
        <w:t xml:space="preserve">international roaming prices or </w:t>
      </w:r>
      <w:r w:rsidR="008D4367">
        <w:rPr>
          <w:rFonts w:asciiTheme="minorHAnsi" w:hAnsiTheme="minorHAnsi"/>
          <w:sz w:val="24"/>
          <w:szCs w:val="24"/>
          <w:lang w:val="en-GB"/>
        </w:rPr>
        <w:t>misu</w:t>
      </w:r>
      <w:r w:rsidR="00D42278" w:rsidRPr="00552C5F">
        <w:rPr>
          <w:rFonts w:asciiTheme="minorHAnsi" w:hAnsiTheme="minorHAnsi"/>
          <w:sz w:val="24"/>
          <w:szCs w:val="24"/>
          <w:lang w:val="en-GB"/>
        </w:rPr>
        <w:t>se of numbering resources.</w:t>
      </w:r>
    </w:p>
    <w:p w:rsidR="008D4367" w:rsidRDefault="008D4367" w:rsidP="00986220">
      <w:pPr>
        <w:spacing w:before="120"/>
        <w:rPr>
          <w:rFonts w:asciiTheme="minorHAnsi" w:hAnsiTheme="minorHAnsi"/>
          <w:i/>
          <w:sz w:val="24"/>
          <w:szCs w:val="24"/>
          <w:lang w:val="en-GB"/>
        </w:rPr>
      </w:pPr>
    </w:p>
    <w:p w:rsidR="003E4156" w:rsidRPr="00552C5F" w:rsidRDefault="003E4156" w:rsidP="00986220">
      <w:pPr>
        <w:spacing w:before="120"/>
        <w:rPr>
          <w:rFonts w:asciiTheme="minorHAnsi" w:hAnsiTheme="minorHAnsi"/>
          <w:i/>
          <w:sz w:val="24"/>
          <w:szCs w:val="24"/>
          <w:lang w:val="en-GB"/>
        </w:rPr>
      </w:pPr>
      <w:r w:rsidRPr="00552C5F">
        <w:rPr>
          <w:rFonts w:asciiTheme="minorHAnsi" w:hAnsiTheme="minorHAnsi"/>
          <w:i/>
          <w:sz w:val="24"/>
          <w:szCs w:val="24"/>
          <w:lang w:val="en-GB"/>
        </w:rPr>
        <w:t>Controversial outcomes</w:t>
      </w:r>
    </w:p>
    <w:p w:rsidR="00892AF3" w:rsidRPr="00552C5F" w:rsidRDefault="00892AF3"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A number</w:t>
      </w:r>
      <w:r w:rsidR="00453D7A" w:rsidRPr="00552C5F">
        <w:rPr>
          <w:rFonts w:asciiTheme="minorHAnsi" w:hAnsiTheme="minorHAnsi"/>
          <w:sz w:val="24"/>
          <w:szCs w:val="24"/>
          <w:lang w:val="en-GB"/>
        </w:rPr>
        <w:t xml:space="preserve"> of provisions included in the F</w:t>
      </w:r>
      <w:r w:rsidRPr="00552C5F">
        <w:rPr>
          <w:rFonts w:asciiTheme="minorHAnsi" w:hAnsiTheme="minorHAnsi"/>
          <w:sz w:val="24"/>
          <w:szCs w:val="24"/>
          <w:lang w:val="en-GB"/>
        </w:rPr>
        <w:t xml:space="preserve">inal Acts </w:t>
      </w:r>
      <w:r w:rsidR="008D4367">
        <w:rPr>
          <w:rFonts w:asciiTheme="minorHAnsi" w:hAnsiTheme="minorHAnsi"/>
          <w:sz w:val="24"/>
          <w:szCs w:val="24"/>
          <w:lang w:val="en-GB"/>
        </w:rPr>
        <w:t>is</w:t>
      </w:r>
      <w:r w:rsidRPr="00552C5F">
        <w:rPr>
          <w:rFonts w:asciiTheme="minorHAnsi" w:hAnsiTheme="minorHAnsi"/>
          <w:sz w:val="24"/>
          <w:szCs w:val="24"/>
          <w:lang w:val="en-GB"/>
        </w:rPr>
        <w:t xml:space="preserve"> considered controversial by some Member States, including:</w:t>
      </w:r>
    </w:p>
    <w:p w:rsidR="00D623B2" w:rsidRPr="00552C5F" w:rsidRDefault="00D623B2" w:rsidP="00986220">
      <w:pPr>
        <w:spacing w:before="120"/>
        <w:rPr>
          <w:rFonts w:asciiTheme="minorHAnsi" w:hAnsiTheme="minorHAnsi"/>
          <w:sz w:val="24"/>
          <w:szCs w:val="24"/>
          <w:lang w:val="en-GB"/>
        </w:rPr>
      </w:pPr>
      <w:r w:rsidRPr="00552C5F">
        <w:rPr>
          <w:rFonts w:asciiTheme="minorHAnsi" w:hAnsiTheme="minorHAnsi"/>
          <w:sz w:val="24"/>
          <w:szCs w:val="24"/>
          <w:lang w:val="en-GB"/>
        </w:rPr>
        <w:t xml:space="preserve">   </w:t>
      </w:r>
    </w:p>
    <w:p w:rsidR="007F05C4" w:rsidRPr="00552C5F" w:rsidRDefault="007F05C4" w:rsidP="00986220">
      <w:pPr>
        <w:pStyle w:val="Nagwek2"/>
        <w:spacing w:before="120"/>
        <w:rPr>
          <w:lang w:val="en-GB"/>
        </w:rPr>
      </w:pPr>
      <w:bookmarkStart w:id="1" w:name="_Toc345343939"/>
      <w:r w:rsidRPr="00552C5F">
        <w:rPr>
          <w:lang w:val="en-GB"/>
        </w:rPr>
        <w:t>Pre</w:t>
      </w:r>
      <w:bookmarkEnd w:id="1"/>
      <w:r w:rsidR="0028028C" w:rsidRPr="00552C5F">
        <w:rPr>
          <w:lang w:val="en-GB"/>
        </w:rPr>
        <w:t>amble</w:t>
      </w:r>
    </w:p>
    <w:p w:rsidR="0028028C" w:rsidRPr="00552C5F" w:rsidRDefault="00E024A6"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The drafting of the Preamble was one of the most controversial</w:t>
      </w:r>
      <w:r w:rsidR="008D4367">
        <w:rPr>
          <w:rFonts w:asciiTheme="minorHAnsi" w:hAnsiTheme="minorHAnsi"/>
          <w:sz w:val="24"/>
          <w:szCs w:val="24"/>
          <w:lang w:val="en-GB"/>
        </w:rPr>
        <w:t xml:space="preserve"> and difficult tasks</w:t>
      </w:r>
      <w:r w:rsidRPr="00552C5F">
        <w:rPr>
          <w:rFonts w:asciiTheme="minorHAnsi" w:hAnsiTheme="minorHAnsi"/>
          <w:sz w:val="24"/>
          <w:szCs w:val="24"/>
          <w:lang w:val="en-GB"/>
        </w:rPr>
        <w:t xml:space="preserve"> during WCIT-12 and one of the</w:t>
      </w:r>
      <w:r w:rsidR="008D4367">
        <w:rPr>
          <w:rFonts w:asciiTheme="minorHAnsi" w:hAnsiTheme="minorHAnsi"/>
          <w:sz w:val="24"/>
          <w:szCs w:val="24"/>
          <w:lang w:val="en-GB"/>
        </w:rPr>
        <w:t xml:space="preserve"> key</w:t>
      </w:r>
      <w:r w:rsidRPr="00552C5F">
        <w:rPr>
          <w:rFonts w:asciiTheme="minorHAnsi" w:hAnsiTheme="minorHAnsi"/>
          <w:sz w:val="24"/>
          <w:szCs w:val="24"/>
          <w:lang w:val="en-GB"/>
        </w:rPr>
        <w:t xml:space="preserve"> elements</w:t>
      </w:r>
      <w:r w:rsidR="008D4367">
        <w:rPr>
          <w:rFonts w:asciiTheme="minorHAnsi" w:hAnsiTheme="minorHAnsi"/>
          <w:sz w:val="24"/>
          <w:szCs w:val="24"/>
          <w:lang w:val="en-GB"/>
        </w:rPr>
        <w:t>,</w:t>
      </w:r>
      <w:r w:rsidRPr="00552C5F">
        <w:rPr>
          <w:rFonts w:asciiTheme="minorHAnsi" w:hAnsiTheme="minorHAnsi"/>
          <w:sz w:val="24"/>
          <w:szCs w:val="24"/>
          <w:lang w:val="en-GB"/>
        </w:rPr>
        <w:t xml:space="preserve"> which prevented some Member States </w:t>
      </w:r>
      <w:r w:rsidR="00D42278" w:rsidRPr="00552C5F">
        <w:rPr>
          <w:rFonts w:asciiTheme="minorHAnsi" w:hAnsiTheme="minorHAnsi"/>
          <w:sz w:val="24"/>
          <w:szCs w:val="24"/>
          <w:lang w:val="en-GB"/>
        </w:rPr>
        <w:t>from</w:t>
      </w:r>
      <w:r w:rsidRPr="00552C5F">
        <w:rPr>
          <w:rFonts w:asciiTheme="minorHAnsi" w:hAnsiTheme="minorHAnsi"/>
          <w:sz w:val="24"/>
          <w:szCs w:val="24"/>
          <w:lang w:val="en-GB"/>
        </w:rPr>
        <w:t xml:space="preserve"> sign</w:t>
      </w:r>
      <w:r w:rsidR="00D42278" w:rsidRPr="00552C5F">
        <w:rPr>
          <w:rFonts w:asciiTheme="minorHAnsi" w:hAnsiTheme="minorHAnsi"/>
          <w:sz w:val="24"/>
          <w:szCs w:val="24"/>
          <w:lang w:val="en-GB"/>
        </w:rPr>
        <w:t>ing</w:t>
      </w:r>
      <w:r w:rsidRPr="00552C5F">
        <w:rPr>
          <w:rFonts w:asciiTheme="minorHAnsi" w:hAnsiTheme="minorHAnsi"/>
          <w:sz w:val="24"/>
          <w:szCs w:val="24"/>
          <w:lang w:val="en-GB"/>
        </w:rPr>
        <w:t xml:space="preserve"> the revised Treaty. </w:t>
      </w:r>
    </w:p>
    <w:p w:rsidR="007F05C4" w:rsidRPr="00552C5F" w:rsidRDefault="0028028C"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lastRenderedPageBreak/>
        <w:t xml:space="preserve">The controversial topic was of a political nature. In spite of the fact that CEPT proposal on the Preamble </w:t>
      </w:r>
      <w:r w:rsidR="00A3716F" w:rsidRPr="00552C5F">
        <w:rPr>
          <w:rFonts w:asciiTheme="minorHAnsi" w:hAnsiTheme="minorHAnsi"/>
          <w:sz w:val="24"/>
          <w:szCs w:val="24"/>
          <w:lang w:val="en-GB"/>
        </w:rPr>
        <w:t>was a NOC, during the WCIT some Member States</w:t>
      </w:r>
      <w:r w:rsidR="00A3716F" w:rsidRPr="00552C5F">
        <w:rPr>
          <w:rFonts w:asciiTheme="minorHAnsi" w:hAnsiTheme="minorHAnsi"/>
          <w:sz w:val="24"/>
          <w:szCs w:val="24"/>
          <w:vertAlign w:val="superscript"/>
          <w:lang w:val="en-GB"/>
        </w:rPr>
        <w:footnoteReference w:id="1"/>
      </w:r>
      <w:r w:rsidR="00A3716F" w:rsidRPr="00552C5F">
        <w:rPr>
          <w:rFonts w:asciiTheme="minorHAnsi" w:hAnsiTheme="minorHAnsi"/>
          <w:sz w:val="24"/>
          <w:szCs w:val="24"/>
          <w:lang w:val="en-GB"/>
        </w:rPr>
        <w:t xml:space="preserve"> proposed an addition to the new sentence of the Preamble </w:t>
      </w:r>
      <w:r w:rsidR="007F05C4" w:rsidRPr="00552C5F">
        <w:rPr>
          <w:rFonts w:asciiTheme="minorHAnsi" w:hAnsiTheme="minorHAnsi"/>
          <w:sz w:val="24"/>
          <w:szCs w:val="24"/>
          <w:lang w:val="en-GB"/>
        </w:rPr>
        <w:t>(“</w:t>
      </w:r>
      <w:r w:rsidR="007F05C4" w:rsidRPr="00552C5F">
        <w:rPr>
          <w:rFonts w:asciiTheme="minorHAnsi" w:hAnsiTheme="minorHAnsi"/>
          <w:i/>
          <w:sz w:val="24"/>
          <w:szCs w:val="24"/>
          <w:lang w:val="en-GB"/>
        </w:rPr>
        <w:t>While implementing these Regulations Member States shall take into account their international obligations in relation to universal human rights</w:t>
      </w:r>
      <w:r w:rsidR="007F05C4" w:rsidRPr="00552C5F">
        <w:rPr>
          <w:rFonts w:asciiTheme="minorHAnsi" w:hAnsiTheme="minorHAnsi"/>
          <w:sz w:val="24"/>
          <w:szCs w:val="24"/>
          <w:lang w:val="en-GB"/>
        </w:rPr>
        <w:t xml:space="preserve">”). </w:t>
      </w:r>
      <w:r w:rsidR="00A3716F" w:rsidRPr="00552C5F">
        <w:rPr>
          <w:rFonts w:asciiTheme="minorHAnsi" w:hAnsiTheme="minorHAnsi"/>
          <w:sz w:val="24"/>
          <w:szCs w:val="24"/>
          <w:lang w:val="en-GB"/>
        </w:rPr>
        <w:t xml:space="preserve">This proposal was very </w:t>
      </w:r>
      <w:r w:rsidR="00A31213" w:rsidRPr="00552C5F">
        <w:rPr>
          <w:rFonts w:asciiTheme="minorHAnsi" w:hAnsiTheme="minorHAnsi"/>
          <w:sz w:val="24"/>
          <w:szCs w:val="24"/>
          <w:lang w:val="en-GB"/>
        </w:rPr>
        <w:t>contentious</w:t>
      </w:r>
      <w:r w:rsidR="00A3716F" w:rsidRPr="00552C5F">
        <w:rPr>
          <w:rFonts w:asciiTheme="minorHAnsi" w:hAnsiTheme="minorHAnsi"/>
          <w:sz w:val="24"/>
          <w:szCs w:val="24"/>
          <w:lang w:val="en-GB"/>
        </w:rPr>
        <w:t xml:space="preserve"> with strong opposition from some ITU Members.</w:t>
      </w:r>
    </w:p>
    <w:p w:rsidR="007F05C4" w:rsidRPr="00552C5F" w:rsidRDefault="00A3716F"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As a reaction to this proposal</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some Member States, including African countries and Iran,</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proposed in the final days of the</w:t>
      </w:r>
      <w:r w:rsidR="009F5A80" w:rsidRPr="00552C5F">
        <w:rPr>
          <w:rFonts w:asciiTheme="minorHAnsi" w:hAnsiTheme="minorHAnsi"/>
          <w:sz w:val="24"/>
          <w:szCs w:val="24"/>
          <w:lang w:val="en-GB"/>
        </w:rPr>
        <w:t xml:space="preserve"> WCIT-12 the addition of the following sentence</w:t>
      </w:r>
      <w:r w:rsidR="007F05C4" w:rsidRPr="00552C5F">
        <w:rPr>
          <w:rFonts w:asciiTheme="minorHAnsi" w:hAnsiTheme="minorHAnsi"/>
          <w:sz w:val="24"/>
          <w:szCs w:val="24"/>
          <w:lang w:val="en-GB"/>
        </w:rPr>
        <w:t>: “</w:t>
      </w:r>
      <w:r w:rsidR="007F05C4" w:rsidRPr="00552C5F">
        <w:rPr>
          <w:rFonts w:asciiTheme="minorHAnsi" w:hAnsiTheme="minorHAnsi"/>
          <w:i/>
          <w:sz w:val="24"/>
          <w:szCs w:val="24"/>
          <w:lang w:val="en-GB"/>
        </w:rPr>
        <w:t>These Regulations recognize the right of access of Member States to international telecommunication services</w:t>
      </w:r>
      <w:r w:rsidR="008D4367">
        <w:rPr>
          <w:rFonts w:asciiTheme="minorHAnsi" w:hAnsiTheme="minorHAnsi"/>
          <w:sz w:val="24"/>
          <w:szCs w:val="24"/>
          <w:lang w:val="en-GB"/>
        </w:rPr>
        <w:t>”. This provision was not acceptable to some Member States as they were concerned that this wording may alter the scope of human rights.</w:t>
      </w:r>
    </w:p>
    <w:p w:rsidR="00BF2B64" w:rsidRPr="00552C5F" w:rsidRDefault="00BF2B64" w:rsidP="00BF2B64">
      <w:pPr>
        <w:spacing w:before="120"/>
        <w:jc w:val="both"/>
        <w:rPr>
          <w:lang w:val="en-GB"/>
        </w:rPr>
      </w:pPr>
      <w:r>
        <w:rPr>
          <w:rFonts w:asciiTheme="minorHAnsi" w:hAnsiTheme="minorHAnsi"/>
          <w:sz w:val="24"/>
          <w:szCs w:val="24"/>
          <w:lang w:val="en-GB"/>
        </w:rPr>
        <w:t>This</w:t>
      </w:r>
      <w:r w:rsidRPr="00552C5F">
        <w:rPr>
          <w:rFonts w:asciiTheme="minorHAnsi" w:hAnsiTheme="minorHAnsi"/>
          <w:sz w:val="24"/>
          <w:szCs w:val="24"/>
          <w:lang w:val="en-GB"/>
        </w:rPr>
        <w:t xml:space="preserve"> particular sentence was included</w:t>
      </w:r>
      <w:r>
        <w:rPr>
          <w:rFonts w:asciiTheme="minorHAnsi" w:hAnsiTheme="minorHAnsi"/>
          <w:sz w:val="24"/>
          <w:szCs w:val="24"/>
          <w:lang w:val="en-GB"/>
        </w:rPr>
        <w:t xml:space="preserve"> in the Preamble</w:t>
      </w:r>
      <w:r w:rsidRPr="00552C5F">
        <w:rPr>
          <w:rFonts w:asciiTheme="minorHAnsi" w:hAnsiTheme="minorHAnsi"/>
          <w:sz w:val="24"/>
          <w:szCs w:val="24"/>
          <w:lang w:val="en-GB"/>
        </w:rPr>
        <w:t xml:space="preserve"> after a voting procedure, which </w:t>
      </w:r>
      <w:r>
        <w:rPr>
          <w:rFonts w:asciiTheme="minorHAnsi" w:hAnsiTheme="minorHAnsi"/>
          <w:sz w:val="24"/>
          <w:szCs w:val="24"/>
          <w:lang w:val="en-GB"/>
        </w:rPr>
        <w:t xml:space="preserve">in CEPT’s opinion </w:t>
      </w:r>
      <w:r w:rsidRPr="00552C5F">
        <w:rPr>
          <w:rFonts w:asciiTheme="minorHAnsi" w:hAnsiTheme="minorHAnsi"/>
          <w:sz w:val="24"/>
          <w:szCs w:val="24"/>
          <w:lang w:val="en-GB"/>
        </w:rPr>
        <w:t>is not in line with</w:t>
      </w:r>
      <w:r>
        <w:rPr>
          <w:rFonts w:asciiTheme="minorHAnsi" w:hAnsiTheme="minorHAnsi"/>
          <w:sz w:val="24"/>
          <w:szCs w:val="24"/>
          <w:lang w:val="en-GB"/>
        </w:rPr>
        <w:t xml:space="preserve"> a consensus based organization </w:t>
      </w:r>
      <w:r w:rsidRPr="00552C5F">
        <w:rPr>
          <w:rFonts w:asciiTheme="minorHAnsi" w:hAnsiTheme="minorHAnsi"/>
          <w:sz w:val="24"/>
          <w:szCs w:val="24"/>
          <w:lang w:val="en-GB"/>
        </w:rPr>
        <w:t>as the ITU.</w:t>
      </w:r>
    </w:p>
    <w:p w:rsidR="00A3716F" w:rsidRPr="00552C5F" w:rsidRDefault="009F5A80"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Some CEPT Member State</w:t>
      </w:r>
      <w:r w:rsidR="00D42278" w:rsidRPr="00552C5F">
        <w:rPr>
          <w:rFonts w:asciiTheme="minorHAnsi" w:hAnsiTheme="minorHAnsi"/>
          <w:sz w:val="24"/>
          <w:szCs w:val="24"/>
          <w:lang w:val="en-GB"/>
        </w:rPr>
        <w:t>s</w:t>
      </w:r>
      <w:r w:rsidRPr="00552C5F">
        <w:rPr>
          <w:rFonts w:asciiTheme="minorHAnsi" w:hAnsiTheme="minorHAnsi"/>
          <w:sz w:val="24"/>
          <w:szCs w:val="24"/>
          <w:lang w:val="en-GB"/>
        </w:rPr>
        <w:t xml:space="preserve"> considered</w:t>
      </w:r>
      <w:r w:rsidR="00A3716F" w:rsidRPr="00552C5F">
        <w:rPr>
          <w:rFonts w:asciiTheme="minorHAnsi" w:hAnsiTheme="minorHAnsi"/>
          <w:sz w:val="24"/>
          <w:szCs w:val="24"/>
          <w:lang w:val="en-GB"/>
        </w:rPr>
        <w:t xml:space="preserve"> that the revised Preamble had an implicit reference to the Internet</w:t>
      </w:r>
      <w:r w:rsidRPr="00552C5F">
        <w:rPr>
          <w:rFonts w:asciiTheme="minorHAnsi" w:hAnsiTheme="minorHAnsi"/>
          <w:sz w:val="24"/>
          <w:szCs w:val="24"/>
          <w:lang w:val="en-GB"/>
        </w:rPr>
        <w:t>. In its preliminary assessment the European Commission indicated that the Preamble would conflict with the Council Decision of 29th November (</w:t>
      </w:r>
      <w:r w:rsidRPr="00552C5F">
        <w:rPr>
          <w:rFonts w:asciiTheme="minorHAnsi" w:hAnsiTheme="minorHAnsi"/>
          <w:b/>
          <w:sz w:val="24"/>
          <w:szCs w:val="24"/>
          <w:lang w:val="en-GB"/>
        </w:rPr>
        <w:t xml:space="preserve">Annex </w:t>
      </w:r>
      <w:r w:rsidR="00431AE6" w:rsidRPr="00552C5F">
        <w:rPr>
          <w:rFonts w:asciiTheme="minorHAnsi" w:hAnsiTheme="minorHAnsi"/>
          <w:b/>
          <w:sz w:val="24"/>
          <w:szCs w:val="24"/>
          <w:lang w:val="en-GB"/>
        </w:rPr>
        <w:t>3</w:t>
      </w:r>
      <w:r w:rsidRPr="00552C5F">
        <w:rPr>
          <w:rFonts w:asciiTheme="minorHAnsi" w:hAnsiTheme="minorHAnsi"/>
          <w:sz w:val="24"/>
          <w:szCs w:val="24"/>
          <w:lang w:val="en-GB"/>
        </w:rPr>
        <w:t xml:space="preserve">) as it would enlarge the scope of the ITRs. </w:t>
      </w:r>
      <w:r w:rsidR="00A3716F" w:rsidRPr="00552C5F">
        <w:rPr>
          <w:rFonts w:asciiTheme="minorHAnsi" w:hAnsiTheme="minorHAnsi"/>
          <w:sz w:val="24"/>
          <w:szCs w:val="24"/>
          <w:lang w:val="en-GB"/>
        </w:rPr>
        <w:t xml:space="preserve"> </w:t>
      </w:r>
    </w:p>
    <w:p w:rsidR="009F5A80" w:rsidRPr="00552C5F" w:rsidRDefault="009F5A80" w:rsidP="00986220">
      <w:pPr>
        <w:spacing w:before="120"/>
        <w:jc w:val="both"/>
        <w:rPr>
          <w:rFonts w:asciiTheme="minorHAnsi" w:hAnsiTheme="minorHAnsi"/>
          <w:sz w:val="24"/>
          <w:szCs w:val="24"/>
          <w:lang w:val="en-GB"/>
        </w:rPr>
      </w:pPr>
    </w:p>
    <w:p w:rsidR="009F5A80" w:rsidRPr="00552C5F" w:rsidRDefault="009F5A80" w:rsidP="00986220">
      <w:pPr>
        <w:pStyle w:val="Nagwek2"/>
        <w:spacing w:before="120"/>
        <w:rPr>
          <w:lang w:val="en-GB"/>
        </w:rPr>
      </w:pPr>
      <w:r w:rsidRPr="00552C5F">
        <w:rPr>
          <w:lang w:val="en-GB"/>
        </w:rPr>
        <w:t xml:space="preserve">Indirect Application of the Treaty </w:t>
      </w:r>
    </w:p>
    <w:p w:rsidR="00903FC3" w:rsidRPr="00552C5F" w:rsidRDefault="001B15C3"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There was a large consensus that the ITRs should directly apply to Member States. However, </w:t>
      </w:r>
      <w:r w:rsidR="00021FE5" w:rsidRPr="00552C5F">
        <w:rPr>
          <w:rFonts w:asciiTheme="minorHAnsi" w:hAnsiTheme="minorHAnsi"/>
          <w:sz w:val="24"/>
          <w:szCs w:val="24"/>
          <w:lang w:val="en-GB"/>
        </w:rPr>
        <w:t xml:space="preserve">the </w:t>
      </w:r>
      <w:r w:rsidR="00BF2B64">
        <w:rPr>
          <w:rFonts w:asciiTheme="minorHAnsi" w:hAnsiTheme="minorHAnsi"/>
          <w:sz w:val="24"/>
          <w:szCs w:val="24"/>
          <w:lang w:val="en-GB"/>
        </w:rPr>
        <w:t xml:space="preserve">question of </w:t>
      </w:r>
      <w:r w:rsidR="00021FE5" w:rsidRPr="00552C5F">
        <w:rPr>
          <w:rFonts w:asciiTheme="minorHAnsi" w:hAnsiTheme="minorHAnsi"/>
          <w:sz w:val="24"/>
          <w:szCs w:val="24"/>
          <w:lang w:val="en-GB"/>
        </w:rPr>
        <w:t>entities to which provisions of the ITRs would indirectly apply was a very controversial topic</w:t>
      </w:r>
      <w:r w:rsidR="000665A9" w:rsidRPr="00552C5F">
        <w:rPr>
          <w:rFonts w:asciiTheme="minorHAnsi" w:hAnsiTheme="minorHAnsi"/>
          <w:sz w:val="24"/>
          <w:szCs w:val="24"/>
          <w:lang w:val="en-GB"/>
        </w:rPr>
        <w:t xml:space="preserve">. </w:t>
      </w:r>
    </w:p>
    <w:p w:rsidR="00903FC3" w:rsidRPr="00552C5F" w:rsidRDefault="00021FE5"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As indicated in the “Structure of the Conference”</w:t>
      </w:r>
      <w:r w:rsidR="00BF2B64">
        <w:rPr>
          <w:rFonts w:asciiTheme="minorHAnsi" w:hAnsiTheme="minorHAnsi"/>
          <w:sz w:val="24"/>
          <w:szCs w:val="24"/>
          <w:lang w:val="en-GB"/>
        </w:rPr>
        <w:t xml:space="preserve"> an a</w:t>
      </w:r>
      <w:r w:rsidR="000665A9" w:rsidRPr="00552C5F">
        <w:rPr>
          <w:rFonts w:asciiTheme="minorHAnsi" w:hAnsiTheme="minorHAnsi"/>
          <w:sz w:val="24"/>
          <w:szCs w:val="24"/>
          <w:lang w:val="en-GB"/>
        </w:rPr>
        <w:t>d</w:t>
      </w:r>
      <w:r w:rsidR="00BF2B64">
        <w:rPr>
          <w:rFonts w:asciiTheme="minorHAnsi" w:hAnsiTheme="minorHAnsi"/>
          <w:sz w:val="24"/>
          <w:szCs w:val="24"/>
          <w:lang w:val="en-GB"/>
        </w:rPr>
        <w:t xml:space="preserve"> </w:t>
      </w:r>
      <w:r w:rsidR="000665A9" w:rsidRPr="00552C5F">
        <w:rPr>
          <w:rFonts w:asciiTheme="minorHAnsi" w:hAnsiTheme="minorHAnsi"/>
          <w:sz w:val="24"/>
          <w:szCs w:val="24"/>
          <w:lang w:val="en-GB"/>
        </w:rPr>
        <w:t xml:space="preserve">hoc </w:t>
      </w:r>
      <w:r w:rsidR="00BF2B64">
        <w:rPr>
          <w:rFonts w:asciiTheme="minorHAnsi" w:hAnsiTheme="minorHAnsi"/>
          <w:sz w:val="24"/>
          <w:szCs w:val="24"/>
          <w:lang w:val="en-GB"/>
        </w:rPr>
        <w:t>g</w:t>
      </w:r>
      <w:r w:rsidR="000665A9" w:rsidRPr="00552C5F">
        <w:rPr>
          <w:rFonts w:asciiTheme="minorHAnsi" w:hAnsiTheme="minorHAnsi"/>
          <w:sz w:val="24"/>
          <w:szCs w:val="24"/>
          <w:lang w:val="en-GB"/>
        </w:rPr>
        <w:t xml:space="preserve">roup of the Plenary was set up to discuss the issue. </w:t>
      </w:r>
      <w:r w:rsidR="00BF2B64">
        <w:rPr>
          <w:rFonts w:asciiTheme="minorHAnsi" w:hAnsiTheme="minorHAnsi"/>
          <w:sz w:val="24"/>
          <w:szCs w:val="24"/>
          <w:lang w:val="en-GB"/>
        </w:rPr>
        <w:t>During meetings of this g</w:t>
      </w:r>
      <w:r w:rsidR="000665A9" w:rsidRPr="00552C5F">
        <w:rPr>
          <w:rFonts w:asciiTheme="minorHAnsi" w:hAnsiTheme="minorHAnsi"/>
          <w:sz w:val="24"/>
          <w:szCs w:val="24"/>
          <w:lang w:val="en-GB"/>
        </w:rPr>
        <w:t>roup</w:t>
      </w:r>
      <w:r w:rsidR="00903FC3" w:rsidRPr="00552C5F">
        <w:rPr>
          <w:rFonts w:asciiTheme="minorHAnsi" w:hAnsiTheme="minorHAnsi"/>
          <w:sz w:val="24"/>
          <w:szCs w:val="24"/>
          <w:lang w:val="en-GB"/>
        </w:rPr>
        <w:t xml:space="preserve">, membership was mainly split between the terms “Recognised </w:t>
      </w:r>
      <w:r w:rsidR="00552C5F" w:rsidRPr="00552C5F">
        <w:rPr>
          <w:rFonts w:asciiTheme="minorHAnsi" w:hAnsiTheme="minorHAnsi"/>
          <w:sz w:val="24"/>
          <w:szCs w:val="24"/>
          <w:lang w:val="en-GB"/>
        </w:rPr>
        <w:t>Operating</w:t>
      </w:r>
      <w:r w:rsidR="00903FC3" w:rsidRPr="00552C5F">
        <w:rPr>
          <w:rFonts w:asciiTheme="minorHAnsi" w:hAnsiTheme="minorHAnsi"/>
          <w:sz w:val="24"/>
          <w:szCs w:val="24"/>
          <w:lang w:val="en-GB"/>
        </w:rPr>
        <w:t xml:space="preserve"> agency” (a term supported by </w:t>
      </w:r>
      <w:r w:rsidR="00BF2B64">
        <w:rPr>
          <w:rFonts w:asciiTheme="minorHAnsi" w:hAnsiTheme="minorHAnsi"/>
          <w:sz w:val="24"/>
          <w:szCs w:val="24"/>
          <w:lang w:val="en-GB"/>
        </w:rPr>
        <w:t xml:space="preserve">majority of </w:t>
      </w:r>
      <w:r w:rsidR="00903FC3" w:rsidRPr="00552C5F">
        <w:rPr>
          <w:rFonts w:asciiTheme="minorHAnsi" w:hAnsiTheme="minorHAnsi"/>
          <w:sz w:val="24"/>
          <w:szCs w:val="24"/>
          <w:lang w:val="en-GB"/>
        </w:rPr>
        <w:t>CEPT) and “Operating Agency”</w:t>
      </w:r>
      <w:r w:rsidR="00BF2B64">
        <w:rPr>
          <w:rFonts w:asciiTheme="minorHAnsi" w:hAnsiTheme="minorHAnsi"/>
          <w:sz w:val="24"/>
          <w:szCs w:val="24"/>
          <w:lang w:val="en-GB"/>
        </w:rPr>
        <w:t xml:space="preserve"> (supported by inter alia the Russian Federation, China, Iran)</w:t>
      </w:r>
      <w:r w:rsidR="00903FC3" w:rsidRPr="00552C5F">
        <w:rPr>
          <w:rFonts w:asciiTheme="minorHAnsi" w:hAnsiTheme="minorHAnsi"/>
          <w:sz w:val="24"/>
          <w:szCs w:val="24"/>
          <w:lang w:val="en-GB"/>
        </w:rPr>
        <w:t>.</w:t>
      </w:r>
    </w:p>
    <w:p w:rsidR="007F05C4" w:rsidRPr="00552C5F" w:rsidRDefault="00EF62FF" w:rsidP="00986220">
      <w:pPr>
        <w:spacing w:before="120"/>
        <w:jc w:val="both"/>
        <w:rPr>
          <w:rFonts w:asciiTheme="minorHAnsi" w:hAnsiTheme="minorHAnsi"/>
          <w:i/>
          <w:sz w:val="24"/>
          <w:szCs w:val="24"/>
          <w:lang w:val="en-GB"/>
        </w:rPr>
      </w:pPr>
      <w:r w:rsidRPr="00552C5F">
        <w:rPr>
          <w:rFonts w:asciiTheme="minorHAnsi" w:hAnsiTheme="minorHAnsi"/>
          <w:sz w:val="24"/>
          <w:szCs w:val="24"/>
          <w:lang w:val="en-GB"/>
        </w:rPr>
        <w:t>At the end, t</w:t>
      </w:r>
      <w:r w:rsidR="00903FC3" w:rsidRPr="00552C5F">
        <w:rPr>
          <w:rFonts w:asciiTheme="minorHAnsi" w:hAnsiTheme="minorHAnsi"/>
          <w:sz w:val="24"/>
          <w:szCs w:val="24"/>
          <w:lang w:val="en-GB"/>
        </w:rPr>
        <w:t>he term “Authorised Operating Agency” is used in the Final Acts and a definition is stated in a new provision in Article 1 of the Regulations</w:t>
      </w:r>
      <w:r w:rsidR="007F05C4" w:rsidRPr="00552C5F">
        <w:rPr>
          <w:rFonts w:asciiTheme="minorHAnsi" w:hAnsiTheme="minorHAnsi"/>
          <w:sz w:val="24"/>
          <w:szCs w:val="24"/>
          <w:lang w:val="en-GB"/>
        </w:rPr>
        <w:t xml:space="preserve"> (“</w:t>
      </w:r>
      <w:r w:rsidR="007F05C4" w:rsidRPr="00552C5F">
        <w:rPr>
          <w:rFonts w:asciiTheme="minorHAnsi" w:hAnsiTheme="minorHAnsi"/>
          <w:i/>
          <w:sz w:val="24"/>
          <w:szCs w:val="24"/>
          <w:lang w:val="en-GB"/>
        </w:rPr>
        <w:t>T</w:t>
      </w:r>
      <w:r w:rsidR="007F05C4" w:rsidRPr="00552C5F">
        <w:rPr>
          <w:rFonts w:asciiTheme="minorHAnsi" w:eastAsiaTheme="minorEastAsia" w:hAnsiTheme="minorHAnsi" w:cs="Calibri"/>
          <w:i/>
          <w:sz w:val="24"/>
          <w:szCs w:val="24"/>
          <w:lang w:val="en-GB" w:eastAsia="zh-CN"/>
        </w:rPr>
        <w:t>hese Regulations also contain provisions applicable to those operating agencies, authorized or recognized by a Member State, to establish, operate and engage in international telecommunications services to the public, hereinafter referred as "authorized operating agencies").</w:t>
      </w:r>
      <w:r w:rsidR="007F05C4" w:rsidRPr="00552C5F">
        <w:rPr>
          <w:rFonts w:asciiTheme="minorHAnsi" w:hAnsiTheme="minorHAnsi"/>
          <w:i/>
          <w:sz w:val="24"/>
          <w:szCs w:val="24"/>
          <w:lang w:val="en-GB"/>
        </w:rPr>
        <w:t xml:space="preserve"> </w:t>
      </w:r>
    </w:p>
    <w:p w:rsidR="00986220" w:rsidRPr="00552C5F" w:rsidRDefault="008D1E00"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Several CEPT Members indicated that the new term would be acceptable. However, some ITU Member States indicated that the term</w:t>
      </w:r>
      <w:r w:rsidR="007F05C4" w:rsidRPr="00552C5F">
        <w:rPr>
          <w:rFonts w:asciiTheme="minorHAnsi" w:hAnsiTheme="minorHAnsi"/>
          <w:sz w:val="24"/>
          <w:szCs w:val="24"/>
          <w:lang w:val="en-GB"/>
        </w:rPr>
        <w:t xml:space="preserve"> </w:t>
      </w:r>
      <w:r w:rsidR="007F05C4" w:rsidRPr="00552C5F">
        <w:rPr>
          <w:rFonts w:asciiTheme="minorHAnsi" w:hAnsiTheme="minorHAnsi"/>
          <w:i/>
          <w:sz w:val="24"/>
          <w:szCs w:val="24"/>
          <w:lang w:val="en-GB"/>
        </w:rPr>
        <w:t>Authorised Operating Agency</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could not be accepted as it would create ambiguity in terms of the application of the revised Treaty</w:t>
      </w:r>
      <w:r w:rsidR="007F05C4" w:rsidRPr="00552C5F">
        <w:rPr>
          <w:rFonts w:asciiTheme="minorHAnsi" w:hAnsiTheme="minorHAnsi"/>
          <w:sz w:val="24"/>
          <w:szCs w:val="24"/>
          <w:lang w:val="en-GB"/>
        </w:rPr>
        <w:t>.</w:t>
      </w:r>
    </w:p>
    <w:p w:rsidR="007F05C4" w:rsidRPr="00552C5F" w:rsidRDefault="007F05C4" w:rsidP="00986220">
      <w:pPr>
        <w:spacing w:before="120"/>
        <w:rPr>
          <w:lang w:val="en-GB"/>
        </w:rPr>
      </w:pPr>
    </w:p>
    <w:p w:rsidR="007F05C4" w:rsidRPr="00552C5F" w:rsidRDefault="00511369" w:rsidP="00986220">
      <w:pPr>
        <w:pStyle w:val="Nagwek2"/>
        <w:spacing w:before="120"/>
        <w:rPr>
          <w:lang w:val="en-GB"/>
        </w:rPr>
      </w:pPr>
      <w:bookmarkStart w:id="2" w:name="_Toc345343941"/>
      <w:r w:rsidRPr="00552C5F">
        <w:rPr>
          <w:lang w:val="en-GB"/>
        </w:rPr>
        <w:lastRenderedPageBreak/>
        <w:t>New Article</w:t>
      </w:r>
      <w:r w:rsidR="007F05C4" w:rsidRPr="00552C5F">
        <w:rPr>
          <w:lang w:val="en-GB"/>
        </w:rPr>
        <w:t xml:space="preserve"> 5A (Security and robustness of networks)</w:t>
      </w:r>
      <w:bookmarkEnd w:id="2"/>
    </w:p>
    <w:p w:rsidR="007F05C4" w:rsidRPr="00552C5F" w:rsidRDefault="00511369" w:rsidP="00986220">
      <w:pPr>
        <w:spacing w:before="120"/>
        <w:jc w:val="both"/>
        <w:rPr>
          <w:lang w:val="en-GB"/>
        </w:rPr>
      </w:pPr>
      <w:r w:rsidRPr="00552C5F">
        <w:rPr>
          <w:rFonts w:asciiTheme="minorHAnsi" w:hAnsiTheme="minorHAnsi"/>
          <w:sz w:val="24"/>
          <w:szCs w:val="24"/>
          <w:lang w:val="en-GB"/>
        </w:rPr>
        <w:t>The</w:t>
      </w:r>
      <w:r w:rsidR="00BF2B64">
        <w:rPr>
          <w:rFonts w:asciiTheme="minorHAnsi" w:hAnsiTheme="minorHAnsi"/>
          <w:sz w:val="24"/>
          <w:szCs w:val="24"/>
          <w:lang w:val="en-GB"/>
        </w:rPr>
        <w:t xml:space="preserve"> a</w:t>
      </w:r>
      <w:r w:rsidR="007F05C4" w:rsidRPr="00552C5F">
        <w:rPr>
          <w:rFonts w:asciiTheme="minorHAnsi" w:hAnsiTheme="minorHAnsi"/>
          <w:sz w:val="24"/>
          <w:szCs w:val="24"/>
          <w:lang w:val="en-GB"/>
        </w:rPr>
        <w:t>d</w:t>
      </w:r>
      <w:r w:rsidR="00BF2B64">
        <w:rPr>
          <w:rFonts w:asciiTheme="minorHAnsi" w:hAnsiTheme="minorHAnsi"/>
          <w:sz w:val="24"/>
          <w:szCs w:val="24"/>
          <w:lang w:val="en-GB"/>
        </w:rPr>
        <w:t xml:space="preserve"> </w:t>
      </w:r>
      <w:r w:rsidR="007F05C4" w:rsidRPr="00552C5F">
        <w:rPr>
          <w:rFonts w:asciiTheme="minorHAnsi" w:hAnsiTheme="minorHAnsi"/>
          <w:sz w:val="24"/>
          <w:szCs w:val="24"/>
          <w:lang w:val="en-GB"/>
        </w:rPr>
        <w:t xml:space="preserve">hoc </w:t>
      </w:r>
      <w:r w:rsidR="00BF2B64">
        <w:rPr>
          <w:rFonts w:asciiTheme="minorHAnsi" w:hAnsiTheme="minorHAnsi"/>
          <w:sz w:val="24"/>
          <w:szCs w:val="24"/>
          <w:lang w:val="en-GB"/>
        </w:rPr>
        <w:t>g</w:t>
      </w:r>
      <w:r w:rsidR="00C32B94" w:rsidRPr="00552C5F">
        <w:rPr>
          <w:rFonts w:asciiTheme="minorHAnsi" w:hAnsiTheme="minorHAnsi"/>
          <w:sz w:val="24"/>
          <w:szCs w:val="24"/>
          <w:lang w:val="en-GB"/>
        </w:rPr>
        <w:t xml:space="preserve">roup </w:t>
      </w:r>
      <w:r w:rsidR="00BF2B64">
        <w:rPr>
          <w:rFonts w:asciiTheme="minorHAnsi" w:hAnsiTheme="minorHAnsi"/>
          <w:sz w:val="24"/>
          <w:szCs w:val="24"/>
          <w:lang w:val="en-GB"/>
        </w:rPr>
        <w:t xml:space="preserve">on </w:t>
      </w:r>
      <w:proofErr w:type="spellStart"/>
      <w:r w:rsidR="00BF2B64">
        <w:rPr>
          <w:rFonts w:asciiTheme="minorHAnsi" w:hAnsiTheme="minorHAnsi"/>
          <w:sz w:val="24"/>
          <w:szCs w:val="24"/>
          <w:lang w:val="en-GB"/>
        </w:rPr>
        <w:t>cy</w:t>
      </w:r>
      <w:r w:rsidRPr="00552C5F">
        <w:rPr>
          <w:rFonts w:asciiTheme="minorHAnsi" w:hAnsiTheme="minorHAnsi"/>
          <w:sz w:val="24"/>
          <w:szCs w:val="24"/>
          <w:lang w:val="en-GB"/>
        </w:rPr>
        <w:t>bersecurity</w:t>
      </w:r>
      <w:proofErr w:type="spellEnd"/>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chaired by Brazil</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came out with the following outcome</w:t>
      </w:r>
      <w:r w:rsidR="007F05C4" w:rsidRPr="00552C5F">
        <w:rPr>
          <w:rFonts w:asciiTheme="minorHAnsi" w:hAnsiTheme="minorHAnsi"/>
          <w:sz w:val="24"/>
          <w:szCs w:val="24"/>
          <w:lang w:val="en-GB"/>
        </w:rPr>
        <w:t>:</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“ARTICLE 5A</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Bold"/>
          <w:b/>
          <w:bCs/>
          <w:i/>
          <w:sz w:val="24"/>
          <w:szCs w:val="24"/>
          <w:lang w:val="en-GB" w:eastAsia="zh-CN"/>
        </w:rPr>
      </w:pPr>
      <w:r w:rsidRPr="00552C5F">
        <w:rPr>
          <w:rFonts w:asciiTheme="minorHAnsi" w:eastAsiaTheme="minorEastAsia" w:hAnsiTheme="minorHAnsi" w:cs="Calibri,Bold"/>
          <w:b/>
          <w:bCs/>
          <w:i/>
          <w:sz w:val="24"/>
          <w:szCs w:val="24"/>
          <w:lang w:val="en-GB" w:eastAsia="zh-CN"/>
        </w:rPr>
        <w:t>Security and robustness of networks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i/>
          <w:sz w:val="24"/>
          <w:szCs w:val="24"/>
          <w:lang w:val="en-GB" w:eastAsia="zh-CN"/>
        </w:rPr>
        <w:t>Member States shall individually and collectively endeavour to ensure the security and robustness of international telecommunication networks in order to achieve effective use thereof and avoidance of technical harm thereto, as well as the harmonious development of international telecommunication services offered to the public</w:t>
      </w:r>
      <w:r w:rsidRPr="00552C5F">
        <w:rPr>
          <w:rFonts w:asciiTheme="minorHAnsi" w:eastAsiaTheme="minorEastAsia" w:hAnsiTheme="minorHAnsi" w:cs="Calibri"/>
          <w:sz w:val="24"/>
          <w:szCs w:val="24"/>
          <w:lang w:val="en-GB" w:eastAsia="zh-CN"/>
        </w:rPr>
        <w:t>”.</w:t>
      </w:r>
    </w:p>
    <w:p w:rsidR="007F05C4" w:rsidRPr="00552C5F" w:rsidRDefault="007F05C4" w:rsidP="00986220">
      <w:pPr>
        <w:spacing w:before="120"/>
        <w:jc w:val="both"/>
        <w:rPr>
          <w:rFonts w:eastAsiaTheme="minorEastAsia" w:cs="Calibri"/>
          <w:szCs w:val="24"/>
          <w:lang w:val="en-GB" w:eastAsia="zh-CN"/>
        </w:rPr>
      </w:pPr>
    </w:p>
    <w:p w:rsidR="007F05C4" w:rsidRPr="00552C5F" w:rsidRDefault="00511369"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In spite of the fact that this outcome was less overreaching than some proposals submitted to the WCIT </w:t>
      </w:r>
      <w:r w:rsidR="00BF2B64">
        <w:rPr>
          <w:rFonts w:asciiTheme="minorHAnsi" w:hAnsiTheme="minorHAnsi"/>
          <w:sz w:val="24"/>
          <w:szCs w:val="24"/>
          <w:lang w:val="en-GB"/>
        </w:rPr>
        <w:t xml:space="preserve">(mainly </w:t>
      </w:r>
      <w:r w:rsidRPr="00552C5F">
        <w:rPr>
          <w:rFonts w:asciiTheme="minorHAnsi" w:hAnsiTheme="minorHAnsi"/>
          <w:sz w:val="24"/>
          <w:szCs w:val="24"/>
          <w:lang w:val="en-GB"/>
        </w:rPr>
        <w:t xml:space="preserve">as it does not address </w:t>
      </w:r>
      <w:r w:rsidR="00EE55D5" w:rsidRPr="00552C5F">
        <w:rPr>
          <w:rFonts w:asciiTheme="minorHAnsi" w:hAnsiTheme="minorHAnsi"/>
          <w:sz w:val="24"/>
          <w:szCs w:val="24"/>
          <w:lang w:val="en-GB"/>
        </w:rPr>
        <w:t>cybercrime</w:t>
      </w:r>
      <w:r w:rsidRPr="00552C5F">
        <w:rPr>
          <w:rFonts w:asciiTheme="minorHAnsi" w:hAnsiTheme="minorHAnsi"/>
          <w:sz w:val="24"/>
          <w:szCs w:val="24"/>
          <w:lang w:val="en-GB"/>
        </w:rPr>
        <w:t xml:space="preserve"> issues</w:t>
      </w:r>
      <w:r w:rsidR="00BF2B64">
        <w:rPr>
          <w:rFonts w:asciiTheme="minorHAnsi" w:hAnsiTheme="minorHAnsi"/>
          <w:sz w:val="24"/>
          <w:szCs w:val="24"/>
          <w:lang w:val="en-GB"/>
        </w:rPr>
        <w:t>)</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some Member States</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considered that references to</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security in the context of the Treaty could be used by some regimes to reinforce control and/or barring of telecommunications</w:t>
      </w:r>
      <w:r w:rsidR="007F05C4" w:rsidRPr="00552C5F">
        <w:rPr>
          <w:rFonts w:asciiTheme="minorHAnsi" w:hAnsiTheme="minorHAnsi"/>
          <w:sz w:val="24"/>
          <w:szCs w:val="24"/>
          <w:lang w:val="en-GB"/>
        </w:rPr>
        <w:t>.</w:t>
      </w:r>
    </w:p>
    <w:p w:rsidR="007F05C4" w:rsidRPr="00552C5F" w:rsidRDefault="00511369" w:rsidP="00986220">
      <w:pPr>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It should be noted that CEPT proposed </w:t>
      </w:r>
      <w:r w:rsidR="00EF62FF" w:rsidRPr="00552C5F">
        <w:rPr>
          <w:rFonts w:asciiTheme="minorHAnsi" w:hAnsiTheme="minorHAnsi"/>
          <w:sz w:val="24"/>
          <w:szCs w:val="24"/>
          <w:lang w:val="en-GB"/>
        </w:rPr>
        <w:t>the inclusion of</w:t>
      </w:r>
      <w:r w:rsidRPr="00552C5F">
        <w:rPr>
          <w:rFonts w:asciiTheme="minorHAnsi" w:hAnsiTheme="minorHAnsi"/>
          <w:sz w:val="24"/>
          <w:szCs w:val="24"/>
          <w:lang w:val="en-GB"/>
        </w:rPr>
        <w:t xml:space="preserve"> a new provision under article 3 with the following text: </w:t>
      </w:r>
      <w:r w:rsidR="007F05C4" w:rsidRPr="00552C5F">
        <w:rPr>
          <w:rFonts w:asciiTheme="minorHAnsi" w:hAnsiTheme="minorHAnsi"/>
          <w:sz w:val="24"/>
          <w:szCs w:val="24"/>
          <w:lang w:val="en-GB"/>
        </w:rPr>
        <w:t>“</w:t>
      </w:r>
      <w:r w:rsidR="007F05C4" w:rsidRPr="00552C5F">
        <w:rPr>
          <w:rFonts w:asciiTheme="minorHAnsi" w:hAnsiTheme="minorHAnsi"/>
          <w:i/>
          <w:sz w:val="24"/>
          <w:szCs w:val="24"/>
          <w:lang w:val="en-GB"/>
        </w:rPr>
        <w:t>Member States should encourage recognized operating agencies to take measures to further robustness of their networks used for international telecommunication services</w:t>
      </w:r>
      <w:r w:rsidR="007F05C4" w:rsidRPr="00552C5F">
        <w:rPr>
          <w:rFonts w:asciiTheme="minorHAnsi" w:hAnsiTheme="minorHAnsi"/>
          <w:sz w:val="24"/>
          <w:szCs w:val="24"/>
          <w:lang w:val="en-GB"/>
        </w:rPr>
        <w:t>”.</w:t>
      </w:r>
    </w:p>
    <w:p w:rsidR="007F05C4" w:rsidRPr="00552C5F" w:rsidRDefault="007F05C4" w:rsidP="00986220">
      <w:pPr>
        <w:spacing w:before="120"/>
        <w:rPr>
          <w:lang w:val="en-GB"/>
        </w:rPr>
      </w:pPr>
      <w:r w:rsidRPr="00552C5F">
        <w:rPr>
          <w:lang w:val="en-GB"/>
        </w:rPr>
        <w:t xml:space="preserve">  </w:t>
      </w:r>
    </w:p>
    <w:p w:rsidR="007F05C4" w:rsidRPr="00552C5F" w:rsidRDefault="00C32B94" w:rsidP="00986220">
      <w:pPr>
        <w:pStyle w:val="Nagwek2"/>
        <w:spacing w:before="120"/>
        <w:rPr>
          <w:lang w:val="en-GB"/>
        </w:rPr>
      </w:pPr>
      <w:bookmarkStart w:id="3" w:name="_Toc345343942"/>
      <w:r w:rsidRPr="00552C5F">
        <w:rPr>
          <w:lang w:val="en-GB"/>
        </w:rPr>
        <w:t>New</w:t>
      </w:r>
      <w:r w:rsidR="007F05C4" w:rsidRPr="00552C5F">
        <w:rPr>
          <w:lang w:val="en-GB"/>
        </w:rPr>
        <w:t xml:space="preserve"> Arti</w:t>
      </w:r>
      <w:r w:rsidRPr="00552C5F">
        <w:rPr>
          <w:lang w:val="en-GB"/>
        </w:rPr>
        <w:t>cle</w:t>
      </w:r>
      <w:r w:rsidR="007F05C4" w:rsidRPr="00552C5F">
        <w:rPr>
          <w:lang w:val="en-GB"/>
        </w:rPr>
        <w:t xml:space="preserve"> 5B (Unsolicited bulk electronic communications)</w:t>
      </w:r>
      <w:bookmarkEnd w:id="3"/>
      <w:r w:rsidR="007F05C4" w:rsidRPr="00552C5F">
        <w:rPr>
          <w:lang w:val="en-GB"/>
        </w:rPr>
        <w:t xml:space="preserve"> </w:t>
      </w:r>
    </w:p>
    <w:p w:rsidR="007F05C4" w:rsidRPr="00552C5F" w:rsidRDefault="00C32B94" w:rsidP="00986220">
      <w:pPr>
        <w:spacing w:before="120"/>
        <w:jc w:val="both"/>
        <w:rPr>
          <w:rFonts w:eastAsiaTheme="minorEastAsia" w:cs="Calibri"/>
          <w:szCs w:val="24"/>
          <w:lang w:val="en-GB" w:eastAsia="zh-CN"/>
        </w:rPr>
      </w:pPr>
      <w:r w:rsidRPr="00552C5F">
        <w:rPr>
          <w:rFonts w:asciiTheme="minorHAnsi" w:eastAsiaTheme="minorEastAsia" w:hAnsiTheme="minorHAnsi" w:cs="Calibri"/>
          <w:sz w:val="24"/>
          <w:szCs w:val="24"/>
          <w:lang w:val="en-GB" w:eastAsia="zh-CN"/>
        </w:rPr>
        <w:t xml:space="preserve">As for </w:t>
      </w:r>
      <w:r w:rsidR="007F05C4" w:rsidRPr="00552C5F">
        <w:rPr>
          <w:rFonts w:asciiTheme="minorHAnsi" w:eastAsiaTheme="minorEastAsia" w:hAnsiTheme="minorHAnsi" w:cs="Calibri"/>
          <w:sz w:val="24"/>
          <w:szCs w:val="24"/>
          <w:lang w:val="en-GB" w:eastAsia="zh-CN"/>
        </w:rPr>
        <w:t xml:space="preserve">SPAM, </w:t>
      </w:r>
      <w:r w:rsidRPr="00552C5F">
        <w:rPr>
          <w:rFonts w:asciiTheme="minorHAnsi" w:eastAsiaTheme="minorEastAsia" w:hAnsiTheme="minorHAnsi" w:cs="Calibri"/>
          <w:sz w:val="24"/>
          <w:szCs w:val="24"/>
          <w:lang w:val="en-GB" w:eastAsia="zh-CN"/>
        </w:rPr>
        <w:t xml:space="preserve">the text which resulted from an </w:t>
      </w:r>
      <w:r w:rsidRPr="00BF2B64">
        <w:rPr>
          <w:rFonts w:asciiTheme="minorHAnsi" w:eastAsiaTheme="minorEastAsia" w:hAnsiTheme="minorHAnsi" w:cs="Calibri"/>
          <w:sz w:val="24"/>
          <w:szCs w:val="24"/>
          <w:lang w:val="en-GB" w:eastAsia="zh-CN"/>
        </w:rPr>
        <w:t>ad</w:t>
      </w:r>
      <w:r w:rsidR="00BF2B64" w:rsidRPr="00BF2B64">
        <w:rPr>
          <w:rFonts w:asciiTheme="minorHAnsi" w:eastAsiaTheme="minorEastAsia" w:hAnsiTheme="minorHAnsi" w:cs="Calibri"/>
          <w:sz w:val="24"/>
          <w:szCs w:val="24"/>
          <w:lang w:val="en-GB" w:eastAsia="zh-CN"/>
        </w:rPr>
        <w:t xml:space="preserve"> </w:t>
      </w:r>
      <w:r w:rsidRPr="00BF2B64">
        <w:rPr>
          <w:rFonts w:asciiTheme="minorHAnsi" w:eastAsiaTheme="minorEastAsia" w:hAnsiTheme="minorHAnsi" w:cs="Calibri"/>
          <w:sz w:val="24"/>
          <w:szCs w:val="24"/>
          <w:lang w:val="en-GB" w:eastAsia="zh-CN"/>
        </w:rPr>
        <w:t>hoc</w:t>
      </w:r>
      <w:r w:rsidRPr="00552C5F">
        <w:rPr>
          <w:rFonts w:asciiTheme="minorHAnsi" w:eastAsiaTheme="minorEastAsia" w:hAnsiTheme="minorHAnsi" w:cs="Calibri"/>
          <w:i/>
          <w:sz w:val="24"/>
          <w:szCs w:val="24"/>
          <w:lang w:val="en-GB" w:eastAsia="zh-CN"/>
        </w:rPr>
        <w:t xml:space="preserve"> </w:t>
      </w:r>
      <w:r w:rsidRPr="00552C5F">
        <w:rPr>
          <w:rFonts w:asciiTheme="minorHAnsi" w:eastAsiaTheme="minorEastAsia" w:hAnsiTheme="minorHAnsi" w:cs="Calibri"/>
          <w:sz w:val="24"/>
          <w:szCs w:val="24"/>
          <w:lang w:val="en-GB" w:eastAsia="zh-CN"/>
        </w:rPr>
        <w:t>group</w:t>
      </w:r>
      <w:r w:rsidR="00C67508" w:rsidRPr="00552C5F">
        <w:rPr>
          <w:rFonts w:asciiTheme="minorHAnsi" w:eastAsiaTheme="minorEastAsia" w:hAnsiTheme="minorHAnsi" w:cs="Calibri"/>
          <w:sz w:val="24"/>
          <w:szCs w:val="24"/>
          <w:lang w:val="en-GB" w:eastAsia="zh-CN"/>
        </w:rPr>
        <w:t>, chaired by Bulgaria,</w:t>
      </w:r>
      <w:r w:rsidRPr="00552C5F">
        <w:rPr>
          <w:rFonts w:asciiTheme="minorHAnsi" w:eastAsiaTheme="minorEastAsia" w:hAnsiTheme="minorHAnsi" w:cs="Calibri"/>
          <w:sz w:val="24"/>
          <w:szCs w:val="24"/>
          <w:lang w:val="en-GB" w:eastAsia="zh-CN"/>
        </w:rPr>
        <w:t xml:space="preserve"> was the following</w:t>
      </w:r>
      <w:r w:rsidR="007F05C4" w:rsidRPr="00552C5F">
        <w:rPr>
          <w:rFonts w:asciiTheme="minorHAnsi" w:eastAsiaTheme="minorEastAsia" w:hAnsiTheme="minorHAnsi" w:cs="Calibri"/>
          <w:sz w:val="24"/>
          <w:szCs w:val="24"/>
          <w:lang w:val="en-GB" w:eastAsia="zh-CN"/>
        </w:rPr>
        <w:t>:</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sz w:val="24"/>
          <w:szCs w:val="24"/>
          <w:lang w:val="en-GB" w:eastAsia="zh-CN"/>
        </w:rPr>
        <w:t>“</w:t>
      </w:r>
      <w:r w:rsidRPr="00552C5F">
        <w:rPr>
          <w:rFonts w:asciiTheme="minorHAnsi" w:eastAsiaTheme="minorEastAsia" w:hAnsiTheme="minorHAnsi" w:cs="Calibri"/>
          <w:i/>
          <w:sz w:val="24"/>
          <w:szCs w:val="24"/>
          <w:lang w:val="en-GB" w:eastAsia="zh-CN"/>
        </w:rPr>
        <w:t>ARTICLE 5B</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Bold"/>
          <w:b/>
          <w:bCs/>
          <w:i/>
          <w:sz w:val="24"/>
          <w:szCs w:val="24"/>
          <w:lang w:val="en-GB" w:eastAsia="zh-CN"/>
        </w:rPr>
      </w:pPr>
      <w:r w:rsidRPr="00552C5F">
        <w:rPr>
          <w:rFonts w:asciiTheme="minorHAnsi" w:eastAsiaTheme="minorEastAsia" w:hAnsiTheme="minorHAnsi" w:cs="Calibri,Bold"/>
          <w:b/>
          <w:bCs/>
          <w:i/>
          <w:sz w:val="24"/>
          <w:szCs w:val="24"/>
          <w:lang w:val="en-GB" w:eastAsia="zh-CN"/>
        </w:rPr>
        <w:t>Unsolicited bulk electronic communications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Member States should endeavour to take necessary measures to prevent the propagation of unsolicited bulk electronic communications and minimize its impact on international telecommunication services.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i/>
          <w:sz w:val="24"/>
          <w:szCs w:val="24"/>
          <w:lang w:val="en-GB" w:eastAsia="zh-CN"/>
        </w:rPr>
        <w:t>Member States are encouraged to cooperate in that sense</w:t>
      </w:r>
      <w:r w:rsidRPr="00552C5F">
        <w:rPr>
          <w:rFonts w:asciiTheme="minorHAnsi" w:eastAsiaTheme="minorEastAsia" w:hAnsiTheme="minorHAnsi" w:cs="Calibri"/>
          <w:sz w:val="24"/>
          <w:szCs w:val="24"/>
          <w:lang w:val="en-GB" w:eastAsia="zh-CN"/>
        </w:rPr>
        <w:t>”.</w:t>
      </w:r>
    </w:p>
    <w:p w:rsidR="007F05C4" w:rsidRPr="00552C5F" w:rsidRDefault="007F05C4" w:rsidP="00986220">
      <w:pPr>
        <w:spacing w:before="120"/>
        <w:jc w:val="both"/>
        <w:rPr>
          <w:rFonts w:eastAsiaTheme="minorEastAsia" w:cs="Calibri"/>
          <w:szCs w:val="24"/>
          <w:lang w:val="en-GB" w:eastAsia="zh-CN"/>
        </w:rPr>
      </w:pPr>
    </w:p>
    <w:p w:rsidR="007F05C4" w:rsidRPr="00552C5F" w:rsidRDefault="00C32B94" w:rsidP="00986220">
      <w:pP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sz w:val="24"/>
          <w:szCs w:val="24"/>
          <w:lang w:val="en-GB" w:eastAsia="zh-CN"/>
        </w:rPr>
        <w:t xml:space="preserve">Some Member States </w:t>
      </w:r>
      <w:r w:rsidR="000C2ECE" w:rsidRPr="00552C5F">
        <w:rPr>
          <w:rFonts w:asciiTheme="minorHAnsi" w:eastAsiaTheme="minorEastAsia" w:hAnsiTheme="minorHAnsi" w:cs="Calibri"/>
          <w:sz w:val="24"/>
          <w:szCs w:val="24"/>
          <w:lang w:val="en-GB" w:eastAsia="zh-CN"/>
        </w:rPr>
        <w:t xml:space="preserve">considered that the agreed text was related to content issues, even if </w:t>
      </w:r>
      <w:r w:rsidR="00BF2B64">
        <w:rPr>
          <w:rFonts w:asciiTheme="minorHAnsi" w:eastAsiaTheme="minorEastAsia" w:hAnsiTheme="minorHAnsi" w:cs="Calibri"/>
          <w:sz w:val="24"/>
          <w:szCs w:val="24"/>
          <w:lang w:val="en-GB" w:eastAsia="zh-CN"/>
        </w:rPr>
        <w:t>the</w:t>
      </w:r>
      <w:r w:rsidR="000C2ECE" w:rsidRPr="00552C5F">
        <w:rPr>
          <w:rFonts w:asciiTheme="minorHAnsi" w:eastAsiaTheme="minorEastAsia" w:hAnsiTheme="minorHAnsi" w:cs="Calibri"/>
          <w:sz w:val="24"/>
          <w:szCs w:val="24"/>
          <w:lang w:val="en-GB" w:eastAsia="zh-CN"/>
        </w:rPr>
        <w:t xml:space="preserve"> article</w:t>
      </w:r>
      <w:r w:rsidR="007F05C4" w:rsidRPr="00552C5F">
        <w:rPr>
          <w:rFonts w:asciiTheme="minorHAnsi" w:eastAsiaTheme="minorEastAsia" w:hAnsiTheme="minorHAnsi" w:cs="Calibri"/>
          <w:sz w:val="24"/>
          <w:szCs w:val="24"/>
          <w:lang w:val="en-GB" w:eastAsia="zh-CN"/>
        </w:rPr>
        <w:t xml:space="preserve"> 1.1.a) </w:t>
      </w:r>
      <w:r w:rsidR="000C2ECE" w:rsidRPr="00552C5F">
        <w:rPr>
          <w:rFonts w:asciiTheme="minorHAnsi" w:eastAsiaTheme="minorEastAsia" w:hAnsiTheme="minorHAnsi" w:cs="Calibri"/>
          <w:sz w:val="24"/>
          <w:szCs w:val="24"/>
          <w:lang w:val="en-GB" w:eastAsia="zh-CN"/>
        </w:rPr>
        <w:t>state</w:t>
      </w:r>
      <w:r w:rsidR="00BF2B64">
        <w:rPr>
          <w:rFonts w:asciiTheme="minorHAnsi" w:eastAsiaTheme="minorEastAsia" w:hAnsiTheme="minorHAnsi" w:cs="Calibri"/>
          <w:sz w:val="24"/>
          <w:szCs w:val="24"/>
          <w:lang w:val="en-GB" w:eastAsia="zh-CN"/>
        </w:rPr>
        <w:t>s</w:t>
      </w:r>
      <w:r w:rsidR="000C2ECE" w:rsidRPr="00552C5F">
        <w:rPr>
          <w:rFonts w:asciiTheme="minorHAnsi" w:eastAsiaTheme="minorEastAsia" w:hAnsiTheme="minorHAnsi" w:cs="Calibri"/>
          <w:sz w:val="24"/>
          <w:szCs w:val="24"/>
          <w:lang w:val="en-GB" w:eastAsia="zh-CN"/>
        </w:rPr>
        <w:t xml:space="preserve"> that </w:t>
      </w:r>
      <w:r w:rsidR="007F05C4" w:rsidRPr="00552C5F">
        <w:rPr>
          <w:rFonts w:asciiTheme="minorHAnsi" w:eastAsiaTheme="minorEastAsia" w:hAnsiTheme="minorHAnsi" w:cs="Calibri"/>
          <w:sz w:val="24"/>
          <w:szCs w:val="24"/>
          <w:lang w:val="en-GB" w:eastAsia="zh-CN"/>
        </w:rPr>
        <w:t>“</w:t>
      </w:r>
      <w:r w:rsidR="007F05C4" w:rsidRPr="00552C5F">
        <w:rPr>
          <w:rFonts w:asciiTheme="minorHAnsi" w:eastAsiaTheme="minorEastAsia" w:hAnsiTheme="minorHAnsi" w:cs="Calibri"/>
          <w:i/>
          <w:sz w:val="24"/>
          <w:szCs w:val="24"/>
          <w:lang w:val="en-GB" w:eastAsia="zh-CN"/>
        </w:rPr>
        <w:t>These Regulations do not address the content-related aspects of telecommunications</w:t>
      </w:r>
      <w:r w:rsidR="007F05C4" w:rsidRPr="00552C5F">
        <w:rPr>
          <w:rFonts w:asciiTheme="minorHAnsi" w:eastAsiaTheme="minorEastAsia" w:hAnsiTheme="minorHAnsi" w:cs="Calibri"/>
          <w:sz w:val="24"/>
          <w:szCs w:val="24"/>
          <w:lang w:val="en-GB" w:eastAsia="zh-CN"/>
        </w:rPr>
        <w:t>”.</w:t>
      </w:r>
    </w:p>
    <w:p w:rsidR="007F05C4" w:rsidRPr="00552C5F" w:rsidRDefault="000C2ECE" w:rsidP="00986220">
      <w:pP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sz w:val="24"/>
          <w:szCs w:val="24"/>
          <w:lang w:val="en-GB" w:eastAsia="zh-CN"/>
        </w:rPr>
        <w:t>In its ECP, CEPT advocated that SPAM related issues should not be included in the ITRs.</w:t>
      </w:r>
    </w:p>
    <w:p w:rsidR="007F05C4" w:rsidRPr="00552C5F" w:rsidRDefault="007F05C4" w:rsidP="00986220">
      <w:pPr>
        <w:spacing w:before="120"/>
        <w:rPr>
          <w:rFonts w:eastAsiaTheme="minorEastAsia"/>
          <w:lang w:val="en-GB" w:eastAsia="zh-CN"/>
        </w:rPr>
      </w:pPr>
    </w:p>
    <w:p w:rsidR="007F05C4" w:rsidRPr="00552C5F" w:rsidRDefault="000C2ECE" w:rsidP="00986220">
      <w:pPr>
        <w:pStyle w:val="Nagwek2"/>
        <w:spacing w:before="120"/>
        <w:rPr>
          <w:lang w:val="en-GB" w:eastAsia="zh-CN"/>
        </w:rPr>
      </w:pPr>
      <w:bookmarkStart w:id="4" w:name="_Toc345343943"/>
      <w:r w:rsidRPr="00552C5F">
        <w:rPr>
          <w:lang w:val="en-GB"/>
        </w:rPr>
        <w:t>New Resolution</w:t>
      </w:r>
      <w:r w:rsidR="00BF2B64">
        <w:rPr>
          <w:lang w:val="en-GB"/>
        </w:rPr>
        <w:t xml:space="preserve"> 3 (t</w:t>
      </w:r>
      <w:r w:rsidR="007F05C4" w:rsidRPr="00552C5F">
        <w:rPr>
          <w:lang w:val="en-GB"/>
        </w:rPr>
        <w:t>o foster an enabling environment for the greater growth of the Internet)</w:t>
      </w:r>
      <w:bookmarkEnd w:id="4"/>
    </w:p>
    <w:p w:rsidR="007F05C4" w:rsidRPr="00552C5F" w:rsidRDefault="00BF2B64" w:rsidP="00986220">
      <w:pPr>
        <w:spacing w:before="120"/>
        <w:jc w:val="both"/>
        <w:rPr>
          <w:rFonts w:asciiTheme="minorHAnsi" w:eastAsiaTheme="minorEastAsia" w:hAnsiTheme="minorHAnsi" w:cs="Calibri"/>
          <w:sz w:val="24"/>
          <w:szCs w:val="24"/>
          <w:lang w:val="en-GB" w:eastAsia="zh-CN"/>
        </w:rPr>
      </w:pPr>
      <w:r>
        <w:rPr>
          <w:rFonts w:asciiTheme="minorHAnsi" w:eastAsiaTheme="minorEastAsia" w:hAnsiTheme="minorHAnsi" w:cs="Calibri"/>
          <w:sz w:val="24"/>
          <w:szCs w:val="24"/>
          <w:lang w:val="en-GB" w:eastAsia="zh-CN"/>
        </w:rPr>
        <w:t xml:space="preserve">The </w:t>
      </w:r>
      <w:r w:rsidR="00EE55D5" w:rsidRPr="00552C5F">
        <w:rPr>
          <w:rFonts w:asciiTheme="minorHAnsi" w:eastAsiaTheme="minorEastAsia" w:hAnsiTheme="minorHAnsi" w:cs="Calibri"/>
          <w:sz w:val="24"/>
          <w:szCs w:val="24"/>
          <w:lang w:val="en-GB" w:eastAsia="zh-CN"/>
        </w:rPr>
        <w:t xml:space="preserve">Internet Governance was a key </w:t>
      </w:r>
      <w:r>
        <w:rPr>
          <w:rFonts w:asciiTheme="minorHAnsi" w:eastAsiaTheme="minorEastAsia" w:hAnsiTheme="minorHAnsi" w:cs="Calibri"/>
          <w:sz w:val="24"/>
          <w:szCs w:val="24"/>
          <w:lang w:val="en-GB" w:eastAsia="zh-CN"/>
        </w:rPr>
        <w:t xml:space="preserve">and recurring </w:t>
      </w:r>
      <w:r w:rsidR="00EE55D5" w:rsidRPr="00552C5F">
        <w:rPr>
          <w:rFonts w:asciiTheme="minorHAnsi" w:eastAsiaTheme="minorEastAsia" w:hAnsiTheme="minorHAnsi" w:cs="Calibri"/>
          <w:sz w:val="24"/>
          <w:szCs w:val="24"/>
          <w:lang w:val="en-GB" w:eastAsia="zh-CN"/>
        </w:rPr>
        <w:t>topic during WCIT-12</w:t>
      </w:r>
      <w:r w:rsidR="007F05C4" w:rsidRPr="00552C5F">
        <w:rPr>
          <w:rFonts w:asciiTheme="minorHAnsi" w:eastAsiaTheme="minorEastAsia" w:hAnsiTheme="minorHAnsi" w:cs="Calibri"/>
          <w:sz w:val="24"/>
          <w:szCs w:val="24"/>
          <w:lang w:val="en-GB" w:eastAsia="zh-CN"/>
        </w:rPr>
        <w:t xml:space="preserve">. </w:t>
      </w:r>
      <w:r w:rsidR="00EE55D5" w:rsidRPr="00552C5F">
        <w:rPr>
          <w:rFonts w:asciiTheme="minorHAnsi" w:eastAsiaTheme="minorEastAsia" w:hAnsiTheme="minorHAnsi" w:cs="Calibri"/>
          <w:sz w:val="24"/>
          <w:szCs w:val="24"/>
          <w:lang w:val="en-GB" w:eastAsia="zh-CN"/>
        </w:rPr>
        <w:t>In particular, a proposal</w:t>
      </w:r>
      <w:r w:rsidR="007F05C4" w:rsidRPr="00552C5F">
        <w:rPr>
          <w:rFonts w:asciiTheme="minorHAnsi" w:eastAsiaTheme="minorEastAsia" w:hAnsiTheme="minorHAnsi" w:cs="Calibri"/>
          <w:sz w:val="24"/>
          <w:szCs w:val="24"/>
          <w:lang w:val="en-GB" w:eastAsia="zh-CN"/>
        </w:rPr>
        <w:t xml:space="preserve"> </w:t>
      </w:r>
      <w:r w:rsidR="00EE55D5" w:rsidRPr="00552C5F">
        <w:rPr>
          <w:rFonts w:asciiTheme="minorHAnsi" w:eastAsiaTheme="minorEastAsia" w:hAnsiTheme="minorHAnsi" w:cs="Calibri"/>
          <w:sz w:val="24"/>
          <w:szCs w:val="24"/>
          <w:lang w:val="en-GB" w:eastAsia="zh-CN"/>
        </w:rPr>
        <w:t>from</w:t>
      </w:r>
      <w:r w:rsidR="007F05C4" w:rsidRPr="00552C5F">
        <w:rPr>
          <w:rFonts w:asciiTheme="minorHAnsi" w:eastAsiaTheme="minorEastAsia" w:hAnsiTheme="minorHAnsi" w:cs="Calibri"/>
          <w:sz w:val="24"/>
          <w:szCs w:val="24"/>
          <w:lang w:val="en-GB" w:eastAsia="zh-CN"/>
        </w:rPr>
        <w:t xml:space="preserve"> R</w:t>
      </w:r>
      <w:r w:rsidR="00EE55D5" w:rsidRPr="00552C5F">
        <w:rPr>
          <w:rFonts w:asciiTheme="minorHAnsi" w:eastAsiaTheme="minorEastAsia" w:hAnsiTheme="minorHAnsi" w:cs="Calibri"/>
          <w:sz w:val="24"/>
          <w:szCs w:val="24"/>
          <w:lang w:val="en-GB" w:eastAsia="zh-CN"/>
        </w:rPr>
        <w:t>u</w:t>
      </w:r>
      <w:r w:rsidR="007F05C4" w:rsidRPr="00552C5F">
        <w:rPr>
          <w:rFonts w:asciiTheme="minorHAnsi" w:eastAsiaTheme="minorEastAsia" w:hAnsiTheme="minorHAnsi" w:cs="Calibri"/>
          <w:sz w:val="24"/>
          <w:szCs w:val="24"/>
          <w:lang w:val="en-GB" w:eastAsia="zh-CN"/>
        </w:rPr>
        <w:t xml:space="preserve">ssia </w:t>
      </w:r>
      <w:r w:rsidR="00EE55D5" w:rsidRPr="00552C5F">
        <w:rPr>
          <w:rFonts w:asciiTheme="minorHAnsi" w:eastAsiaTheme="minorEastAsia" w:hAnsiTheme="minorHAnsi" w:cs="Calibri"/>
          <w:sz w:val="24"/>
          <w:szCs w:val="24"/>
          <w:lang w:val="en-GB" w:eastAsia="zh-CN"/>
        </w:rPr>
        <w:t xml:space="preserve">about numbering, naming, addressing and identification has always </w:t>
      </w:r>
      <w:r>
        <w:rPr>
          <w:rFonts w:asciiTheme="minorHAnsi" w:eastAsiaTheme="minorEastAsia" w:hAnsiTheme="minorHAnsi" w:cs="Calibri"/>
          <w:sz w:val="24"/>
          <w:szCs w:val="24"/>
          <w:lang w:val="en-GB" w:eastAsia="zh-CN"/>
        </w:rPr>
        <w:t xml:space="preserve">managed to stir up the debate. </w:t>
      </w:r>
      <w:r w:rsidR="00EE55D5" w:rsidRPr="00552C5F">
        <w:rPr>
          <w:rFonts w:asciiTheme="minorHAnsi" w:eastAsiaTheme="minorEastAsia" w:hAnsiTheme="minorHAnsi" w:cs="Calibri"/>
          <w:sz w:val="24"/>
          <w:szCs w:val="24"/>
          <w:lang w:val="en-GB" w:eastAsia="zh-CN"/>
        </w:rPr>
        <w:t xml:space="preserve"> </w:t>
      </w:r>
    </w:p>
    <w:p w:rsidR="00EE55D5" w:rsidRPr="00552C5F" w:rsidRDefault="00EE55D5" w:rsidP="00986220">
      <w:pP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sz w:val="24"/>
          <w:szCs w:val="24"/>
          <w:lang w:val="en-GB" w:eastAsia="zh-CN"/>
        </w:rPr>
        <w:lastRenderedPageBreak/>
        <w:t>In the final Acts, some elements of the Russia</w:t>
      </w:r>
      <w:r w:rsidR="00BF2B64">
        <w:rPr>
          <w:rFonts w:asciiTheme="minorHAnsi" w:eastAsiaTheme="minorEastAsia" w:hAnsiTheme="minorHAnsi" w:cs="Calibri"/>
          <w:sz w:val="24"/>
          <w:szCs w:val="24"/>
          <w:lang w:val="en-GB" w:eastAsia="zh-CN"/>
        </w:rPr>
        <w:t>n</w:t>
      </w:r>
      <w:r w:rsidRPr="00552C5F">
        <w:rPr>
          <w:rFonts w:asciiTheme="minorHAnsi" w:eastAsiaTheme="minorEastAsia" w:hAnsiTheme="minorHAnsi" w:cs="Calibri"/>
          <w:sz w:val="24"/>
          <w:szCs w:val="24"/>
          <w:lang w:val="en-GB" w:eastAsia="zh-CN"/>
        </w:rPr>
        <w:t xml:space="preserve"> proposal were included in Resolution 3, which raised considerable opposition </w:t>
      </w:r>
      <w:r w:rsidR="00BF2B64">
        <w:rPr>
          <w:rFonts w:asciiTheme="minorHAnsi" w:eastAsiaTheme="minorEastAsia" w:hAnsiTheme="minorHAnsi" w:cs="Calibri"/>
          <w:sz w:val="24"/>
          <w:szCs w:val="24"/>
          <w:lang w:val="en-GB" w:eastAsia="zh-CN"/>
        </w:rPr>
        <w:t>from</w:t>
      </w:r>
      <w:r w:rsidRPr="00552C5F">
        <w:rPr>
          <w:rFonts w:asciiTheme="minorHAnsi" w:eastAsiaTheme="minorEastAsia" w:hAnsiTheme="minorHAnsi" w:cs="Calibri"/>
          <w:sz w:val="24"/>
          <w:szCs w:val="24"/>
          <w:lang w:val="en-GB" w:eastAsia="zh-CN"/>
        </w:rPr>
        <w:t xml:space="preserve"> a number of Member States</w:t>
      </w:r>
      <w:r w:rsidR="00BF2B64">
        <w:rPr>
          <w:rFonts w:asciiTheme="minorHAnsi" w:eastAsiaTheme="minorEastAsia" w:hAnsiTheme="minorHAnsi" w:cs="Calibri"/>
          <w:sz w:val="24"/>
          <w:szCs w:val="24"/>
          <w:lang w:val="en-GB" w:eastAsia="zh-CN"/>
        </w:rPr>
        <w:t xml:space="preserve"> (especially Canada and the US)</w:t>
      </w:r>
      <w:r w:rsidRPr="00552C5F">
        <w:rPr>
          <w:rFonts w:asciiTheme="minorHAnsi" w:eastAsiaTheme="minorEastAsia" w:hAnsiTheme="minorHAnsi" w:cs="Calibri"/>
          <w:sz w:val="24"/>
          <w:szCs w:val="24"/>
          <w:lang w:val="en-GB" w:eastAsia="zh-CN"/>
        </w:rPr>
        <w:t xml:space="preserve">.  </w:t>
      </w:r>
    </w:p>
    <w:p w:rsidR="00EE55D5" w:rsidRPr="00552C5F" w:rsidRDefault="00EE55D5" w:rsidP="00986220">
      <w:pPr>
        <w:spacing w:before="120"/>
        <w:jc w:val="both"/>
        <w:rPr>
          <w:rFonts w:asciiTheme="minorHAnsi" w:eastAsiaTheme="minorEastAsia" w:hAnsiTheme="minorHAnsi" w:cs="Calibri"/>
          <w:sz w:val="24"/>
          <w:szCs w:val="24"/>
          <w:lang w:val="en-GB" w:eastAsia="zh-CN"/>
        </w:rPr>
      </w:pPr>
      <w:r w:rsidRPr="00552C5F">
        <w:rPr>
          <w:rFonts w:asciiTheme="minorHAnsi" w:eastAsiaTheme="minorEastAsia" w:hAnsiTheme="minorHAnsi" w:cs="Calibri"/>
          <w:sz w:val="24"/>
          <w:szCs w:val="24"/>
          <w:lang w:val="en-GB" w:eastAsia="zh-CN"/>
        </w:rPr>
        <w:t>It is also relevant to note that this Resolution 3 was adopted after a voting procedure, which is not in line with a consensus based organization as the ITU</w:t>
      </w:r>
      <w:r w:rsidR="00BF2B64">
        <w:rPr>
          <w:rFonts w:asciiTheme="minorHAnsi" w:eastAsiaTheme="minorEastAsia" w:hAnsiTheme="minorHAnsi" w:cs="Calibri"/>
          <w:sz w:val="24"/>
          <w:szCs w:val="24"/>
          <w:lang w:val="en-GB" w:eastAsia="zh-CN"/>
        </w:rPr>
        <w:t xml:space="preserve">. Adopted procedure caused controversies and </w:t>
      </w:r>
      <w:r w:rsidR="005B674B" w:rsidRPr="00552C5F">
        <w:rPr>
          <w:rFonts w:asciiTheme="minorHAnsi" w:eastAsiaTheme="minorEastAsia" w:hAnsiTheme="minorHAnsi" w:cs="Calibri"/>
          <w:sz w:val="24"/>
          <w:szCs w:val="24"/>
          <w:lang w:val="en-GB" w:eastAsia="zh-CN"/>
        </w:rPr>
        <w:t xml:space="preserve">raised certain level of mistrust </w:t>
      </w:r>
      <w:r w:rsidR="00BF2B64">
        <w:rPr>
          <w:rFonts w:asciiTheme="minorHAnsi" w:eastAsiaTheme="minorEastAsia" w:hAnsiTheme="minorHAnsi" w:cs="Calibri"/>
          <w:sz w:val="24"/>
          <w:szCs w:val="24"/>
          <w:lang w:val="en-GB" w:eastAsia="zh-CN"/>
        </w:rPr>
        <w:t>about the way the</w:t>
      </w:r>
      <w:r w:rsidR="005B674B" w:rsidRPr="00552C5F">
        <w:rPr>
          <w:rFonts w:asciiTheme="minorHAnsi" w:eastAsiaTheme="minorEastAsia" w:hAnsiTheme="minorHAnsi" w:cs="Calibri"/>
          <w:sz w:val="24"/>
          <w:szCs w:val="24"/>
          <w:lang w:val="en-GB" w:eastAsia="zh-CN"/>
        </w:rPr>
        <w:t xml:space="preserve"> Conference was being conducted.</w:t>
      </w:r>
    </w:p>
    <w:p w:rsidR="00EE55D5" w:rsidRPr="00552C5F" w:rsidRDefault="00EE55D5" w:rsidP="00986220">
      <w:pPr>
        <w:spacing w:before="120"/>
        <w:jc w:val="both"/>
        <w:rPr>
          <w:lang w:val="en-GB"/>
        </w:rPr>
      </w:pPr>
    </w:p>
    <w:p w:rsidR="003E4156" w:rsidRPr="00552C5F" w:rsidRDefault="003E4156" w:rsidP="00986220">
      <w:pPr>
        <w:spacing w:before="120"/>
        <w:rPr>
          <w:rFonts w:asciiTheme="minorHAnsi" w:hAnsiTheme="minorHAnsi"/>
          <w:i/>
          <w:sz w:val="24"/>
          <w:szCs w:val="24"/>
          <w:lang w:val="en-GB"/>
        </w:rPr>
      </w:pPr>
      <w:r w:rsidRPr="00552C5F">
        <w:rPr>
          <w:rFonts w:asciiTheme="minorHAnsi" w:hAnsiTheme="minorHAnsi"/>
          <w:i/>
          <w:sz w:val="24"/>
          <w:szCs w:val="24"/>
          <w:lang w:val="en-GB"/>
        </w:rPr>
        <w:t>Less controversial outcomes</w:t>
      </w:r>
    </w:p>
    <w:p w:rsidR="00434FEA" w:rsidRPr="00552C5F" w:rsidRDefault="00434FE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As for issues which were thoroughly discussed in COM-ITU </w:t>
      </w:r>
      <w:r w:rsidR="00D42278" w:rsidRPr="00552C5F">
        <w:rPr>
          <w:rFonts w:asciiTheme="minorHAnsi" w:hAnsiTheme="minorHAnsi"/>
          <w:sz w:val="24"/>
          <w:szCs w:val="24"/>
          <w:lang w:val="en-GB"/>
        </w:rPr>
        <w:t xml:space="preserve">that </w:t>
      </w:r>
      <w:r w:rsidRPr="00552C5F">
        <w:rPr>
          <w:rFonts w:asciiTheme="minorHAnsi" w:hAnsiTheme="minorHAnsi"/>
          <w:sz w:val="24"/>
          <w:szCs w:val="24"/>
          <w:lang w:val="en-GB"/>
        </w:rPr>
        <w:t>were also included in the Final Acts, but the wording seems less controversial:</w:t>
      </w:r>
    </w:p>
    <w:p w:rsidR="00434FEA" w:rsidRPr="00552C5F" w:rsidRDefault="00434FEA" w:rsidP="00986220">
      <w:pPr>
        <w:spacing w:before="120"/>
        <w:jc w:val="both"/>
        <w:rPr>
          <w:i/>
          <w:lang w:val="en-GB"/>
        </w:rPr>
      </w:pPr>
    </w:p>
    <w:p w:rsidR="007F05C4" w:rsidRPr="00552C5F" w:rsidRDefault="00434FEA" w:rsidP="00986220">
      <w:pPr>
        <w:pStyle w:val="Nagwek2"/>
        <w:spacing w:before="120"/>
        <w:rPr>
          <w:lang w:val="en-GB"/>
        </w:rPr>
      </w:pPr>
      <w:r w:rsidRPr="00552C5F">
        <w:rPr>
          <w:lang w:val="en-GB"/>
        </w:rPr>
        <w:t>International</w:t>
      </w:r>
      <w:r w:rsidR="007F05C4" w:rsidRPr="00552C5F">
        <w:rPr>
          <w:lang w:val="en-GB"/>
        </w:rPr>
        <w:t xml:space="preserve"> </w:t>
      </w:r>
      <w:bookmarkStart w:id="5" w:name="_Toc345343944"/>
      <w:r w:rsidR="007F05C4" w:rsidRPr="00552C5F">
        <w:rPr>
          <w:lang w:val="en-GB"/>
        </w:rPr>
        <w:t xml:space="preserve">Roaming </w:t>
      </w:r>
      <w:bookmarkEnd w:id="5"/>
      <w:r w:rsidRPr="00552C5F">
        <w:rPr>
          <w:lang w:val="en-GB"/>
        </w:rPr>
        <w:t>related matters</w:t>
      </w:r>
    </w:p>
    <w:p w:rsidR="007F05C4" w:rsidRPr="00552C5F" w:rsidRDefault="00434FE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The provisions on international</w:t>
      </w:r>
      <w:r w:rsidR="007F05C4" w:rsidRPr="00552C5F">
        <w:rPr>
          <w:rFonts w:asciiTheme="minorHAnsi" w:hAnsiTheme="minorHAnsi"/>
          <w:sz w:val="24"/>
          <w:szCs w:val="24"/>
          <w:lang w:val="en-GB"/>
        </w:rPr>
        <w:t xml:space="preserve"> roaming </w:t>
      </w:r>
      <w:r w:rsidRPr="00552C5F">
        <w:rPr>
          <w:rFonts w:asciiTheme="minorHAnsi" w:hAnsiTheme="minorHAnsi"/>
          <w:sz w:val="24"/>
          <w:szCs w:val="24"/>
          <w:lang w:val="en-GB"/>
        </w:rPr>
        <w:t>were mainly included</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under article</w:t>
      </w:r>
      <w:r w:rsidR="007F05C4" w:rsidRPr="00552C5F">
        <w:rPr>
          <w:rFonts w:asciiTheme="minorHAnsi" w:hAnsiTheme="minorHAnsi"/>
          <w:sz w:val="24"/>
          <w:szCs w:val="24"/>
          <w:lang w:val="en-GB"/>
        </w:rPr>
        <w:t xml:space="preserve"> 4 </w:t>
      </w:r>
      <w:r w:rsidRPr="00552C5F">
        <w:rPr>
          <w:rFonts w:asciiTheme="minorHAnsi" w:hAnsiTheme="minorHAnsi"/>
          <w:sz w:val="24"/>
          <w:szCs w:val="24"/>
          <w:lang w:val="en-GB"/>
        </w:rPr>
        <w:t>of the revised ITRs</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Article</w:t>
      </w:r>
      <w:r w:rsidR="007F05C4" w:rsidRPr="00552C5F">
        <w:rPr>
          <w:rFonts w:asciiTheme="minorHAnsi" w:hAnsiTheme="minorHAnsi"/>
          <w:sz w:val="24"/>
          <w:szCs w:val="24"/>
          <w:lang w:val="en-GB"/>
        </w:rPr>
        <w:t xml:space="preserve"> 5</w:t>
      </w:r>
      <w:r w:rsidRPr="00552C5F">
        <w:rPr>
          <w:rFonts w:asciiTheme="minorHAnsi" w:hAnsiTheme="minorHAnsi"/>
          <w:sz w:val="24"/>
          <w:szCs w:val="24"/>
          <w:lang w:val="en-GB"/>
        </w:rPr>
        <w:t xml:space="preserve"> also addresses the provision of information concerning the number to be used for calls to the emergency services.</w:t>
      </w:r>
      <w:r w:rsidR="001C5B0D">
        <w:rPr>
          <w:rFonts w:asciiTheme="minorHAnsi" w:hAnsiTheme="minorHAnsi"/>
          <w:sz w:val="24"/>
          <w:szCs w:val="24"/>
          <w:lang w:val="en-GB"/>
        </w:rPr>
        <w:t xml:space="preserve"> The final provisions meet the CEPT goals.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4.4 Member States shall foster measures to ensure that authorized operating agencies provide free-of-charge, transparent, up-to-date and accurate information to end users on international telecommunication services, including international roaming prices and the associated relevant conditions, in a timely manner.</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4.5 Member States shall foster measures to ensure that telecommunication services in international roaming of satisfactory quality are provided to visiting users.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4.6 Member States should foster cooperation among authorized operating agencies in order to avoid and mitigate inadvertent roaming charges in border zones.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4.7 Member States shall endeavour to promote competition in the provision of international roaming services and are encouraged to develop policies that foster competitive roaming prices for the benefit of end users.</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eastAsiaTheme="minorEastAsia" w:hAnsiTheme="minorHAnsi" w:cs="Calibri"/>
          <w:i/>
          <w:sz w:val="24"/>
          <w:szCs w:val="24"/>
          <w:lang w:val="en-GB" w:eastAsia="zh-CN"/>
        </w:rPr>
      </w:pPr>
      <w:r w:rsidRPr="00552C5F">
        <w:rPr>
          <w:rFonts w:asciiTheme="minorHAnsi" w:eastAsiaTheme="minorEastAsia" w:hAnsiTheme="minorHAnsi" w:cs="Calibri"/>
          <w:i/>
          <w:sz w:val="24"/>
          <w:szCs w:val="24"/>
          <w:lang w:val="en-GB" w:eastAsia="zh-CN"/>
        </w:rPr>
        <w:t>(…)</w:t>
      </w:r>
    </w:p>
    <w:p w:rsidR="007F05C4" w:rsidRPr="00552C5F" w:rsidRDefault="007F05C4" w:rsidP="00986220">
      <w:pPr>
        <w:pBdr>
          <w:top w:val="single" w:sz="4" w:space="1" w:color="auto"/>
          <w:left w:val="single" w:sz="4" w:space="4" w:color="auto"/>
          <w:bottom w:val="single" w:sz="4" w:space="1" w:color="auto"/>
          <w:right w:val="single" w:sz="4" w:space="4" w:color="auto"/>
        </w:pBdr>
        <w:spacing w:before="120"/>
        <w:jc w:val="both"/>
        <w:rPr>
          <w:rFonts w:asciiTheme="minorHAnsi" w:hAnsiTheme="minorHAnsi"/>
          <w:i/>
          <w:sz w:val="24"/>
          <w:szCs w:val="24"/>
          <w:lang w:val="en-GB"/>
        </w:rPr>
      </w:pPr>
      <w:r w:rsidRPr="00552C5F">
        <w:rPr>
          <w:rFonts w:asciiTheme="minorHAnsi" w:hAnsiTheme="minorHAnsi"/>
          <w:i/>
          <w:sz w:val="24"/>
          <w:szCs w:val="24"/>
          <w:lang w:val="en-GB"/>
        </w:rPr>
        <w:t>5.4 Member States should encourage authorized operating agencies to inform all users, including roaming users, in good time and free of charge, of the number to be used for calls to the emergency services.</w:t>
      </w:r>
    </w:p>
    <w:p w:rsidR="007F05C4" w:rsidRPr="00552C5F" w:rsidRDefault="007F05C4" w:rsidP="00986220">
      <w:pPr>
        <w:spacing w:before="120"/>
        <w:jc w:val="both"/>
        <w:rPr>
          <w:lang w:val="en-GB"/>
        </w:rPr>
      </w:pPr>
      <w:r w:rsidRPr="00552C5F">
        <w:rPr>
          <w:lang w:val="en-GB"/>
        </w:rPr>
        <w:t xml:space="preserve">  </w:t>
      </w:r>
    </w:p>
    <w:p w:rsidR="00BD76EA" w:rsidRPr="00552C5F" w:rsidRDefault="00D42278" w:rsidP="00986220">
      <w:pPr>
        <w:pStyle w:val="Nagwek2"/>
        <w:spacing w:before="120"/>
        <w:rPr>
          <w:lang w:val="en-GB"/>
        </w:rPr>
      </w:pPr>
      <w:bookmarkStart w:id="6" w:name="_Toc345343947"/>
      <w:r w:rsidRPr="00552C5F">
        <w:rPr>
          <w:i/>
          <w:sz w:val="24"/>
          <w:szCs w:val="24"/>
          <w:lang w:val="en-GB"/>
        </w:rPr>
        <w:t>International calling line identification (CLI) information and use of numbering resources</w:t>
      </w:r>
      <w:r w:rsidR="00BD76EA" w:rsidRPr="00552C5F">
        <w:rPr>
          <w:lang w:val="en-GB"/>
        </w:rPr>
        <w:t>.</w:t>
      </w:r>
      <w:bookmarkEnd w:id="6"/>
    </w:p>
    <w:p w:rsidR="00BD76EA" w:rsidRPr="00552C5F" w:rsidRDefault="002F0442"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The</w:t>
      </w:r>
      <w:r w:rsidR="00BD76EA" w:rsidRPr="00552C5F">
        <w:rPr>
          <w:rFonts w:asciiTheme="minorHAnsi" w:hAnsiTheme="minorHAnsi"/>
          <w:sz w:val="24"/>
          <w:szCs w:val="24"/>
          <w:lang w:val="en-GB"/>
        </w:rPr>
        <w:t xml:space="preserve"> </w:t>
      </w:r>
      <w:r w:rsidR="00BF2B64">
        <w:rPr>
          <w:rFonts w:asciiTheme="minorHAnsi" w:hAnsiTheme="minorHAnsi"/>
          <w:sz w:val="24"/>
          <w:szCs w:val="24"/>
          <w:lang w:val="en-GB"/>
        </w:rPr>
        <w:t>a</w:t>
      </w:r>
      <w:r w:rsidR="00BD76EA" w:rsidRPr="00552C5F">
        <w:rPr>
          <w:rFonts w:asciiTheme="minorHAnsi" w:hAnsiTheme="minorHAnsi"/>
          <w:sz w:val="24"/>
          <w:szCs w:val="24"/>
          <w:lang w:val="en-GB"/>
        </w:rPr>
        <w:t>d</w:t>
      </w:r>
      <w:r w:rsidR="00BF2B64">
        <w:rPr>
          <w:rFonts w:asciiTheme="minorHAnsi" w:hAnsiTheme="minorHAnsi"/>
          <w:sz w:val="24"/>
          <w:szCs w:val="24"/>
          <w:lang w:val="en-GB"/>
        </w:rPr>
        <w:t xml:space="preserve"> </w:t>
      </w:r>
      <w:r w:rsidR="00BD76EA" w:rsidRPr="00552C5F">
        <w:rPr>
          <w:rFonts w:asciiTheme="minorHAnsi" w:hAnsiTheme="minorHAnsi"/>
          <w:sz w:val="24"/>
          <w:szCs w:val="24"/>
          <w:lang w:val="en-GB"/>
        </w:rPr>
        <w:t>hoc</w:t>
      </w:r>
      <w:r w:rsidRPr="00552C5F">
        <w:rPr>
          <w:rFonts w:asciiTheme="minorHAnsi" w:hAnsiTheme="minorHAnsi"/>
          <w:sz w:val="24"/>
          <w:szCs w:val="24"/>
          <w:lang w:val="en-GB"/>
        </w:rPr>
        <w:t xml:space="preserve"> </w:t>
      </w:r>
      <w:r w:rsidR="00BF2B64">
        <w:rPr>
          <w:rFonts w:asciiTheme="minorHAnsi" w:hAnsiTheme="minorHAnsi"/>
          <w:sz w:val="24"/>
          <w:szCs w:val="24"/>
          <w:lang w:val="en-GB"/>
        </w:rPr>
        <w:t>g</w:t>
      </w:r>
      <w:r w:rsidRPr="00552C5F">
        <w:rPr>
          <w:rFonts w:asciiTheme="minorHAnsi" w:hAnsiTheme="minorHAnsi"/>
          <w:sz w:val="24"/>
          <w:szCs w:val="24"/>
          <w:lang w:val="en-GB"/>
        </w:rPr>
        <w:t>roup</w:t>
      </w:r>
      <w:r w:rsidR="00BD76EA" w:rsidRPr="00552C5F">
        <w:rPr>
          <w:rFonts w:asciiTheme="minorHAnsi" w:hAnsiTheme="minorHAnsi"/>
          <w:sz w:val="24"/>
          <w:szCs w:val="24"/>
          <w:lang w:val="en-GB"/>
        </w:rPr>
        <w:t xml:space="preserve"> </w:t>
      </w:r>
      <w:r w:rsidRPr="00552C5F">
        <w:rPr>
          <w:rFonts w:asciiTheme="minorHAnsi" w:hAnsiTheme="minorHAnsi"/>
          <w:sz w:val="24"/>
          <w:szCs w:val="24"/>
          <w:lang w:val="en-GB"/>
        </w:rPr>
        <w:t>chaired by Philip Rushton</w:t>
      </w:r>
      <w:r w:rsidR="00BD76EA" w:rsidRPr="00552C5F">
        <w:rPr>
          <w:rFonts w:asciiTheme="minorHAnsi" w:hAnsiTheme="minorHAnsi"/>
          <w:sz w:val="24"/>
          <w:szCs w:val="24"/>
          <w:lang w:val="en-GB"/>
        </w:rPr>
        <w:t xml:space="preserve"> </w:t>
      </w:r>
      <w:r w:rsidRPr="00552C5F">
        <w:rPr>
          <w:rFonts w:asciiTheme="minorHAnsi" w:hAnsiTheme="minorHAnsi"/>
          <w:sz w:val="24"/>
          <w:szCs w:val="24"/>
          <w:lang w:val="en-GB"/>
        </w:rPr>
        <w:t>from the United Kingdom</w:t>
      </w:r>
      <w:r w:rsidR="00966C7C" w:rsidRPr="00552C5F">
        <w:rPr>
          <w:rFonts w:asciiTheme="minorHAnsi" w:hAnsiTheme="minorHAnsi"/>
          <w:sz w:val="24"/>
          <w:szCs w:val="24"/>
          <w:lang w:val="en-GB"/>
        </w:rPr>
        <w:t>, came out with the following outcome</w:t>
      </w:r>
      <w:r w:rsidR="00BD76EA" w:rsidRPr="00552C5F">
        <w:rPr>
          <w:rFonts w:asciiTheme="minorHAnsi" w:hAnsiTheme="minorHAnsi"/>
          <w:sz w:val="24"/>
          <w:szCs w:val="24"/>
          <w:lang w:val="en-GB"/>
        </w:rPr>
        <w:t>:</w:t>
      </w:r>
    </w:p>
    <w:p w:rsidR="00BD76EA" w:rsidRPr="00552C5F" w:rsidRDefault="00BD76EA" w:rsidP="00986220">
      <w:pPr>
        <w:pBdr>
          <w:top w:val="single" w:sz="4" w:space="1" w:color="auto"/>
          <w:left w:val="single" w:sz="4" w:space="4" w:color="auto"/>
          <w:bottom w:val="single" w:sz="4" w:space="1" w:color="auto"/>
          <w:right w:val="single" w:sz="4" w:space="4" w:color="auto"/>
        </w:pBdr>
        <w:tabs>
          <w:tab w:val="left" w:pos="1418"/>
        </w:tabs>
        <w:spacing w:before="120"/>
        <w:jc w:val="both"/>
        <w:rPr>
          <w:rFonts w:asciiTheme="minorHAnsi" w:hAnsiTheme="minorHAnsi"/>
          <w:i/>
          <w:sz w:val="24"/>
          <w:szCs w:val="24"/>
          <w:lang w:val="en-GB"/>
        </w:rPr>
      </w:pPr>
      <w:r w:rsidRPr="00552C5F">
        <w:rPr>
          <w:rFonts w:asciiTheme="minorHAnsi" w:hAnsiTheme="minorHAnsi"/>
          <w:i/>
          <w:sz w:val="24"/>
          <w:szCs w:val="24"/>
          <w:lang w:val="en-GB"/>
        </w:rPr>
        <w:t xml:space="preserve">3.5 Member States shall endeavour to ensure that international telecommunication numbering resources specified in ITU-T Recommendations are used only by the assignees </w:t>
      </w:r>
      <w:r w:rsidRPr="00552C5F">
        <w:rPr>
          <w:rFonts w:asciiTheme="minorHAnsi" w:hAnsiTheme="minorHAnsi"/>
          <w:i/>
          <w:sz w:val="24"/>
          <w:szCs w:val="24"/>
          <w:lang w:val="en-GB"/>
        </w:rPr>
        <w:lastRenderedPageBreak/>
        <w:t>and only for the purposes for which they were assigned; and that unassigned resources are not used.</w:t>
      </w:r>
    </w:p>
    <w:p w:rsidR="00BD76EA" w:rsidRPr="00552C5F" w:rsidRDefault="00BD76EA" w:rsidP="00986220">
      <w:pPr>
        <w:pBdr>
          <w:top w:val="single" w:sz="4" w:space="1" w:color="auto"/>
          <w:left w:val="single" w:sz="4" w:space="4" w:color="auto"/>
          <w:bottom w:val="single" w:sz="4" w:space="1" w:color="auto"/>
          <w:right w:val="single" w:sz="4" w:space="4" w:color="auto"/>
        </w:pBdr>
        <w:tabs>
          <w:tab w:val="left" w:pos="1418"/>
        </w:tabs>
        <w:spacing w:before="120"/>
        <w:jc w:val="both"/>
        <w:rPr>
          <w:rFonts w:asciiTheme="minorHAnsi" w:hAnsiTheme="minorHAnsi"/>
          <w:i/>
          <w:sz w:val="24"/>
          <w:szCs w:val="24"/>
          <w:lang w:val="en-GB"/>
        </w:rPr>
      </w:pPr>
      <w:r w:rsidRPr="00552C5F">
        <w:rPr>
          <w:rFonts w:asciiTheme="minorHAnsi" w:hAnsiTheme="minorHAnsi"/>
          <w:i/>
          <w:sz w:val="24"/>
          <w:szCs w:val="24"/>
          <w:lang w:val="en-GB"/>
        </w:rPr>
        <w:t>3.6 Member States shall endeavour to ensure that international calling line identification (CLI) information is provided taking into account the relevant ITU-T  Recommendations.</w:t>
      </w:r>
    </w:p>
    <w:p w:rsidR="00966C7C" w:rsidRPr="001C5B0D" w:rsidRDefault="00966C7C" w:rsidP="00986220">
      <w:pPr>
        <w:pStyle w:val="Nagwek2"/>
        <w:numPr>
          <w:ilvl w:val="0"/>
          <w:numId w:val="0"/>
        </w:numPr>
        <w:spacing w:before="120"/>
        <w:rPr>
          <w:sz w:val="24"/>
          <w:szCs w:val="24"/>
          <w:lang w:val="en-GB"/>
        </w:rPr>
      </w:pPr>
      <w:r w:rsidRPr="001C5B0D">
        <w:rPr>
          <w:sz w:val="24"/>
          <w:szCs w:val="24"/>
          <w:lang w:val="en-GB"/>
        </w:rPr>
        <w:t>The final text on the use of numbering resources has similarities with the proposal made by CEPT to the WCIT-12.</w:t>
      </w:r>
    </w:p>
    <w:p w:rsidR="00966C7C" w:rsidRPr="001C5B0D" w:rsidRDefault="00966C7C" w:rsidP="00986220">
      <w:pPr>
        <w:pStyle w:val="Nagwek2"/>
        <w:numPr>
          <w:ilvl w:val="0"/>
          <w:numId w:val="0"/>
        </w:numPr>
        <w:spacing w:before="120"/>
        <w:rPr>
          <w:sz w:val="24"/>
          <w:szCs w:val="24"/>
          <w:lang w:val="en-GB"/>
        </w:rPr>
      </w:pPr>
      <w:r w:rsidRPr="001C5B0D">
        <w:rPr>
          <w:sz w:val="24"/>
          <w:szCs w:val="24"/>
          <w:lang w:val="en-GB"/>
        </w:rPr>
        <w:t xml:space="preserve">As for CLI, CEPT had advocated a NOC (no addition). </w:t>
      </w:r>
    </w:p>
    <w:p w:rsidR="00966C7C" w:rsidRPr="00552C5F" w:rsidRDefault="00966C7C" w:rsidP="00986220">
      <w:pPr>
        <w:spacing w:before="120"/>
        <w:rPr>
          <w:lang w:val="en-GB"/>
        </w:rPr>
      </w:pPr>
    </w:p>
    <w:p w:rsidR="001A3286" w:rsidRPr="00552C5F" w:rsidRDefault="001A3286" w:rsidP="00986220">
      <w:pPr>
        <w:pStyle w:val="Nagwek2"/>
        <w:spacing w:before="120"/>
        <w:rPr>
          <w:lang w:val="en-GB"/>
        </w:rPr>
      </w:pPr>
      <w:r w:rsidRPr="00552C5F">
        <w:rPr>
          <w:lang w:val="en-GB"/>
        </w:rPr>
        <w:t xml:space="preserve">Charging and Accounting </w:t>
      </w:r>
    </w:p>
    <w:p w:rsidR="007F05C4" w:rsidRPr="00552C5F" w:rsidRDefault="001A3286"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Negotiations concerning</w:t>
      </w:r>
      <w:r w:rsidR="007F05C4" w:rsidRPr="00552C5F">
        <w:rPr>
          <w:rFonts w:asciiTheme="minorHAnsi" w:hAnsiTheme="minorHAnsi"/>
          <w:sz w:val="24"/>
          <w:szCs w:val="24"/>
          <w:lang w:val="en-GB"/>
        </w:rPr>
        <w:t xml:space="preserve"> Arti</w:t>
      </w:r>
      <w:r w:rsidRPr="00552C5F">
        <w:rPr>
          <w:rFonts w:asciiTheme="minorHAnsi" w:hAnsiTheme="minorHAnsi"/>
          <w:sz w:val="24"/>
          <w:szCs w:val="24"/>
          <w:lang w:val="en-GB"/>
        </w:rPr>
        <w:t>cle</w:t>
      </w:r>
      <w:r w:rsidR="007F05C4" w:rsidRPr="00552C5F">
        <w:rPr>
          <w:rFonts w:asciiTheme="minorHAnsi" w:hAnsiTheme="minorHAnsi"/>
          <w:sz w:val="24"/>
          <w:szCs w:val="24"/>
          <w:lang w:val="en-GB"/>
        </w:rPr>
        <w:t xml:space="preserve"> 6 (Charging and Accounting) </w:t>
      </w:r>
      <w:r w:rsidRPr="00552C5F">
        <w:rPr>
          <w:rFonts w:asciiTheme="minorHAnsi" w:hAnsiTheme="minorHAnsi"/>
          <w:sz w:val="24"/>
          <w:szCs w:val="24"/>
          <w:lang w:val="en-GB"/>
        </w:rPr>
        <w:t xml:space="preserve">resulted in </w:t>
      </w:r>
      <w:r w:rsidR="00BD76EA" w:rsidRPr="00552C5F">
        <w:rPr>
          <w:rFonts w:asciiTheme="minorHAnsi" w:hAnsiTheme="minorHAnsi"/>
          <w:sz w:val="24"/>
          <w:szCs w:val="24"/>
          <w:lang w:val="en-GB"/>
        </w:rPr>
        <w:t>a text</w:t>
      </w:r>
      <w:r w:rsidRPr="00552C5F">
        <w:rPr>
          <w:rFonts w:asciiTheme="minorHAnsi" w:hAnsiTheme="minorHAnsi"/>
          <w:sz w:val="24"/>
          <w:szCs w:val="24"/>
          <w:lang w:val="en-GB"/>
        </w:rPr>
        <w:t xml:space="preserve"> </w:t>
      </w:r>
      <w:r w:rsidR="00BD76EA" w:rsidRPr="00552C5F">
        <w:rPr>
          <w:rFonts w:asciiTheme="minorHAnsi" w:hAnsiTheme="minorHAnsi"/>
          <w:sz w:val="24"/>
          <w:szCs w:val="24"/>
          <w:lang w:val="en-GB"/>
        </w:rPr>
        <w:t>where both</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commercial</w:t>
      </w:r>
      <w:r w:rsidR="007F05C4" w:rsidRPr="00552C5F">
        <w:rPr>
          <w:rFonts w:asciiTheme="minorHAnsi" w:hAnsiTheme="minorHAnsi"/>
          <w:sz w:val="24"/>
          <w:szCs w:val="24"/>
          <w:lang w:val="en-GB"/>
        </w:rPr>
        <w:t xml:space="preserve"> arrangements</w:t>
      </w:r>
      <w:r w:rsidRPr="00552C5F">
        <w:rPr>
          <w:rFonts w:asciiTheme="minorHAnsi" w:hAnsiTheme="minorHAnsi"/>
          <w:sz w:val="24"/>
          <w:szCs w:val="24"/>
          <w:lang w:val="en-GB"/>
        </w:rPr>
        <w:t xml:space="preserve"> and</w:t>
      </w:r>
      <w:r w:rsidR="007F05C4" w:rsidRPr="00552C5F">
        <w:rPr>
          <w:rFonts w:asciiTheme="minorHAnsi" w:hAnsiTheme="minorHAnsi"/>
          <w:sz w:val="24"/>
          <w:szCs w:val="24"/>
          <w:lang w:val="en-GB"/>
        </w:rPr>
        <w:t xml:space="preserve"> </w:t>
      </w:r>
      <w:r w:rsidRPr="00552C5F">
        <w:rPr>
          <w:rFonts w:asciiTheme="minorHAnsi" w:hAnsiTheme="minorHAnsi"/>
          <w:sz w:val="24"/>
          <w:szCs w:val="24"/>
          <w:lang w:val="en-GB"/>
        </w:rPr>
        <w:t xml:space="preserve">the </w:t>
      </w:r>
      <w:r w:rsidR="001C5B0D">
        <w:rPr>
          <w:rFonts w:asciiTheme="minorHAnsi" w:hAnsiTheme="minorHAnsi"/>
          <w:sz w:val="24"/>
          <w:szCs w:val="24"/>
          <w:lang w:val="en-GB"/>
        </w:rPr>
        <w:t>a</w:t>
      </w:r>
      <w:r w:rsidR="007F05C4" w:rsidRPr="00552C5F">
        <w:rPr>
          <w:rFonts w:asciiTheme="minorHAnsi" w:hAnsiTheme="minorHAnsi"/>
          <w:sz w:val="24"/>
          <w:szCs w:val="24"/>
          <w:lang w:val="en-GB"/>
        </w:rPr>
        <w:t>ccounting-rate principle</w:t>
      </w:r>
      <w:r w:rsidRPr="00552C5F">
        <w:rPr>
          <w:rFonts w:asciiTheme="minorHAnsi" w:hAnsiTheme="minorHAnsi"/>
          <w:sz w:val="24"/>
          <w:szCs w:val="24"/>
          <w:lang w:val="en-GB"/>
        </w:rPr>
        <w:t xml:space="preserve"> co-exist</w:t>
      </w:r>
      <w:r w:rsidR="007F05C4" w:rsidRPr="00552C5F">
        <w:rPr>
          <w:rFonts w:asciiTheme="minorHAnsi" w:hAnsiTheme="minorHAnsi"/>
          <w:sz w:val="24"/>
          <w:szCs w:val="24"/>
          <w:lang w:val="en-GB"/>
        </w:rPr>
        <w:t>.</w:t>
      </w:r>
      <w:r w:rsidRPr="00552C5F">
        <w:rPr>
          <w:rFonts w:asciiTheme="minorHAnsi" w:hAnsiTheme="minorHAnsi"/>
          <w:sz w:val="24"/>
          <w:szCs w:val="24"/>
          <w:lang w:val="en-GB"/>
        </w:rPr>
        <w:t xml:space="preserve"> </w:t>
      </w:r>
    </w:p>
    <w:p w:rsidR="007F05C4" w:rsidRPr="00552C5F" w:rsidRDefault="00BD76EA"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Most of the existing provisions </w:t>
      </w:r>
      <w:r w:rsidR="001C5B0D">
        <w:rPr>
          <w:rFonts w:asciiTheme="minorHAnsi" w:hAnsiTheme="minorHAnsi"/>
          <w:sz w:val="24"/>
          <w:szCs w:val="24"/>
          <w:lang w:val="en-GB"/>
        </w:rPr>
        <w:t>i</w:t>
      </w:r>
      <w:r w:rsidRPr="00552C5F">
        <w:rPr>
          <w:rFonts w:asciiTheme="minorHAnsi" w:hAnsiTheme="minorHAnsi"/>
          <w:sz w:val="24"/>
          <w:szCs w:val="24"/>
          <w:lang w:val="en-GB"/>
        </w:rPr>
        <w:t xml:space="preserve">n Article 6 were kept with some editorial amendments. </w:t>
      </w:r>
      <w:r w:rsidR="00CA1849" w:rsidRPr="00552C5F">
        <w:rPr>
          <w:rFonts w:asciiTheme="minorHAnsi" w:hAnsiTheme="minorHAnsi"/>
          <w:sz w:val="24"/>
          <w:szCs w:val="24"/>
          <w:lang w:val="en-GB"/>
        </w:rPr>
        <w:t>In addition, w</w:t>
      </w:r>
      <w:r w:rsidRPr="00552C5F">
        <w:rPr>
          <w:rFonts w:asciiTheme="minorHAnsi" w:hAnsiTheme="minorHAnsi"/>
          <w:sz w:val="24"/>
          <w:szCs w:val="24"/>
          <w:lang w:val="en-GB"/>
        </w:rPr>
        <w:t>hile Appendix 1 and 2 were revised mainly with editorial amendments, Appendix 3 was suppressed.</w:t>
      </w:r>
    </w:p>
    <w:p w:rsidR="004E199F" w:rsidRPr="00552C5F" w:rsidRDefault="004E199F"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Finally, a new provision in article 6 states:</w:t>
      </w:r>
    </w:p>
    <w:p w:rsidR="004E199F" w:rsidRPr="00552C5F" w:rsidRDefault="004E199F" w:rsidP="00986220">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heme="minorHAnsi" w:hAnsiTheme="minorHAnsi"/>
          <w:i/>
          <w:sz w:val="24"/>
          <w:szCs w:val="24"/>
          <w:lang w:val="en-GB"/>
        </w:rPr>
      </w:pPr>
      <w:r w:rsidRPr="00552C5F">
        <w:rPr>
          <w:rFonts w:ascii="Calibri" w:eastAsiaTheme="minorEastAsia" w:hAnsi="Calibri" w:cs="Calibri"/>
          <w:i/>
          <w:sz w:val="24"/>
          <w:szCs w:val="24"/>
          <w:lang w:val="en-GB" w:eastAsia="zh-CN"/>
        </w:rPr>
        <w:t>6.1.1 Member States shall endeavour to encourage investments in international telecommunication networks and promote competitive wholesale pricing for traffic carried on such telecommunication networks.</w:t>
      </w:r>
    </w:p>
    <w:p w:rsidR="004E199F" w:rsidRPr="00552C5F" w:rsidRDefault="004E199F"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This provision </w:t>
      </w:r>
      <w:r w:rsidR="006A51D8" w:rsidRPr="00552C5F">
        <w:rPr>
          <w:rFonts w:asciiTheme="minorHAnsi" w:hAnsiTheme="minorHAnsi"/>
          <w:sz w:val="24"/>
          <w:szCs w:val="24"/>
          <w:lang w:val="en-GB"/>
        </w:rPr>
        <w:t>and</w:t>
      </w:r>
      <w:r w:rsidRPr="00552C5F">
        <w:rPr>
          <w:rFonts w:asciiTheme="minorHAnsi" w:hAnsiTheme="minorHAnsi"/>
          <w:sz w:val="24"/>
          <w:szCs w:val="24"/>
          <w:lang w:val="en-GB"/>
        </w:rPr>
        <w:t xml:space="preserve"> the new Resolution 5 (International telecommunication service traffic termination and Exchange) are the outcome of proposals on a number of controversial topics such as IP interconnection or wholesale cost orientation.</w:t>
      </w:r>
      <w:r w:rsidR="006A51D8" w:rsidRPr="00552C5F">
        <w:rPr>
          <w:rFonts w:asciiTheme="minorHAnsi" w:hAnsiTheme="minorHAnsi"/>
          <w:sz w:val="24"/>
          <w:szCs w:val="24"/>
          <w:lang w:val="en-GB"/>
        </w:rPr>
        <w:t xml:space="preserve"> </w:t>
      </w:r>
    </w:p>
    <w:p w:rsidR="004E199F" w:rsidRPr="00552C5F" w:rsidRDefault="004E199F" w:rsidP="00986220">
      <w:pPr>
        <w:spacing w:before="120"/>
        <w:jc w:val="both"/>
        <w:rPr>
          <w:lang w:val="en-GB"/>
        </w:rPr>
      </w:pPr>
    </w:p>
    <w:p w:rsidR="007F05C4" w:rsidRPr="00552C5F" w:rsidRDefault="00BD76EA" w:rsidP="00986220">
      <w:pPr>
        <w:pStyle w:val="Nagwek2"/>
        <w:spacing w:before="120"/>
        <w:rPr>
          <w:lang w:val="en-GB"/>
        </w:rPr>
      </w:pPr>
      <w:bookmarkStart w:id="7" w:name="_Toc345343946"/>
      <w:r w:rsidRPr="00552C5F">
        <w:rPr>
          <w:lang w:val="en-GB"/>
        </w:rPr>
        <w:t>New</w:t>
      </w:r>
      <w:r w:rsidR="007F05C4" w:rsidRPr="00552C5F">
        <w:rPr>
          <w:lang w:val="en-GB"/>
        </w:rPr>
        <w:t xml:space="preserve"> </w:t>
      </w:r>
      <w:bookmarkEnd w:id="7"/>
      <w:r w:rsidR="004E199F" w:rsidRPr="00552C5F">
        <w:rPr>
          <w:lang w:val="en-GB"/>
        </w:rPr>
        <w:t xml:space="preserve">Resolution </w:t>
      </w:r>
      <w:r w:rsidR="00D42278" w:rsidRPr="00552C5F">
        <w:rPr>
          <w:lang w:val="en-GB"/>
        </w:rPr>
        <w:t>4</w:t>
      </w:r>
      <w:r w:rsidR="004E199F" w:rsidRPr="00552C5F">
        <w:rPr>
          <w:lang w:val="en-GB"/>
        </w:rPr>
        <w:t xml:space="preserve"> </w:t>
      </w:r>
      <w:r w:rsidR="004E199F" w:rsidRPr="00552C5F">
        <w:rPr>
          <w:sz w:val="24"/>
          <w:szCs w:val="24"/>
          <w:lang w:val="en-GB"/>
        </w:rPr>
        <w:t>(Periodic review of the International Telecommunication Regulations)</w:t>
      </w:r>
    </w:p>
    <w:p w:rsidR="007F05C4" w:rsidRPr="00552C5F" w:rsidRDefault="00CA1849" w:rsidP="00986220">
      <w:pPr>
        <w:spacing w:before="120"/>
        <w:jc w:val="both"/>
        <w:rPr>
          <w:rFonts w:ascii="Calibri" w:eastAsiaTheme="minorEastAsia" w:hAnsi="Calibri" w:cs="Calibri"/>
          <w:sz w:val="24"/>
          <w:szCs w:val="24"/>
          <w:lang w:val="en-GB" w:eastAsia="zh-CN"/>
        </w:rPr>
      </w:pPr>
      <w:r w:rsidRPr="00552C5F">
        <w:rPr>
          <w:rFonts w:ascii="Calibri" w:eastAsiaTheme="minorEastAsia" w:hAnsi="Calibri" w:cs="Calibri"/>
          <w:sz w:val="24"/>
          <w:szCs w:val="24"/>
          <w:lang w:val="en-GB" w:eastAsia="zh-CN"/>
        </w:rPr>
        <w:t xml:space="preserve">Resolution </w:t>
      </w:r>
      <w:r w:rsidR="004C13CD" w:rsidRPr="00552C5F">
        <w:rPr>
          <w:rFonts w:ascii="Calibri" w:eastAsiaTheme="minorEastAsia" w:hAnsi="Calibri" w:cs="Calibri"/>
          <w:sz w:val="24"/>
          <w:szCs w:val="24"/>
          <w:lang w:val="en-GB" w:eastAsia="zh-CN"/>
        </w:rPr>
        <w:t>4</w:t>
      </w:r>
      <w:r w:rsidRPr="00552C5F">
        <w:rPr>
          <w:rFonts w:ascii="Calibri" w:eastAsiaTheme="minorEastAsia" w:hAnsi="Calibri" w:cs="Calibri"/>
          <w:i/>
          <w:sz w:val="24"/>
          <w:szCs w:val="24"/>
          <w:lang w:val="en-GB" w:eastAsia="zh-CN"/>
        </w:rPr>
        <w:t xml:space="preserve"> “resolves to invite the 2014 plenipotentiary conference to consider this resolution and to take necessary action, as appropriate, to convene periodically (for example every eight years) a world conference on international telecommunications to revise the ITRs, taking into account the financial implications for the Union”</w:t>
      </w:r>
      <w:r w:rsidRPr="00552C5F">
        <w:rPr>
          <w:rFonts w:ascii="Calibri" w:eastAsiaTheme="minorEastAsia" w:hAnsi="Calibri" w:cs="Calibri"/>
          <w:sz w:val="24"/>
          <w:szCs w:val="24"/>
          <w:lang w:val="en-GB" w:eastAsia="zh-CN"/>
        </w:rPr>
        <w:t xml:space="preserve">. </w:t>
      </w:r>
    </w:p>
    <w:p w:rsidR="003E4156" w:rsidRPr="00552C5F" w:rsidRDefault="00CA1849" w:rsidP="00986220">
      <w:pPr>
        <w:tabs>
          <w:tab w:val="left" w:pos="1418"/>
        </w:tabs>
        <w:spacing w:before="120"/>
        <w:jc w:val="both"/>
        <w:rPr>
          <w:rFonts w:asciiTheme="minorHAnsi" w:hAnsiTheme="minorHAnsi"/>
          <w:sz w:val="24"/>
          <w:szCs w:val="24"/>
          <w:lang w:val="en-GB"/>
        </w:rPr>
      </w:pPr>
      <w:r w:rsidRPr="00552C5F">
        <w:rPr>
          <w:rFonts w:asciiTheme="minorHAnsi" w:hAnsiTheme="minorHAnsi"/>
          <w:sz w:val="24"/>
          <w:szCs w:val="24"/>
          <w:lang w:val="en-GB"/>
        </w:rPr>
        <w:t xml:space="preserve">CEPT had supported the view that the </w:t>
      </w:r>
      <w:r w:rsidR="003E4156" w:rsidRPr="00552C5F">
        <w:rPr>
          <w:rFonts w:asciiTheme="minorHAnsi" w:hAnsiTheme="minorHAnsi"/>
          <w:sz w:val="24"/>
          <w:szCs w:val="24"/>
          <w:lang w:val="en-GB"/>
        </w:rPr>
        <w:t>future revisions</w:t>
      </w:r>
      <w:r w:rsidRPr="00552C5F">
        <w:rPr>
          <w:rFonts w:asciiTheme="minorHAnsi" w:hAnsiTheme="minorHAnsi"/>
          <w:sz w:val="24"/>
          <w:szCs w:val="24"/>
          <w:lang w:val="en-GB"/>
        </w:rPr>
        <w:t xml:space="preserve"> should have not</w:t>
      </w:r>
      <w:r w:rsidR="003E4156" w:rsidRPr="00552C5F">
        <w:rPr>
          <w:rFonts w:asciiTheme="minorHAnsi" w:hAnsiTheme="minorHAnsi"/>
          <w:sz w:val="24"/>
          <w:szCs w:val="24"/>
          <w:lang w:val="en-GB"/>
        </w:rPr>
        <w:t xml:space="preserve"> been addressed </w:t>
      </w:r>
      <w:r w:rsidR="004C13CD" w:rsidRPr="00552C5F">
        <w:rPr>
          <w:rFonts w:asciiTheme="minorHAnsi" w:hAnsiTheme="minorHAnsi"/>
          <w:sz w:val="24"/>
          <w:szCs w:val="24"/>
          <w:lang w:val="en-GB"/>
        </w:rPr>
        <w:t>in</w:t>
      </w:r>
      <w:r w:rsidR="003E4156" w:rsidRPr="00552C5F">
        <w:rPr>
          <w:rFonts w:asciiTheme="minorHAnsi" w:hAnsiTheme="minorHAnsi"/>
          <w:sz w:val="24"/>
          <w:szCs w:val="24"/>
          <w:lang w:val="en-GB"/>
        </w:rPr>
        <w:t xml:space="preserve"> the ITRs.</w:t>
      </w:r>
    </w:p>
    <w:p w:rsidR="003E4156" w:rsidRPr="00B23B65" w:rsidRDefault="00B23B65" w:rsidP="00986220">
      <w:pPr>
        <w:tabs>
          <w:tab w:val="left" w:pos="1418"/>
        </w:tabs>
        <w:spacing w:before="120"/>
        <w:jc w:val="both"/>
        <w:rPr>
          <w:rFonts w:asciiTheme="minorHAnsi" w:hAnsiTheme="minorHAnsi"/>
          <w:b/>
          <w:sz w:val="24"/>
          <w:szCs w:val="24"/>
          <w:u w:val="single"/>
          <w:lang w:val="en-GB"/>
        </w:rPr>
      </w:pPr>
      <w:r w:rsidRPr="00B23B65">
        <w:rPr>
          <w:rFonts w:asciiTheme="minorHAnsi" w:hAnsiTheme="minorHAnsi"/>
          <w:b/>
          <w:sz w:val="24"/>
          <w:szCs w:val="24"/>
          <w:u w:val="single"/>
          <w:lang w:val="en-GB"/>
        </w:rPr>
        <w:t>Conclusions:</w:t>
      </w:r>
    </w:p>
    <w:p w:rsidR="00B23B65" w:rsidRDefault="00B23B65" w:rsidP="00B23B65">
      <w:pPr>
        <w:pStyle w:val="En-tteencabezado"/>
        <w:jc w:val="both"/>
        <w:rPr>
          <w:bCs/>
        </w:rPr>
      </w:pPr>
    </w:p>
    <w:p w:rsidR="00B23B65" w:rsidRDefault="00B23B65" w:rsidP="00B23B65">
      <w:pPr>
        <w:pStyle w:val="En-tteencabezado"/>
        <w:jc w:val="both"/>
      </w:pPr>
      <w:r>
        <w:rPr>
          <w:bCs/>
        </w:rPr>
        <w:t xml:space="preserve">However, CEPT member states </w:t>
      </w:r>
      <w:r>
        <w:t>worked together in extensive dialogue and negotiations to delete the most controversial proposals to the Treaty, including the introduction of internet and internet-related language, dealing with routing, spam and cyber security. Despite these efforts, some additional provisions were added to the final text (e.g. article 1.1. on the scope of ITRs, article 5A on Security and Robustness of Networks and article 5B on Unsolicited Bulk Electronic Communications) which the majority of CEPT member states felt unable to accept as they were considered to be insufficiently clear and open to misinterpretation of the treaty and in consequence lead to bigger governmental control over international telecommunications services. On top of that, the European Commission</w:t>
      </w:r>
      <w:r w:rsidRPr="00B031D3">
        <w:t xml:space="preserve"> in its preliminary assessment, concluded that the revised ITRs was in </w:t>
      </w:r>
      <w:r w:rsidRPr="00B031D3">
        <w:lastRenderedPageBreak/>
        <w:t>conflict both with the Council decision of November 29 and with the EU</w:t>
      </w:r>
      <w:r>
        <w:t>’s</w:t>
      </w:r>
      <w:r w:rsidRPr="00B031D3">
        <w:t xml:space="preserve"> </w:t>
      </w:r>
      <w:proofErr w:type="spellStart"/>
      <w:r w:rsidRPr="00B031D3">
        <w:t>acquis</w:t>
      </w:r>
      <w:proofErr w:type="spellEnd"/>
      <w:r w:rsidRPr="00B031D3">
        <w:t xml:space="preserve"> </w:t>
      </w:r>
      <w:proofErr w:type="spellStart"/>
      <w:r w:rsidRPr="00B031D3">
        <w:t>communautaire</w:t>
      </w:r>
      <w:proofErr w:type="spellEnd"/>
      <w:r>
        <w:t>. Several CEPT countries have mentioned, inter alia, these concerns in connection with their decision not to sign the ITRs.</w:t>
      </w:r>
    </w:p>
    <w:p w:rsidR="00B23B65" w:rsidRDefault="00B23B65" w:rsidP="00B23B65">
      <w:pPr>
        <w:pStyle w:val="En-tteencabezado"/>
        <w:jc w:val="both"/>
      </w:pPr>
    </w:p>
    <w:p w:rsidR="00B23B65" w:rsidRDefault="00B23B65" w:rsidP="00B23B65">
      <w:pPr>
        <w:pStyle w:val="En-tteencabezado"/>
        <w:jc w:val="both"/>
      </w:pPr>
      <w:r>
        <w:t>The following CEPT countries did not sign the ITR</w:t>
      </w:r>
      <w:r>
        <w:t>s</w:t>
      </w:r>
      <w:r>
        <w:t>:</w:t>
      </w:r>
    </w:p>
    <w:p w:rsidR="00B23B65" w:rsidRDefault="00B23B65" w:rsidP="00B23B65">
      <w:pPr>
        <w:pStyle w:val="En-tteencabezado"/>
        <w:jc w:val="both"/>
      </w:pPr>
    </w:p>
    <w:p w:rsidR="00B23B65" w:rsidRDefault="00B23B65" w:rsidP="00B23B65">
      <w:pPr>
        <w:pStyle w:val="En-tteencabezado"/>
        <w:jc w:val="both"/>
      </w:pPr>
      <w:r>
        <w:t>Albania, Andorra, Austria, Belarus, Belgium, Bulgaria, Croatia, Cyprus, Czech Republic, Denmark, Estonia, Finland, France, Georgia, Germany, Greece, Hungary, Iceland, Ireland, Italy, Latvia, Liechtenstein, Lithuania, Luxembourg, Malta, Moldova, Montenegro, Netherlands, Norway, Poland, Portugal, Romania, Serbia, Slovak Republic, Slovenia, Spain, Sweden, Switzerland and the United Kingdom.</w:t>
      </w:r>
    </w:p>
    <w:p w:rsidR="00B23B65" w:rsidRDefault="00B23B65" w:rsidP="00B23B65">
      <w:pPr>
        <w:pStyle w:val="En-tteencabezado"/>
        <w:jc w:val="both"/>
      </w:pPr>
    </w:p>
    <w:p w:rsidR="00B23B65" w:rsidRDefault="00B23B65" w:rsidP="00B23B65">
      <w:pPr>
        <w:pStyle w:val="En-tteencabezado"/>
        <w:jc w:val="both"/>
      </w:pPr>
      <w:r>
        <w:t>The following CEPT member states did not share these concerns and decided to sign the ITRs:</w:t>
      </w:r>
    </w:p>
    <w:p w:rsidR="00B23B65" w:rsidRDefault="00B23B65" w:rsidP="00B23B65">
      <w:pPr>
        <w:pStyle w:val="En-tteencabezado"/>
        <w:jc w:val="both"/>
      </w:pPr>
    </w:p>
    <w:p w:rsidR="00B23B65" w:rsidRDefault="00B23B65" w:rsidP="00B23B65">
      <w:pPr>
        <w:pStyle w:val="En-tteencabezado"/>
        <w:jc w:val="both"/>
      </w:pPr>
      <w:smartTag w:uri="urn:schemas-microsoft-com:office:smarttags" w:element="country-region">
        <w:r>
          <w:t>Azerbaijan</w:t>
        </w:r>
      </w:smartTag>
      <w:r>
        <w:t xml:space="preserve">, </w:t>
      </w:r>
      <w:smartTag w:uri="urn:schemas-microsoft-com:office:smarttags" w:element="country-region">
        <w:r>
          <w:t>Russian Federation</w:t>
        </w:r>
      </w:smartTag>
      <w:r>
        <w:t xml:space="preserve">, </w:t>
      </w:r>
      <w:smartTag w:uri="urn:schemas-microsoft-com:office:smarttags" w:element="country-region">
        <w:r>
          <w:t>Turkey</w:t>
        </w:r>
      </w:smartTag>
      <w:r>
        <w:t xml:space="preserve"> and </w:t>
      </w:r>
      <w:smartTag w:uri="urn:schemas-microsoft-com:office:smarttags" w:element="place">
        <w:smartTag w:uri="urn:schemas-microsoft-com:office:smarttags" w:element="country-region">
          <w:r>
            <w:t>Ukraine</w:t>
          </w:r>
        </w:smartTag>
      </w:smartTag>
      <w:r>
        <w:t>.</w:t>
      </w:r>
    </w:p>
    <w:p w:rsidR="00B23B65" w:rsidRDefault="00B23B65" w:rsidP="00B23B65">
      <w:pPr>
        <w:pStyle w:val="En-tteencabezado"/>
        <w:jc w:val="both"/>
      </w:pPr>
    </w:p>
    <w:p w:rsidR="00B23B65" w:rsidRDefault="00B23B65" w:rsidP="00B23B65">
      <w:pPr>
        <w:pStyle w:val="En-tteencabezado"/>
        <w:jc w:val="both"/>
      </w:pPr>
      <w:r>
        <w:t>In total, 89 ITU member states signed the treaty and 55 decided not to do so.</w:t>
      </w:r>
    </w:p>
    <w:p w:rsidR="00B23B65" w:rsidRDefault="00B23B65" w:rsidP="00B23B65">
      <w:pPr>
        <w:pStyle w:val="En-tteencabezado"/>
        <w:tabs>
          <w:tab w:val="clear" w:pos="4536"/>
          <w:tab w:val="clear" w:pos="9072"/>
        </w:tabs>
        <w:jc w:val="both"/>
      </w:pPr>
    </w:p>
    <w:p w:rsidR="00B23B65" w:rsidRPr="0047357A" w:rsidRDefault="00B23B65" w:rsidP="00B23B65">
      <w:pPr>
        <w:pStyle w:val="En-tteencabezado"/>
        <w:tabs>
          <w:tab w:val="clear" w:pos="4536"/>
          <w:tab w:val="clear" w:pos="9072"/>
        </w:tabs>
        <w:jc w:val="both"/>
        <w:rPr>
          <w:b/>
          <w:u w:val="single"/>
        </w:rPr>
      </w:pPr>
      <w:r>
        <w:rPr>
          <w:b/>
          <w:u w:val="single"/>
        </w:rPr>
        <w:t>Next steps</w:t>
      </w:r>
    </w:p>
    <w:p w:rsidR="00B23B65" w:rsidRDefault="00B23B65" w:rsidP="00B23B65">
      <w:pPr>
        <w:pStyle w:val="En-tteencabezado"/>
        <w:tabs>
          <w:tab w:val="clear" w:pos="4536"/>
          <w:tab w:val="clear" w:pos="9072"/>
        </w:tabs>
        <w:jc w:val="both"/>
      </w:pPr>
    </w:p>
    <w:p w:rsidR="00B23B65" w:rsidRDefault="00B23B65" w:rsidP="00B23B65">
      <w:pPr>
        <w:pStyle w:val="En-tteencabezado"/>
        <w:jc w:val="both"/>
      </w:pPr>
      <w:r>
        <w:t>The new ITRs</w:t>
      </w:r>
      <w:r>
        <w:t xml:space="preserve"> will</w:t>
      </w:r>
      <w:r>
        <w:t xml:space="preserve"> come into effect on 1 January 2015. Until then, the existing version is applicable. However, since a large number of member states did not sign the treaty, there is legal uncertainty about what will happen after 2015. The legal analysis is being undertaken at national and international level. Some possible solutions will be discussed at future Com-ITU meetings.</w:t>
      </w:r>
    </w:p>
    <w:p w:rsidR="00B23B65" w:rsidRPr="0011051C" w:rsidRDefault="00B23B65" w:rsidP="00B23B65">
      <w:pPr>
        <w:pStyle w:val="En-tteencabezado"/>
        <w:tabs>
          <w:tab w:val="clear" w:pos="4536"/>
          <w:tab w:val="clear" w:pos="9072"/>
        </w:tabs>
        <w:jc w:val="both"/>
      </w:pPr>
    </w:p>
    <w:p w:rsidR="00B23B65" w:rsidRPr="00F41769" w:rsidRDefault="00B23B65" w:rsidP="00B23B65">
      <w:pPr>
        <w:pStyle w:val="En-tteencabezado"/>
        <w:tabs>
          <w:tab w:val="clear" w:pos="4536"/>
          <w:tab w:val="clear" w:pos="9072"/>
        </w:tabs>
        <w:jc w:val="both"/>
        <w:rPr>
          <w:i/>
          <w:lang w:val="en-US"/>
        </w:rPr>
      </w:pPr>
      <w:r>
        <w:rPr>
          <w:b/>
          <w:u w:val="single"/>
          <w:lang w:val="en-US"/>
        </w:rPr>
        <w:t>Comments</w:t>
      </w:r>
      <w:r w:rsidRPr="002A1AC0">
        <w:rPr>
          <w:lang w:val="en-US"/>
        </w:rPr>
        <w:t xml:space="preserve"> </w:t>
      </w:r>
    </w:p>
    <w:p w:rsidR="00B23B65" w:rsidRDefault="00B23B65" w:rsidP="00B23B65">
      <w:pPr>
        <w:pStyle w:val="En-tteencabezado"/>
        <w:tabs>
          <w:tab w:val="clear" w:pos="4536"/>
          <w:tab w:val="clear" w:pos="9072"/>
        </w:tabs>
        <w:jc w:val="both"/>
        <w:rPr>
          <w:lang w:val="en-US"/>
        </w:rPr>
      </w:pPr>
    </w:p>
    <w:p w:rsidR="00B23B65" w:rsidRDefault="00B23B65" w:rsidP="00B23B65">
      <w:pPr>
        <w:pStyle w:val="En-tteencabezado"/>
        <w:tabs>
          <w:tab w:val="clear" w:pos="4536"/>
          <w:tab w:val="clear" w:pos="9072"/>
        </w:tabs>
        <w:jc w:val="both"/>
        <w:rPr>
          <w:lang w:val="en-US"/>
        </w:rPr>
      </w:pPr>
      <w:r>
        <w:rPr>
          <w:lang w:val="en-US"/>
        </w:rPr>
        <w:t>The results of the Conference can be considered as satisfying for CEPT, despite split in assessment of the outcome of the Conference. In particular, the coordination mechanisms proved to be an efficient tool for securing the CEPTs goals. There are, however, some further issues that need to be raised:</w:t>
      </w:r>
    </w:p>
    <w:p w:rsidR="00B23B65" w:rsidRDefault="00B23B65" w:rsidP="00B23B65">
      <w:pPr>
        <w:pStyle w:val="En-tteencabezado"/>
        <w:numPr>
          <w:ilvl w:val="0"/>
          <w:numId w:val="17"/>
        </w:numPr>
        <w:tabs>
          <w:tab w:val="clear" w:pos="4536"/>
          <w:tab w:val="clear" w:pos="9072"/>
        </w:tabs>
        <w:jc w:val="both"/>
        <w:rPr>
          <w:lang w:val="en-US"/>
        </w:rPr>
      </w:pPr>
      <w:r>
        <w:rPr>
          <w:lang w:val="en-US"/>
        </w:rPr>
        <w:t>Not all CEPT member states were involved in the preparatory process for the WCIT-12.</w:t>
      </w:r>
    </w:p>
    <w:p w:rsidR="00B23B65" w:rsidRDefault="00B23B65" w:rsidP="00B23B65">
      <w:pPr>
        <w:pStyle w:val="En-tteencabezado"/>
        <w:numPr>
          <w:ilvl w:val="0"/>
          <w:numId w:val="17"/>
        </w:numPr>
        <w:tabs>
          <w:tab w:val="clear" w:pos="4536"/>
          <w:tab w:val="clear" w:pos="9072"/>
        </w:tabs>
        <w:jc w:val="both"/>
        <w:rPr>
          <w:lang w:val="en-US"/>
        </w:rPr>
      </w:pPr>
      <w:r>
        <w:rPr>
          <w:lang w:val="en-US"/>
        </w:rPr>
        <w:t>There was no common understanding among CEPT member states on the approach to the revision of ITRs, the status of ITRs and in the consequence the future role of ITU.</w:t>
      </w:r>
    </w:p>
    <w:p w:rsidR="00B23B65" w:rsidRDefault="00B23B65" w:rsidP="00B23B65">
      <w:pPr>
        <w:pStyle w:val="En-tteencabezado"/>
        <w:numPr>
          <w:ilvl w:val="0"/>
          <w:numId w:val="17"/>
        </w:numPr>
        <w:tabs>
          <w:tab w:val="clear" w:pos="4536"/>
          <w:tab w:val="clear" w:pos="9072"/>
        </w:tabs>
        <w:jc w:val="both"/>
        <w:rPr>
          <w:lang w:val="en-US"/>
        </w:rPr>
      </w:pPr>
      <w:r>
        <w:rPr>
          <w:lang w:val="en-US"/>
        </w:rPr>
        <w:t xml:space="preserve">Involvement of private sector should be underlined and considered as a success. The CEPT should maintain the interest of private sector in its activities. </w:t>
      </w:r>
    </w:p>
    <w:p w:rsidR="00B23B65" w:rsidRDefault="00B23B65" w:rsidP="00B23B65">
      <w:pPr>
        <w:pStyle w:val="En-tteencabezado"/>
        <w:numPr>
          <w:ilvl w:val="0"/>
          <w:numId w:val="17"/>
        </w:numPr>
        <w:tabs>
          <w:tab w:val="clear" w:pos="4536"/>
          <w:tab w:val="clear" w:pos="9072"/>
        </w:tabs>
        <w:jc w:val="both"/>
        <w:rPr>
          <w:lang w:val="en-US"/>
        </w:rPr>
      </w:pPr>
      <w:r>
        <w:rPr>
          <w:lang w:val="en-US"/>
        </w:rPr>
        <w:t>There is a clear need for further cooperation with the European Commission in the future actions of Com-ITU. The exact role of these organizations should be worked out.</w:t>
      </w:r>
    </w:p>
    <w:p w:rsidR="00B23B65" w:rsidRDefault="00B23B65" w:rsidP="00B23B65">
      <w:pPr>
        <w:pStyle w:val="En-tteencabezado"/>
        <w:numPr>
          <w:ilvl w:val="0"/>
          <w:numId w:val="17"/>
        </w:numPr>
        <w:tabs>
          <w:tab w:val="clear" w:pos="4536"/>
          <w:tab w:val="clear" w:pos="9072"/>
        </w:tabs>
        <w:jc w:val="both"/>
        <w:rPr>
          <w:lang w:val="en-US"/>
        </w:rPr>
      </w:pPr>
      <w:r>
        <w:rPr>
          <w:lang w:val="en-US"/>
        </w:rPr>
        <w:t xml:space="preserve">The Conference was very political and political views blurred the final outcome of the Conference. </w:t>
      </w:r>
    </w:p>
    <w:p w:rsidR="00B23B65" w:rsidRDefault="00B23B65" w:rsidP="00B23B65">
      <w:pPr>
        <w:pStyle w:val="En-tteencabezado"/>
        <w:numPr>
          <w:ilvl w:val="0"/>
          <w:numId w:val="17"/>
        </w:numPr>
        <w:tabs>
          <w:tab w:val="clear" w:pos="4536"/>
          <w:tab w:val="clear" w:pos="9072"/>
        </w:tabs>
        <w:jc w:val="both"/>
        <w:rPr>
          <w:lang w:val="en-US"/>
        </w:rPr>
      </w:pPr>
      <w:r>
        <w:rPr>
          <w:lang w:val="en-US"/>
        </w:rPr>
        <w:t>During the WCIT-</w:t>
      </w:r>
      <w:smartTag w:uri="urn:schemas-microsoft-com:office:smarttags" w:element="metricconverter">
        <w:smartTagPr>
          <w:attr w:name="ProductID" w:val="12 a"/>
        </w:smartTagPr>
        <w:r>
          <w:rPr>
            <w:lang w:val="en-US"/>
          </w:rPr>
          <w:t>12 a</w:t>
        </w:r>
      </w:smartTag>
      <w:r>
        <w:rPr>
          <w:lang w:val="en-US"/>
        </w:rPr>
        <w:t xml:space="preserve"> number of delegations raised the opinion that CEPT focused on the defense of the existing arrangements and did not provide a positive approach to other regions’ needs. </w:t>
      </w:r>
    </w:p>
    <w:p w:rsidR="00B23B65" w:rsidRDefault="00B23B65" w:rsidP="00B23B65">
      <w:pPr>
        <w:pStyle w:val="En-tteencabezado"/>
        <w:numPr>
          <w:ilvl w:val="0"/>
          <w:numId w:val="17"/>
        </w:numPr>
        <w:tabs>
          <w:tab w:val="clear" w:pos="4536"/>
          <w:tab w:val="clear" w:pos="9072"/>
        </w:tabs>
        <w:jc w:val="both"/>
        <w:rPr>
          <w:lang w:val="en-US"/>
        </w:rPr>
      </w:pPr>
      <w:r>
        <w:rPr>
          <w:lang w:val="en-US"/>
        </w:rPr>
        <w:t xml:space="preserve">WCIT-12 demonstrated a split within the ITU membership and there is a notion of </w:t>
      </w:r>
      <w:r w:rsidRPr="00B031D3">
        <w:rPr>
          <w:lang w:val="en-US"/>
        </w:rPr>
        <w:t xml:space="preserve">uncertainty </w:t>
      </w:r>
      <w:r>
        <w:rPr>
          <w:lang w:val="en-US"/>
        </w:rPr>
        <w:t xml:space="preserve">how ITU will function in the future, especially in advance of events </w:t>
      </w:r>
      <w:r>
        <w:rPr>
          <w:lang w:val="en-US"/>
        </w:rPr>
        <w:lastRenderedPageBreak/>
        <w:t xml:space="preserve">like WTPF-13 and PP-14 that carry a lot of political weight. </w:t>
      </w:r>
      <w:r w:rsidRPr="00B031D3">
        <w:rPr>
          <w:lang w:val="en-US"/>
        </w:rPr>
        <w:t xml:space="preserve">How will Europe position itself  </w:t>
      </w:r>
      <w:r>
        <w:rPr>
          <w:lang w:val="en-US"/>
        </w:rPr>
        <w:t>within</w:t>
      </w:r>
      <w:r w:rsidRPr="00B031D3">
        <w:rPr>
          <w:lang w:val="en-US"/>
        </w:rPr>
        <w:t xml:space="preserve"> this new context?</w:t>
      </w:r>
    </w:p>
    <w:p w:rsidR="00B23B65" w:rsidRDefault="00B23B65" w:rsidP="00B23B65">
      <w:pPr>
        <w:pStyle w:val="En-tteencabezado"/>
        <w:numPr>
          <w:ilvl w:val="0"/>
          <w:numId w:val="17"/>
        </w:numPr>
        <w:tabs>
          <w:tab w:val="clear" w:pos="4536"/>
          <w:tab w:val="clear" w:pos="9072"/>
        </w:tabs>
        <w:jc w:val="both"/>
        <w:rPr>
          <w:lang w:val="en-US"/>
        </w:rPr>
      </w:pPr>
      <w:r>
        <w:rPr>
          <w:lang w:val="en-US"/>
        </w:rPr>
        <w:t>There was a number of issues raised during the preparatory process and the Conference itself, like: Internet management, the role of ITU and the sustainability of  development of Internet and its infrastructure. The discussion was not conclusive and will not be avoided in the future and CEPT member states should be ready to discuss those issues.</w:t>
      </w:r>
    </w:p>
    <w:p w:rsidR="00B23B65" w:rsidRPr="00C80138" w:rsidRDefault="00B23B65" w:rsidP="00B23B65">
      <w:pPr>
        <w:pStyle w:val="En-tteencabezado"/>
        <w:numPr>
          <w:ilvl w:val="0"/>
          <w:numId w:val="17"/>
        </w:numPr>
        <w:tabs>
          <w:tab w:val="clear" w:pos="4536"/>
          <w:tab w:val="clear" w:pos="9072"/>
        </w:tabs>
        <w:jc w:val="both"/>
        <w:rPr>
          <w:lang w:val="en-US"/>
        </w:rPr>
      </w:pPr>
      <w:r>
        <w:rPr>
          <w:lang w:val="en-US"/>
        </w:rPr>
        <w:t>S</w:t>
      </w:r>
      <w:proofErr w:type="spellStart"/>
      <w:r>
        <w:t>ince</w:t>
      </w:r>
      <w:proofErr w:type="spellEnd"/>
      <w:r>
        <w:t xml:space="preserve"> a large number of member states did not sign the Treaty, there is legal uncertainty about what will happen after 2015. The legal analysis needs to be undertaken at national and international level. Due to its expertise, CEPT should play </w:t>
      </w:r>
      <w:r w:rsidRPr="008F76E6">
        <w:t>a major role in the process</w:t>
      </w:r>
      <w:r w:rsidRPr="008F76E6">
        <w:rPr>
          <w:szCs w:val="24"/>
        </w:rPr>
        <w:t xml:space="preserve">, however, some EU CEPT member states may </w:t>
      </w:r>
      <w:r w:rsidRPr="008F76E6">
        <w:rPr>
          <w:szCs w:val="24"/>
          <w:lang w:val="en-US"/>
        </w:rPr>
        <w:t xml:space="preserve">wish to request the European Institutions (e.g. EC and European Council) a formal confirmation that WCIT’s Final Acts are in conflict with EU </w:t>
      </w:r>
      <w:proofErr w:type="spellStart"/>
      <w:r w:rsidRPr="008F76E6">
        <w:rPr>
          <w:szCs w:val="24"/>
          <w:lang w:val="en-US"/>
        </w:rPr>
        <w:t>acquis</w:t>
      </w:r>
      <w:proofErr w:type="spellEnd"/>
      <w:r w:rsidRPr="008F76E6">
        <w:rPr>
          <w:szCs w:val="24"/>
          <w:lang w:val="en-US"/>
        </w:rPr>
        <w:t xml:space="preserve"> and with the Council decision.</w:t>
      </w:r>
    </w:p>
    <w:p w:rsidR="00B23B65" w:rsidRDefault="00B23B65" w:rsidP="00B23B65">
      <w:pPr>
        <w:pStyle w:val="En-tteencabezado"/>
        <w:tabs>
          <w:tab w:val="clear" w:pos="4536"/>
          <w:tab w:val="clear" w:pos="9072"/>
        </w:tabs>
        <w:ind w:left="1065"/>
        <w:jc w:val="both"/>
        <w:rPr>
          <w:lang w:val="en-US"/>
        </w:rPr>
      </w:pPr>
    </w:p>
    <w:p w:rsidR="00B23B65" w:rsidRPr="00F41769" w:rsidRDefault="00B23B65" w:rsidP="00B23B65">
      <w:pPr>
        <w:pStyle w:val="En-tteencabezado"/>
        <w:tabs>
          <w:tab w:val="clear" w:pos="4536"/>
          <w:tab w:val="clear" w:pos="9072"/>
        </w:tabs>
      </w:pPr>
      <w:r>
        <w:rPr>
          <w:lang w:val="en-US"/>
        </w:rPr>
        <w:t>All these issues will have to be discussed in the future within CEPT in preparation to the: WTPF 2013, WTDC 2014, PP 2014 and WTSA-16.</w:t>
      </w:r>
    </w:p>
    <w:p w:rsidR="00B23B65" w:rsidRDefault="00B23B65" w:rsidP="00B23B65">
      <w:pPr>
        <w:pStyle w:val="En-tteencabezado"/>
        <w:tabs>
          <w:tab w:val="clear" w:pos="4536"/>
          <w:tab w:val="clear" w:pos="9072"/>
        </w:tabs>
        <w:jc w:val="both"/>
        <w:rPr>
          <w:b/>
          <w:u w:val="single"/>
        </w:rPr>
      </w:pPr>
    </w:p>
    <w:p w:rsidR="00B30278" w:rsidRPr="00B30278" w:rsidRDefault="00B30278" w:rsidP="00B23B65">
      <w:pPr>
        <w:tabs>
          <w:tab w:val="left" w:pos="1418"/>
        </w:tabs>
        <w:spacing w:before="120"/>
        <w:jc w:val="both"/>
        <w:rPr>
          <w:rFonts w:asciiTheme="minorHAnsi" w:hAnsiTheme="minorHAnsi"/>
          <w:sz w:val="24"/>
          <w:szCs w:val="24"/>
          <w:lang w:val="en-GB"/>
        </w:rPr>
      </w:pPr>
    </w:p>
    <w:sectPr w:rsidR="00B30278" w:rsidRPr="00B30278" w:rsidSect="00C047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9FA" w:rsidRDefault="000659FA" w:rsidP="007F05C4">
      <w:r>
        <w:separator/>
      </w:r>
    </w:p>
  </w:endnote>
  <w:endnote w:type="continuationSeparator" w:id="0">
    <w:p w:rsidR="000659FA" w:rsidRDefault="000659FA" w:rsidP="007F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9FA" w:rsidRDefault="000659FA" w:rsidP="007F05C4">
      <w:r>
        <w:separator/>
      </w:r>
    </w:p>
  </w:footnote>
  <w:footnote w:type="continuationSeparator" w:id="0">
    <w:p w:rsidR="000659FA" w:rsidRDefault="000659FA" w:rsidP="007F05C4">
      <w:r>
        <w:continuationSeparator/>
      </w:r>
    </w:p>
  </w:footnote>
  <w:footnote w:id="1">
    <w:p w:rsidR="00A3716F" w:rsidRPr="00A3716F" w:rsidRDefault="00A3716F" w:rsidP="00A3716F">
      <w:pPr>
        <w:pStyle w:val="Source"/>
        <w:spacing w:before="120"/>
        <w:jc w:val="both"/>
        <w:rPr>
          <w:rStyle w:val="Artdef"/>
          <w:b/>
        </w:rPr>
      </w:pPr>
      <w:r>
        <w:rPr>
          <w:rStyle w:val="Odwoanieprzypisudolnego"/>
        </w:rPr>
        <w:footnoteRef/>
      </w:r>
      <w:r w:rsidRPr="00E94CD9">
        <w:rPr>
          <w:lang w:val="pt-PT"/>
        </w:rPr>
        <w:t xml:space="preserve"> </w:t>
      </w:r>
      <w:r w:rsidRPr="00A3716F">
        <w:rPr>
          <w:b w:val="0"/>
          <w:sz w:val="20"/>
        </w:rPr>
        <w:t xml:space="preserve">In its final version the proponents were the following: </w:t>
      </w:r>
      <w:r w:rsidRPr="00A3716F">
        <w:rPr>
          <w:rFonts w:ascii="Calibri" w:hAnsi="Calibri"/>
          <w:b w:val="0"/>
          <w:sz w:val="20"/>
        </w:rPr>
        <w:t>Austria, Brazil, Bulgaria, Cyprus, Czech Republic, Denmark, Spain, Estonia, Finland, France, Greece, Hungary, Italy, L</w:t>
      </w:r>
      <w:r>
        <w:rPr>
          <w:rFonts w:ascii="Calibri" w:hAnsi="Calibri"/>
          <w:b w:val="0"/>
          <w:sz w:val="20"/>
        </w:rPr>
        <w:t>atvia</w:t>
      </w:r>
      <w:r w:rsidRPr="00A3716F">
        <w:rPr>
          <w:rFonts w:ascii="Calibri" w:hAnsi="Calibri"/>
          <w:b w:val="0"/>
          <w:sz w:val="20"/>
        </w:rPr>
        <w:t>, Lithuania, Luxemburg, Malta, The Netherlands, Norway, Philippines, Poland, Qatar, Romania, Slovakia, Slovenia, Sw</w:t>
      </w:r>
      <w:r>
        <w:rPr>
          <w:rFonts w:ascii="Calibri" w:hAnsi="Calibri"/>
          <w:b w:val="0"/>
          <w:sz w:val="20"/>
        </w:rPr>
        <w:t>e</w:t>
      </w:r>
      <w:r w:rsidRPr="00A3716F">
        <w:rPr>
          <w:rFonts w:ascii="Calibri" w:hAnsi="Calibri"/>
          <w:b w:val="0"/>
          <w:sz w:val="20"/>
        </w:rPr>
        <w:t>den, Switzerland, Tunisia, Germany</w:t>
      </w:r>
      <w:r>
        <w:rPr>
          <w:rFonts w:ascii="Calibri" w:hAnsi="Calibri"/>
          <w:b w:val="0"/>
          <w:sz w:val="20"/>
        </w:rPr>
        <w:t>, Costa Rica and</w:t>
      </w:r>
      <w:r w:rsidRPr="00A3716F">
        <w:rPr>
          <w:rFonts w:ascii="Calibri" w:hAnsi="Calibri"/>
          <w:b w:val="0"/>
          <w:sz w:val="20"/>
        </w:rPr>
        <w:t xml:space="preserve"> Serbia</w:t>
      </w:r>
    </w:p>
    <w:p w:rsidR="00A3716F" w:rsidRPr="00EC44C2" w:rsidRDefault="00A3716F" w:rsidP="00A3716F">
      <w:pPr>
        <w:pStyle w:val="Tekstprzypisudolnego"/>
        <w:rPr>
          <w:lang w:val="pt-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7855"/>
    <w:multiLevelType w:val="multilevel"/>
    <w:tmpl w:val="4B16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7550F"/>
    <w:multiLevelType w:val="hybridMultilevel"/>
    <w:tmpl w:val="DDDAA3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5032452"/>
    <w:multiLevelType w:val="hybridMultilevel"/>
    <w:tmpl w:val="0F523D2C"/>
    <w:lvl w:ilvl="0" w:tplc="3222AA04">
      <w:start w:val="1"/>
      <w:numFmt w:val="lowerLetter"/>
      <w:pStyle w:val="Nagwek2"/>
      <w:lvlText w:val="%1)"/>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75B7F08"/>
    <w:multiLevelType w:val="hybridMultilevel"/>
    <w:tmpl w:val="85F80608"/>
    <w:lvl w:ilvl="0" w:tplc="63D437B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AD3D87"/>
    <w:multiLevelType w:val="hybridMultilevel"/>
    <w:tmpl w:val="629C68E6"/>
    <w:lvl w:ilvl="0" w:tplc="8312E2E8">
      <w:start w:val="1"/>
      <w:numFmt w:val="lowerLetter"/>
      <w:pStyle w:val="Nagwek3"/>
      <w:lvlText w:val="%1)"/>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1FB3A26"/>
    <w:multiLevelType w:val="hybridMultilevel"/>
    <w:tmpl w:val="089CA2DC"/>
    <w:lvl w:ilvl="0" w:tplc="55F888A4">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4BA54E32"/>
    <w:multiLevelType w:val="hybridMultilevel"/>
    <w:tmpl w:val="535EB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587E32AF"/>
    <w:multiLevelType w:val="hybridMultilevel"/>
    <w:tmpl w:val="2C761F6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EC417F5"/>
    <w:multiLevelType w:val="hybridMultilevel"/>
    <w:tmpl w:val="A17CA75A"/>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9">
    <w:nsid w:val="76EA492C"/>
    <w:multiLevelType w:val="hybridMultilevel"/>
    <w:tmpl w:val="DDFCA15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nsid w:val="7732092B"/>
    <w:multiLevelType w:val="hybridMultilevel"/>
    <w:tmpl w:val="D6B439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7FC209C2"/>
    <w:multiLevelType w:val="hybridMultilevel"/>
    <w:tmpl w:val="0E82DA64"/>
    <w:lvl w:ilvl="0" w:tplc="C04A8230">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4"/>
  </w:num>
  <w:num w:numId="5">
    <w:abstractNumId w:val="6"/>
  </w:num>
  <w:num w:numId="6">
    <w:abstractNumId w:val="9"/>
  </w:num>
  <w:num w:numId="7">
    <w:abstractNumId w:val="10"/>
  </w:num>
  <w:num w:numId="8">
    <w:abstractNumId w:val="0"/>
  </w:num>
  <w:num w:numId="9">
    <w:abstractNumId w:val="7"/>
  </w:num>
  <w:num w:numId="10">
    <w:abstractNumId w:val="2"/>
  </w:num>
  <w:num w:numId="11">
    <w:abstractNumId w:val="2"/>
  </w:num>
  <w:num w:numId="12">
    <w:abstractNumId w:val="2"/>
    <w:lvlOverride w:ilvl="0">
      <w:startOverride w:val="1"/>
    </w:lvlOverride>
  </w:num>
  <w:num w:numId="13">
    <w:abstractNumId w:val="2"/>
  </w:num>
  <w:num w:numId="14">
    <w:abstractNumId w:val="2"/>
  </w:num>
  <w:num w:numId="15">
    <w:abstractNumId w:val="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88"/>
    <w:rsid w:val="000169EB"/>
    <w:rsid w:val="00016B2C"/>
    <w:rsid w:val="00021FE5"/>
    <w:rsid w:val="0002677C"/>
    <w:rsid w:val="0002780E"/>
    <w:rsid w:val="000418DE"/>
    <w:rsid w:val="000659FA"/>
    <w:rsid w:val="000665A9"/>
    <w:rsid w:val="00095B88"/>
    <w:rsid w:val="000C2ECE"/>
    <w:rsid w:val="000C4667"/>
    <w:rsid w:val="000E207C"/>
    <w:rsid w:val="0014522B"/>
    <w:rsid w:val="001708E0"/>
    <w:rsid w:val="001A3286"/>
    <w:rsid w:val="001A5BA9"/>
    <w:rsid w:val="001B15C3"/>
    <w:rsid w:val="001C35C5"/>
    <w:rsid w:val="001C5B0D"/>
    <w:rsid w:val="00244F67"/>
    <w:rsid w:val="0028028C"/>
    <w:rsid w:val="002A5DE4"/>
    <w:rsid w:val="002C11CA"/>
    <w:rsid w:val="002D46E9"/>
    <w:rsid w:val="002F0442"/>
    <w:rsid w:val="002F257E"/>
    <w:rsid w:val="0037087F"/>
    <w:rsid w:val="003A22AA"/>
    <w:rsid w:val="003B3C66"/>
    <w:rsid w:val="003C55ED"/>
    <w:rsid w:val="003E4156"/>
    <w:rsid w:val="00414418"/>
    <w:rsid w:val="00431AE6"/>
    <w:rsid w:val="00434FEA"/>
    <w:rsid w:val="00453D7A"/>
    <w:rsid w:val="004B2534"/>
    <w:rsid w:val="004C13CD"/>
    <w:rsid w:val="004D195F"/>
    <w:rsid w:val="004E199F"/>
    <w:rsid w:val="00511369"/>
    <w:rsid w:val="00551BCF"/>
    <w:rsid w:val="00552C5F"/>
    <w:rsid w:val="005B674B"/>
    <w:rsid w:val="005D797B"/>
    <w:rsid w:val="005E2FA0"/>
    <w:rsid w:val="0060379F"/>
    <w:rsid w:val="006935BE"/>
    <w:rsid w:val="006A51D8"/>
    <w:rsid w:val="006F4B84"/>
    <w:rsid w:val="007156BA"/>
    <w:rsid w:val="00736E82"/>
    <w:rsid w:val="00761CF5"/>
    <w:rsid w:val="007751BA"/>
    <w:rsid w:val="00791E46"/>
    <w:rsid w:val="007B0E58"/>
    <w:rsid w:val="007E18DF"/>
    <w:rsid w:val="007F05C4"/>
    <w:rsid w:val="00824BFE"/>
    <w:rsid w:val="00856A2D"/>
    <w:rsid w:val="00892AF3"/>
    <w:rsid w:val="008D1E00"/>
    <w:rsid w:val="008D4367"/>
    <w:rsid w:val="008E7285"/>
    <w:rsid w:val="008F37F2"/>
    <w:rsid w:val="00903FC3"/>
    <w:rsid w:val="009218C5"/>
    <w:rsid w:val="00953554"/>
    <w:rsid w:val="00966C7C"/>
    <w:rsid w:val="00986220"/>
    <w:rsid w:val="009D392E"/>
    <w:rsid w:val="009F5A80"/>
    <w:rsid w:val="00A24869"/>
    <w:rsid w:val="00A31213"/>
    <w:rsid w:val="00A3716F"/>
    <w:rsid w:val="00A61BCC"/>
    <w:rsid w:val="00A9338D"/>
    <w:rsid w:val="00AB776D"/>
    <w:rsid w:val="00B102AC"/>
    <w:rsid w:val="00B23B65"/>
    <w:rsid w:val="00B30278"/>
    <w:rsid w:val="00B36C03"/>
    <w:rsid w:val="00B41AB0"/>
    <w:rsid w:val="00B6595E"/>
    <w:rsid w:val="00B75EF6"/>
    <w:rsid w:val="00B83D7D"/>
    <w:rsid w:val="00B84C51"/>
    <w:rsid w:val="00BA2BE4"/>
    <w:rsid w:val="00BA2E0A"/>
    <w:rsid w:val="00BD0CE6"/>
    <w:rsid w:val="00BD76EA"/>
    <w:rsid w:val="00BF2B64"/>
    <w:rsid w:val="00BF7D81"/>
    <w:rsid w:val="00C047DD"/>
    <w:rsid w:val="00C32B94"/>
    <w:rsid w:val="00C47135"/>
    <w:rsid w:val="00C67508"/>
    <w:rsid w:val="00C92825"/>
    <w:rsid w:val="00CA1849"/>
    <w:rsid w:val="00CA3B50"/>
    <w:rsid w:val="00D202EA"/>
    <w:rsid w:val="00D42278"/>
    <w:rsid w:val="00D623B2"/>
    <w:rsid w:val="00D7750B"/>
    <w:rsid w:val="00D85D58"/>
    <w:rsid w:val="00DD15A4"/>
    <w:rsid w:val="00DE788A"/>
    <w:rsid w:val="00DF4409"/>
    <w:rsid w:val="00E009BB"/>
    <w:rsid w:val="00E024A6"/>
    <w:rsid w:val="00E35298"/>
    <w:rsid w:val="00E63AE7"/>
    <w:rsid w:val="00E72D35"/>
    <w:rsid w:val="00E72ECE"/>
    <w:rsid w:val="00EE55D5"/>
    <w:rsid w:val="00EF62FF"/>
    <w:rsid w:val="00EF68D6"/>
    <w:rsid w:val="00F06BF0"/>
    <w:rsid w:val="00F22E57"/>
    <w:rsid w:val="00F529D8"/>
    <w:rsid w:val="00F929FA"/>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C8969B7-73B4-441D-855A-962B8714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B88"/>
    <w:pPr>
      <w:spacing w:before="0"/>
    </w:pPr>
    <w:rPr>
      <w:rFonts w:ascii="Times New Roman" w:eastAsia="Times New Roman" w:hAnsi="Times New Roman" w:cs="Times New Roman"/>
      <w:sz w:val="20"/>
      <w:szCs w:val="20"/>
      <w:lang w:val="fr-FR" w:eastAsia="fr-FR"/>
    </w:rPr>
  </w:style>
  <w:style w:type="paragraph" w:styleId="Nagwek1">
    <w:name w:val="heading 1"/>
    <w:basedOn w:val="Normalny"/>
    <w:next w:val="Normalny"/>
    <w:link w:val="Nagwek1Znak"/>
    <w:uiPriority w:val="9"/>
    <w:qFormat/>
    <w:rsid w:val="00CA3B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8D1E00"/>
    <w:pPr>
      <w:keepNext/>
      <w:keepLines/>
      <w:numPr>
        <w:numId w:val="1"/>
      </w:numPr>
      <w:tabs>
        <w:tab w:val="left" w:pos="1134"/>
        <w:tab w:val="left" w:pos="1871"/>
        <w:tab w:val="left" w:pos="2268"/>
      </w:tabs>
      <w:overflowPunct w:val="0"/>
      <w:autoSpaceDE w:val="0"/>
      <w:autoSpaceDN w:val="0"/>
      <w:adjustRightInd w:val="0"/>
      <w:spacing w:before="200"/>
      <w:jc w:val="both"/>
      <w:textAlignment w:val="baseline"/>
      <w:outlineLvl w:val="1"/>
    </w:pPr>
    <w:rPr>
      <w:rFonts w:asciiTheme="minorHAnsi" w:eastAsiaTheme="majorEastAsia" w:hAnsiTheme="minorHAnsi" w:cstheme="majorBidi"/>
      <w:bCs/>
      <w:sz w:val="26"/>
      <w:szCs w:val="26"/>
    </w:rPr>
  </w:style>
  <w:style w:type="paragraph" w:styleId="Nagwek3">
    <w:name w:val="heading 3"/>
    <w:basedOn w:val="Normalny"/>
    <w:next w:val="Normalny"/>
    <w:link w:val="Nagwek3Znak"/>
    <w:autoRedefine/>
    <w:uiPriority w:val="9"/>
    <w:unhideWhenUsed/>
    <w:qFormat/>
    <w:rsid w:val="00953554"/>
    <w:pPr>
      <w:keepNext/>
      <w:numPr>
        <w:numId w:val="4"/>
      </w:numPr>
      <w:spacing w:before="240" w:after="60"/>
      <w:outlineLvl w:val="2"/>
    </w:pPr>
    <w:rPr>
      <w:rFonts w:eastAsiaTheme="majorEastAsia" w:cstheme="majorBidi"/>
      <w:b/>
      <w:bCs/>
      <w:szCs w:val="26"/>
    </w:rPr>
  </w:style>
  <w:style w:type="paragraph" w:styleId="Nagwek4">
    <w:name w:val="heading 4"/>
    <w:basedOn w:val="Normalny"/>
    <w:next w:val="Normalny"/>
    <w:link w:val="Nagwek4Znak"/>
    <w:uiPriority w:val="9"/>
    <w:semiHidden/>
    <w:unhideWhenUsed/>
    <w:qFormat/>
    <w:rsid w:val="00244F6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qFormat/>
    <w:rsid w:val="00095B88"/>
    <w:pPr>
      <w:keepNext/>
      <w:outlineLvl w:val="6"/>
    </w:pPr>
    <w:rPr>
      <w:b/>
      <w:sz w:val="24"/>
      <w:u w:val="single"/>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D1E00"/>
    <w:rPr>
      <w:rFonts w:eastAsiaTheme="majorEastAsia" w:cstheme="majorBidi"/>
      <w:bCs/>
      <w:sz w:val="26"/>
      <w:szCs w:val="26"/>
      <w:lang w:val="fr-FR" w:eastAsia="fr-FR"/>
    </w:rPr>
  </w:style>
  <w:style w:type="character" w:customStyle="1" w:styleId="Nagwek3Znak">
    <w:name w:val="Nagłówek 3 Znak"/>
    <w:basedOn w:val="Domylnaczcionkaakapitu"/>
    <w:link w:val="Nagwek3"/>
    <w:uiPriority w:val="9"/>
    <w:rsid w:val="00953554"/>
    <w:rPr>
      <w:rFonts w:ascii="Arial" w:eastAsiaTheme="majorEastAsia" w:hAnsi="Arial" w:cstheme="majorBidi"/>
      <w:b/>
      <w:bCs/>
      <w:sz w:val="22"/>
      <w:szCs w:val="26"/>
      <w:lang w:eastAsia="en-US"/>
    </w:rPr>
  </w:style>
  <w:style w:type="character" w:customStyle="1" w:styleId="Nagwek7Znak">
    <w:name w:val="Nagłówek 7 Znak"/>
    <w:basedOn w:val="Domylnaczcionkaakapitu"/>
    <w:link w:val="Nagwek7"/>
    <w:rsid w:val="00095B88"/>
    <w:rPr>
      <w:rFonts w:ascii="Times New Roman" w:eastAsia="Times New Roman" w:hAnsi="Times New Roman" w:cs="Times New Roman"/>
      <w:b/>
      <w:sz w:val="24"/>
      <w:szCs w:val="20"/>
      <w:u w:val="single"/>
      <w:lang w:val="en-US" w:eastAsia="fr-FR"/>
    </w:rPr>
  </w:style>
  <w:style w:type="paragraph" w:styleId="Akapitzlist">
    <w:name w:val="List Paragraph"/>
    <w:basedOn w:val="Normalny"/>
    <w:uiPriority w:val="34"/>
    <w:qFormat/>
    <w:rsid w:val="0060379F"/>
    <w:pPr>
      <w:ind w:left="720"/>
      <w:contextualSpacing/>
    </w:pPr>
  </w:style>
  <w:style w:type="character" w:customStyle="1" w:styleId="Nagwek1Znak">
    <w:name w:val="Nagłówek 1 Znak"/>
    <w:basedOn w:val="Domylnaczcionkaakapitu"/>
    <w:link w:val="Nagwek1"/>
    <w:uiPriority w:val="9"/>
    <w:rsid w:val="00CA3B50"/>
    <w:rPr>
      <w:rFonts w:asciiTheme="majorHAnsi" w:eastAsiaTheme="majorEastAsia" w:hAnsiTheme="majorHAnsi" w:cstheme="majorBidi"/>
      <w:b/>
      <w:bCs/>
      <w:color w:val="365F91" w:themeColor="accent1" w:themeShade="BF"/>
      <w:sz w:val="28"/>
      <w:szCs w:val="28"/>
      <w:lang w:val="fr-FR" w:eastAsia="fr-FR"/>
    </w:rPr>
  </w:style>
  <w:style w:type="character" w:styleId="Hipercze">
    <w:name w:val="Hyperlink"/>
    <w:basedOn w:val="Domylnaczcionkaakapitu"/>
    <w:uiPriority w:val="99"/>
    <w:semiHidden/>
    <w:unhideWhenUsed/>
    <w:rsid w:val="000418DE"/>
    <w:rPr>
      <w:color w:val="0000FF"/>
      <w:u w:val="single"/>
    </w:rPr>
  </w:style>
  <w:style w:type="paragraph" w:styleId="Tekstprzypisudolnego">
    <w:name w:val="footnote text"/>
    <w:basedOn w:val="Normalny"/>
    <w:link w:val="TekstprzypisudolnegoZnak"/>
    <w:uiPriority w:val="99"/>
    <w:semiHidden/>
    <w:unhideWhenUsed/>
    <w:rsid w:val="007F05C4"/>
    <w:pPr>
      <w:tabs>
        <w:tab w:val="left" w:pos="1134"/>
        <w:tab w:val="left" w:pos="1871"/>
        <w:tab w:val="left" w:pos="2268"/>
      </w:tabs>
      <w:overflowPunct w:val="0"/>
      <w:autoSpaceDE w:val="0"/>
      <w:autoSpaceDN w:val="0"/>
      <w:adjustRightInd w:val="0"/>
      <w:textAlignment w:val="baseline"/>
    </w:pPr>
    <w:rPr>
      <w:rFonts w:ascii="Calibri" w:hAnsi="Calibri"/>
      <w:lang w:val="en-GB" w:eastAsia="en-US"/>
    </w:rPr>
  </w:style>
  <w:style w:type="character" w:customStyle="1" w:styleId="TekstprzypisudolnegoZnak">
    <w:name w:val="Tekst przypisu dolnego Znak"/>
    <w:basedOn w:val="Domylnaczcionkaakapitu"/>
    <w:link w:val="Tekstprzypisudolnego"/>
    <w:uiPriority w:val="99"/>
    <w:semiHidden/>
    <w:rsid w:val="007F05C4"/>
    <w:rPr>
      <w:rFonts w:ascii="Calibri" w:eastAsia="Times New Roman" w:hAnsi="Calibri" w:cs="Times New Roman"/>
      <w:sz w:val="20"/>
      <w:szCs w:val="20"/>
      <w:lang w:val="en-GB" w:eastAsia="en-US"/>
    </w:rPr>
  </w:style>
  <w:style w:type="character" w:styleId="Odwoanieprzypisudolnego">
    <w:name w:val="footnote reference"/>
    <w:basedOn w:val="Domylnaczcionkaakapitu"/>
    <w:uiPriority w:val="99"/>
    <w:semiHidden/>
    <w:unhideWhenUsed/>
    <w:rsid w:val="007F05C4"/>
    <w:rPr>
      <w:vertAlign w:val="superscript"/>
    </w:rPr>
  </w:style>
  <w:style w:type="character" w:customStyle="1" w:styleId="Artdef">
    <w:name w:val="Art_def"/>
    <w:basedOn w:val="Domylnaczcionkaakapitu"/>
    <w:rsid w:val="007F05C4"/>
    <w:rPr>
      <w:rFonts w:asciiTheme="minorHAnsi" w:hAnsiTheme="minorHAnsi"/>
      <w:b/>
    </w:rPr>
  </w:style>
  <w:style w:type="paragraph" w:customStyle="1" w:styleId="Source">
    <w:name w:val="Source"/>
    <w:basedOn w:val="Normalny"/>
    <w:next w:val="Normalny"/>
    <w:rsid w:val="007F05C4"/>
    <w:pPr>
      <w:tabs>
        <w:tab w:val="left" w:pos="1134"/>
        <w:tab w:val="left" w:pos="1871"/>
        <w:tab w:val="left" w:pos="2268"/>
      </w:tabs>
      <w:overflowPunct w:val="0"/>
      <w:autoSpaceDE w:val="0"/>
      <w:autoSpaceDN w:val="0"/>
      <w:adjustRightInd w:val="0"/>
      <w:spacing w:before="840"/>
      <w:jc w:val="center"/>
      <w:textAlignment w:val="baseline"/>
    </w:pPr>
    <w:rPr>
      <w:rFonts w:asciiTheme="minorHAnsi" w:hAnsiTheme="minorHAnsi"/>
      <w:b/>
      <w:sz w:val="28"/>
      <w:lang w:val="en-GB" w:eastAsia="en-US"/>
    </w:rPr>
  </w:style>
  <w:style w:type="paragraph" w:customStyle="1" w:styleId="En-tteencabezado">
    <w:name w:val="En-tête.encabezado"/>
    <w:basedOn w:val="Normalny"/>
    <w:rsid w:val="00B6595E"/>
    <w:pPr>
      <w:tabs>
        <w:tab w:val="center" w:pos="4536"/>
        <w:tab w:val="right" w:pos="9072"/>
      </w:tabs>
    </w:pPr>
    <w:rPr>
      <w:sz w:val="24"/>
      <w:lang w:val="en-GB"/>
    </w:rPr>
  </w:style>
  <w:style w:type="character" w:customStyle="1" w:styleId="st">
    <w:name w:val="st"/>
    <w:basedOn w:val="Domylnaczcionkaakapitu"/>
    <w:rsid w:val="00C67508"/>
  </w:style>
  <w:style w:type="character" w:styleId="Uwydatnienie">
    <w:name w:val="Emphasis"/>
    <w:basedOn w:val="Domylnaczcionkaakapitu"/>
    <w:uiPriority w:val="20"/>
    <w:qFormat/>
    <w:rsid w:val="00C67508"/>
    <w:rPr>
      <w:i/>
      <w:iCs/>
    </w:rPr>
  </w:style>
  <w:style w:type="paragraph" w:styleId="Tekstdymka">
    <w:name w:val="Balloon Text"/>
    <w:basedOn w:val="Normalny"/>
    <w:link w:val="TekstdymkaZnak"/>
    <w:uiPriority w:val="99"/>
    <w:semiHidden/>
    <w:unhideWhenUsed/>
    <w:rsid w:val="004B2534"/>
    <w:rPr>
      <w:rFonts w:ascii="Tahoma" w:hAnsi="Tahoma" w:cs="Tahoma"/>
      <w:sz w:val="16"/>
      <w:szCs w:val="16"/>
    </w:rPr>
  </w:style>
  <w:style w:type="character" w:customStyle="1" w:styleId="TekstdymkaZnak">
    <w:name w:val="Tekst dymka Znak"/>
    <w:basedOn w:val="Domylnaczcionkaakapitu"/>
    <w:link w:val="Tekstdymka"/>
    <w:uiPriority w:val="99"/>
    <w:semiHidden/>
    <w:rsid w:val="004B2534"/>
    <w:rPr>
      <w:rFonts w:ascii="Tahoma" w:eastAsia="Times New Roman" w:hAnsi="Tahoma" w:cs="Tahoma"/>
      <w:sz w:val="16"/>
      <w:szCs w:val="16"/>
      <w:lang w:val="fr-FR" w:eastAsia="fr-FR"/>
    </w:rPr>
  </w:style>
  <w:style w:type="character" w:customStyle="1" w:styleId="Nagwek4Znak">
    <w:name w:val="Nagłówek 4 Znak"/>
    <w:basedOn w:val="Domylnaczcionkaakapitu"/>
    <w:link w:val="Nagwek4"/>
    <w:uiPriority w:val="9"/>
    <w:semiHidden/>
    <w:rsid w:val="00244F67"/>
    <w:rPr>
      <w:rFonts w:asciiTheme="majorHAnsi" w:eastAsiaTheme="majorEastAsia" w:hAnsiTheme="majorHAnsi" w:cstheme="majorBidi"/>
      <w:i/>
      <w:iCs/>
      <w:color w:val="365F91" w:themeColor="accent1" w:themeShade="BF"/>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60836">
      <w:bodyDiv w:val="1"/>
      <w:marLeft w:val="0"/>
      <w:marRight w:val="0"/>
      <w:marTop w:val="0"/>
      <w:marBottom w:val="0"/>
      <w:divBdr>
        <w:top w:val="none" w:sz="0" w:space="0" w:color="auto"/>
        <w:left w:val="none" w:sz="0" w:space="0" w:color="auto"/>
        <w:bottom w:val="none" w:sz="0" w:space="0" w:color="auto"/>
        <w:right w:val="none" w:sz="0" w:space="0" w:color="auto"/>
      </w:divBdr>
    </w:div>
    <w:div w:id="894394822">
      <w:bodyDiv w:val="1"/>
      <w:marLeft w:val="0"/>
      <w:marRight w:val="0"/>
      <w:marTop w:val="0"/>
      <w:marBottom w:val="0"/>
      <w:divBdr>
        <w:top w:val="none" w:sz="0" w:space="0" w:color="auto"/>
        <w:left w:val="none" w:sz="0" w:space="0" w:color="auto"/>
        <w:bottom w:val="none" w:sz="0" w:space="0" w:color="auto"/>
        <w:right w:val="none" w:sz="0" w:space="0" w:color="auto"/>
      </w:divBdr>
      <w:divsChild>
        <w:div w:id="1187717908">
          <w:marLeft w:val="0"/>
          <w:marRight w:val="0"/>
          <w:marTop w:val="0"/>
          <w:marBottom w:val="0"/>
          <w:divBdr>
            <w:top w:val="none" w:sz="0" w:space="0" w:color="auto"/>
            <w:left w:val="none" w:sz="0" w:space="0" w:color="auto"/>
            <w:bottom w:val="none" w:sz="0" w:space="0" w:color="auto"/>
            <w:right w:val="none" w:sz="0" w:space="0" w:color="auto"/>
          </w:divBdr>
        </w:div>
        <w:div w:id="1475486732">
          <w:marLeft w:val="0"/>
          <w:marRight w:val="0"/>
          <w:marTop w:val="0"/>
          <w:marBottom w:val="0"/>
          <w:divBdr>
            <w:top w:val="none" w:sz="0" w:space="0" w:color="auto"/>
            <w:left w:val="none" w:sz="0" w:space="0" w:color="auto"/>
            <w:bottom w:val="none" w:sz="0" w:space="0" w:color="auto"/>
            <w:right w:val="none" w:sz="0" w:space="0" w:color="auto"/>
          </w:divBdr>
        </w:div>
      </w:divsChild>
    </w:div>
    <w:div w:id="18640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t.org/com-itu/deliverable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en/wcit-12/Pages/speech-ki-mo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3343</Words>
  <Characters>20060</Characters>
  <Application>Microsoft Office Word</Application>
  <DocSecurity>0</DocSecurity>
  <Lines>167</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ICP0599</dc:creator>
  <cp:keywords/>
  <dc:description/>
  <cp:lastModifiedBy>Marcin Krasuski</cp:lastModifiedBy>
  <cp:revision>4</cp:revision>
  <cp:lastPrinted>2013-02-13T11:16:00Z</cp:lastPrinted>
  <dcterms:created xsi:type="dcterms:W3CDTF">2013-02-26T18:21:00Z</dcterms:created>
  <dcterms:modified xsi:type="dcterms:W3CDTF">2013-02-27T11:21:00Z</dcterms:modified>
</cp:coreProperties>
</file>