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7B7387"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bookmarkStart w:id="0" w:name="_GoBack"/>
            <w:bookmarkEnd w:id="0"/>
          </w:p>
        </w:tc>
        <w:tc>
          <w:tcPr>
            <w:tcW w:w="4961" w:type="dxa"/>
            <w:tcBorders>
              <w:top w:val="nil"/>
              <w:left w:val="nil"/>
              <w:bottom w:val="nil"/>
              <w:right w:val="nil"/>
            </w:tcBorders>
          </w:tcPr>
          <w:p w:rsidR="003771D5" w:rsidRPr="007B7387" w:rsidRDefault="007B7387" w:rsidP="007B7387">
            <w:pPr>
              <w:pStyle w:val="ECCLetterHead"/>
              <w:rPr>
                <w:lang w:val="fr-FR"/>
              </w:rPr>
            </w:pPr>
            <w:r>
              <w:tab/>
            </w:r>
            <w:r w:rsidR="004A46AA" w:rsidRPr="007B7387">
              <w:rPr>
                <w:lang w:val="fr-FR"/>
              </w:rPr>
              <w:t xml:space="preserve">CPG15(14)017 </w:t>
            </w:r>
            <w:proofErr w:type="spellStart"/>
            <w:r w:rsidR="004A46AA" w:rsidRPr="007B7387">
              <w:rPr>
                <w:lang w:val="fr-FR"/>
              </w:rPr>
              <w:t>Annex</w:t>
            </w:r>
            <w:proofErr w:type="spellEnd"/>
            <w:r w:rsidR="004A46AA" w:rsidRPr="007B7387">
              <w:rPr>
                <w:lang w:val="fr-FR"/>
              </w:rPr>
              <w:t xml:space="preserve"> </w:t>
            </w:r>
            <w:r>
              <w:t>IV-26</w:t>
            </w:r>
          </w:p>
        </w:tc>
      </w:tr>
      <w:tr w:rsidR="003771D5" w:rsidRPr="00DD6CE9"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BD4E12" w:rsidRDefault="00BD4E12" w:rsidP="004A46AA">
            <w:pPr>
              <w:pStyle w:val="ECCLetterHead"/>
              <w:rPr>
                <w:rStyle w:val="ECCHLyellow"/>
                <w:shd w:val="clear" w:color="auto" w:fill="auto"/>
              </w:rPr>
            </w:pPr>
            <w:r w:rsidRPr="00BD4E12">
              <w:t>CPG15</w:t>
            </w:r>
            <w:r w:rsidR="004A46AA">
              <w:t>-4</w:t>
            </w: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BD4E12" w:rsidRDefault="004A46AA" w:rsidP="004A46AA">
            <w:pPr>
              <w:pStyle w:val="ECCLetterHead"/>
            </w:pPr>
            <w:r>
              <w:t>Riga</w:t>
            </w:r>
            <w:r w:rsidR="003771D5" w:rsidRPr="00BD4E12">
              <w:t xml:space="preserve">, </w:t>
            </w:r>
            <w:r>
              <w:t>Latvia</w:t>
            </w:r>
            <w:r w:rsidR="003771D5" w:rsidRPr="00BD4E12">
              <w:t xml:space="preserve">, </w:t>
            </w:r>
            <w:r>
              <w:t>25</w:t>
            </w:r>
            <w:r w:rsidRPr="004A46AA">
              <w:rPr>
                <w:vertAlign w:val="superscript"/>
              </w:rPr>
              <w:t>th</w:t>
            </w:r>
            <w:r>
              <w:t xml:space="preserve"> – 28</w:t>
            </w:r>
            <w:r w:rsidRPr="004A46AA">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D4E12">
            <w:pPr>
              <w:pStyle w:val="ECCTabletext"/>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D4E12">
            <w:pPr>
              <w:pStyle w:val="ECCLetterHead"/>
            </w:pP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4A46AA" w:rsidP="00BD4E12">
            <w:pPr>
              <w:pStyle w:val="ECCLetterHead"/>
            </w:pPr>
            <w:r>
              <w:t>28</w:t>
            </w:r>
            <w:r w:rsidRPr="004A46AA">
              <w:rPr>
                <w:vertAlign w:val="superscript"/>
              </w:rPr>
              <w:t>th</w:t>
            </w:r>
            <w:r>
              <w:t xml:space="preserve"> 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4A46AA" w:rsidP="00BD4E12">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4A46AA">
            <w:pPr>
              <w:pStyle w:val="ECCLetterHead"/>
            </w:pPr>
            <w:r w:rsidRPr="00DD6CE9">
              <w:t xml:space="preserve">Draft CEPT Brief on WRC-15 Agenda Item </w:t>
            </w:r>
            <w:r w:rsidR="004A46AA">
              <w:t>9.1, Issue 9.1.3</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7B7387">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7B7387">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7B7387">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4A46AA" w:rsidRDefault="004A46AA" w:rsidP="007B7387">
      <w:pPr>
        <w:pStyle w:val="ECCParagraph"/>
      </w:pPr>
    </w:p>
    <w:p w:rsidR="007B7387" w:rsidRDefault="007B7387" w:rsidP="007B7387">
      <w:pPr>
        <w:pStyle w:val="ECCParagraph"/>
        <w:rPr>
          <w:rFonts w:eastAsia="Times New Roman" w:cs="Arial"/>
          <w:b/>
          <w:bCs/>
          <w:caps/>
          <w:color w:val="D2232A"/>
          <w:kern w:val="32"/>
          <w:szCs w:val="32"/>
        </w:rPr>
      </w:pPr>
      <w:r>
        <w:t>Editor’s</w:t>
      </w:r>
      <w:r w:rsidR="004A46AA" w:rsidRPr="004A46AA">
        <w:t xml:space="preserve"> Note: The following pages are intended to be compiled in one CEPT Brief on AI 9</w:t>
      </w:r>
      <w:r>
        <w:br w:type="page"/>
      </w:r>
    </w:p>
    <w:p w:rsidR="003771D5" w:rsidRPr="00DD6CE9" w:rsidRDefault="003771D5" w:rsidP="00BD4E12">
      <w:pPr>
        <w:pStyle w:val="ECCTitle"/>
        <w:rPr>
          <w:lang w:val="en-GB"/>
        </w:rPr>
      </w:pPr>
      <w:r w:rsidRPr="00DD6CE9">
        <w:rPr>
          <w:lang w:val="en-GB"/>
        </w:rPr>
        <w:lastRenderedPageBreak/>
        <w:t xml:space="preserve">DRAFT CEPT BRIEF ON AGENDA ITEM </w:t>
      </w:r>
      <w:r w:rsidR="004A46AA" w:rsidRPr="004A46AA">
        <w:rPr>
          <w:lang w:val="en-GB"/>
        </w:rPr>
        <w:t>9.1 – ISSUE 9.1.3 – RESOLUTION 11 (WRC-12)</w:t>
      </w:r>
      <w:r w:rsidRPr="00DD6CE9">
        <w:rPr>
          <w:lang w:val="en-GB"/>
        </w:rPr>
        <w:t xml:space="preserve"> </w:t>
      </w:r>
    </w:p>
    <w:p w:rsidR="003771D5" w:rsidRPr="00DD6CE9" w:rsidRDefault="003771D5" w:rsidP="00BD4E12">
      <w:pPr>
        <w:pStyle w:val="Heading1"/>
        <w:rPr>
          <w:lang w:val="en-GB"/>
        </w:rPr>
      </w:pPr>
      <w:r w:rsidRPr="00DD6CE9">
        <w:rPr>
          <w:lang w:val="en-GB"/>
        </w:rPr>
        <w:t>ISSUE</w:t>
      </w:r>
    </w:p>
    <w:p w:rsidR="004A46AA" w:rsidRPr="004A46AA" w:rsidRDefault="003771D5" w:rsidP="007B7387">
      <w:pPr>
        <w:pStyle w:val="ECCParagraph"/>
      </w:pPr>
      <w:r w:rsidRPr="00DD6CE9">
        <w:t>[</w:t>
      </w:r>
      <w:r w:rsidR="004A46AA" w:rsidRPr="004A46AA">
        <w:t>Resolution 11 (WRC-12) “Use of satellite orbital positions and associated frequency spectrum to deliver international public telecommunication services in developing countries”</w:t>
      </w:r>
    </w:p>
    <w:p w:rsidR="004A46AA" w:rsidRPr="004A46AA" w:rsidRDefault="004A46AA" w:rsidP="007B7387">
      <w:pPr>
        <w:pStyle w:val="ECCParagraph"/>
      </w:pPr>
      <w:r w:rsidRPr="004A46AA">
        <w:t>“resolves</w:t>
      </w:r>
    </w:p>
    <w:p w:rsidR="004A46AA" w:rsidRPr="004A46AA" w:rsidRDefault="004A46AA" w:rsidP="004A46AA">
      <w:pPr>
        <w:pStyle w:val="ECCNumberedList"/>
      </w:pPr>
      <w:r w:rsidRPr="004A46AA">
        <w:t>that ITU-R continue 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D0121B" w:rsidRPr="00DD6CE9" w:rsidRDefault="004A46AA" w:rsidP="004A46AA">
      <w:pPr>
        <w:pStyle w:val="ECCNumberedList"/>
      </w:pPr>
      <w:r w:rsidRPr="004A46AA">
        <w:t>that ITU-R undertakes studies to determine whether it might be necessary to apply additional regulatory measures to enhance the availability of public international telecommunication services delivered through satellite technology,”</w:t>
      </w:r>
    </w:p>
    <w:p w:rsidR="003771D5" w:rsidRPr="00DD6CE9" w:rsidRDefault="003771D5" w:rsidP="00BD4E12">
      <w:pPr>
        <w:pStyle w:val="Heading1"/>
        <w:rPr>
          <w:lang w:val="en-GB"/>
        </w:rPr>
      </w:pPr>
      <w:r w:rsidRPr="00DD6CE9">
        <w:rPr>
          <w:lang w:val="en-GB"/>
        </w:rPr>
        <w:t xml:space="preserve">Preliminary CEPT position </w:t>
      </w:r>
    </w:p>
    <w:p w:rsidR="003771D5" w:rsidRPr="00DD6CE9" w:rsidRDefault="004A46AA" w:rsidP="007B7387">
      <w:pPr>
        <w:pStyle w:val="ECCParagraph"/>
      </w:pPr>
      <w:r>
        <w:t>CEPT follows the ITU-R studies on this aspect.</w:t>
      </w:r>
    </w:p>
    <w:p w:rsidR="003771D5" w:rsidRPr="00DD6CE9" w:rsidRDefault="003771D5" w:rsidP="004A46AA">
      <w:pPr>
        <w:pStyle w:val="Heading1"/>
      </w:pPr>
      <w:r w:rsidRPr="00DD6CE9">
        <w:t xml:space="preserve">Background </w:t>
      </w:r>
    </w:p>
    <w:p w:rsidR="004A46AA" w:rsidRPr="004A46AA" w:rsidRDefault="004A46AA" w:rsidP="007B7387">
      <w:pPr>
        <w:pStyle w:val="ECCParagraph"/>
      </w:pPr>
      <w:r w:rsidRPr="004A46AA">
        <w:t>Following an African common proposal under WRC-12 agenda item 8.1.2, WRC-12 adopted Resolution 11 (WRC-12), which resolves “that ITU-R continue 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 and “that ITU-R undertakes studies to determine whether it might be necessary to apply additional regulatory measures to enhance the availability of public international telecommunication services delivered through satellite technology”.</w:t>
      </w:r>
    </w:p>
    <w:p w:rsidR="003771D5" w:rsidRPr="00DD6CE9" w:rsidRDefault="004A46AA" w:rsidP="007B7387">
      <w:pPr>
        <w:pStyle w:val="ECCParagraph"/>
      </w:pPr>
      <w:r w:rsidRPr="004A46AA">
        <w:t>At its February 2014 meeting, ITU-R Working Party 4A initiated drafting the CPM text on this issue. Initial considerations show that the current competitive satellite environment has allowed for growth and innovation in the provision of various satellite services. More and more countries, including developing countries, and more and more satellite operators get access to space or are currently conducting active planning to do so. The increased demand for satellite services, including international public telecommunications services, has led to an increased diversity in the number of satellite operators providing services in developing and developed countries. While some challenges remain in building developing country capacities in order to fully take advantage of satellite services and the orbital resources, the current situation demonstrates availability of international public telecommunication services for developing countries. Working Party 4A concluded by recommending that additional efforts be undertaken jointly by the ITU-R and ITU-D to further support capacity building in the area of satellite telecommunications, in associa</w:t>
      </w:r>
      <w:r>
        <w:t>tion with Resolution 11 (WRC-12</w:t>
      </w:r>
      <w:r w:rsidR="003771D5" w:rsidRPr="00DD6CE9">
        <w:t>)</w:t>
      </w:r>
      <w:r>
        <w:t>.</w:t>
      </w:r>
    </w:p>
    <w:p w:rsidR="003771D5" w:rsidRPr="00DD6CE9" w:rsidRDefault="003771D5" w:rsidP="00BD4E12">
      <w:pPr>
        <w:pStyle w:val="Heading1"/>
        <w:rPr>
          <w:lang w:val="en-GB"/>
        </w:rPr>
      </w:pPr>
      <w:r w:rsidRPr="00DD6CE9">
        <w:rPr>
          <w:lang w:val="en-GB"/>
        </w:rPr>
        <w:t>List of relevant documents</w:t>
      </w:r>
    </w:p>
    <w:p w:rsidR="00220194" w:rsidRDefault="003771D5" w:rsidP="007B7387">
      <w:pPr>
        <w:pStyle w:val="ECCBreak"/>
      </w:pPr>
      <w:r w:rsidRPr="00DD6CE9">
        <w:t>ITU-Documentation (Recommendations, Reports, other)</w:t>
      </w:r>
    </w:p>
    <w:p w:rsidR="004A46AA" w:rsidRPr="00DD6CE9" w:rsidRDefault="004A46AA" w:rsidP="007B7387">
      <w:pPr>
        <w:pStyle w:val="ECCParagraph"/>
      </w:pPr>
      <w:r w:rsidRPr="004A46AA">
        <w:t>Annex 34 to Document 4A/468 – Working document – Draft CPM text on WRC-15 agenda item 9.1, issue 9.1.3 – Use of satellite orbital positions and associated frequency spectrum to deliver International Public Telecommunication services in developing countries</w:t>
      </w:r>
    </w:p>
    <w:p w:rsidR="00220194" w:rsidRDefault="003771D5" w:rsidP="007B7387">
      <w:pPr>
        <w:pStyle w:val="ECCBreak"/>
      </w:pPr>
      <w:r w:rsidRPr="00DD6CE9">
        <w:t>CEPT and/or ECC Documentation (Decisions, Recommendations, Reports)</w:t>
      </w:r>
    </w:p>
    <w:p w:rsidR="007B7387" w:rsidRPr="007B7387" w:rsidRDefault="007B7387" w:rsidP="007B7387">
      <w:pPr>
        <w:pStyle w:val="ECCParagraph"/>
        <w:rPr>
          <w:lang w:val="da-DK"/>
        </w:rPr>
      </w:pPr>
    </w:p>
    <w:p w:rsidR="00E26BAC" w:rsidRPr="00DD6CE9" w:rsidRDefault="003771D5" w:rsidP="007B7387">
      <w:pPr>
        <w:pStyle w:val="ECCBreak"/>
      </w:pPr>
      <w:r w:rsidRPr="00DD6CE9">
        <w:t>EU Documentation (Directives, Decisions, Recommendations, other), if applicable</w:t>
      </w:r>
    </w:p>
    <w:p w:rsidR="003771D5" w:rsidRPr="00DD6CE9" w:rsidRDefault="003771D5" w:rsidP="00BD4E12">
      <w:pPr>
        <w:pStyle w:val="Heading1"/>
        <w:rPr>
          <w:lang w:val="en-GB"/>
        </w:rPr>
      </w:pPr>
      <w:r w:rsidRPr="00DD6CE9">
        <w:rPr>
          <w:lang w:val="en-GB"/>
        </w:rPr>
        <w:t>Actions to be taken</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DD6CE9" w:rsidRDefault="003771D5" w:rsidP="00BD4E12">
      <w:pPr>
        <w:pStyle w:val="Heading2"/>
        <w:rPr>
          <w:lang w:val="en-GB"/>
        </w:rPr>
      </w:pPr>
      <w:r w:rsidRPr="00DD6CE9">
        <w:rPr>
          <w:lang w:val="en-GB"/>
        </w:rPr>
        <w:t>European Union (date of proposal)</w:t>
      </w:r>
    </w:p>
    <w:p w:rsidR="003771D5" w:rsidRPr="00DD6CE9" w:rsidRDefault="003771D5" w:rsidP="007B7387">
      <w:pPr>
        <w:pStyle w:val="ECCParagraph"/>
      </w:pP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Pr="00DD6CE9" w:rsidRDefault="003771D5" w:rsidP="007B7387">
      <w:pPr>
        <w:pStyle w:val="ECCParagraph"/>
      </w:pPr>
      <w:r w:rsidRPr="00DD6CE9">
        <w:t>APT (</w:t>
      </w:r>
      <w:r w:rsidR="004A46AA">
        <w:t>July 2013</w:t>
      </w:r>
      <w:r w:rsidRPr="00DD6CE9">
        <w:t>)</w:t>
      </w:r>
    </w:p>
    <w:p w:rsidR="00D11937" w:rsidRDefault="00D11937" w:rsidP="007B7387">
      <w:pPr>
        <w:pStyle w:val="ECCParagraph"/>
        <w:rPr>
          <w:rStyle w:val="ECCHLbold"/>
        </w:rPr>
      </w:pPr>
    </w:p>
    <w:p w:rsidR="004A46AA" w:rsidRPr="007B7387" w:rsidRDefault="004A46AA" w:rsidP="007B7387">
      <w:pPr>
        <w:pStyle w:val="ECCBreak"/>
        <w:rPr>
          <w:rStyle w:val="ECCHLbold"/>
          <w:b/>
        </w:rPr>
      </w:pPr>
      <w:r w:rsidRPr="007B7387">
        <w:rPr>
          <w:rStyle w:val="ECCHLbold"/>
          <w:b/>
        </w:rPr>
        <w:t>APG preliminary views:</w:t>
      </w:r>
    </w:p>
    <w:p w:rsidR="004A46AA" w:rsidRPr="004A46AA" w:rsidRDefault="004A46AA" w:rsidP="007B7387">
      <w:pPr>
        <w:pStyle w:val="ECCParagraph"/>
      </w:pPr>
      <w:r w:rsidRPr="004A46AA">
        <w:t xml:space="preserve">Further studies are required. APT members are invited to monitor and evaluate the studies conducted in ITU-R and submit their contributions for further considerations in the next meetings. </w:t>
      </w:r>
    </w:p>
    <w:p w:rsidR="003771D5" w:rsidRPr="00DD6CE9" w:rsidRDefault="004A46AA" w:rsidP="007B7387">
      <w:pPr>
        <w:pStyle w:val="ECCParagraph"/>
      </w:pPr>
      <w:r w:rsidRPr="004A46AA">
        <w:t xml:space="preserve">Some concerns were expressed over some regulatory amendments to relevant resolutions of the ITU-R including Resolution </w:t>
      </w:r>
      <w:r w:rsidRPr="004A46AA">
        <w:rPr>
          <w:rStyle w:val="ECCHLbold"/>
        </w:rPr>
        <w:t>11 (WRC-12)</w:t>
      </w:r>
      <w:r w:rsidRPr="004A46AA">
        <w:t xml:space="preserve"> and Resolution </w:t>
      </w:r>
      <w:r w:rsidRPr="004A46AA">
        <w:rPr>
          <w:rStyle w:val="ECCHLbold"/>
        </w:rPr>
        <w:t>15 (WRC-03)</w:t>
      </w:r>
      <w:r w:rsidRPr="004A46AA">
        <w:t>. It should be further studied and considered as appropriate to put emphasis on developed countries so that it may be possible for developing countries to access required services in their geographical local region, and not to deny their request unreasonably as clearly mentioned by their primary rights in United Nations and ITU Constitutions</w:t>
      </w:r>
      <w:r w:rsidR="00D11937">
        <w:t>.</w:t>
      </w:r>
    </w:p>
    <w:p w:rsidR="003771D5" w:rsidRPr="00DD6CE9" w:rsidRDefault="003771D5" w:rsidP="007B7387">
      <w:pPr>
        <w:pStyle w:val="ECCParagraph"/>
      </w:pPr>
      <w:r w:rsidRPr="00DD6CE9">
        <w:t>ATU (date of proposal)</w:t>
      </w:r>
    </w:p>
    <w:p w:rsidR="003771D5" w:rsidRPr="00DD6CE9" w:rsidRDefault="003771D5" w:rsidP="007B7387">
      <w:pPr>
        <w:pStyle w:val="ECCParagraph"/>
      </w:pPr>
    </w:p>
    <w:p w:rsidR="003771D5" w:rsidRPr="00DD6CE9" w:rsidRDefault="003771D5" w:rsidP="007B7387">
      <w:pPr>
        <w:pStyle w:val="ECCParagraph"/>
      </w:pPr>
      <w:r w:rsidRPr="00DD6CE9">
        <w:t>Arab Group (</w:t>
      </w:r>
      <w:r w:rsidR="00762A67">
        <w:t>December 2013</w:t>
      </w:r>
      <w:r w:rsidRPr="00DD6CE9">
        <w:t>)</w:t>
      </w:r>
    </w:p>
    <w:p w:rsidR="003771D5" w:rsidRDefault="00762A67" w:rsidP="007B7387">
      <w:pPr>
        <w:pStyle w:val="ECCParagraph"/>
      </w:pPr>
      <w:r>
        <w:t>Follow up the current studies</w:t>
      </w:r>
    </w:p>
    <w:p w:rsidR="00762A67" w:rsidRPr="00DD6CE9" w:rsidRDefault="00762A67" w:rsidP="007B7387">
      <w:pPr>
        <w:pStyle w:val="ECCParagraph"/>
      </w:pPr>
    </w:p>
    <w:p w:rsidR="003771D5" w:rsidRPr="00DD6CE9" w:rsidRDefault="003771D5" w:rsidP="007B7387">
      <w:pPr>
        <w:pStyle w:val="ECCParagraph"/>
      </w:pPr>
      <w:r w:rsidRPr="00DD6CE9">
        <w:t>CITEL (date of proposal)</w:t>
      </w:r>
    </w:p>
    <w:p w:rsidR="003771D5" w:rsidRPr="00DD6CE9" w:rsidRDefault="003771D5" w:rsidP="007B7387">
      <w:pPr>
        <w:pStyle w:val="ECCParagraph"/>
      </w:pPr>
    </w:p>
    <w:p w:rsidR="003771D5" w:rsidRPr="00DD6CE9" w:rsidRDefault="003771D5" w:rsidP="007B7387">
      <w:pPr>
        <w:pStyle w:val="ECCParagraph"/>
      </w:pPr>
      <w:r w:rsidRPr="00DD6CE9">
        <w:t>RCC (</w:t>
      </w:r>
      <w:r w:rsidR="00762A67">
        <w:t>November 2013</w:t>
      </w:r>
      <w:r w:rsidRPr="00DD6CE9">
        <w:t>)</w:t>
      </w:r>
    </w:p>
    <w:p w:rsidR="003771D5" w:rsidRPr="00DD6CE9" w:rsidRDefault="00762A67" w:rsidP="007B7387">
      <w:pPr>
        <w:pStyle w:val="ECCParagraph"/>
      </w:pPr>
      <w:r>
        <w:t>Draft position is being developed.</w:t>
      </w:r>
    </w:p>
    <w:p w:rsidR="003771D5" w:rsidRPr="00DD6CE9" w:rsidRDefault="003771D5" w:rsidP="00BD4E12">
      <w:pPr>
        <w:pStyle w:val="Heading2"/>
        <w:rPr>
          <w:lang w:val="en-GB"/>
        </w:rPr>
      </w:pPr>
      <w:r w:rsidRPr="00DD6CE9">
        <w:rPr>
          <w:lang w:val="en-GB"/>
        </w:rPr>
        <w:t>International organisations</w:t>
      </w:r>
    </w:p>
    <w:p w:rsidR="003771D5" w:rsidRPr="00DD6CE9" w:rsidRDefault="003771D5" w:rsidP="007B7387">
      <w:pPr>
        <w:pStyle w:val="ECCParagraph"/>
      </w:pPr>
      <w:r w:rsidRPr="00DD6CE9">
        <w:t>IATA (date of proposal)</w:t>
      </w:r>
    </w:p>
    <w:p w:rsidR="003771D5" w:rsidRPr="00DD6CE9" w:rsidRDefault="003771D5" w:rsidP="007B7387">
      <w:pPr>
        <w:pStyle w:val="ECCParagraph"/>
      </w:pPr>
    </w:p>
    <w:p w:rsidR="003771D5" w:rsidRPr="00DD6CE9" w:rsidRDefault="003771D5" w:rsidP="007B7387">
      <w:pPr>
        <w:pStyle w:val="ECCParagraph"/>
      </w:pPr>
      <w:r w:rsidRPr="00DD6CE9">
        <w:t>ICAO (date of proposal)</w:t>
      </w:r>
    </w:p>
    <w:p w:rsidR="003771D5" w:rsidRPr="00DD6CE9" w:rsidRDefault="003771D5" w:rsidP="007B7387">
      <w:pPr>
        <w:pStyle w:val="ECCParagraph"/>
      </w:pPr>
    </w:p>
    <w:p w:rsidR="003771D5" w:rsidRDefault="003771D5" w:rsidP="007B7387">
      <w:pPr>
        <w:pStyle w:val="ECCParagraph"/>
      </w:pPr>
      <w:r w:rsidRPr="00DD6CE9">
        <w:t>IMO (date of proposal)</w:t>
      </w:r>
    </w:p>
    <w:p w:rsidR="008C6E53" w:rsidRDefault="008C6E53" w:rsidP="007B7387">
      <w:pPr>
        <w:pStyle w:val="ECCParagraph"/>
      </w:pPr>
    </w:p>
    <w:p w:rsidR="008C6E53" w:rsidRPr="00DD6CE9" w:rsidRDefault="008C6E53" w:rsidP="007B7387">
      <w:pPr>
        <w:pStyle w:val="ECCParagraph"/>
      </w:pPr>
      <w:r>
        <w:t>NATO (date of proposal)</w:t>
      </w:r>
    </w:p>
    <w:p w:rsidR="003771D5" w:rsidRPr="00DD6CE9" w:rsidRDefault="003771D5" w:rsidP="007B7387">
      <w:pPr>
        <w:pStyle w:val="ECCParagraph"/>
      </w:pPr>
    </w:p>
    <w:p w:rsidR="003771D5" w:rsidRPr="00DD6CE9" w:rsidRDefault="003771D5" w:rsidP="007B7387">
      <w:pPr>
        <w:pStyle w:val="ECCParagraph"/>
      </w:pPr>
      <w:r w:rsidRPr="00DD6CE9">
        <w:t>SFCG (date of proposal)</w:t>
      </w:r>
    </w:p>
    <w:p w:rsidR="003771D5" w:rsidRPr="00DD6CE9" w:rsidRDefault="003771D5" w:rsidP="007B7387">
      <w:pPr>
        <w:pStyle w:val="ECCParagraph"/>
      </w:pPr>
    </w:p>
    <w:p w:rsidR="003771D5" w:rsidRPr="00DD6CE9" w:rsidRDefault="003771D5" w:rsidP="007B7387">
      <w:pPr>
        <w:pStyle w:val="ECCParagraph"/>
      </w:pPr>
      <w:r w:rsidRPr="00DD6CE9">
        <w:t>WMO (date of proposal)</w:t>
      </w:r>
    </w:p>
    <w:p w:rsidR="003771D5" w:rsidRPr="00DD6CE9" w:rsidRDefault="003771D5" w:rsidP="007B7387">
      <w:pPr>
        <w:pStyle w:val="ECCParagraph"/>
      </w:pPr>
    </w:p>
    <w:p w:rsidR="003771D5" w:rsidRPr="00DD6CE9" w:rsidRDefault="003771D5" w:rsidP="00BD4E12">
      <w:pPr>
        <w:pStyle w:val="Heading2"/>
      </w:pPr>
      <w:r w:rsidRPr="00DD6CE9">
        <w:t>Regional organisations</w:t>
      </w:r>
    </w:p>
    <w:p w:rsidR="003771D5" w:rsidRDefault="003771D5" w:rsidP="007B7387">
      <w:pPr>
        <w:pStyle w:val="ECCParagraph"/>
      </w:pPr>
      <w:r w:rsidRPr="00BD4E12">
        <w:t>ESA (date of proposal)</w:t>
      </w:r>
    </w:p>
    <w:p w:rsidR="008C6E53" w:rsidRPr="00BD4E12" w:rsidRDefault="008C6E53" w:rsidP="007B7387">
      <w:pPr>
        <w:pStyle w:val="ECCParagraph"/>
      </w:pPr>
    </w:p>
    <w:p w:rsidR="003771D5" w:rsidRPr="00DD6CE9" w:rsidRDefault="008C6E53" w:rsidP="007B7387">
      <w:pPr>
        <w:pStyle w:val="ECCParagraph"/>
      </w:pPr>
      <w:r w:rsidRPr="008C6E53">
        <w:t>EUMETNET (date of proposal</w:t>
      </w:r>
      <w:r>
        <w:t>)</w:t>
      </w:r>
    </w:p>
    <w:p w:rsidR="008C6E53" w:rsidRDefault="008C6E53" w:rsidP="007B7387">
      <w:pPr>
        <w:pStyle w:val="ECCParagraph"/>
      </w:pPr>
    </w:p>
    <w:p w:rsidR="003771D5" w:rsidRPr="0057797A" w:rsidRDefault="003771D5" w:rsidP="007B7387">
      <w:pPr>
        <w:pStyle w:val="ECCParagraph"/>
      </w:pPr>
      <w:proofErr w:type="spellStart"/>
      <w:r w:rsidRPr="0057797A">
        <w:t>Eurocontrol</w:t>
      </w:r>
      <w:proofErr w:type="spellEnd"/>
      <w:r w:rsidRPr="0057797A">
        <w:t xml:space="preserve"> (date </w:t>
      </w:r>
      <w:r w:rsidRPr="00BD4E12">
        <w:t>of proposal</w:t>
      </w:r>
      <w:r w:rsidRPr="0057797A">
        <w:t>)</w:t>
      </w:r>
    </w:p>
    <w:p w:rsidR="003771D5" w:rsidRPr="00DD6CE9" w:rsidRDefault="003771D5" w:rsidP="007B7387">
      <w:pPr>
        <w:pStyle w:val="ECCParagraph"/>
      </w:pPr>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771D5" w:rsidRPr="00DD6CE9" w:rsidRDefault="003771D5" w:rsidP="007B7387">
      <w:pPr>
        <w:pStyle w:val="ECCParagraph"/>
      </w:pPr>
      <w:r w:rsidRPr="00DD6CE9">
        <w:t>EBU (date of proposal)</w:t>
      </w:r>
    </w:p>
    <w:p w:rsidR="003771D5" w:rsidRPr="00DD6CE9" w:rsidRDefault="003771D5" w:rsidP="007B7387">
      <w:pPr>
        <w:pStyle w:val="ECCParagraph"/>
      </w:pPr>
    </w:p>
    <w:p w:rsidR="004A511D" w:rsidRPr="00DD6CE9" w:rsidRDefault="003771D5" w:rsidP="007B7387">
      <w:pPr>
        <w:pStyle w:val="ECCParagraph"/>
        <w:rPr>
          <w:rStyle w:val="ECCHLsubscript"/>
        </w:rPr>
      </w:pPr>
      <w:r w:rsidRPr="00DD6CE9">
        <w:t>GSMA (date of pro</w:t>
      </w:r>
      <w:r w:rsidRPr="007B7387">
        <w:t>p</w:t>
      </w:r>
      <w:r w:rsidRPr="00DD6CE9">
        <w:t>osal)</w:t>
      </w:r>
    </w:p>
    <w:sectPr w:rsidR="004A511D" w:rsidRPr="00DD6CE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30" w:rsidRDefault="00BE6430" w:rsidP="00D0121B">
      <w:r>
        <w:separator/>
      </w:r>
    </w:p>
    <w:p w:rsidR="00BE6430" w:rsidRDefault="00BE6430"/>
    <w:p w:rsidR="00BE6430" w:rsidRDefault="00BE6430"/>
  </w:endnote>
  <w:endnote w:type="continuationSeparator" w:id="0">
    <w:p w:rsidR="00BE6430" w:rsidRDefault="00BE6430" w:rsidP="00D0121B">
      <w:r>
        <w:continuationSeparator/>
      </w:r>
    </w:p>
    <w:p w:rsidR="00BE6430" w:rsidRDefault="00BE6430"/>
    <w:p w:rsidR="00BE6430" w:rsidRDefault="00BE6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87" w:rsidRDefault="007B73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87" w:rsidRDefault="007B73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87" w:rsidRDefault="007B73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30" w:rsidRDefault="00BE6430" w:rsidP="00D0121B">
      <w:r>
        <w:separator/>
      </w:r>
    </w:p>
    <w:p w:rsidR="00BE6430" w:rsidRDefault="00BE6430"/>
    <w:p w:rsidR="00BE6430" w:rsidRDefault="00BE6430"/>
  </w:footnote>
  <w:footnote w:type="continuationSeparator" w:id="0">
    <w:p w:rsidR="00BE6430" w:rsidRDefault="00BE6430" w:rsidP="00D0121B">
      <w:r>
        <w:continuationSeparator/>
      </w:r>
    </w:p>
    <w:p w:rsidR="00BE6430" w:rsidRDefault="00BE6430"/>
    <w:p w:rsidR="00BE6430" w:rsidRDefault="00BE64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4A46AA" w:rsidRDefault="003771D5" w:rsidP="00E059C5">
    <w:pPr>
      <w:pStyle w:val="ECCHeader"/>
      <w:rPr>
        <w:lang w:val="en-GB"/>
      </w:rPr>
    </w:pPr>
    <w:r w:rsidRPr="004A46AA">
      <w:rPr>
        <w:lang w:val="en-GB"/>
      </w:rPr>
      <w:t>D</w:t>
    </w:r>
    <w:r w:rsidR="007B7387">
      <w:rPr>
        <w:lang w:val="en-GB"/>
      </w:rPr>
      <w:t xml:space="preserve">raft CEPT Brief on AI </w:t>
    </w:r>
    <w:r w:rsidR="007B7387">
      <w:t>9.1.3</w:t>
    </w:r>
    <w:r w:rsidRPr="004A46AA">
      <w:rPr>
        <w:lang w:val="en-GB"/>
      </w:rPr>
      <w:t xml:space="preserve"> </w:t>
    </w:r>
    <w:r w:rsidR="002D6680" w:rsidRPr="004A46AA">
      <w:rPr>
        <w:lang w:val="en-GB"/>
      </w:rPr>
      <w:t xml:space="preserve">- </w:t>
    </w:r>
    <w:r w:rsidR="005C10EB" w:rsidRPr="004A46AA">
      <w:rPr>
        <w:lang w:val="en-GB"/>
      </w:rPr>
      <w:t xml:space="preserve">Page </w:t>
    </w:r>
    <w:r w:rsidR="005C10EB" w:rsidRPr="005611D0">
      <w:fldChar w:fldCharType="begin"/>
    </w:r>
    <w:r w:rsidR="005C10EB" w:rsidRPr="004A46AA">
      <w:rPr>
        <w:lang w:val="en-GB"/>
      </w:rPr>
      <w:instrText xml:space="preserve"> PAGE  \* Arabic  \* MERGEFORMAT </w:instrText>
    </w:r>
    <w:r w:rsidR="005C10EB" w:rsidRPr="005611D0">
      <w:fldChar w:fldCharType="separate"/>
    </w:r>
    <w:r w:rsidR="007863C1">
      <w:rPr>
        <w:noProof/>
        <w:lang w:val="en-GB"/>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4A46AA" w:rsidRDefault="00D904D5" w:rsidP="00E059C5">
    <w:pPr>
      <w:pStyle w:val="ECCHeader"/>
      <w:rPr>
        <w:lang w:val="en-GB"/>
      </w:rPr>
    </w:pPr>
    <w:r>
      <w:tab/>
    </w:r>
    <w:r>
      <w:tab/>
    </w:r>
    <w:r w:rsidR="002D6680" w:rsidRPr="004A46AA">
      <w:rPr>
        <w:lang w:val="en-GB"/>
      </w:rPr>
      <w:t xml:space="preserve">Draft CEPT Brief on AI </w:t>
    </w:r>
    <w:r w:rsidR="007B7387">
      <w:t>9.1.3</w:t>
    </w:r>
    <w:r w:rsidR="002D6680" w:rsidRPr="004A46AA">
      <w:rPr>
        <w:lang w:val="en-GB"/>
      </w:rPr>
      <w:t xml:space="preserve"> - </w:t>
    </w:r>
    <w:r w:rsidR="005C10EB" w:rsidRPr="004A46AA">
      <w:rPr>
        <w:lang w:val="en-GB"/>
      </w:rPr>
      <w:t xml:space="preserve">Page </w:t>
    </w:r>
    <w:r w:rsidR="005C10EB" w:rsidRPr="005611D0">
      <w:fldChar w:fldCharType="begin"/>
    </w:r>
    <w:r w:rsidR="005C10EB" w:rsidRPr="004A46AA">
      <w:rPr>
        <w:lang w:val="en-GB"/>
      </w:rPr>
      <w:instrText xml:space="preserve"> PAGE  \* Arabic  \* MERGEFORMAT </w:instrText>
    </w:r>
    <w:r w:rsidR="005C10EB" w:rsidRPr="005611D0">
      <w:fldChar w:fldCharType="separate"/>
    </w:r>
    <w:r w:rsidR="00C66B3A">
      <w:rPr>
        <w:noProof/>
        <w:lang w:val="en-GB"/>
      </w:rPr>
      <w:t>3</w:t>
    </w:r>
    <w:r w:rsidR="005C10EB" w:rsidRPr="005611D0">
      <w:fldChar w:fldCharType="end"/>
    </w:r>
  </w:p>
  <w:p w:rsidR="00E06B29" w:rsidRDefault="00E06B29"/>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46AA"/>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A67"/>
    <w:rsid w:val="00762BCC"/>
    <w:rsid w:val="00763BA3"/>
    <w:rsid w:val="00765B66"/>
    <w:rsid w:val="00767BB2"/>
    <w:rsid w:val="00780376"/>
    <w:rsid w:val="007863C1"/>
    <w:rsid w:val="00791AAC"/>
    <w:rsid w:val="0079410C"/>
    <w:rsid w:val="00797D4C"/>
    <w:rsid w:val="007B52C8"/>
    <w:rsid w:val="007B7387"/>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C6E53"/>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E6430"/>
    <w:rsid w:val="00BF3831"/>
    <w:rsid w:val="00C076BF"/>
    <w:rsid w:val="00C10C10"/>
    <w:rsid w:val="00C27F02"/>
    <w:rsid w:val="00C33A7C"/>
    <w:rsid w:val="00C44519"/>
    <w:rsid w:val="00C504F4"/>
    <w:rsid w:val="00C57E85"/>
    <w:rsid w:val="00C65BB4"/>
    <w:rsid w:val="00C66B3A"/>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11937"/>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1DC5-61A1-4B68-9B26-6331D8DB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4</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5073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2</cp:revision>
  <cp:lastPrinted>1901-01-01T00:00:00Z</cp:lastPrinted>
  <dcterms:created xsi:type="dcterms:W3CDTF">2014-04-10T09:50:00Z</dcterms:created>
  <dcterms:modified xsi:type="dcterms:W3CDTF">2014-04-10T09:50:00Z</dcterms:modified>
  <cp:category>protected templates</cp:category>
</cp:coreProperties>
</file>