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56"/>
        <w:gridCol w:w="3091"/>
        <w:gridCol w:w="54"/>
        <w:gridCol w:w="4942"/>
        <w:gridCol w:w="38"/>
      </w:tblGrid>
      <w:tr w:rsidR="00091185" w:rsidRPr="00DD6CE9" w:rsidTr="00B54E57">
        <w:trPr>
          <w:cantSplit/>
          <w:trHeight w:val="1240"/>
        </w:trPr>
        <w:tc>
          <w:tcPr>
            <w:tcW w:w="4801" w:type="dxa"/>
            <w:gridSpan w:val="3"/>
            <w:tcBorders>
              <w:top w:val="nil"/>
              <w:left w:val="nil"/>
              <w:bottom w:val="nil"/>
              <w:right w:val="nil"/>
            </w:tcBorders>
          </w:tcPr>
          <w:p w:rsidR="00091185" w:rsidRPr="00BD4E12" w:rsidRDefault="00091185" w:rsidP="00091185">
            <w:pPr>
              <w:pStyle w:val="ECCLetterHead"/>
            </w:pPr>
          </w:p>
        </w:tc>
        <w:tc>
          <w:tcPr>
            <w:tcW w:w="4980" w:type="dxa"/>
            <w:gridSpan w:val="2"/>
            <w:tcBorders>
              <w:top w:val="nil"/>
              <w:left w:val="nil"/>
              <w:bottom w:val="nil"/>
              <w:right w:val="nil"/>
            </w:tcBorders>
          </w:tcPr>
          <w:p w:rsidR="00091185" w:rsidRPr="00091185" w:rsidRDefault="00091185" w:rsidP="00B610AC">
            <w:pPr>
              <w:pStyle w:val="ECCLetterHead"/>
            </w:pPr>
            <w:r>
              <w:tab/>
            </w:r>
            <w:r w:rsidR="00C936DD">
              <w:t xml:space="preserve">Doc. </w:t>
            </w:r>
            <w:r w:rsidR="00B610AC">
              <w:t>CPG</w:t>
            </w:r>
            <w:r w:rsidR="00C936DD" w:rsidRPr="00C936DD">
              <w:t>(17)0</w:t>
            </w:r>
            <w:r w:rsidR="00131D08">
              <w:t>11</w:t>
            </w:r>
            <w:r w:rsidR="008F48A0">
              <w:t xml:space="preserve"> ANNEX</w:t>
            </w:r>
            <w:r w:rsidR="00C936DD" w:rsidRPr="00C936DD">
              <w:t xml:space="preserve"> IV-</w:t>
            </w:r>
            <w:r w:rsidR="00C936DD">
              <w:t>08</w:t>
            </w:r>
          </w:p>
        </w:tc>
      </w:tr>
      <w:tr w:rsidR="00131D08" w:rsidRPr="00DD6CE9" w:rsidTr="000E612E">
        <w:tblPrEx>
          <w:tblCellMar>
            <w:left w:w="108" w:type="dxa"/>
            <w:right w:w="108" w:type="dxa"/>
          </w:tblCellMar>
        </w:tblPrEx>
        <w:trPr>
          <w:cantSplit/>
          <w:trHeight w:val="405"/>
        </w:trPr>
        <w:tc>
          <w:tcPr>
            <w:tcW w:w="9781" w:type="dxa"/>
            <w:gridSpan w:val="5"/>
            <w:tcBorders>
              <w:top w:val="nil"/>
              <w:left w:val="nil"/>
              <w:bottom w:val="nil"/>
              <w:right w:val="nil"/>
            </w:tcBorders>
            <w:shd w:val="clear" w:color="auto" w:fill="auto"/>
            <w:vAlign w:val="center"/>
          </w:tcPr>
          <w:p w:rsidR="00131D08" w:rsidRPr="008F01E0" w:rsidRDefault="00131D08" w:rsidP="008F01E0">
            <w:pPr>
              <w:pStyle w:val="ECCLetterHead"/>
            </w:pPr>
            <w:r w:rsidRPr="008F01E0">
              <w:t>CPG</w:t>
            </w:r>
            <w:r>
              <w:t>19-3</w:t>
            </w:r>
          </w:p>
        </w:tc>
      </w:tr>
      <w:tr w:rsidR="00131D08" w:rsidRPr="00DD6CE9" w:rsidTr="00406619">
        <w:tblPrEx>
          <w:tblCellMar>
            <w:left w:w="108" w:type="dxa"/>
            <w:right w:w="108" w:type="dxa"/>
          </w:tblCellMar>
        </w:tblPrEx>
        <w:trPr>
          <w:cantSplit/>
          <w:trHeight w:val="405"/>
        </w:trPr>
        <w:tc>
          <w:tcPr>
            <w:tcW w:w="9781" w:type="dxa"/>
            <w:gridSpan w:val="5"/>
            <w:tcBorders>
              <w:top w:val="nil"/>
              <w:left w:val="nil"/>
              <w:bottom w:val="nil"/>
              <w:right w:val="nil"/>
            </w:tcBorders>
            <w:vAlign w:val="center"/>
          </w:tcPr>
          <w:p w:rsidR="00131D08" w:rsidRPr="008F01E0" w:rsidRDefault="00131D08" w:rsidP="00131D08">
            <w:pPr>
              <w:pStyle w:val="ECCLetterHead"/>
            </w:pPr>
            <w:r>
              <w:t>Vienna, Austria</w:t>
            </w:r>
            <w:r w:rsidRPr="008F01E0">
              <w:t xml:space="preserve">, </w:t>
            </w:r>
            <w:r>
              <w:t>14</w:t>
            </w:r>
            <w:r w:rsidRPr="008F48A0">
              <w:rPr>
                <w:vertAlign w:val="superscript"/>
              </w:rPr>
              <w:t>th</w:t>
            </w:r>
            <w:r w:rsidR="008F48A0">
              <w:t xml:space="preserve"> </w:t>
            </w:r>
            <w:r>
              <w:t>-</w:t>
            </w:r>
            <w:r w:rsidRPr="008F01E0">
              <w:t xml:space="preserve"> </w:t>
            </w:r>
            <w:r>
              <w:t>17</w:t>
            </w:r>
            <w:r w:rsidR="008F48A0" w:rsidRPr="008F48A0">
              <w:rPr>
                <w:vertAlign w:val="superscript"/>
              </w:rPr>
              <w:t>th</w:t>
            </w:r>
            <w:r w:rsidR="008F48A0">
              <w:t xml:space="preserve"> </w:t>
            </w:r>
            <w:r w:rsidRPr="00131D08">
              <w:t>March 2017</w:t>
            </w:r>
          </w:p>
        </w:tc>
      </w:tr>
      <w:tr w:rsidR="008F01E0" w:rsidRPr="00DD6CE9" w:rsidTr="00B54E57">
        <w:tblPrEx>
          <w:tblCellMar>
            <w:left w:w="108" w:type="dxa"/>
            <w:right w:w="108" w:type="dxa"/>
          </w:tblCellMar>
        </w:tblPrEx>
        <w:trPr>
          <w:cantSplit/>
          <w:trHeight w:hRule="exact" w:val="79"/>
        </w:trPr>
        <w:tc>
          <w:tcPr>
            <w:tcW w:w="4747" w:type="dxa"/>
            <w:gridSpan w:val="2"/>
            <w:tcBorders>
              <w:top w:val="nil"/>
              <w:left w:val="nil"/>
              <w:bottom w:val="nil"/>
              <w:right w:val="nil"/>
            </w:tcBorders>
            <w:vAlign w:val="center"/>
          </w:tcPr>
          <w:p w:rsidR="008F01E0" w:rsidRPr="008F01E0" w:rsidRDefault="008F01E0" w:rsidP="008F01E0">
            <w:pPr>
              <w:pStyle w:val="ECCLetterHead"/>
            </w:pPr>
          </w:p>
        </w:tc>
        <w:tc>
          <w:tcPr>
            <w:tcW w:w="5034" w:type="dxa"/>
            <w:gridSpan w:val="3"/>
            <w:tcBorders>
              <w:top w:val="nil"/>
              <w:left w:val="nil"/>
              <w:bottom w:val="nil"/>
              <w:right w:val="nil"/>
            </w:tcBorders>
            <w:vAlign w:val="center"/>
          </w:tcPr>
          <w:p w:rsidR="008F01E0" w:rsidRPr="008F01E0" w:rsidRDefault="008F01E0" w:rsidP="008F01E0">
            <w:pPr>
              <w:pStyle w:val="ECCLetterHead"/>
            </w:pPr>
          </w:p>
        </w:tc>
      </w:tr>
      <w:tr w:rsidR="008F01E0" w:rsidRPr="00DD6CE9"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rsidR="008F01E0" w:rsidRPr="008F01E0" w:rsidRDefault="008F01E0" w:rsidP="008F01E0">
            <w:pPr>
              <w:pStyle w:val="ECCLetterHead"/>
            </w:pPr>
            <w:r w:rsidRPr="008F01E0">
              <w:t xml:space="preserve">Date issued: </w:t>
            </w:r>
          </w:p>
        </w:tc>
        <w:tc>
          <w:tcPr>
            <w:tcW w:w="8125" w:type="dxa"/>
            <w:gridSpan w:val="4"/>
            <w:tcBorders>
              <w:top w:val="nil"/>
              <w:left w:val="nil"/>
              <w:bottom w:val="nil"/>
              <w:right w:val="nil"/>
            </w:tcBorders>
            <w:vAlign w:val="center"/>
          </w:tcPr>
          <w:p w:rsidR="008F01E0" w:rsidRPr="008F01E0" w:rsidRDefault="00131D08" w:rsidP="00C936DD">
            <w:pPr>
              <w:pStyle w:val="ECCLetterHead"/>
            </w:pPr>
            <w:r>
              <w:t>17</w:t>
            </w:r>
            <w:r w:rsidRPr="00131D08">
              <w:rPr>
                <w:vertAlign w:val="superscript"/>
              </w:rPr>
              <w:t>th</w:t>
            </w:r>
            <w:r>
              <w:t xml:space="preserve"> March</w:t>
            </w:r>
            <w:r w:rsidR="00C936DD">
              <w:t xml:space="preserve"> 2017</w:t>
            </w:r>
          </w:p>
        </w:tc>
      </w:tr>
      <w:tr w:rsidR="008F01E0" w:rsidRPr="007C1E98"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rsidR="008F01E0" w:rsidRPr="008F01E0" w:rsidRDefault="008F01E0" w:rsidP="008F01E0">
            <w:pPr>
              <w:pStyle w:val="ECCLetterHead"/>
            </w:pPr>
            <w:r w:rsidRPr="008F01E0">
              <w:t xml:space="preserve">Source: </w:t>
            </w:r>
          </w:p>
        </w:tc>
        <w:tc>
          <w:tcPr>
            <w:tcW w:w="8125" w:type="dxa"/>
            <w:gridSpan w:val="4"/>
            <w:tcBorders>
              <w:top w:val="nil"/>
              <w:left w:val="nil"/>
              <w:bottom w:val="nil"/>
              <w:right w:val="nil"/>
            </w:tcBorders>
            <w:vAlign w:val="center"/>
          </w:tcPr>
          <w:p w:rsidR="008F01E0" w:rsidRPr="008F01E0" w:rsidRDefault="00131D08" w:rsidP="008F48A0">
            <w:pPr>
              <w:pStyle w:val="ECCLetterHead"/>
            </w:pPr>
            <w:r>
              <w:t>CPG19-</w:t>
            </w:r>
            <w:r w:rsidR="008F48A0">
              <w:t>3 minutes</w:t>
            </w:r>
          </w:p>
        </w:tc>
      </w:tr>
      <w:tr w:rsidR="008F01E0" w:rsidRPr="00DD6CE9" w:rsidTr="00B54E57">
        <w:tblPrEx>
          <w:tblCellMar>
            <w:left w:w="108" w:type="dxa"/>
            <w:right w:w="108" w:type="dxa"/>
          </w:tblCellMar>
        </w:tblPrEx>
        <w:trPr>
          <w:cantSplit/>
          <w:trHeight w:val="405"/>
        </w:trPr>
        <w:tc>
          <w:tcPr>
            <w:tcW w:w="1656" w:type="dxa"/>
            <w:tcBorders>
              <w:top w:val="nil"/>
              <w:left w:val="nil"/>
              <w:bottom w:val="nil"/>
              <w:right w:val="nil"/>
            </w:tcBorders>
            <w:vAlign w:val="center"/>
          </w:tcPr>
          <w:p w:rsidR="008F01E0" w:rsidRPr="008F01E0" w:rsidRDefault="008F01E0" w:rsidP="008F01E0">
            <w:pPr>
              <w:pStyle w:val="ECCLetterHead"/>
            </w:pPr>
            <w:r w:rsidRPr="008F01E0">
              <w:t xml:space="preserve">Subject: </w:t>
            </w:r>
          </w:p>
        </w:tc>
        <w:tc>
          <w:tcPr>
            <w:tcW w:w="8125" w:type="dxa"/>
            <w:gridSpan w:val="4"/>
            <w:tcBorders>
              <w:top w:val="nil"/>
              <w:left w:val="nil"/>
              <w:bottom w:val="nil"/>
              <w:right w:val="nil"/>
            </w:tcBorders>
            <w:vAlign w:val="center"/>
          </w:tcPr>
          <w:p w:rsidR="008F01E0" w:rsidRPr="008F01E0" w:rsidRDefault="008F01E0" w:rsidP="008F01E0">
            <w:pPr>
              <w:pStyle w:val="ECCLetterHead"/>
            </w:pPr>
            <w:r w:rsidRPr="008F01E0">
              <w:t>Draft CEPT Brief on WRC-19 Agenda Item 1.8</w:t>
            </w:r>
          </w:p>
        </w:tc>
      </w:tr>
      <w:tr w:rsidR="003771D5" w:rsidRPr="00235592" w:rsidTr="00E928D2">
        <w:tblPrEx>
          <w:tblCellMar>
            <w:left w:w="108" w:type="dxa"/>
            <w:right w:w="108" w:type="dxa"/>
          </w:tblCellMar>
        </w:tblPrEx>
        <w:trPr>
          <w:gridAfter w:val="1"/>
          <w:wAfter w:w="38" w:type="dxa"/>
          <w:cantSplit/>
          <w:trHeight w:hRule="exact" w:val="74"/>
        </w:trPr>
        <w:tc>
          <w:tcPr>
            <w:tcW w:w="9743" w:type="dxa"/>
            <w:gridSpan w:val="4"/>
            <w:tcBorders>
              <w:top w:val="nil"/>
              <w:left w:val="nil"/>
              <w:bottom w:val="single" w:sz="6" w:space="0" w:color="C00000"/>
              <w:right w:val="nil"/>
            </w:tcBorders>
            <w:vAlign w:val="center"/>
          </w:tcPr>
          <w:p w:rsidR="003771D5" w:rsidRPr="00235592" w:rsidRDefault="003771D5" w:rsidP="00BD4E12">
            <w:pPr>
              <w:rPr>
                <w:rStyle w:val="ECCParagraph"/>
              </w:rPr>
            </w:pPr>
          </w:p>
          <w:p w:rsidR="003771D5" w:rsidRPr="00235592" w:rsidRDefault="003771D5" w:rsidP="00BD4E12">
            <w:pPr>
              <w:pStyle w:val="ECCLetterHead"/>
            </w:pPr>
          </w:p>
        </w:tc>
      </w:tr>
      <w:tr w:rsidR="003771D5" w:rsidRPr="00235592"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5"/>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 xml:space="preserve">Summary: </w:t>
            </w:r>
          </w:p>
        </w:tc>
      </w:tr>
      <w:tr w:rsidR="003771D5" w:rsidRPr="00235592"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5"/>
            <w:tcBorders>
              <w:top w:val="nil"/>
              <w:left w:val="single" w:sz="6" w:space="0" w:color="C00000"/>
              <w:bottom w:val="single" w:sz="6" w:space="0" w:color="C00000"/>
              <w:right w:val="single" w:sz="6" w:space="0" w:color="C00000"/>
            </w:tcBorders>
          </w:tcPr>
          <w:p w:rsidR="003771D5" w:rsidRPr="00235592" w:rsidRDefault="00091185" w:rsidP="00BD4E12">
            <w:pPr>
              <w:pStyle w:val="ECCTabletext"/>
            </w:pPr>
            <w:r w:rsidRPr="00091185">
              <w:t>.</w:t>
            </w:r>
          </w:p>
        </w:tc>
      </w:tr>
      <w:tr w:rsidR="003771D5" w:rsidRPr="00235592"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5"/>
            <w:tcBorders>
              <w:top w:val="single" w:sz="6" w:space="0" w:color="C00000"/>
              <w:left w:val="single" w:sz="6" w:space="0" w:color="C00000"/>
              <w:bottom w:val="nil"/>
              <w:right w:val="single" w:sz="6" w:space="0" w:color="C00000"/>
            </w:tcBorders>
            <w:vAlign w:val="center"/>
          </w:tcPr>
          <w:p w:rsidR="003771D5" w:rsidRPr="00235592" w:rsidRDefault="003771D5" w:rsidP="003A68D5">
            <w:pPr>
              <w:pStyle w:val="ECCLetterHead"/>
            </w:pPr>
            <w:r w:rsidRPr="00235592">
              <w:t>Proposal:</w:t>
            </w:r>
          </w:p>
        </w:tc>
      </w:tr>
      <w:tr w:rsidR="003771D5" w:rsidRPr="00235592" w:rsidTr="00E928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5"/>
            <w:tcBorders>
              <w:top w:val="nil"/>
              <w:left w:val="single" w:sz="6" w:space="0" w:color="C00000"/>
              <w:bottom w:val="single" w:sz="6" w:space="0" w:color="C00000"/>
              <w:right w:val="single" w:sz="6" w:space="0" w:color="C00000"/>
            </w:tcBorders>
          </w:tcPr>
          <w:p w:rsidR="003771D5" w:rsidRPr="00235592" w:rsidRDefault="003771D5" w:rsidP="00BD4E12">
            <w:pPr>
              <w:pStyle w:val="ECCTabletext"/>
            </w:pPr>
          </w:p>
        </w:tc>
      </w:tr>
    </w:tbl>
    <w:p w:rsidR="003771D5" w:rsidRPr="00235592" w:rsidRDefault="003771D5" w:rsidP="00BD4E12">
      <w:pPr>
        <w:rPr>
          <w:rStyle w:val="ECCParagraph"/>
        </w:rPr>
      </w:pPr>
      <w:r w:rsidRPr="00235592">
        <w:rPr>
          <w:rStyle w:val="ECCParagraph"/>
        </w:rPr>
        <w:br w:type="page"/>
      </w:r>
    </w:p>
    <w:p w:rsidR="00900F03" w:rsidRDefault="003771D5" w:rsidP="003A68D5">
      <w:pPr>
        <w:pStyle w:val="ECCHeadingnonumbering"/>
        <w:rPr>
          <w:lang w:val="en-GB"/>
        </w:rPr>
      </w:pPr>
      <w:r w:rsidRPr="00235592">
        <w:rPr>
          <w:lang w:val="en-GB"/>
        </w:rPr>
        <w:lastRenderedPageBreak/>
        <w:t xml:space="preserve">DRAFT CEPT BRIEF ON AGENDA ITEM </w:t>
      </w:r>
      <w:r w:rsidR="00C202F3">
        <w:t>1.8</w:t>
      </w:r>
      <w:r w:rsidRPr="00235592">
        <w:rPr>
          <w:lang w:val="en-GB"/>
        </w:rPr>
        <w:t xml:space="preserve"> </w:t>
      </w:r>
    </w:p>
    <w:p w:rsidR="00900F03" w:rsidRPr="008E545B" w:rsidRDefault="00900F03" w:rsidP="008E545B">
      <w:pPr>
        <w:rPr>
          <w:rStyle w:val="ECCParagraph"/>
        </w:rPr>
      </w:pPr>
      <w:r w:rsidRPr="008E545B">
        <w:rPr>
          <w:rStyle w:val="ECCParagraph"/>
        </w:rPr>
        <w:t>1.8</w:t>
      </w:r>
      <w:r w:rsidRPr="008E545B">
        <w:rPr>
          <w:rStyle w:val="ECCParagraph"/>
        </w:rPr>
        <w:tab/>
      </w:r>
      <w:proofErr w:type="gramStart"/>
      <w:r w:rsidRPr="008E545B">
        <w:rPr>
          <w:rStyle w:val="ECCParagraph"/>
        </w:rPr>
        <w:t>to</w:t>
      </w:r>
      <w:proofErr w:type="gramEnd"/>
      <w:r w:rsidRPr="008E545B">
        <w:rPr>
          <w:rStyle w:val="ECCParagraph"/>
        </w:rPr>
        <w:t xml:space="preserve"> consider possible regulatory actions to support Global Maritime Distress Safety Systems (GMDSS) modernization and to support the introduction of additional satellite systems into the GMDSS, in accordance with Resolution </w:t>
      </w:r>
      <w:r w:rsidRPr="008E545B">
        <w:rPr>
          <w:rStyle w:val="ECCHLbold"/>
        </w:rPr>
        <w:t>359 (Rev.WRC-15)</w:t>
      </w:r>
      <w:r w:rsidRPr="008E545B">
        <w:rPr>
          <w:rStyle w:val="ECCParagraph"/>
        </w:rPr>
        <w:t xml:space="preserve">; </w:t>
      </w:r>
    </w:p>
    <w:p w:rsidR="003771D5" w:rsidRDefault="003771D5" w:rsidP="00900F03">
      <w:pPr>
        <w:pStyle w:val="berschrift1"/>
      </w:pPr>
      <w:r w:rsidRPr="00235592">
        <w:t>ISSUE</w:t>
      </w:r>
    </w:p>
    <w:p w:rsidR="00537D13" w:rsidRDefault="00537D13" w:rsidP="00537D13">
      <w:pPr>
        <w:rPr>
          <w:rStyle w:val="ECCParagraph"/>
        </w:rPr>
      </w:pPr>
      <w:r>
        <w:rPr>
          <w:rStyle w:val="ECCParagraph"/>
        </w:rPr>
        <w:t xml:space="preserve">Resolution </w:t>
      </w:r>
      <w:r w:rsidRPr="008E545B">
        <w:rPr>
          <w:rStyle w:val="ECCHLbold"/>
        </w:rPr>
        <w:t>359 (WRC-15)</w:t>
      </w:r>
      <w:r w:rsidRPr="00C51447">
        <w:rPr>
          <w:rStyle w:val="ECCParagraph"/>
        </w:rPr>
        <w:t xml:space="preserve"> </w:t>
      </w:r>
      <w:r>
        <w:rPr>
          <w:rStyle w:val="ECCParagraph"/>
        </w:rPr>
        <w:t xml:space="preserve">also </w:t>
      </w:r>
      <w:r w:rsidRPr="00C51447">
        <w:rPr>
          <w:rStyle w:val="ECCParagraph"/>
        </w:rPr>
        <w:t xml:space="preserve">invites the </w:t>
      </w:r>
      <w:r>
        <w:rPr>
          <w:rStyle w:val="ECCParagraph"/>
        </w:rPr>
        <w:t>WRC-19 to</w:t>
      </w:r>
    </w:p>
    <w:p w:rsidR="00537D13" w:rsidRDefault="00537D13" w:rsidP="00537D13">
      <w:pPr>
        <w:ind w:left="432"/>
        <w:rPr>
          <w:rStyle w:val="ECCParagraph"/>
        </w:rPr>
      </w:pPr>
      <w:proofErr w:type="gramStart"/>
      <w:r w:rsidRPr="00C51447">
        <w:rPr>
          <w:rStyle w:val="ECCParagraph"/>
        </w:rPr>
        <w:t>consider</w:t>
      </w:r>
      <w:proofErr w:type="gramEnd"/>
      <w:r w:rsidRPr="00C51447">
        <w:rPr>
          <w:rStyle w:val="ECCParagraph"/>
        </w:rPr>
        <w:t xml:space="preserve"> the result of ITU </w:t>
      </w:r>
      <w:proofErr w:type="spellStart"/>
      <w:r w:rsidRPr="00C51447">
        <w:rPr>
          <w:rStyle w:val="ECCParagraph"/>
        </w:rPr>
        <w:t>Radiocommunication</w:t>
      </w:r>
      <w:proofErr w:type="spellEnd"/>
      <w:r w:rsidRPr="00C51447">
        <w:rPr>
          <w:rStyle w:val="ECCParagraph"/>
        </w:rPr>
        <w:t xml:space="preserve"> Sector (ITU-R) studies and take necessary actions, as appropriate, to support GMDSS modernization;</w:t>
      </w:r>
    </w:p>
    <w:p w:rsidR="00537D13" w:rsidRDefault="00537D13" w:rsidP="00BB0D9E">
      <w:pPr>
        <w:ind w:left="432"/>
        <w:rPr>
          <w:rStyle w:val="ECCParagraph"/>
        </w:rPr>
      </w:pPr>
      <w:r>
        <w:rPr>
          <w:rStyle w:val="ECCParagraph"/>
        </w:rPr>
        <w:t>and</w:t>
      </w:r>
      <w:r w:rsidRPr="00C51447">
        <w:rPr>
          <w:rStyle w:val="ECCParagraph"/>
        </w:rPr>
        <w:t xml:space="preserve"> consider regulatory provisions, if appropriate, based on the ITU-R studies, and taking into consideration the activities of IMO, related to the introduction of additional satellite systems into the GMDSS, including consideration of the MSS allocations used, while ensuring the protection of all incumbent services, including those in adjacent frequency bands, from harmful interference</w:t>
      </w:r>
      <w:r>
        <w:rPr>
          <w:rStyle w:val="ECCParagraph"/>
        </w:rPr>
        <w:t>.</w:t>
      </w:r>
    </w:p>
    <w:p w:rsidR="00537D13" w:rsidRPr="00537D13" w:rsidRDefault="00537D13" w:rsidP="00BB0D9E">
      <w:pPr>
        <w:rPr>
          <w:rStyle w:val="ECCParagraph"/>
          <w:b/>
          <w:bCs/>
          <w:caps/>
        </w:rPr>
      </w:pPr>
      <w:r w:rsidRPr="00537D13">
        <w:rPr>
          <w:rStyle w:val="ECCParagraph"/>
        </w:rPr>
        <w:t>These two invites the WRC-19 has been identified for the CPM Report as two different issues</w:t>
      </w:r>
    </w:p>
    <w:p w:rsidR="003771D5" w:rsidRPr="00235592" w:rsidRDefault="003771D5" w:rsidP="00C51447">
      <w:pPr>
        <w:pStyle w:val="berschrift1"/>
        <w:rPr>
          <w:lang w:val="en-GB"/>
        </w:rPr>
      </w:pPr>
      <w:r w:rsidRPr="00235592">
        <w:rPr>
          <w:lang w:val="en-GB"/>
        </w:rPr>
        <w:t xml:space="preserve">Preliminary CEPT position </w:t>
      </w:r>
    </w:p>
    <w:p w:rsidR="001F0DDC" w:rsidRDefault="001F0DDC" w:rsidP="008F48A0">
      <w:pPr>
        <w:pStyle w:val="ECCBreak"/>
        <w:rPr>
          <w:rStyle w:val="ECCParagraph"/>
        </w:rPr>
      </w:pPr>
      <w:r>
        <w:rPr>
          <w:rStyle w:val="ECCParagraph"/>
        </w:rPr>
        <w:t>Issue A: modernisation of GMDSS</w:t>
      </w:r>
    </w:p>
    <w:p w:rsidR="001F0DDC" w:rsidRDefault="001F0DDC" w:rsidP="001F0DDC">
      <w:pPr>
        <w:rPr>
          <w:rStyle w:val="ECCParagraph"/>
        </w:rPr>
      </w:pPr>
      <w:r>
        <w:rPr>
          <w:rStyle w:val="ECCParagraph"/>
        </w:rPr>
        <w:t>Position</w:t>
      </w:r>
      <w:r w:rsidR="0078006E">
        <w:rPr>
          <w:rStyle w:val="ECCParagraph"/>
        </w:rPr>
        <w:t>:</w:t>
      </w:r>
      <w:r>
        <w:rPr>
          <w:rStyle w:val="ECCParagraph"/>
        </w:rPr>
        <w:t xml:space="preserve"> </w:t>
      </w:r>
      <w:r w:rsidR="008F48A0">
        <w:rPr>
          <w:rStyle w:val="ECCParagraph"/>
        </w:rPr>
        <w:t>[</w:t>
      </w:r>
      <w:r>
        <w:rPr>
          <w:rStyle w:val="ECCParagraph"/>
        </w:rPr>
        <w:t>T</w:t>
      </w:r>
      <w:r w:rsidR="00944279">
        <w:rPr>
          <w:rStyle w:val="ECCParagraph"/>
        </w:rPr>
        <w:t>BD</w:t>
      </w:r>
      <w:r w:rsidR="008F48A0">
        <w:rPr>
          <w:rStyle w:val="ECCParagraph"/>
        </w:rPr>
        <w:t>]</w:t>
      </w:r>
    </w:p>
    <w:p w:rsidR="004F4FE0" w:rsidRDefault="001F0DDC" w:rsidP="008F48A0">
      <w:pPr>
        <w:pStyle w:val="ECCBreak"/>
        <w:rPr>
          <w:rStyle w:val="ECCParagraph"/>
        </w:rPr>
      </w:pPr>
      <w:r>
        <w:rPr>
          <w:rStyle w:val="ECCParagraph"/>
        </w:rPr>
        <w:t xml:space="preserve">Issue B: Regulatory action </w:t>
      </w:r>
      <w:r w:rsidR="004F4FE0">
        <w:rPr>
          <w:rStyle w:val="ECCParagraph"/>
        </w:rPr>
        <w:t>due to</w:t>
      </w:r>
      <w:r>
        <w:rPr>
          <w:rStyle w:val="ECCParagraph"/>
        </w:rPr>
        <w:t xml:space="preserve"> the </w:t>
      </w:r>
      <w:r w:rsidRPr="00C51447">
        <w:rPr>
          <w:rStyle w:val="ECCParagraph"/>
        </w:rPr>
        <w:t>introduction of additional satellite systems into the GMDSS</w:t>
      </w:r>
      <w:r>
        <w:rPr>
          <w:rStyle w:val="ECCParagraph"/>
        </w:rPr>
        <w:t xml:space="preserve"> by IMO</w:t>
      </w:r>
    </w:p>
    <w:p w:rsidR="001F0DDC" w:rsidRPr="00091185" w:rsidRDefault="0078006E" w:rsidP="001F0DDC">
      <w:pPr>
        <w:rPr>
          <w:rStyle w:val="ECCParagraph"/>
        </w:rPr>
      </w:pPr>
      <w:r>
        <w:rPr>
          <w:rStyle w:val="ECCParagraph"/>
        </w:rPr>
        <w:t>Position</w:t>
      </w:r>
      <w:r w:rsidR="001F0DDC">
        <w:rPr>
          <w:rStyle w:val="ECCParagraph"/>
        </w:rPr>
        <w:t xml:space="preserve">: </w:t>
      </w:r>
      <w:r w:rsidR="008F48A0">
        <w:rPr>
          <w:rStyle w:val="ECCParagraph"/>
        </w:rPr>
        <w:t>[</w:t>
      </w:r>
      <w:r w:rsidR="001F0DDC">
        <w:rPr>
          <w:rStyle w:val="ECCParagraph"/>
        </w:rPr>
        <w:t>TBD</w:t>
      </w:r>
      <w:r w:rsidR="008F48A0">
        <w:rPr>
          <w:rStyle w:val="ECCParagraph"/>
        </w:rPr>
        <w:t>]</w:t>
      </w:r>
    </w:p>
    <w:p w:rsidR="00755D82" w:rsidRDefault="003771D5" w:rsidP="00755D82">
      <w:pPr>
        <w:pStyle w:val="berschrift1"/>
        <w:rPr>
          <w:lang w:val="en-GB"/>
        </w:rPr>
      </w:pPr>
      <w:r w:rsidRPr="00235592">
        <w:rPr>
          <w:lang w:val="en-GB"/>
        </w:rPr>
        <w:t xml:space="preserve">Background </w:t>
      </w:r>
    </w:p>
    <w:p w:rsidR="000D57B0" w:rsidRDefault="00F065F7" w:rsidP="00091185">
      <w:pPr>
        <w:rPr>
          <w:rStyle w:val="ECCParagraph"/>
          <w:b/>
          <w:bCs/>
          <w:caps/>
        </w:rPr>
      </w:pPr>
      <w:r w:rsidRPr="00091185">
        <w:rPr>
          <w:rStyle w:val="ECCParagraph"/>
        </w:rPr>
        <w:t>There is a continuing need in the Global Maritime Distress and Safety System (GMDSS), on a global basis, for improved communications to enhance maritime capabilities. The International Maritime Organization (IMO) is considering the modernization of GMDSS and has received an application to recognize an existing satellite system (I</w:t>
      </w:r>
      <w:r w:rsidR="00233083">
        <w:rPr>
          <w:rStyle w:val="ECCParagraph"/>
        </w:rPr>
        <w:t>ridium</w:t>
      </w:r>
      <w:r w:rsidRPr="00091185">
        <w:rPr>
          <w:rStyle w:val="ECCParagraph"/>
        </w:rPr>
        <w:t xml:space="preserve">) as part of the </w:t>
      </w:r>
      <w:proofErr w:type="gramStart"/>
      <w:r w:rsidRPr="00091185">
        <w:rPr>
          <w:rStyle w:val="ECCParagraph"/>
        </w:rPr>
        <w:t>GMDSS,</w:t>
      </w:r>
      <w:proofErr w:type="gramEnd"/>
      <w:r w:rsidRPr="00091185">
        <w:rPr>
          <w:rStyle w:val="ECCParagraph"/>
        </w:rPr>
        <w:t xml:space="preserve"> and consequential regulatory actions may need to be considered. GMDSS satellite systems need to provide protection of incumbent services in accordance with the Radio Regulations, i</w:t>
      </w:r>
      <w:bookmarkStart w:id="0" w:name="_GoBack"/>
      <w:bookmarkEnd w:id="0"/>
      <w:r w:rsidRPr="00091185">
        <w:rPr>
          <w:rStyle w:val="ECCParagraph"/>
        </w:rPr>
        <w:t>ncluding those in adjacent frequency bands, from harmful interference, and such GMDSS satellite systems should operate within the interference environment of existing systems. This agenda item asks to conduct studie</w:t>
      </w:r>
      <w:r w:rsidR="008E545B">
        <w:rPr>
          <w:rStyle w:val="ECCParagraph"/>
        </w:rPr>
        <w:t>s, considering Nos</w:t>
      </w:r>
      <w:r w:rsidRPr="00091185">
        <w:rPr>
          <w:rStyle w:val="ECCParagraph"/>
        </w:rPr>
        <w:t xml:space="preserve"> </w:t>
      </w:r>
      <w:r w:rsidRPr="008F48A0">
        <w:rPr>
          <w:rStyle w:val="ECCHLbold"/>
        </w:rPr>
        <w:t>4.6</w:t>
      </w:r>
      <w:r w:rsidRPr="00091185">
        <w:rPr>
          <w:rStyle w:val="ECCParagraph"/>
        </w:rPr>
        <w:t xml:space="preserve">, </w:t>
      </w:r>
      <w:r w:rsidRPr="008F48A0">
        <w:rPr>
          <w:rStyle w:val="ECCHLbold"/>
        </w:rPr>
        <w:t>5.369</w:t>
      </w:r>
      <w:r w:rsidRPr="00091185">
        <w:rPr>
          <w:rStyle w:val="ECCParagraph"/>
        </w:rPr>
        <w:t xml:space="preserve"> and </w:t>
      </w:r>
      <w:r w:rsidRPr="008F48A0">
        <w:rPr>
          <w:rStyle w:val="ECCHLbold"/>
        </w:rPr>
        <w:t xml:space="preserve">5.372 </w:t>
      </w:r>
      <w:r w:rsidRPr="00091185">
        <w:rPr>
          <w:rStyle w:val="ECCParagraph"/>
        </w:rPr>
        <w:t>that provide information on the use of the frequency band 1</w:t>
      </w:r>
      <w:r w:rsidR="008E545B">
        <w:rPr>
          <w:rStyle w:val="ECCParagraph"/>
        </w:rPr>
        <w:t xml:space="preserve"> </w:t>
      </w:r>
      <w:r w:rsidRPr="00091185">
        <w:rPr>
          <w:rStyle w:val="ECCParagraph"/>
        </w:rPr>
        <w:t>616-1</w:t>
      </w:r>
      <w:r w:rsidR="008E545B">
        <w:rPr>
          <w:rStyle w:val="ECCParagraph"/>
        </w:rPr>
        <w:t xml:space="preserve"> </w:t>
      </w:r>
      <w:r w:rsidRPr="00091185">
        <w:rPr>
          <w:rStyle w:val="ECCParagraph"/>
        </w:rPr>
        <w:t>626.5 MHz (or parts thereof), the activities of IMO and the recognition of</w:t>
      </w:r>
      <w:r w:rsidRPr="00755D82">
        <w:rPr>
          <w:rStyle w:val="ECCParagraph"/>
        </w:rPr>
        <w:t xml:space="preserve"> additional satellite systems for use in the GMDSS, including consideration of the MSS allocations used and the potential impact of possible modifications to the provisions of the Radio Regulations on sharing and compatibility with other services and systems in the frequency band and adjacent frequency bands to support GMDSS modern</w:t>
      </w:r>
      <w:r w:rsidR="0061295F">
        <w:rPr>
          <w:rStyle w:val="ECCParagraph"/>
        </w:rPr>
        <w:t>ization.</w:t>
      </w:r>
    </w:p>
    <w:p w:rsidR="00F065F7" w:rsidRPr="00091185" w:rsidRDefault="0061295F" w:rsidP="00091185">
      <w:pPr>
        <w:rPr>
          <w:rStyle w:val="ECCParagraph"/>
        </w:rPr>
      </w:pPr>
      <w:r w:rsidRPr="00091185">
        <w:rPr>
          <w:rStyle w:val="ECCParagraph"/>
        </w:rPr>
        <w:t>In CEPT, ECC/DEC</w:t>
      </w:r>
      <w:proofErr w:type="gramStart"/>
      <w:r w:rsidRPr="00091185">
        <w:rPr>
          <w:rStyle w:val="ECCParagraph"/>
        </w:rPr>
        <w:t>/(</w:t>
      </w:r>
      <w:proofErr w:type="gramEnd"/>
      <w:r w:rsidRPr="00091185">
        <w:rPr>
          <w:rStyle w:val="ECCParagraph"/>
        </w:rPr>
        <w:t xml:space="preserve">09)02 provides the </w:t>
      </w:r>
      <w:r w:rsidR="00897009" w:rsidRPr="00091185">
        <w:rPr>
          <w:rStyle w:val="ECCParagraph"/>
        </w:rPr>
        <w:t xml:space="preserve">necessary </w:t>
      </w:r>
      <w:r w:rsidRPr="00091185">
        <w:rPr>
          <w:rStyle w:val="ECCParagraph"/>
        </w:rPr>
        <w:t xml:space="preserve">provisions for </w:t>
      </w:r>
      <w:r w:rsidR="00897009" w:rsidRPr="00091185">
        <w:rPr>
          <w:rStyle w:val="ECCParagraph"/>
        </w:rPr>
        <w:t xml:space="preserve">the harmonization of the frequency bands </w:t>
      </w:r>
      <w:r w:rsidRPr="00091185">
        <w:rPr>
          <w:rStyle w:val="ECCParagraph"/>
        </w:rPr>
        <w:t xml:space="preserve"> </w:t>
      </w:r>
      <w:r w:rsidR="00897009" w:rsidRPr="00091185">
        <w:rPr>
          <w:rStyle w:val="ECCParagraph"/>
        </w:rPr>
        <w:t>1</w:t>
      </w:r>
      <w:r w:rsidR="008E545B">
        <w:rPr>
          <w:rStyle w:val="ECCParagraph"/>
        </w:rPr>
        <w:t xml:space="preserve"> </w:t>
      </w:r>
      <w:r w:rsidR="00897009" w:rsidRPr="00091185">
        <w:rPr>
          <w:rStyle w:val="ECCParagraph"/>
        </w:rPr>
        <w:t>610-1</w:t>
      </w:r>
      <w:r w:rsidR="008E545B">
        <w:rPr>
          <w:rStyle w:val="ECCParagraph"/>
        </w:rPr>
        <w:t xml:space="preserve"> </w:t>
      </w:r>
      <w:r w:rsidR="00897009" w:rsidRPr="00091185">
        <w:rPr>
          <w:rStyle w:val="ECCParagraph"/>
        </w:rPr>
        <w:t>626.5 MHz and 2</w:t>
      </w:r>
      <w:r w:rsidR="008E545B">
        <w:rPr>
          <w:rStyle w:val="ECCParagraph"/>
        </w:rPr>
        <w:t xml:space="preserve"> </w:t>
      </w:r>
      <w:r w:rsidR="00897009" w:rsidRPr="00091185">
        <w:rPr>
          <w:rStyle w:val="ECCParagraph"/>
        </w:rPr>
        <w:t>483.5-2</w:t>
      </w:r>
      <w:r w:rsidR="008E545B">
        <w:rPr>
          <w:rStyle w:val="ECCParagraph"/>
        </w:rPr>
        <w:t xml:space="preserve"> </w:t>
      </w:r>
      <w:r w:rsidR="00897009" w:rsidRPr="00091185">
        <w:rPr>
          <w:rStyle w:val="ECCParagraph"/>
        </w:rPr>
        <w:t xml:space="preserve">500 MHz for </w:t>
      </w:r>
      <w:r w:rsidRPr="00091185">
        <w:rPr>
          <w:rStyle w:val="ECCParagraph"/>
        </w:rPr>
        <w:t>MSS sy</w:t>
      </w:r>
      <w:r w:rsidR="00091185">
        <w:rPr>
          <w:rStyle w:val="ECCParagraph"/>
        </w:rPr>
        <w:t>stems</w:t>
      </w:r>
      <w:r w:rsidRPr="00091185">
        <w:rPr>
          <w:rStyle w:val="ECCParagraph"/>
        </w:rPr>
        <w:t>.</w:t>
      </w:r>
    </w:p>
    <w:p w:rsidR="003771D5" w:rsidRPr="00235592" w:rsidRDefault="003771D5" w:rsidP="00BD4E12">
      <w:pPr>
        <w:pStyle w:val="berschrift1"/>
        <w:rPr>
          <w:lang w:val="en-GB"/>
        </w:rPr>
      </w:pPr>
      <w:r w:rsidRPr="00235592">
        <w:rPr>
          <w:lang w:val="en-GB"/>
        </w:rPr>
        <w:t>List of relevant documents</w:t>
      </w:r>
    </w:p>
    <w:p w:rsidR="00220194" w:rsidRPr="008F48A0" w:rsidRDefault="003771D5" w:rsidP="008F48A0">
      <w:pPr>
        <w:pStyle w:val="ECCBreak"/>
      </w:pPr>
      <w:r w:rsidRPr="008F48A0">
        <w:t>ITU-Documentation (Recommendations, Reports, other)</w:t>
      </w:r>
    </w:p>
    <w:p w:rsidR="00505EBE" w:rsidRDefault="00505EBE" w:rsidP="00505EBE">
      <w:pPr>
        <w:pStyle w:val="ECCBulletsLv1"/>
        <w:rPr>
          <w:rFonts w:ascii="Times" w:hAnsi="Times" w:cs="Times"/>
          <w:sz w:val="24"/>
          <w:szCs w:val="24"/>
          <w:lang w:val="en-US"/>
        </w:rPr>
      </w:pPr>
      <w:r>
        <w:rPr>
          <w:lang w:val="en-US"/>
        </w:rPr>
        <w:lastRenderedPageBreak/>
        <w:t xml:space="preserve">Recommendation ITU-R RA.769-2: “Protection criteria used for radio astronomical measurements” </w:t>
      </w:r>
    </w:p>
    <w:p w:rsidR="000A29BC" w:rsidRPr="00AD28F2" w:rsidRDefault="00505EBE" w:rsidP="00AD28F2">
      <w:pPr>
        <w:pStyle w:val="ECCBulletsLv1"/>
        <w:rPr>
          <w:rStyle w:val="ECCParagraph"/>
          <w:rFonts w:ascii="Times" w:hAnsi="Times" w:cs="Times"/>
          <w:sz w:val="24"/>
          <w:szCs w:val="24"/>
          <w:lang w:val="en-US"/>
        </w:rPr>
      </w:pPr>
      <w:r>
        <w:rPr>
          <w:lang w:val="en-US"/>
        </w:rPr>
        <w:t xml:space="preserve">Recommendation ITU-R RA.1513-1, “Levels of data loss to radio astronomy observations and percentage-of-time criteria resulting from degradation by interference for frequency bands allocated to the radio astronomy on a primary basis” </w:t>
      </w:r>
    </w:p>
    <w:p w:rsidR="00220194" w:rsidRPr="008F48A0" w:rsidRDefault="003771D5" w:rsidP="008F48A0">
      <w:pPr>
        <w:pStyle w:val="ECCBreak"/>
      </w:pPr>
      <w:r w:rsidRPr="008F48A0">
        <w:t>CEPT and/or ECC Documentation (Decisions, Recommendations, Reports)</w:t>
      </w:r>
    </w:p>
    <w:p w:rsidR="006D56AC" w:rsidRPr="00BB0D9E" w:rsidRDefault="006D56AC" w:rsidP="006D56AC">
      <w:pPr>
        <w:pStyle w:val="ECCBulletsLv1"/>
        <w:rPr>
          <w:rFonts w:ascii="Times" w:hAnsi="Times" w:cs="Times"/>
          <w:sz w:val="24"/>
          <w:szCs w:val="24"/>
          <w:lang w:val="en-US"/>
        </w:rPr>
      </w:pPr>
      <w:r>
        <w:rPr>
          <w:lang w:val="en-US"/>
        </w:rPr>
        <w:t xml:space="preserve">ECC Decision (09)02: “The </w:t>
      </w:r>
      <w:proofErr w:type="spellStart"/>
      <w:r>
        <w:rPr>
          <w:lang w:val="en-US"/>
        </w:rPr>
        <w:t>harmonisation</w:t>
      </w:r>
      <w:proofErr w:type="spellEnd"/>
      <w:r>
        <w:rPr>
          <w:lang w:val="en-US"/>
        </w:rPr>
        <w:t xml:space="preserve"> of the bands 1610-1626.5 MHz and 2483.5-2500 MHz for use by systems in the Mobile-Satellite Service”</w:t>
      </w:r>
      <w:r w:rsidR="00AD28F2">
        <w:t xml:space="preserve"> </w:t>
      </w:r>
      <w:r>
        <w:rPr>
          <w:lang w:val="en-US"/>
        </w:rPr>
        <w:t xml:space="preserve">approved 26 June 2009, amended 02 November 2012 </w:t>
      </w:r>
      <w:r w:rsidR="00AD28F2">
        <w:t xml:space="preserve"> </w:t>
      </w:r>
    </w:p>
    <w:p w:rsidR="008E545B" w:rsidRPr="008E545B" w:rsidRDefault="006D56AC" w:rsidP="00465005">
      <w:pPr>
        <w:pStyle w:val="ECCBulletsLv1"/>
        <w:rPr>
          <w:rFonts w:ascii="Times" w:hAnsi="Times" w:cs="Times"/>
          <w:sz w:val="24"/>
          <w:szCs w:val="24"/>
          <w:lang w:val="en-US"/>
        </w:rPr>
      </w:pPr>
      <w:r w:rsidRPr="008E545B">
        <w:rPr>
          <w:lang w:val="en-US"/>
        </w:rPr>
        <w:t xml:space="preserve">ECC Report 171: “Impact of unwanted emissions of IRIDIUM satellites on </w:t>
      </w:r>
      <w:proofErr w:type="spellStart"/>
      <w:r w:rsidRPr="008E545B">
        <w:rPr>
          <w:lang w:val="en-US"/>
        </w:rPr>
        <w:t>radioastronomy</w:t>
      </w:r>
      <w:proofErr w:type="spellEnd"/>
      <w:r w:rsidRPr="008E545B">
        <w:rPr>
          <w:lang w:val="en-US"/>
        </w:rPr>
        <w:t xml:space="preserve"> operations in the band 1610.6-1613.8 MHz”</w:t>
      </w:r>
      <w:r w:rsidR="00AD28F2">
        <w:t xml:space="preserve"> </w:t>
      </w:r>
      <w:r w:rsidRPr="008E545B">
        <w:rPr>
          <w:lang w:val="en-US"/>
        </w:rPr>
        <w:t xml:space="preserve">Tallinn, October 2011 </w:t>
      </w:r>
    </w:p>
    <w:p w:rsidR="000A29BC" w:rsidRPr="008E545B" w:rsidRDefault="006D56AC" w:rsidP="00465005">
      <w:pPr>
        <w:pStyle w:val="ECCBulletsLv1"/>
        <w:rPr>
          <w:rStyle w:val="ECCParagraph"/>
          <w:rFonts w:ascii="Times" w:hAnsi="Times" w:cs="Times"/>
          <w:sz w:val="24"/>
          <w:szCs w:val="24"/>
          <w:lang w:val="en-US"/>
        </w:rPr>
      </w:pPr>
      <w:r w:rsidRPr="008E545B">
        <w:rPr>
          <w:lang w:val="en-US"/>
        </w:rPr>
        <w:t xml:space="preserve">ECC Report 226: “Unwanted emissions of IRIDIUM satellites in the band 1610.6-1613.8 MHz, monitoring campaign 2013” approved 30 January 2015 </w:t>
      </w:r>
    </w:p>
    <w:p w:rsidR="00E26BAC" w:rsidRPr="008F48A0" w:rsidRDefault="003771D5" w:rsidP="008F48A0">
      <w:pPr>
        <w:pStyle w:val="ECCBreak"/>
      </w:pPr>
      <w:r w:rsidRPr="008F48A0">
        <w:t>EU Documentation (Directives, Decisions, Recommendations, other), if applicable</w:t>
      </w:r>
    </w:p>
    <w:p w:rsidR="000A29BC" w:rsidRPr="00235592" w:rsidRDefault="000A29BC" w:rsidP="000A29BC">
      <w:pPr>
        <w:pStyle w:val="ECCBulletsLv1"/>
        <w:rPr>
          <w:rStyle w:val="ECCParagraph"/>
        </w:rPr>
      </w:pPr>
    </w:p>
    <w:p w:rsidR="003771D5" w:rsidRPr="00235592" w:rsidRDefault="003771D5" w:rsidP="00BD4E12">
      <w:pPr>
        <w:pStyle w:val="berschrift1"/>
        <w:rPr>
          <w:lang w:val="en-GB"/>
        </w:rPr>
      </w:pPr>
      <w:r w:rsidRPr="00235592">
        <w:rPr>
          <w:lang w:val="en-GB"/>
        </w:rPr>
        <w:t>Actions to be taken</w:t>
      </w:r>
    </w:p>
    <w:p w:rsidR="00AA79C0" w:rsidRDefault="009A205B" w:rsidP="00091185">
      <w:pPr>
        <w:pStyle w:val="ECCBulletsLv2"/>
      </w:pPr>
      <w:r>
        <w:t>T</w:t>
      </w:r>
      <w:r w:rsidR="00AA79C0">
        <w:t xml:space="preserve">he </w:t>
      </w:r>
      <w:r>
        <w:t xml:space="preserve">following items have been identified </w:t>
      </w:r>
      <w:r w:rsidR="00AA79C0">
        <w:t xml:space="preserve">to be studied </w:t>
      </w:r>
      <w:r>
        <w:t xml:space="preserve">for issue B </w:t>
      </w:r>
      <w:r w:rsidR="00AA79C0">
        <w:t xml:space="preserve">under </w:t>
      </w:r>
      <w:r w:rsidR="008E545B">
        <w:t xml:space="preserve">Resolution </w:t>
      </w:r>
      <w:r w:rsidR="008E545B" w:rsidRPr="008F48A0">
        <w:rPr>
          <w:rStyle w:val="ECCHLbold"/>
        </w:rPr>
        <w:t>359</w:t>
      </w:r>
      <w:r w:rsidR="008E545B">
        <w:t>, within the CEPT</w:t>
      </w:r>
    </w:p>
    <w:p w:rsidR="00B54E57" w:rsidRPr="00B54E57" w:rsidRDefault="00B54E57" w:rsidP="00277CCB">
      <w:pPr>
        <w:pStyle w:val="ECCBulletsLv3"/>
        <w:rPr>
          <w:rStyle w:val="ECCParagraph"/>
        </w:rPr>
      </w:pPr>
      <w:r w:rsidRPr="00B54E57">
        <w:rPr>
          <w:rStyle w:val="ECCParagraph"/>
        </w:rPr>
        <w:t>The use of an MSS allocation for GMDSS</w:t>
      </w:r>
      <w:r w:rsidR="00AA51C8">
        <w:rPr>
          <w:rStyle w:val="ECCParagraph"/>
        </w:rPr>
        <w:t>,</w:t>
      </w:r>
      <w:r w:rsidRPr="00B54E57">
        <w:rPr>
          <w:rStyle w:val="ECCParagraph"/>
        </w:rPr>
        <w:t xml:space="preserve"> which has a secondary status in the space to Earth direction.</w:t>
      </w:r>
    </w:p>
    <w:p w:rsidR="00B54E57" w:rsidRPr="00B54E57" w:rsidRDefault="00B54E57" w:rsidP="00277CCB">
      <w:pPr>
        <w:pStyle w:val="ECCBulletsLv3"/>
        <w:rPr>
          <w:rStyle w:val="ECCParagraph"/>
        </w:rPr>
      </w:pPr>
      <w:r w:rsidRPr="00B54E57">
        <w:rPr>
          <w:rStyle w:val="ECCParagraph"/>
        </w:rPr>
        <w:t>Regulatory and compatibility issues related to protection of Radio Astronomy from GMDSS operating in an adjacent band.</w:t>
      </w:r>
    </w:p>
    <w:p w:rsidR="00B54E57" w:rsidRPr="00B54E57" w:rsidRDefault="00B54E57" w:rsidP="00277CCB">
      <w:pPr>
        <w:pStyle w:val="ECCBulletsLv3"/>
        <w:rPr>
          <w:rStyle w:val="ECCParagraph"/>
        </w:rPr>
      </w:pPr>
      <w:r w:rsidRPr="00B54E57">
        <w:rPr>
          <w:rStyle w:val="ECCParagraph"/>
        </w:rPr>
        <w:t>Regulatory issues related to the operation of MSS systems which are not part of the GMDSS in the same band as GMDSS systems.</w:t>
      </w:r>
    </w:p>
    <w:p w:rsidR="00B54E57" w:rsidRPr="00B54E57" w:rsidRDefault="00B54E57" w:rsidP="00277CCB">
      <w:pPr>
        <w:pStyle w:val="ECCBulletsLv3"/>
        <w:rPr>
          <w:rStyle w:val="ECCParagraph"/>
        </w:rPr>
      </w:pPr>
      <w:r w:rsidRPr="00B54E57">
        <w:rPr>
          <w:rStyle w:val="ECCParagraph"/>
        </w:rPr>
        <w:t>The radio regulatory conditions under which the no</w:t>
      </w:r>
      <w:r w:rsidR="00645819">
        <w:rPr>
          <w:rStyle w:val="ECCParagraph"/>
        </w:rPr>
        <w:t>n-</w:t>
      </w:r>
      <w:r w:rsidRPr="00B54E57">
        <w:rPr>
          <w:rStyle w:val="ECCParagraph"/>
        </w:rPr>
        <w:t>GSO MSS systems would operate in the GMDSS.</w:t>
      </w:r>
    </w:p>
    <w:p w:rsidR="00B54E57" w:rsidRPr="00B54E57" w:rsidRDefault="00B54E57" w:rsidP="00277CCB">
      <w:pPr>
        <w:pStyle w:val="ECCBulletsLv3"/>
        <w:rPr>
          <w:rStyle w:val="ECCParagraph"/>
        </w:rPr>
      </w:pPr>
      <w:r w:rsidRPr="00B54E57">
        <w:rPr>
          <w:rStyle w:val="ECCParagraph"/>
        </w:rPr>
        <w:t>The inconsistency and</w:t>
      </w:r>
      <w:r w:rsidR="008F48A0">
        <w:rPr>
          <w:rStyle w:val="ECCParagraph"/>
        </w:rPr>
        <w:t xml:space="preserve"> potential constraint of No </w:t>
      </w:r>
      <w:r w:rsidRPr="008F48A0">
        <w:rPr>
          <w:rStyle w:val="ECCHLbold"/>
        </w:rPr>
        <w:t>5.368</w:t>
      </w:r>
      <w:r w:rsidRPr="00B54E57">
        <w:rPr>
          <w:rStyle w:val="ECCParagraph"/>
        </w:rPr>
        <w:t>.</w:t>
      </w:r>
    </w:p>
    <w:p w:rsidR="00B54E57" w:rsidRPr="00AD28F2" w:rsidRDefault="00B54E57" w:rsidP="00277CCB">
      <w:pPr>
        <w:pStyle w:val="ECCBulletsLv3"/>
      </w:pPr>
      <w:r w:rsidRPr="00B54E57">
        <w:rPr>
          <w:rStyle w:val="ECCParagraph"/>
        </w:rPr>
        <w:t>The regulatory status of the non-GSO MSS system, and any potential adverse impact of any change to the regulatory status.</w:t>
      </w:r>
    </w:p>
    <w:p w:rsidR="00AA79C0" w:rsidRDefault="00AA79C0" w:rsidP="00277CCB">
      <w:pPr>
        <w:pStyle w:val="ECCBulletsLv3"/>
      </w:pPr>
      <w:r>
        <w:t>Identify the groups and organizations already active in this field.</w:t>
      </w:r>
    </w:p>
    <w:p w:rsidR="00622652" w:rsidRDefault="00622652" w:rsidP="00277CCB">
      <w:pPr>
        <w:pStyle w:val="ECCBulletsLv3"/>
        <w:numPr>
          <w:ilvl w:val="0"/>
          <w:numId w:val="0"/>
        </w:numPr>
        <w:ind w:left="1020"/>
      </w:pPr>
      <w:r>
        <w:t>IMO</w:t>
      </w:r>
      <w:r w:rsidR="002F15D8">
        <w:t xml:space="preserve"> </w:t>
      </w:r>
    </w:p>
    <w:p w:rsidR="00B54E57" w:rsidRDefault="002F15D8" w:rsidP="00277CCB">
      <w:pPr>
        <w:pStyle w:val="ECCBulletsLv3"/>
        <w:numPr>
          <w:ilvl w:val="0"/>
          <w:numId w:val="0"/>
        </w:numPr>
        <w:ind w:left="1020"/>
      </w:pPr>
      <w:r>
        <w:t>ITU</w:t>
      </w:r>
      <w:r w:rsidR="00622652">
        <w:t xml:space="preserve">-R study groups </w:t>
      </w:r>
      <w:r>
        <w:t xml:space="preserve">WP5B, WP4C, </w:t>
      </w:r>
      <w:proofErr w:type="gramStart"/>
      <w:r>
        <w:t>WP7D</w:t>
      </w:r>
      <w:proofErr w:type="gramEnd"/>
    </w:p>
    <w:p w:rsidR="001760F3" w:rsidRDefault="001760F3" w:rsidP="00091185">
      <w:pPr>
        <w:pStyle w:val="ECCBulletsLv2"/>
      </w:pPr>
      <w:r>
        <w:t>Consider contacting CEPT groups regarding required information and studies.</w:t>
      </w:r>
    </w:p>
    <w:p w:rsidR="008F01E0" w:rsidRDefault="008F01E0" w:rsidP="008F01E0">
      <w:pPr>
        <w:pStyle w:val="ECCBulletsLv2"/>
        <w:numPr>
          <w:ilvl w:val="0"/>
          <w:numId w:val="0"/>
        </w:numPr>
        <w:ind w:left="680"/>
      </w:pPr>
    </w:p>
    <w:p w:rsidR="00AA79C0" w:rsidRDefault="008F01E0" w:rsidP="00CC000D">
      <w:pPr>
        <w:pStyle w:val="ECCBulletsLv3"/>
        <w:numPr>
          <w:ilvl w:val="0"/>
          <w:numId w:val="0"/>
        </w:numPr>
      </w:pPr>
      <w:r w:rsidRPr="008F01E0">
        <w:t>At the CPG PTC-2 meeting the contributed views on the topics ment</w:t>
      </w:r>
      <w:r w:rsidR="00C936DD">
        <w:t xml:space="preserve">ioned above were merged into a </w:t>
      </w:r>
      <w:r w:rsidRPr="008F01E0">
        <w:t xml:space="preserve">possible CEPT contribution to the next WP4C meeting, subject to the approval of the CPG-19.  </w:t>
      </w:r>
    </w:p>
    <w:p w:rsidR="003771D5" w:rsidRPr="00235592" w:rsidRDefault="003771D5" w:rsidP="00BD4E12">
      <w:pPr>
        <w:pStyle w:val="berschrift1"/>
        <w:rPr>
          <w:lang w:val="en-GB"/>
        </w:rPr>
      </w:pPr>
      <w:r w:rsidRPr="00235592">
        <w:rPr>
          <w:lang w:val="en-GB"/>
        </w:rPr>
        <w:t>Relevant information from outside CEPT (examples of these are below)</w:t>
      </w:r>
    </w:p>
    <w:p w:rsidR="003771D5" w:rsidRPr="00235592" w:rsidRDefault="003771D5" w:rsidP="00BD4E12">
      <w:pPr>
        <w:pStyle w:val="berschrift2"/>
        <w:rPr>
          <w:lang w:val="en-GB"/>
        </w:rPr>
      </w:pPr>
      <w:r w:rsidRPr="00235592">
        <w:rPr>
          <w:lang w:val="en-GB"/>
        </w:rPr>
        <w:t>European Union (date of proposal)</w:t>
      </w:r>
    </w:p>
    <w:p w:rsidR="004F16F4" w:rsidRPr="00235592" w:rsidRDefault="004F16F4" w:rsidP="004F16F4">
      <w:pPr>
        <w:rPr>
          <w:rStyle w:val="ECCParagraph"/>
        </w:rPr>
      </w:pPr>
    </w:p>
    <w:p w:rsidR="003771D5" w:rsidRPr="00235592" w:rsidRDefault="003771D5" w:rsidP="00BD4E12">
      <w:pPr>
        <w:pStyle w:val="berschrift2"/>
        <w:rPr>
          <w:lang w:val="en-GB"/>
        </w:rPr>
      </w:pPr>
      <w:r w:rsidRPr="00235592">
        <w:rPr>
          <w:lang w:val="en-GB"/>
        </w:rPr>
        <w:t>Regional t</w:t>
      </w:r>
      <w:r w:rsidR="0057797A" w:rsidRPr="00235592">
        <w:rPr>
          <w:lang w:val="en-GB"/>
        </w:rPr>
        <w:t>elecommunication organisations</w:t>
      </w:r>
    </w:p>
    <w:p w:rsidR="003771D5" w:rsidRPr="00235592" w:rsidRDefault="003771D5" w:rsidP="003A68D5">
      <w:pPr>
        <w:pStyle w:val="ECCBreak"/>
        <w:rPr>
          <w:lang w:val="en-GB"/>
        </w:rPr>
      </w:pPr>
      <w:r w:rsidRPr="00235592">
        <w:rPr>
          <w:lang w:val="en-GB"/>
        </w:rPr>
        <w:t>APT (date of proposal)</w:t>
      </w:r>
    </w:p>
    <w:p w:rsidR="006C5C1C" w:rsidRPr="00235592" w:rsidRDefault="006C5C1C" w:rsidP="006C5C1C">
      <w:pPr>
        <w:rPr>
          <w:rStyle w:val="ECCParagraph"/>
        </w:rPr>
      </w:pPr>
    </w:p>
    <w:p w:rsidR="003771D5" w:rsidRPr="00235592" w:rsidRDefault="003771D5" w:rsidP="003A68D5">
      <w:pPr>
        <w:pStyle w:val="ECCBreak"/>
        <w:rPr>
          <w:lang w:val="en-GB"/>
        </w:rPr>
      </w:pPr>
      <w:r w:rsidRPr="00235592">
        <w:rPr>
          <w:lang w:val="en-GB"/>
        </w:rPr>
        <w:t>ATU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Arab Group (date of proposal)</w:t>
      </w:r>
    </w:p>
    <w:p w:rsidR="00CA6B96" w:rsidRDefault="00CA6B96" w:rsidP="003A68D5">
      <w:pPr>
        <w:pStyle w:val="ECCBreak"/>
        <w:rPr>
          <w:lang w:val="en-GB"/>
        </w:rPr>
      </w:pPr>
    </w:p>
    <w:p w:rsidR="003771D5" w:rsidRPr="00235592" w:rsidRDefault="003771D5" w:rsidP="003A68D5">
      <w:pPr>
        <w:pStyle w:val="ECCBreak"/>
        <w:rPr>
          <w:lang w:val="en-GB"/>
        </w:rPr>
      </w:pPr>
      <w:r w:rsidRPr="00235592">
        <w:rPr>
          <w:lang w:val="en-GB"/>
        </w:rPr>
        <w:t>CITEL (</w:t>
      </w:r>
      <w:r w:rsidR="00CA6B96">
        <w:rPr>
          <w:lang w:val="en-GB"/>
        </w:rPr>
        <w:t>December 2016</w:t>
      </w:r>
      <w:r w:rsidRPr="00235592">
        <w:rPr>
          <w:lang w:val="en-GB"/>
        </w:rPr>
        <w:t>)</w:t>
      </w:r>
    </w:p>
    <w:p w:rsidR="008F48A0" w:rsidRDefault="00CA6B96" w:rsidP="008F48A0">
      <w:pPr>
        <w:pStyle w:val="ECCBreak"/>
      </w:pPr>
      <w:r w:rsidRPr="008F48A0">
        <w:t>Preliminary Views</w:t>
      </w:r>
    </w:p>
    <w:p w:rsidR="00CA6B96" w:rsidRPr="008F48A0" w:rsidRDefault="00CA6B96" w:rsidP="008F48A0">
      <w:r w:rsidRPr="008F48A0">
        <w:rPr>
          <w:rStyle w:val="ECCHLbold"/>
        </w:rPr>
        <w:t>United States:</w:t>
      </w:r>
      <w:r w:rsidRPr="008F48A0">
        <w:t xml:space="preserve"> With respect to Agenda Item 1.8, the United States supports the activities of IMO related to the introduction of additional satellite systems into the GMDSS, as well as activities underway in the ITU-R.  Based upon successful conclusion of these activities, the U.S. supports appropriate modification of the Radio Regulations to provide for introducing additional satellite systems into the GMDSS. </w:t>
      </w:r>
    </w:p>
    <w:p w:rsidR="003771D5" w:rsidRPr="00235592" w:rsidRDefault="003771D5" w:rsidP="003A68D5">
      <w:pPr>
        <w:pStyle w:val="ECCBreak"/>
        <w:rPr>
          <w:lang w:val="en-GB"/>
        </w:rPr>
      </w:pPr>
      <w:r w:rsidRPr="00235592">
        <w:rPr>
          <w:lang w:val="en-GB"/>
        </w:rPr>
        <w:t>RCC (</w:t>
      </w:r>
      <w:r w:rsidR="00AC35FE">
        <w:rPr>
          <w:lang w:val="en-GB"/>
        </w:rPr>
        <w:t>September 16</w:t>
      </w:r>
      <w:r w:rsidR="00AC35FE" w:rsidRPr="00BB0D9E">
        <w:rPr>
          <w:vertAlign w:val="superscript"/>
          <w:lang w:val="en-GB"/>
        </w:rPr>
        <w:t>th</w:t>
      </w:r>
      <w:r w:rsidR="00AC35FE">
        <w:rPr>
          <w:lang w:val="en-GB"/>
        </w:rPr>
        <w:t>, 2016</w:t>
      </w:r>
      <w:r w:rsidRPr="00235592">
        <w:rPr>
          <w:lang w:val="en-GB"/>
        </w:rPr>
        <w:t>)</w:t>
      </w:r>
    </w:p>
    <w:p w:rsidR="00AC35FE" w:rsidRPr="0014760A" w:rsidRDefault="00AC35FE" w:rsidP="00BB0D9E">
      <w:pPr>
        <w:rPr>
          <w:lang w:val="en-US"/>
        </w:rPr>
      </w:pPr>
      <w:r w:rsidRPr="0014760A">
        <w:rPr>
          <w:lang w:val="en-US"/>
        </w:rPr>
        <w:t>The RCC Administrations consider that the IMO position should be taken into account in regard to the GMDSS modernization, including the introduction of the IMO-recognized additional satellite systems, when developing relevant regulatory actions to support such modernization considering protection of existing services and systems.</w:t>
      </w:r>
    </w:p>
    <w:p w:rsidR="003771D5" w:rsidRPr="00235592" w:rsidRDefault="003771D5" w:rsidP="00BD4E12">
      <w:pPr>
        <w:pStyle w:val="berschrift2"/>
        <w:rPr>
          <w:lang w:val="en-GB"/>
        </w:rPr>
      </w:pPr>
      <w:r w:rsidRPr="00235592">
        <w:rPr>
          <w:lang w:val="en-GB"/>
        </w:rPr>
        <w:t>International organisations</w:t>
      </w:r>
    </w:p>
    <w:p w:rsidR="003771D5" w:rsidRPr="00235592" w:rsidRDefault="003771D5" w:rsidP="003A68D5">
      <w:pPr>
        <w:pStyle w:val="ECCBreak"/>
        <w:rPr>
          <w:lang w:val="en-GB"/>
        </w:rPr>
      </w:pPr>
      <w:r w:rsidRPr="00235592">
        <w:rPr>
          <w:lang w:val="en-GB"/>
        </w:rPr>
        <w:t>IATA (date of proposal)</w:t>
      </w:r>
    </w:p>
    <w:p w:rsidR="003771D5" w:rsidRPr="00235592" w:rsidRDefault="003771D5" w:rsidP="00BD4E12">
      <w:pPr>
        <w:rPr>
          <w:rStyle w:val="ECCParagraph"/>
        </w:rPr>
      </w:pPr>
    </w:p>
    <w:p w:rsidR="003771D5" w:rsidRPr="00235592" w:rsidRDefault="003771D5" w:rsidP="003A68D5">
      <w:pPr>
        <w:pStyle w:val="ECCBreak"/>
        <w:rPr>
          <w:lang w:val="en-GB"/>
        </w:rPr>
      </w:pPr>
      <w:r w:rsidRPr="00235592">
        <w:rPr>
          <w:lang w:val="en-GB"/>
        </w:rPr>
        <w:t>ICAO (</w:t>
      </w:r>
      <w:r w:rsidR="00280476">
        <w:t xml:space="preserve">September </w:t>
      </w:r>
      <w:r w:rsidR="00737040">
        <w:t>16</w:t>
      </w:r>
      <w:r w:rsidRPr="00235592">
        <w:rPr>
          <w:lang w:val="en-GB"/>
        </w:rPr>
        <w:t>)</w:t>
      </w:r>
    </w:p>
    <w:p w:rsidR="00737040" w:rsidRPr="00737040" w:rsidRDefault="00737040" w:rsidP="00737040">
      <w:pPr>
        <w:rPr>
          <w:rStyle w:val="ECCParagraph"/>
        </w:rPr>
      </w:pPr>
      <w:r w:rsidRPr="00737040">
        <w:rPr>
          <w:rStyle w:val="ECCParagraph"/>
        </w:rPr>
        <w:t xml:space="preserve">To ensure that any change to the regulatory provisions and spectrum allocations resulting from this agenda item do not adversely impact on the capability of search and rescue aircraft to effectively communicate with vessels during disaster relief operations. </w:t>
      </w:r>
    </w:p>
    <w:p w:rsidR="003771D5" w:rsidRPr="00235592" w:rsidRDefault="00737040" w:rsidP="00737040">
      <w:pPr>
        <w:rPr>
          <w:rStyle w:val="ECCParagraph"/>
        </w:rPr>
      </w:pPr>
      <w:r w:rsidRPr="00737040">
        <w:rPr>
          <w:rStyle w:val="ECCParagraph"/>
        </w:rPr>
        <w:t>To ensure that any regulatory provisions in response to this agenda item do not adversely impact SARPS compliance of aeronautical mobile-satellite (route) service satellite systems.</w:t>
      </w:r>
    </w:p>
    <w:p w:rsidR="003771D5" w:rsidRPr="00235592" w:rsidRDefault="003771D5" w:rsidP="003A68D5">
      <w:pPr>
        <w:pStyle w:val="ECCBreak"/>
        <w:rPr>
          <w:lang w:val="en-GB"/>
        </w:rPr>
      </w:pPr>
      <w:r w:rsidRPr="00235592">
        <w:rPr>
          <w:lang w:val="en-GB"/>
        </w:rPr>
        <w:t>IMO (</w:t>
      </w:r>
      <w:r w:rsidR="00280476">
        <w:t xml:space="preserve">August </w:t>
      </w:r>
      <w:r w:rsidR="00B1354B">
        <w:t>16</w:t>
      </w:r>
      <w:r w:rsidRPr="00235592">
        <w:rPr>
          <w:lang w:val="en-GB"/>
        </w:rPr>
        <w:t>)</w:t>
      </w:r>
    </w:p>
    <w:p w:rsidR="00B1354B" w:rsidRPr="00B1354B" w:rsidRDefault="00B1354B" w:rsidP="00091185">
      <w:pPr>
        <w:pStyle w:val="ECCNumberedList"/>
      </w:pPr>
      <w:r w:rsidRPr="00B1354B">
        <w:t>No substantive position has been developed with regard to GMDSS Modernization, awaiting the finalisation and approval of the Modernization Plan;</w:t>
      </w:r>
    </w:p>
    <w:p w:rsidR="00B1354B" w:rsidRPr="00B1354B" w:rsidRDefault="00B1354B" w:rsidP="00091185">
      <w:pPr>
        <w:pStyle w:val="ECCNumberedList"/>
      </w:pPr>
      <w:r w:rsidRPr="00B1354B">
        <w:t>IMO invites ITU to take the appropriate regulatory measures to ensure full protection and availability of the frequency bands to be used by new recognised GMDSS satellite service providers for the provision of GMDSS services; and</w:t>
      </w:r>
    </w:p>
    <w:p w:rsidR="00B1354B" w:rsidRPr="00B1354B" w:rsidRDefault="00B1354B" w:rsidP="00091185">
      <w:pPr>
        <w:pStyle w:val="ECCNumberedList"/>
      </w:pPr>
      <w:r w:rsidRPr="00B1354B">
        <w:t>IMO further invites ITU to resolve any issues under Resolution 359 (Rev.WRC</w:t>
      </w:r>
      <w:r w:rsidRPr="00B1354B">
        <w:noBreakHyphen/>
        <w:t xml:space="preserve">15), in relation to the future operation of newly recognised GMDSS satellite service providers.  </w:t>
      </w:r>
    </w:p>
    <w:p w:rsidR="003771D5" w:rsidRPr="00235592" w:rsidRDefault="003771D5" w:rsidP="003A68D5">
      <w:pPr>
        <w:pStyle w:val="ECCBreak"/>
        <w:rPr>
          <w:lang w:val="en-GB"/>
        </w:rPr>
      </w:pPr>
      <w:r w:rsidRPr="00235592">
        <w:rPr>
          <w:lang w:val="en-GB"/>
        </w:rPr>
        <w:t>SFCG (date of proposal)</w:t>
      </w:r>
    </w:p>
    <w:p w:rsidR="003771D5" w:rsidRPr="00235592" w:rsidRDefault="003771D5" w:rsidP="00BD4E12">
      <w:pPr>
        <w:rPr>
          <w:rStyle w:val="ECCParagraph"/>
        </w:rPr>
      </w:pPr>
    </w:p>
    <w:p w:rsidR="003771D5" w:rsidRDefault="003771D5" w:rsidP="003A68D5">
      <w:pPr>
        <w:pStyle w:val="ECCBreak"/>
        <w:rPr>
          <w:lang w:val="en-GB"/>
        </w:rPr>
      </w:pPr>
      <w:r w:rsidRPr="00235592">
        <w:rPr>
          <w:lang w:val="en-GB"/>
        </w:rPr>
        <w:t>WMO and EUMETNET (date of proposal)</w:t>
      </w:r>
    </w:p>
    <w:p w:rsidR="00DC2326" w:rsidRPr="00DC2326" w:rsidRDefault="00DC2326" w:rsidP="00DC2326"/>
    <w:p w:rsidR="003771D5" w:rsidRPr="00235592" w:rsidRDefault="003771D5" w:rsidP="00BD4E12">
      <w:pPr>
        <w:pStyle w:val="berschrift2"/>
        <w:rPr>
          <w:lang w:val="en-GB"/>
        </w:rPr>
      </w:pPr>
      <w:r w:rsidRPr="00235592">
        <w:rPr>
          <w:lang w:val="en-GB"/>
        </w:rPr>
        <w:t>Regional organisations</w:t>
      </w:r>
    </w:p>
    <w:p w:rsidR="003771D5" w:rsidRPr="00235592" w:rsidRDefault="003771D5" w:rsidP="003A68D5">
      <w:pPr>
        <w:pStyle w:val="ECCBreak"/>
        <w:rPr>
          <w:lang w:val="en-GB"/>
        </w:rPr>
      </w:pPr>
      <w:r w:rsidRPr="00235592">
        <w:rPr>
          <w:lang w:val="en-GB"/>
        </w:rPr>
        <w:t>ESA (date of proposal)</w:t>
      </w:r>
    </w:p>
    <w:p w:rsidR="003771D5" w:rsidRPr="00235592" w:rsidRDefault="003771D5" w:rsidP="00BD4E12">
      <w:pPr>
        <w:rPr>
          <w:rStyle w:val="ECCParagraph"/>
        </w:rPr>
      </w:pPr>
    </w:p>
    <w:p w:rsidR="003771D5" w:rsidRPr="00235592" w:rsidRDefault="003771D5" w:rsidP="003A68D5">
      <w:pPr>
        <w:pStyle w:val="ECCBreak"/>
        <w:rPr>
          <w:lang w:val="en-GB"/>
        </w:rPr>
      </w:pPr>
      <w:proofErr w:type="spellStart"/>
      <w:r w:rsidRPr="00235592">
        <w:rPr>
          <w:lang w:val="en-GB"/>
        </w:rPr>
        <w:t>Eurocontrol</w:t>
      </w:r>
      <w:proofErr w:type="spellEnd"/>
      <w:r w:rsidRPr="00235592">
        <w:rPr>
          <w:lang w:val="en-GB"/>
        </w:rPr>
        <w:t xml:space="preserve"> (date of proposal)</w:t>
      </w:r>
    </w:p>
    <w:p w:rsidR="003771D5" w:rsidRPr="00235592" w:rsidRDefault="003771D5" w:rsidP="00BD4E12">
      <w:pPr>
        <w:rPr>
          <w:rStyle w:val="ECCParagraph"/>
        </w:rPr>
      </w:pPr>
    </w:p>
    <w:p w:rsidR="003771D5" w:rsidRPr="00235592" w:rsidRDefault="003771D5" w:rsidP="00BD4E12">
      <w:pPr>
        <w:pStyle w:val="berschrift2"/>
        <w:rPr>
          <w:lang w:val="en-GB"/>
        </w:rPr>
      </w:pPr>
      <w:r w:rsidRPr="00235592">
        <w:rPr>
          <w:lang w:val="en-GB"/>
        </w:rPr>
        <w:t>OTHER INTERNATIONAL AND REGIONAL ORGANISATIONS</w:t>
      </w:r>
    </w:p>
    <w:p w:rsidR="003771D5" w:rsidRPr="00235592" w:rsidRDefault="003771D5" w:rsidP="003A68D5">
      <w:pPr>
        <w:pStyle w:val="ECCBreak"/>
        <w:rPr>
          <w:lang w:val="en-GB"/>
        </w:rPr>
      </w:pPr>
      <w:r w:rsidRPr="00235592">
        <w:rPr>
          <w:lang w:val="en-GB"/>
        </w:rPr>
        <w:t>EBU (date of proposal)</w:t>
      </w:r>
    </w:p>
    <w:p w:rsidR="003771D5" w:rsidRPr="00235592" w:rsidRDefault="003771D5" w:rsidP="00BD4E12">
      <w:pPr>
        <w:rPr>
          <w:rStyle w:val="ECCParagraph"/>
        </w:rPr>
      </w:pPr>
    </w:p>
    <w:p w:rsidR="004A511D" w:rsidRPr="00235592" w:rsidRDefault="003771D5" w:rsidP="003A68D5">
      <w:pPr>
        <w:pStyle w:val="ECCBreak"/>
        <w:rPr>
          <w:lang w:val="en-GB"/>
        </w:rPr>
      </w:pPr>
      <w:r w:rsidRPr="00235592">
        <w:rPr>
          <w:lang w:val="en-GB"/>
        </w:rPr>
        <w:t>GSMA (date of proposal)</w:t>
      </w:r>
    </w:p>
    <w:p w:rsidR="003A68D5" w:rsidRPr="00235592" w:rsidRDefault="003A68D5" w:rsidP="003A68D5">
      <w:pPr>
        <w:rPr>
          <w:rStyle w:val="ECCParagraph"/>
        </w:rPr>
      </w:pPr>
    </w:p>
    <w:p w:rsidR="003A68D5" w:rsidRPr="00235592" w:rsidRDefault="003A68D5" w:rsidP="003A68D5">
      <w:pPr>
        <w:pStyle w:val="ECCBreak"/>
        <w:rPr>
          <w:lang w:val="en-GB"/>
        </w:rPr>
      </w:pPr>
      <w:r w:rsidRPr="00235592">
        <w:rPr>
          <w:lang w:val="en-GB"/>
        </w:rPr>
        <w:t>CRAF (</w:t>
      </w:r>
      <w:r w:rsidR="003E1CEE">
        <w:rPr>
          <w:lang w:val="en-GB"/>
        </w:rPr>
        <w:t>December 2016</w:t>
      </w:r>
      <w:r w:rsidRPr="00235592">
        <w:rPr>
          <w:lang w:val="en-GB"/>
        </w:rPr>
        <w:t>)</w:t>
      </w:r>
    </w:p>
    <w:p w:rsidR="003A68D5" w:rsidRPr="00235592" w:rsidRDefault="008F48A0" w:rsidP="003A68D5">
      <w:pPr>
        <w:rPr>
          <w:rStyle w:val="ECCParagraph"/>
        </w:rPr>
      </w:pPr>
      <w:r>
        <w:rPr>
          <w:szCs w:val="24"/>
        </w:rPr>
        <w:t>As stated in Re</w:t>
      </w:r>
      <w:r>
        <w:t>solution</w:t>
      </w:r>
      <w:r w:rsidR="00017C5C" w:rsidRPr="00E75F9E">
        <w:rPr>
          <w:szCs w:val="24"/>
        </w:rPr>
        <w:t xml:space="preserve"> 359, the new GMDSS provider must provide protection of incumbent services in accordance with the Radio Regulations, including those in adjacent frequency bands, from harmful interference. </w:t>
      </w:r>
      <w:r w:rsidR="00017C5C" w:rsidRPr="00E75F9E">
        <w:rPr>
          <w:szCs w:val="24"/>
          <w:lang w:eastAsia="en-GB"/>
        </w:rPr>
        <w:t xml:space="preserve">CRAF supports the protection of </w:t>
      </w:r>
      <w:r w:rsidR="00017C5C">
        <w:rPr>
          <w:szCs w:val="24"/>
          <w:lang w:eastAsia="en-GB"/>
        </w:rPr>
        <w:t xml:space="preserve">the </w:t>
      </w:r>
      <w:r w:rsidR="00017C5C" w:rsidRPr="00E75F9E">
        <w:rPr>
          <w:szCs w:val="24"/>
          <w:lang w:eastAsia="en-GB"/>
        </w:rPr>
        <w:t xml:space="preserve">existing </w:t>
      </w:r>
      <w:r w:rsidR="00017C5C">
        <w:rPr>
          <w:szCs w:val="24"/>
          <w:lang w:eastAsia="en-GB"/>
        </w:rPr>
        <w:t xml:space="preserve">primary </w:t>
      </w:r>
      <w:r w:rsidR="00017C5C" w:rsidRPr="00E75F9E">
        <w:rPr>
          <w:szCs w:val="24"/>
          <w:lang w:eastAsia="en-GB"/>
        </w:rPr>
        <w:t xml:space="preserve">RAS allocation in the </w:t>
      </w:r>
      <w:r>
        <w:rPr>
          <w:bCs/>
          <w:color w:val="101113"/>
          <w:szCs w:val="24"/>
          <w:lang w:val="en-US" w:eastAsia="zh-CN"/>
        </w:rPr>
        <w:t>1</w:t>
      </w:r>
      <w:r>
        <w:t xml:space="preserve"> </w:t>
      </w:r>
      <w:r>
        <w:rPr>
          <w:bCs/>
          <w:color w:val="101113"/>
          <w:szCs w:val="24"/>
          <w:lang w:val="en-US" w:eastAsia="zh-CN"/>
        </w:rPr>
        <w:t>610.6-</w:t>
      </w:r>
      <w:r w:rsidR="00017C5C" w:rsidRPr="00E75F9E">
        <w:rPr>
          <w:bCs/>
          <w:color w:val="101113"/>
          <w:szCs w:val="24"/>
          <w:lang w:val="en-US" w:eastAsia="zh-CN"/>
        </w:rPr>
        <w:t>1</w:t>
      </w:r>
      <w:r>
        <w:t xml:space="preserve"> </w:t>
      </w:r>
      <w:r w:rsidR="00017C5C" w:rsidRPr="00E75F9E">
        <w:rPr>
          <w:bCs/>
          <w:color w:val="101113"/>
          <w:szCs w:val="24"/>
          <w:lang w:val="en-US" w:eastAsia="zh-CN"/>
        </w:rPr>
        <w:t xml:space="preserve">613.8 MHz </w:t>
      </w:r>
      <w:r w:rsidR="00017C5C" w:rsidRPr="00E75F9E">
        <w:rPr>
          <w:szCs w:val="24"/>
          <w:lang w:eastAsia="en-GB"/>
        </w:rPr>
        <w:t>band. No changes to the RR should be made unless the RAS band is free from harmful interference and acceptable sharing and compatibility criteria are developed with the RAS.</w:t>
      </w:r>
    </w:p>
    <w:sectPr w:rsidR="003A68D5" w:rsidRPr="00235592" w:rsidSect="004B5DEB">
      <w:headerReference w:type="even" r:id="rId9"/>
      <w:headerReference w:type="default" r:id="rId10"/>
      <w:footerReference w:type="even" r:id="rId11"/>
      <w:footerReference w:type="default" r:id="rId12"/>
      <w:headerReference w:type="first" r:id="rId13"/>
      <w:footerReference w:type="first" r:id="rId14"/>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4BE" w:rsidRDefault="002C54BE" w:rsidP="00D0121B">
      <w:r>
        <w:separator/>
      </w:r>
    </w:p>
    <w:p w:rsidR="002C54BE" w:rsidRDefault="002C54BE"/>
    <w:p w:rsidR="002C54BE" w:rsidRDefault="002C54BE"/>
  </w:endnote>
  <w:endnote w:type="continuationSeparator" w:id="0">
    <w:p w:rsidR="002C54BE" w:rsidRDefault="002C54BE" w:rsidP="00D0121B">
      <w:r>
        <w:continuationSeparator/>
      </w:r>
    </w:p>
    <w:p w:rsidR="002C54BE" w:rsidRDefault="002C54BE"/>
    <w:p w:rsidR="002C54BE" w:rsidRDefault="002C54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7" w:rsidRDefault="00B54E57">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7" w:rsidRDefault="00B54E57">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7" w:rsidRDefault="00B54E57">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4BE" w:rsidRPr="00C77ABB" w:rsidRDefault="002C54BE" w:rsidP="00C77ABB">
      <w:pPr>
        <w:pStyle w:val="Funotentext"/>
      </w:pPr>
      <w:r w:rsidRPr="00C77ABB">
        <w:separator/>
      </w:r>
    </w:p>
  </w:footnote>
  <w:footnote w:type="continuationSeparator" w:id="0">
    <w:p w:rsidR="002C54BE" w:rsidRPr="00C77ABB" w:rsidRDefault="002C54BE" w:rsidP="00C77ABB">
      <w:pPr>
        <w:pStyle w:val="Funotentext"/>
      </w:pPr>
      <w:r w:rsidRPr="00C77ABB">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7" w:rsidRPr="00CF2EC7" w:rsidRDefault="00B54E57" w:rsidP="003A68D5">
    <w:pPr>
      <w:pStyle w:val="ECCpageHeader"/>
      <w:rPr>
        <w:lang w:val="en-US"/>
      </w:rPr>
    </w:pPr>
    <w:r w:rsidRPr="00CF2EC7">
      <w:rPr>
        <w:lang w:val="en-US"/>
      </w:rPr>
      <w:t xml:space="preserve">Draft CEPT Brief on AI </w:t>
    </w:r>
    <w:r>
      <w:t>1.8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233083">
      <w:rPr>
        <w:noProof/>
        <w:lang w:val="en-US"/>
      </w:rPr>
      <w:t>4</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7" w:rsidRPr="00CF2EC7" w:rsidRDefault="00B54E57" w:rsidP="003A68D5">
    <w:pPr>
      <w:pStyle w:val="ECCpageHeader"/>
      <w:rPr>
        <w:lang w:val="en-US"/>
      </w:rPr>
    </w:pPr>
    <w:r>
      <w:tab/>
    </w:r>
    <w:r>
      <w:tab/>
    </w:r>
    <w:r w:rsidRPr="00CF2EC7">
      <w:rPr>
        <w:lang w:val="en-US"/>
      </w:rPr>
      <w:t xml:space="preserve">Draft CEPT Brief on AI </w:t>
    </w:r>
    <w:r>
      <w:t>1.8</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233083">
      <w:rPr>
        <w:noProof/>
        <w:lang w:val="en-US"/>
      </w:rPr>
      <w:t>5</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E57" w:rsidRDefault="00B54E57" w:rsidP="003A68D5">
    <w:pPr>
      <w:pStyle w:val="ECCpageHeader"/>
    </w:pPr>
    <w:r w:rsidRPr="008742E3">
      <w:rPr>
        <w:noProof/>
        <w:lang w:val="de-DE" w:eastAsia="de-DE"/>
      </w:rPr>
      <w:drawing>
        <wp:inline distT="0" distB="0" distL="0" distR="0" wp14:anchorId="2F066DEB" wp14:editId="24B39E73">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19D25F99" wp14:editId="36AA1E70">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B54E57" w:rsidRPr="005611D0" w:rsidRDefault="00B54E57" w:rsidP="003771D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7"/>
    <w:multiLevelType w:val="multilevel"/>
    <w:tmpl w:val="00000007"/>
    <w:lvl w:ilvl="0">
      <w:start w:val="1"/>
      <w:numFmt w:val="decimal"/>
      <w:lvlText w:val="%1."/>
      <w:lvlJc w:val="left"/>
      <w:pPr>
        <w:ind w:left="1553" w:hanging="420"/>
      </w:pPr>
    </w:lvl>
    <w:lvl w:ilvl="1">
      <w:start w:val="1"/>
      <w:numFmt w:val="lowerLetter"/>
      <w:lvlText w:val="%2)"/>
      <w:lvlJc w:val="left"/>
      <w:pPr>
        <w:ind w:left="1973" w:hanging="420"/>
      </w:pPr>
    </w:lvl>
    <w:lvl w:ilvl="2">
      <w:start w:val="1"/>
      <w:numFmt w:val="lowerRoman"/>
      <w:lvlText w:val="%3."/>
      <w:lvlJc w:val="right"/>
      <w:pPr>
        <w:ind w:left="2393" w:hanging="420"/>
      </w:pPr>
    </w:lvl>
    <w:lvl w:ilvl="3">
      <w:start w:val="1"/>
      <w:numFmt w:val="decimal"/>
      <w:lvlText w:val="%4."/>
      <w:lvlJc w:val="left"/>
      <w:pPr>
        <w:ind w:left="2813" w:hanging="420"/>
      </w:pPr>
    </w:lvl>
    <w:lvl w:ilvl="4">
      <w:start w:val="1"/>
      <w:numFmt w:val="lowerLetter"/>
      <w:lvlText w:val="%5)"/>
      <w:lvlJc w:val="left"/>
      <w:pPr>
        <w:ind w:left="3233" w:hanging="420"/>
      </w:pPr>
    </w:lvl>
    <w:lvl w:ilvl="5">
      <w:start w:val="1"/>
      <w:numFmt w:val="lowerRoman"/>
      <w:lvlText w:val="%6."/>
      <w:lvlJc w:val="right"/>
      <w:pPr>
        <w:ind w:left="3653" w:hanging="420"/>
      </w:pPr>
    </w:lvl>
    <w:lvl w:ilvl="6">
      <w:start w:val="1"/>
      <w:numFmt w:val="decimal"/>
      <w:lvlText w:val="%7."/>
      <w:lvlJc w:val="left"/>
      <w:pPr>
        <w:ind w:left="4073" w:hanging="420"/>
      </w:pPr>
    </w:lvl>
    <w:lvl w:ilvl="7">
      <w:start w:val="1"/>
      <w:numFmt w:val="lowerLetter"/>
      <w:lvlText w:val="%8)"/>
      <w:lvlJc w:val="left"/>
      <w:pPr>
        <w:ind w:left="4493" w:hanging="420"/>
      </w:pPr>
    </w:lvl>
    <w:lvl w:ilvl="8">
      <w:start w:val="1"/>
      <w:numFmt w:val="lowerRoman"/>
      <w:lvlText w:val="%9."/>
      <w:lvlJc w:val="right"/>
      <w:pPr>
        <w:ind w:left="4913" w:hanging="420"/>
      </w:pPr>
    </w:lvl>
  </w:abstractNum>
  <w:abstractNum w:abstractNumId="12">
    <w:nsid w:val="0FEB4A7C"/>
    <w:multiLevelType w:val="hybridMultilevel"/>
    <w:tmpl w:val="9E7C6FF8"/>
    <w:lvl w:ilvl="0" w:tplc="E83CE0E0">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0A87A02"/>
    <w:multiLevelType w:val="hybridMultilevel"/>
    <w:tmpl w:val="248209E6"/>
    <w:lvl w:ilvl="0" w:tplc="048CDB92">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4">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7">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8">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0">
    <w:nsid w:val="65A36C1F"/>
    <w:multiLevelType w:val="hybridMultilevel"/>
    <w:tmpl w:val="32904A2C"/>
    <w:lvl w:ilvl="0" w:tplc="2FEA864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3"/>
  </w:num>
  <w:num w:numId="2">
    <w:abstractNumId w:val="14"/>
  </w:num>
  <w:num w:numId="3">
    <w:abstractNumId w:val="13"/>
  </w:num>
  <w:num w:numId="4">
    <w:abstractNumId w:val="19"/>
  </w:num>
  <w:num w:numId="5">
    <w:abstractNumId w:val="16"/>
  </w:num>
  <w:num w:numId="6">
    <w:abstractNumId w:val="18"/>
  </w:num>
  <w:num w:numId="7">
    <w:abstractNumId w:val="17"/>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num>
  <w:num w:numId="21">
    <w:abstractNumId w:val="12"/>
  </w:num>
  <w:num w:numId="22">
    <w:abstractNumId w:val="14"/>
  </w:num>
  <w:num w:numId="23">
    <w:abstractNumId w:val="14"/>
  </w:num>
  <w:num w:numId="24">
    <w:abstractNumId w:val="14"/>
  </w:num>
  <w:num w:numId="25">
    <w:abstractNumId w:val="14"/>
  </w:num>
  <w:num w:numId="26">
    <w:abstractNumId w:val="12"/>
  </w:num>
  <w:num w:numId="27">
    <w:abstractNumId w:val="12"/>
  </w:num>
  <w:num w:numId="28">
    <w:abstractNumId w:val="12"/>
  </w:num>
  <w:num w:numId="29">
    <w:abstractNumId w:val="15"/>
  </w:num>
  <w:num w:numId="30">
    <w:abstractNumId w:val="17"/>
  </w:num>
  <w:num w:numId="31">
    <w:abstractNumId w:val="19"/>
  </w:num>
  <w:num w:numId="32">
    <w:abstractNumId w:val="16"/>
  </w:num>
  <w:num w:numId="33">
    <w:abstractNumId w:val="18"/>
  </w:num>
  <w:num w:numId="34">
    <w:abstractNumId w:val="17"/>
  </w:num>
  <w:num w:numId="35">
    <w:abstractNumId w:val="17"/>
  </w:num>
  <w:num w:numId="36">
    <w:abstractNumId w:val="17"/>
  </w:num>
  <w:num w:numId="37">
    <w:abstractNumId w:val="11"/>
  </w:num>
  <w:num w:numId="38">
    <w:abstractNumId w:val="10"/>
  </w:num>
  <w:num w:numId="39">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oNotTrackFormatting/>
  <w:documentProtection w:formatting="1" w:enforcement="1" w:cryptProviderType="rsaFull" w:cryptAlgorithmClass="hash" w:cryptAlgorithmType="typeAny" w:cryptAlgorithmSid="4" w:cryptSpinCount="100000" w:hash="MxDKYrcvCcRRtxM++SRYdFy04G8=" w:salt="iQlWysrBR5ptaipk1xq7cQ=="/>
  <w:autoFormatOverride/>
  <w:styleLockTheme/>
  <w:styleLockQFSet/>
  <w:defaultTabStop w:val="567"/>
  <w:hyphenationZone w:val="425"/>
  <w:clickAndTypeStyle w:val="Beschriftung"/>
  <w:evenAndOddHeaders/>
  <w:characterSpacingControl w:val="doNotCompress"/>
  <w:hdrShapeDefaults>
    <o:shapedefaults v:ext="edit" spidmax="26625">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8A"/>
    <w:rsid w:val="00017C5C"/>
    <w:rsid w:val="00025A4C"/>
    <w:rsid w:val="00040527"/>
    <w:rsid w:val="00041A18"/>
    <w:rsid w:val="00042B60"/>
    <w:rsid w:val="00052CAE"/>
    <w:rsid w:val="000611F2"/>
    <w:rsid w:val="00061762"/>
    <w:rsid w:val="00062CB1"/>
    <w:rsid w:val="0006332A"/>
    <w:rsid w:val="000660F5"/>
    <w:rsid w:val="00067793"/>
    <w:rsid w:val="000701A5"/>
    <w:rsid w:val="00080D4D"/>
    <w:rsid w:val="00082DD7"/>
    <w:rsid w:val="000875C9"/>
    <w:rsid w:val="00091185"/>
    <w:rsid w:val="00095620"/>
    <w:rsid w:val="00097D7A"/>
    <w:rsid w:val="000A29BC"/>
    <w:rsid w:val="000A3940"/>
    <w:rsid w:val="000A6285"/>
    <w:rsid w:val="000B2156"/>
    <w:rsid w:val="000B5026"/>
    <w:rsid w:val="000C028F"/>
    <w:rsid w:val="000C5CB6"/>
    <w:rsid w:val="000D1710"/>
    <w:rsid w:val="000D57B0"/>
    <w:rsid w:val="000D6A69"/>
    <w:rsid w:val="000D7A37"/>
    <w:rsid w:val="000E42F5"/>
    <w:rsid w:val="000E4820"/>
    <w:rsid w:val="000F0594"/>
    <w:rsid w:val="000F1620"/>
    <w:rsid w:val="000F24F5"/>
    <w:rsid w:val="000F3F0B"/>
    <w:rsid w:val="001006CA"/>
    <w:rsid w:val="00100F8B"/>
    <w:rsid w:val="00131D08"/>
    <w:rsid w:val="0017456E"/>
    <w:rsid w:val="001760F3"/>
    <w:rsid w:val="00176EFD"/>
    <w:rsid w:val="00183FE0"/>
    <w:rsid w:val="0018553F"/>
    <w:rsid w:val="00193654"/>
    <w:rsid w:val="00197FBC"/>
    <w:rsid w:val="001C4C96"/>
    <w:rsid w:val="001D15AA"/>
    <w:rsid w:val="001D334F"/>
    <w:rsid w:val="001F01B4"/>
    <w:rsid w:val="001F0DDC"/>
    <w:rsid w:val="001F1FD5"/>
    <w:rsid w:val="0020079A"/>
    <w:rsid w:val="0020250F"/>
    <w:rsid w:val="00203344"/>
    <w:rsid w:val="00220194"/>
    <w:rsid w:val="00226070"/>
    <w:rsid w:val="00233083"/>
    <w:rsid w:val="00235592"/>
    <w:rsid w:val="00236978"/>
    <w:rsid w:val="002620A2"/>
    <w:rsid w:val="00273354"/>
    <w:rsid w:val="00274F84"/>
    <w:rsid w:val="00277CCB"/>
    <w:rsid w:val="00280476"/>
    <w:rsid w:val="0028060B"/>
    <w:rsid w:val="0028120C"/>
    <w:rsid w:val="00282867"/>
    <w:rsid w:val="00293920"/>
    <w:rsid w:val="00295827"/>
    <w:rsid w:val="00295F16"/>
    <w:rsid w:val="002C4A39"/>
    <w:rsid w:val="002C54BE"/>
    <w:rsid w:val="002C5C63"/>
    <w:rsid w:val="002D1FA9"/>
    <w:rsid w:val="002D50A3"/>
    <w:rsid w:val="002D6680"/>
    <w:rsid w:val="002E7500"/>
    <w:rsid w:val="002E786C"/>
    <w:rsid w:val="002F15D8"/>
    <w:rsid w:val="002F1E6A"/>
    <w:rsid w:val="003031DA"/>
    <w:rsid w:val="00307A79"/>
    <w:rsid w:val="00322E6A"/>
    <w:rsid w:val="003314A0"/>
    <w:rsid w:val="00336431"/>
    <w:rsid w:val="003419EF"/>
    <w:rsid w:val="00361E54"/>
    <w:rsid w:val="00362FC8"/>
    <w:rsid w:val="00370A0C"/>
    <w:rsid w:val="003771D5"/>
    <w:rsid w:val="0038358E"/>
    <w:rsid w:val="00391A01"/>
    <w:rsid w:val="003A5711"/>
    <w:rsid w:val="003A68D5"/>
    <w:rsid w:val="003B5CE6"/>
    <w:rsid w:val="003B7070"/>
    <w:rsid w:val="003C64D9"/>
    <w:rsid w:val="003E1CEE"/>
    <w:rsid w:val="003E70E0"/>
    <w:rsid w:val="00403CE6"/>
    <w:rsid w:val="004074CC"/>
    <w:rsid w:val="004110CA"/>
    <w:rsid w:val="00415892"/>
    <w:rsid w:val="0042509E"/>
    <w:rsid w:val="00431EFB"/>
    <w:rsid w:val="00443482"/>
    <w:rsid w:val="00443912"/>
    <w:rsid w:val="00445299"/>
    <w:rsid w:val="00445BC1"/>
    <w:rsid w:val="00446E3E"/>
    <w:rsid w:val="00450308"/>
    <w:rsid w:val="00457AD1"/>
    <w:rsid w:val="0046427F"/>
    <w:rsid w:val="00465005"/>
    <w:rsid w:val="00470D4B"/>
    <w:rsid w:val="00474DC4"/>
    <w:rsid w:val="00485307"/>
    <w:rsid w:val="00491977"/>
    <w:rsid w:val="0049491B"/>
    <w:rsid w:val="004A0E1D"/>
    <w:rsid w:val="004A1329"/>
    <w:rsid w:val="004A511D"/>
    <w:rsid w:val="004A72B6"/>
    <w:rsid w:val="004B4E8A"/>
    <w:rsid w:val="004B5DEB"/>
    <w:rsid w:val="004C4A2E"/>
    <w:rsid w:val="004D03A9"/>
    <w:rsid w:val="004D56CA"/>
    <w:rsid w:val="004D5EA3"/>
    <w:rsid w:val="004E44C8"/>
    <w:rsid w:val="004E53BE"/>
    <w:rsid w:val="004F16F4"/>
    <w:rsid w:val="004F3F81"/>
    <w:rsid w:val="004F4FE0"/>
    <w:rsid w:val="004F6CA7"/>
    <w:rsid w:val="005028D4"/>
    <w:rsid w:val="00505EBE"/>
    <w:rsid w:val="00520F68"/>
    <w:rsid w:val="00535050"/>
    <w:rsid w:val="00536F3C"/>
    <w:rsid w:val="00537D13"/>
    <w:rsid w:val="0054260E"/>
    <w:rsid w:val="00545F3E"/>
    <w:rsid w:val="00550D79"/>
    <w:rsid w:val="005559AC"/>
    <w:rsid w:val="00557B5A"/>
    <w:rsid w:val="005611D0"/>
    <w:rsid w:val="00571A40"/>
    <w:rsid w:val="005736B2"/>
    <w:rsid w:val="0057797A"/>
    <w:rsid w:val="005817E4"/>
    <w:rsid w:val="00594186"/>
    <w:rsid w:val="005A53B8"/>
    <w:rsid w:val="005B12CB"/>
    <w:rsid w:val="005C10EB"/>
    <w:rsid w:val="005D371D"/>
    <w:rsid w:val="005E7495"/>
    <w:rsid w:val="00602BFE"/>
    <w:rsid w:val="0061295F"/>
    <w:rsid w:val="00616FA0"/>
    <w:rsid w:val="00621C12"/>
    <w:rsid w:val="00622652"/>
    <w:rsid w:val="006348FC"/>
    <w:rsid w:val="00635A22"/>
    <w:rsid w:val="00637526"/>
    <w:rsid w:val="00642083"/>
    <w:rsid w:val="00645819"/>
    <w:rsid w:val="0065550D"/>
    <w:rsid w:val="00665364"/>
    <w:rsid w:val="0068085F"/>
    <w:rsid w:val="006876A8"/>
    <w:rsid w:val="00687B43"/>
    <w:rsid w:val="006A49E3"/>
    <w:rsid w:val="006B1EFD"/>
    <w:rsid w:val="006C454C"/>
    <w:rsid w:val="006C5C1C"/>
    <w:rsid w:val="006D56AC"/>
    <w:rsid w:val="006E4888"/>
    <w:rsid w:val="006F0442"/>
    <w:rsid w:val="007023A3"/>
    <w:rsid w:val="00703FC0"/>
    <w:rsid w:val="007160BE"/>
    <w:rsid w:val="00721539"/>
    <w:rsid w:val="00722F65"/>
    <w:rsid w:val="00726836"/>
    <w:rsid w:val="00734A4F"/>
    <w:rsid w:val="00737040"/>
    <w:rsid w:val="00755D82"/>
    <w:rsid w:val="00762BCC"/>
    <w:rsid w:val="00763BA3"/>
    <w:rsid w:val="007659CD"/>
    <w:rsid w:val="00765B66"/>
    <w:rsid w:val="00767BB2"/>
    <w:rsid w:val="0078006E"/>
    <w:rsid w:val="00780376"/>
    <w:rsid w:val="00791AAC"/>
    <w:rsid w:val="0079410C"/>
    <w:rsid w:val="00796E95"/>
    <w:rsid w:val="00797D4C"/>
    <w:rsid w:val="007B52C8"/>
    <w:rsid w:val="007C0E7E"/>
    <w:rsid w:val="007C5A3B"/>
    <w:rsid w:val="007D17C5"/>
    <w:rsid w:val="007D52EC"/>
    <w:rsid w:val="007F1CEE"/>
    <w:rsid w:val="008062AC"/>
    <w:rsid w:val="00815749"/>
    <w:rsid w:val="00817826"/>
    <w:rsid w:val="0082406A"/>
    <w:rsid w:val="008313CE"/>
    <w:rsid w:val="00837537"/>
    <w:rsid w:val="008470CC"/>
    <w:rsid w:val="0086094D"/>
    <w:rsid w:val="00872382"/>
    <w:rsid w:val="008742E3"/>
    <w:rsid w:val="00897009"/>
    <w:rsid w:val="008A1315"/>
    <w:rsid w:val="008A38A9"/>
    <w:rsid w:val="008A54FC"/>
    <w:rsid w:val="008A6F57"/>
    <w:rsid w:val="008B6171"/>
    <w:rsid w:val="008B70CD"/>
    <w:rsid w:val="008B7CE5"/>
    <w:rsid w:val="008E545B"/>
    <w:rsid w:val="008E6109"/>
    <w:rsid w:val="008F01E0"/>
    <w:rsid w:val="008F48A0"/>
    <w:rsid w:val="00900F03"/>
    <w:rsid w:val="00904E9A"/>
    <w:rsid w:val="00914544"/>
    <w:rsid w:val="009170EA"/>
    <w:rsid w:val="00917D1C"/>
    <w:rsid w:val="0092076F"/>
    <w:rsid w:val="00927833"/>
    <w:rsid w:val="00930439"/>
    <w:rsid w:val="00930BDF"/>
    <w:rsid w:val="00932325"/>
    <w:rsid w:val="00937FE5"/>
    <w:rsid w:val="009434C3"/>
    <w:rsid w:val="00944279"/>
    <w:rsid w:val="00947A5A"/>
    <w:rsid w:val="009770CA"/>
    <w:rsid w:val="00986677"/>
    <w:rsid w:val="0099421C"/>
    <w:rsid w:val="009A205B"/>
    <w:rsid w:val="009B0A78"/>
    <w:rsid w:val="009D3496"/>
    <w:rsid w:val="009D4BA1"/>
    <w:rsid w:val="009D7D5A"/>
    <w:rsid w:val="009E47EB"/>
    <w:rsid w:val="009E6DC3"/>
    <w:rsid w:val="009F0B56"/>
    <w:rsid w:val="009F3A37"/>
    <w:rsid w:val="00A02090"/>
    <w:rsid w:val="00A076B5"/>
    <w:rsid w:val="00A23870"/>
    <w:rsid w:val="00A31525"/>
    <w:rsid w:val="00A43BD3"/>
    <w:rsid w:val="00A604EF"/>
    <w:rsid w:val="00A70EBD"/>
    <w:rsid w:val="00A73298"/>
    <w:rsid w:val="00A95ACB"/>
    <w:rsid w:val="00A95DD6"/>
    <w:rsid w:val="00A97942"/>
    <w:rsid w:val="00AA079B"/>
    <w:rsid w:val="00AA086A"/>
    <w:rsid w:val="00AA51C8"/>
    <w:rsid w:val="00AA79C0"/>
    <w:rsid w:val="00AB1C16"/>
    <w:rsid w:val="00AB2EA8"/>
    <w:rsid w:val="00AB3C46"/>
    <w:rsid w:val="00AC35FE"/>
    <w:rsid w:val="00AC4629"/>
    <w:rsid w:val="00AD28F2"/>
    <w:rsid w:val="00AD7257"/>
    <w:rsid w:val="00AE372A"/>
    <w:rsid w:val="00AF2D0C"/>
    <w:rsid w:val="00AF3489"/>
    <w:rsid w:val="00AF54BB"/>
    <w:rsid w:val="00B1354B"/>
    <w:rsid w:val="00B2563E"/>
    <w:rsid w:val="00B3042F"/>
    <w:rsid w:val="00B30D3B"/>
    <w:rsid w:val="00B30E95"/>
    <w:rsid w:val="00B432D4"/>
    <w:rsid w:val="00B453ED"/>
    <w:rsid w:val="00B460E4"/>
    <w:rsid w:val="00B54E57"/>
    <w:rsid w:val="00B576D7"/>
    <w:rsid w:val="00B610AC"/>
    <w:rsid w:val="00B70F35"/>
    <w:rsid w:val="00B80892"/>
    <w:rsid w:val="00B82735"/>
    <w:rsid w:val="00B92861"/>
    <w:rsid w:val="00BA2E30"/>
    <w:rsid w:val="00BA524C"/>
    <w:rsid w:val="00BA7A69"/>
    <w:rsid w:val="00BB0D9E"/>
    <w:rsid w:val="00BB32C9"/>
    <w:rsid w:val="00BC3CA5"/>
    <w:rsid w:val="00BD28DF"/>
    <w:rsid w:val="00BD4E12"/>
    <w:rsid w:val="00BD7669"/>
    <w:rsid w:val="00BE2864"/>
    <w:rsid w:val="00BF3831"/>
    <w:rsid w:val="00C0561A"/>
    <w:rsid w:val="00C0726B"/>
    <w:rsid w:val="00C076BF"/>
    <w:rsid w:val="00C10C10"/>
    <w:rsid w:val="00C202F3"/>
    <w:rsid w:val="00C21C41"/>
    <w:rsid w:val="00C27F02"/>
    <w:rsid w:val="00C3048F"/>
    <w:rsid w:val="00C33A7C"/>
    <w:rsid w:val="00C42C33"/>
    <w:rsid w:val="00C44519"/>
    <w:rsid w:val="00C504F4"/>
    <w:rsid w:val="00C51447"/>
    <w:rsid w:val="00C57E85"/>
    <w:rsid w:val="00C65BB4"/>
    <w:rsid w:val="00C77ABB"/>
    <w:rsid w:val="00C8071C"/>
    <w:rsid w:val="00C816CB"/>
    <w:rsid w:val="00C82461"/>
    <w:rsid w:val="00C936DD"/>
    <w:rsid w:val="00CA07CC"/>
    <w:rsid w:val="00CA4FCE"/>
    <w:rsid w:val="00CA5F8F"/>
    <w:rsid w:val="00CA6B96"/>
    <w:rsid w:val="00CC000D"/>
    <w:rsid w:val="00CC118D"/>
    <w:rsid w:val="00CC5A6F"/>
    <w:rsid w:val="00CE271A"/>
    <w:rsid w:val="00CE6FF5"/>
    <w:rsid w:val="00CF1C4B"/>
    <w:rsid w:val="00CF2EC7"/>
    <w:rsid w:val="00CF5245"/>
    <w:rsid w:val="00D0121B"/>
    <w:rsid w:val="00D04BA8"/>
    <w:rsid w:val="00D06479"/>
    <w:rsid w:val="00D06CA9"/>
    <w:rsid w:val="00D076EE"/>
    <w:rsid w:val="00D07B1A"/>
    <w:rsid w:val="00D133D3"/>
    <w:rsid w:val="00D24CD0"/>
    <w:rsid w:val="00D30E46"/>
    <w:rsid w:val="00D47346"/>
    <w:rsid w:val="00D50AC8"/>
    <w:rsid w:val="00D53EEF"/>
    <w:rsid w:val="00D63C0E"/>
    <w:rsid w:val="00D7287B"/>
    <w:rsid w:val="00D904D5"/>
    <w:rsid w:val="00DA0026"/>
    <w:rsid w:val="00DA444C"/>
    <w:rsid w:val="00DB5554"/>
    <w:rsid w:val="00DB5E3F"/>
    <w:rsid w:val="00DC2326"/>
    <w:rsid w:val="00DC4C28"/>
    <w:rsid w:val="00DD6CE9"/>
    <w:rsid w:val="00DF2C67"/>
    <w:rsid w:val="00DF3AE2"/>
    <w:rsid w:val="00DF7D21"/>
    <w:rsid w:val="00E059C5"/>
    <w:rsid w:val="00E06B29"/>
    <w:rsid w:val="00E06C22"/>
    <w:rsid w:val="00E17F19"/>
    <w:rsid w:val="00E26BAC"/>
    <w:rsid w:val="00E4781B"/>
    <w:rsid w:val="00E51F8B"/>
    <w:rsid w:val="00E60351"/>
    <w:rsid w:val="00E71AE7"/>
    <w:rsid w:val="00E752E6"/>
    <w:rsid w:val="00E7787B"/>
    <w:rsid w:val="00E91854"/>
    <w:rsid w:val="00E928D2"/>
    <w:rsid w:val="00E97060"/>
    <w:rsid w:val="00EA6088"/>
    <w:rsid w:val="00EC0C86"/>
    <w:rsid w:val="00EC1A2C"/>
    <w:rsid w:val="00ED70D5"/>
    <w:rsid w:val="00EF05F7"/>
    <w:rsid w:val="00EF61A0"/>
    <w:rsid w:val="00F0384F"/>
    <w:rsid w:val="00F065F7"/>
    <w:rsid w:val="00F07DF7"/>
    <w:rsid w:val="00F10E1F"/>
    <w:rsid w:val="00F212EB"/>
    <w:rsid w:val="00F268C0"/>
    <w:rsid w:val="00F465D3"/>
    <w:rsid w:val="00F4709A"/>
    <w:rsid w:val="00F569C9"/>
    <w:rsid w:val="00F56F06"/>
    <w:rsid w:val="00F7189E"/>
    <w:rsid w:val="00F73815"/>
    <w:rsid w:val="00F7770D"/>
    <w:rsid w:val="00F802CC"/>
    <w:rsid w:val="00F85984"/>
    <w:rsid w:val="00F868C9"/>
    <w:rsid w:val="00F93115"/>
    <w:rsid w:val="00F97DAD"/>
    <w:rsid w:val="00FA5792"/>
    <w:rsid w:val="00FA5B5D"/>
    <w:rsid w:val="00FA63DC"/>
    <w:rsid w:val="00FB200D"/>
    <w:rsid w:val="00FE538A"/>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99"/>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uiPriority w:val="99"/>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autoRedefine/>
    <w:uiPriority w:val="1"/>
    <w:qFormat/>
    <w:rsid w:val="00537D13"/>
    <w:rPr>
      <w:rFonts w:cs="Times New Roman"/>
      <w:color w:val="auto"/>
      <w:kern w:val="0"/>
      <w:szCs w:val="22"/>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99"/>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cs="Times New Roman"/>
      <w:noProof w:val="0"/>
      <w:color w:val="auto"/>
      <w:kern w:val="0"/>
      <w:sz w:val="20"/>
      <w:szCs w:val="22"/>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B1354B"/>
    <w:pPr>
      <w:ind w:left="720"/>
      <w:contextualSpacing/>
    </w:pPr>
  </w:style>
  <w:style w:type="paragraph" w:styleId="Fuzeile">
    <w:name w:val="footer"/>
    <w:basedOn w:val="Standard"/>
    <w:link w:val="FuzeileZchn"/>
    <w:uiPriority w:val="99"/>
    <w:semiHidden/>
    <w:unhideWhenUsed/>
    <w:locked/>
    <w:rsid w:val="0009118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091185"/>
    <w:rPr>
      <w:rFonts w:eastAsia="Calibri"/>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locked="0" w:uiPriority="0"/>
    <w:lsdException w:name="caption" w:locked="0" w:uiPriority="0"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1" w:unhideWhenUsed="0" w:qFormat="1"/>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uiPriority="2" w:unhideWhenUsed="0"/>
    <w:lsdException w:name="Subtle Reference" w:uiPriority="31" w:unhideWhenUsed="0" w:qFormat="1"/>
    <w:lsdException w:name="Intense Reference" w:uiPriority="0"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571A40"/>
    <w:rPr>
      <w:rFonts w:eastAsia="Calibri"/>
      <w:szCs w:val="22"/>
      <w:lang w:val="en-GB"/>
    </w:rPr>
  </w:style>
  <w:style w:type="paragraph" w:styleId="berschrift1">
    <w:name w:val="heading 1"/>
    <w:aliases w:val="ECC Heading 1"/>
    <w:next w:val="Standard"/>
    <w:qFormat/>
    <w:rsid w:val="009F0B56"/>
    <w:pPr>
      <w:keepNext/>
      <w:numPr>
        <w:numId w:val="36"/>
      </w:numPr>
      <w:spacing w:before="600"/>
      <w:jc w:val="left"/>
      <w:outlineLvl w:val="0"/>
    </w:pPr>
    <w:rPr>
      <w:rFonts w:eastAsia="Calibri" w:cs="Arial"/>
      <w:b/>
      <w:bCs/>
      <w:caps/>
      <w:color w:val="D2232A"/>
      <w:kern w:val="32"/>
      <w:szCs w:val="32"/>
    </w:rPr>
  </w:style>
  <w:style w:type="paragraph" w:styleId="berschrift2">
    <w:name w:val="heading 2"/>
    <w:aliases w:val="ECC Heading 2"/>
    <w:next w:val="Standard"/>
    <w:qFormat/>
    <w:rsid w:val="009F0B56"/>
    <w:pPr>
      <w:keepNext/>
      <w:numPr>
        <w:ilvl w:val="1"/>
        <w:numId w:val="36"/>
      </w:numPr>
      <w:spacing w:before="480"/>
      <w:jc w:val="left"/>
      <w:outlineLvl w:val="1"/>
    </w:pPr>
    <w:rPr>
      <w:rFonts w:eastAsia="Calibri" w:cs="Arial"/>
      <w:b/>
      <w:bCs/>
      <w:iCs/>
      <w:caps/>
      <w:szCs w:val="28"/>
    </w:rPr>
  </w:style>
  <w:style w:type="paragraph" w:styleId="berschrift3">
    <w:name w:val="heading 3"/>
    <w:aliases w:val="ECC Heading 3"/>
    <w:next w:val="Standard"/>
    <w:qFormat/>
    <w:rsid w:val="009F0B56"/>
    <w:pPr>
      <w:keepNext/>
      <w:numPr>
        <w:ilvl w:val="2"/>
        <w:numId w:val="36"/>
      </w:numPr>
      <w:spacing w:before="360"/>
      <w:jc w:val="left"/>
      <w:outlineLvl w:val="2"/>
    </w:pPr>
    <w:rPr>
      <w:rFonts w:eastAsia="Calibri" w:cs="Arial"/>
      <w:b/>
      <w:bCs/>
      <w:szCs w:val="26"/>
    </w:rPr>
  </w:style>
  <w:style w:type="paragraph" w:styleId="berschrift4">
    <w:name w:val="heading 4"/>
    <w:aliases w:val="ECC Heading 4"/>
    <w:next w:val="Standard"/>
    <w:qFormat/>
    <w:rsid w:val="009F0B56"/>
    <w:pPr>
      <w:numPr>
        <w:ilvl w:val="3"/>
        <w:numId w:val="36"/>
      </w:numPr>
      <w:spacing w:before="360"/>
      <w:jc w:val="left"/>
      <w:outlineLvl w:val="3"/>
    </w:pPr>
    <w:rPr>
      <w:rFonts w:eastAsia="Calibri" w:cs="Arial"/>
      <w:bCs/>
      <w:i/>
      <w:color w:val="D2232A"/>
      <w:szCs w:val="26"/>
    </w:rPr>
  </w:style>
  <w:style w:type="paragraph" w:styleId="berschrift5">
    <w:name w:val="heading 5"/>
    <w:basedOn w:val="Standard"/>
    <w:next w:val="Standard"/>
    <w:semiHidden/>
    <w:qFormat/>
    <w:locked/>
    <w:rsid w:val="009E47EB"/>
    <w:pPr>
      <w:numPr>
        <w:ilvl w:val="4"/>
        <w:numId w:val="36"/>
      </w:numPr>
      <w:outlineLvl w:val="4"/>
    </w:pPr>
    <w:rPr>
      <w:b/>
      <w:bCs/>
      <w:i/>
      <w:iCs/>
      <w:sz w:val="26"/>
      <w:szCs w:val="26"/>
    </w:rPr>
  </w:style>
  <w:style w:type="paragraph" w:styleId="berschrift6">
    <w:name w:val="heading 6"/>
    <w:basedOn w:val="Standard"/>
    <w:next w:val="Standard"/>
    <w:semiHidden/>
    <w:qFormat/>
    <w:locked/>
    <w:rsid w:val="009E47EB"/>
    <w:pPr>
      <w:numPr>
        <w:ilvl w:val="5"/>
        <w:numId w:val="36"/>
      </w:numPr>
      <w:outlineLvl w:val="5"/>
    </w:pPr>
    <w:rPr>
      <w:b/>
      <w:bCs/>
      <w:sz w:val="22"/>
    </w:rPr>
  </w:style>
  <w:style w:type="paragraph" w:styleId="berschrift7">
    <w:name w:val="heading 7"/>
    <w:basedOn w:val="Standard"/>
    <w:next w:val="Standard"/>
    <w:semiHidden/>
    <w:qFormat/>
    <w:locked/>
    <w:rsid w:val="009E47EB"/>
    <w:pPr>
      <w:numPr>
        <w:ilvl w:val="6"/>
        <w:numId w:val="36"/>
      </w:numPr>
      <w:outlineLvl w:val="6"/>
    </w:pPr>
    <w:rPr>
      <w:sz w:val="24"/>
    </w:rPr>
  </w:style>
  <w:style w:type="paragraph" w:styleId="berschrift8">
    <w:name w:val="heading 8"/>
    <w:basedOn w:val="Standard"/>
    <w:next w:val="Standard"/>
    <w:semiHidden/>
    <w:qFormat/>
    <w:locked/>
    <w:rsid w:val="009E47EB"/>
    <w:pPr>
      <w:numPr>
        <w:ilvl w:val="7"/>
        <w:numId w:val="36"/>
      </w:numPr>
      <w:outlineLvl w:val="7"/>
    </w:pPr>
    <w:rPr>
      <w:i/>
      <w:iCs/>
      <w:sz w:val="24"/>
    </w:rPr>
  </w:style>
  <w:style w:type="paragraph" w:styleId="berschrift9">
    <w:name w:val="heading 9"/>
    <w:basedOn w:val="Standard"/>
    <w:next w:val="Standard"/>
    <w:semiHidden/>
    <w:qFormat/>
    <w:locked/>
    <w:rsid w:val="009E47EB"/>
    <w:pPr>
      <w:numPr>
        <w:ilvl w:val="8"/>
        <w:numId w:val="3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qFormat/>
    <w:rsid w:val="009F0B56"/>
    <w:pPr>
      <w:numPr>
        <w:numId w:val="28"/>
      </w:numPr>
      <w:tabs>
        <w:tab w:val="left" w:pos="340"/>
      </w:tabs>
      <w:spacing w:before="60" w:after="0"/>
    </w:pPr>
  </w:style>
  <w:style w:type="paragraph" w:customStyle="1" w:styleId="ECCHeadingnonumbering">
    <w:name w:val="ECC Heading no numbering"/>
    <w:basedOn w:val="berschrift1"/>
    <w:rsid w:val="009F0B56"/>
    <w:pPr>
      <w:numPr>
        <w:numId w:val="0"/>
      </w:numPr>
      <w:tabs>
        <w:tab w:val="left" w:pos="0"/>
        <w:tab w:val="center" w:pos="4820"/>
        <w:tab w:val="right" w:pos="9639"/>
      </w:tabs>
    </w:pPr>
  </w:style>
  <w:style w:type="paragraph" w:styleId="Sprechblasentext">
    <w:name w:val="Balloon Text"/>
    <w:basedOn w:val="Standard"/>
    <w:link w:val="SprechblasentextZchn"/>
    <w:uiPriority w:val="99"/>
    <w:semiHidden/>
    <w:unhideWhenUsed/>
    <w:locked/>
    <w:rsid w:val="003A68D5"/>
    <w:pPr>
      <w:spacing w:before="0" w:after="0"/>
    </w:pPr>
    <w:rPr>
      <w:rFonts w:ascii="Tahoma" w:hAnsi="Tahoma" w:cs="Tahoma"/>
      <w:sz w:val="16"/>
      <w:szCs w:val="16"/>
    </w:rPr>
  </w:style>
  <w:style w:type="paragraph" w:customStyle="1" w:styleId="ECCAnnexheading1">
    <w:name w:val="ECC Annex heading1"/>
    <w:next w:val="Standard"/>
    <w:rsid w:val="009F0B56"/>
    <w:pPr>
      <w:keepNext/>
      <w:pageBreakBefore/>
      <w:numPr>
        <w:numId w:val="25"/>
      </w:numPr>
      <w:jc w:val="left"/>
    </w:pPr>
    <w:rPr>
      <w:rFonts w:eastAsia="Calibri"/>
      <w:b/>
      <w:caps/>
      <w:color w:val="D2232A"/>
    </w:rPr>
  </w:style>
  <w:style w:type="paragraph" w:styleId="Verzeichnis1">
    <w:name w:val="toc 1"/>
    <w:aliases w:val="ECC Index 1"/>
    <w:basedOn w:val="Standard"/>
    <w:link w:val="Verzeichnis1Zchn"/>
    <w:uiPriority w:val="39"/>
    <w:semiHidden/>
    <w:qFormat/>
    <w:locked/>
    <w:rsid w:val="009F0B56"/>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9F0B56"/>
    <w:pPr>
      <w:widowControl w:val="0"/>
      <w:tabs>
        <w:tab w:val="left" w:pos="284"/>
      </w:tabs>
      <w:spacing w:after="0"/>
      <w:ind w:left="284" w:hanging="284"/>
    </w:pPr>
    <w:rPr>
      <w:sz w:val="16"/>
      <w:szCs w:val="16"/>
      <w:lang w:val="da-DK"/>
      <w14:cntxtAlts/>
    </w:rPr>
  </w:style>
  <w:style w:type="paragraph" w:styleId="Verzeichnis2">
    <w:name w:val="toc 2"/>
    <w:aliases w:val="ECC Index 2"/>
    <w:basedOn w:val="Standard"/>
    <w:uiPriority w:val="39"/>
    <w:semiHidden/>
    <w:qFormat/>
    <w:locked/>
    <w:rsid w:val="009F0B56"/>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locked/>
    <w:rsid w:val="009F0B56"/>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locked/>
    <w:rsid w:val="009F0B56"/>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9F0B56"/>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9F0B56"/>
    <w:rPr>
      <w:rFonts w:eastAsia="Calibri"/>
      <w:sz w:val="16"/>
      <w:szCs w:val="16"/>
      <w14:cntxtAlts/>
    </w:rPr>
  </w:style>
  <w:style w:type="character" w:styleId="Funotenzeichen">
    <w:name w:val="footnote reference"/>
    <w:aliases w:val="ECC Footnote number"/>
    <w:basedOn w:val="Absatz-Standardschriftart"/>
    <w:rsid w:val="009F0B56"/>
    <w:rPr>
      <w:rFonts w:ascii="Arial" w:hAnsi="Arial"/>
      <w:sz w:val="20"/>
      <w:vertAlign w:val="superscript"/>
    </w:rPr>
  </w:style>
  <w:style w:type="paragraph" w:customStyle="1" w:styleId="ECCTablenote">
    <w:name w:val="ECC Table note"/>
    <w:qFormat/>
    <w:rsid w:val="009F0B56"/>
    <w:pPr>
      <w:spacing w:before="0" w:after="0"/>
      <w:ind w:left="284" w:hanging="284"/>
    </w:pPr>
    <w:rPr>
      <w:rFonts w:eastAsia="Calibri"/>
      <w:sz w:val="16"/>
      <w:szCs w:val="16"/>
      <w:lang w:val="en-GB"/>
    </w:rPr>
  </w:style>
  <w:style w:type="paragraph" w:customStyle="1" w:styleId="ECCBulletsLv2">
    <w:name w:val="ECC Bullets Lv2"/>
    <w:basedOn w:val="ECCBulletsLv1"/>
    <w:rsid w:val="009F0B56"/>
    <w:pPr>
      <w:ind w:left="680" w:hanging="340"/>
    </w:pPr>
  </w:style>
  <w:style w:type="paragraph" w:customStyle="1" w:styleId="ECCAnnexheading2">
    <w:name w:val="ECC Annex heading2"/>
    <w:next w:val="Standard"/>
    <w:rsid w:val="009F0B56"/>
    <w:pPr>
      <w:numPr>
        <w:ilvl w:val="1"/>
        <w:numId w:val="25"/>
      </w:numPr>
      <w:overflowPunct w:val="0"/>
      <w:autoSpaceDE w:val="0"/>
      <w:autoSpaceDN w:val="0"/>
      <w:adjustRightInd w:val="0"/>
      <w:spacing w:before="480" w:after="240"/>
      <w:jc w:val="left"/>
      <w:textAlignment w:val="baseline"/>
    </w:pPr>
    <w:rPr>
      <w:rFonts w:eastAsia="Calibri"/>
      <w:b/>
      <w:caps/>
    </w:rPr>
  </w:style>
  <w:style w:type="paragraph" w:customStyle="1" w:styleId="ECCAnnexheading3">
    <w:name w:val="ECC Annex heading3"/>
    <w:next w:val="Standard"/>
    <w:rsid w:val="009F0B56"/>
    <w:pPr>
      <w:numPr>
        <w:ilvl w:val="2"/>
        <w:numId w:val="25"/>
      </w:numPr>
      <w:overflowPunct w:val="0"/>
      <w:autoSpaceDE w:val="0"/>
      <w:autoSpaceDN w:val="0"/>
      <w:adjustRightInd w:val="0"/>
      <w:spacing w:before="360"/>
      <w:jc w:val="left"/>
      <w:textAlignment w:val="baseline"/>
    </w:pPr>
    <w:rPr>
      <w:rFonts w:eastAsia="Calibri"/>
      <w:b/>
    </w:rPr>
  </w:style>
  <w:style w:type="paragraph" w:customStyle="1" w:styleId="ECCAnnexheading4">
    <w:name w:val="ECC Annex heading4"/>
    <w:next w:val="Standard"/>
    <w:rsid w:val="009F0B56"/>
    <w:pPr>
      <w:numPr>
        <w:ilvl w:val="3"/>
        <w:numId w:val="25"/>
      </w:numPr>
      <w:overflowPunct w:val="0"/>
      <w:autoSpaceDE w:val="0"/>
      <w:autoSpaceDN w:val="0"/>
      <w:adjustRightInd w:val="0"/>
      <w:spacing w:before="360"/>
      <w:jc w:val="left"/>
      <w:textAlignment w:val="baseline"/>
    </w:pPr>
    <w:rPr>
      <w:rFonts w:eastAsia="Calibri"/>
      <w:i/>
      <w:color w:val="D2232A"/>
    </w:rPr>
  </w:style>
  <w:style w:type="paragraph" w:customStyle="1" w:styleId="ECCBulletsLv3">
    <w:name w:val="ECC Bullets Lv3"/>
    <w:basedOn w:val="ECCBulletsLv1"/>
    <w:rsid w:val="009F0B56"/>
    <w:pPr>
      <w:tabs>
        <w:tab w:val="clear" w:pos="340"/>
        <w:tab w:val="left" w:pos="680"/>
      </w:tabs>
      <w:ind w:left="1020" w:hanging="340"/>
    </w:pPr>
  </w:style>
  <w:style w:type="table" w:customStyle="1" w:styleId="ECCTable-clean">
    <w:name w:val="ECC Table - clean"/>
    <w:uiPriority w:val="99"/>
    <w:rsid w:val="009F0B56"/>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rsid w:val="009F0B56"/>
    <w:pPr>
      <w:numPr>
        <w:ilvl w:val="1"/>
        <w:numId w:val="31"/>
      </w:numPr>
      <w:spacing w:after="0"/>
      <w:jc w:val="left"/>
    </w:pPr>
    <w:rPr>
      <w:rFonts w:eastAsia="Calibri"/>
    </w:rPr>
  </w:style>
  <w:style w:type="paragraph" w:customStyle="1" w:styleId="ECCNumberedList">
    <w:name w:val="ECC Numbered List"/>
    <w:basedOn w:val="Standard"/>
    <w:rsid w:val="009F0B56"/>
    <w:pPr>
      <w:numPr>
        <w:numId w:val="32"/>
      </w:numPr>
      <w:spacing w:after="0"/>
    </w:pPr>
    <w:rPr>
      <w:szCs w:val="20"/>
    </w:rPr>
  </w:style>
  <w:style w:type="paragraph" w:customStyle="1" w:styleId="ECCReference">
    <w:name w:val="ECC Reference"/>
    <w:basedOn w:val="Standard"/>
    <w:rsid w:val="009F0B56"/>
    <w:pPr>
      <w:numPr>
        <w:numId w:val="33"/>
      </w:numPr>
      <w:spacing w:before="0" w:after="0"/>
    </w:pPr>
    <w:rPr>
      <w:lang w:eastAsia="ja-JP"/>
    </w:rPr>
  </w:style>
  <w:style w:type="character" w:customStyle="1" w:styleId="SprechblasentextZchn">
    <w:name w:val="Sprechblasentext Zchn"/>
    <w:basedOn w:val="Absatz-Standardschriftart"/>
    <w:link w:val="Sprechblasentext"/>
    <w:uiPriority w:val="99"/>
    <w:semiHidden/>
    <w:rsid w:val="003A68D5"/>
    <w:rPr>
      <w:rFonts w:ascii="Tahoma" w:eastAsia="Calibri" w:hAnsi="Tahoma" w:cs="Tahoma"/>
      <w:sz w:val="16"/>
      <w:szCs w:val="16"/>
      <w:shd w:val="clear" w:color="FFFFFF" w:themeColor="background1" w:fill="auto"/>
      <w:lang w:val="en-GB"/>
    </w:rPr>
  </w:style>
  <w:style w:type="table" w:customStyle="1" w:styleId="ECCTable-redheader">
    <w:name w:val="ECC Table - red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Standard"/>
    <w:qFormat/>
    <w:rsid w:val="009F0B56"/>
    <w:pPr>
      <w:numPr>
        <w:numId w:val="29"/>
      </w:numPr>
      <w:shd w:val="solid" w:color="FFFF00" w:fill="auto"/>
      <w:spacing w:before="120"/>
    </w:pPr>
    <w:rPr>
      <w:rFonts w:eastAsia="Calibri"/>
      <w:szCs w:val="22"/>
      <w:lang w:eastAsia="de-DE"/>
    </w:rPr>
  </w:style>
  <w:style w:type="paragraph" w:customStyle="1" w:styleId="ECCFigure">
    <w:name w:val="ECC Figure"/>
    <w:next w:val="Standard"/>
    <w:rsid w:val="00E4781B"/>
    <w:pPr>
      <w:spacing w:after="240"/>
      <w:jc w:val="center"/>
    </w:pPr>
    <w:rPr>
      <w14:cntxtAlts/>
    </w:rPr>
  </w:style>
  <w:style w:type="table" w:customStyle="1" w:styleId="ECCTable-whiteheader">
    <w:name w:val="ECC Table - white header"/>
    <w:basedOn w:val="ECCTable-clean"/>
    <w:uiPriority w:val="99"/>
    <w:rsid w:val="009F0B5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paragraph" w:customStyle="1" w:styleId="ECCLetterHead">
    <w:name w:val="ECC Letter Head"/>
    <w:basedOn w:val="Standard"/>
    <w:link w:val="ECCLetterHeadZchn"/>
    <w:qFormat/>
    <w:rsid w:val="009F0B56"/>
    <w:pPr>
      <w:tabs>
        <w:tab w:val="right" w:pos="4750"/>
      </w:tabs>
      <w:spacing w:before="60"/>
    </w:pPr>
    <w:rPr>
      <w:b/>
      <w:sz w:val="22"/>
      <w:szCs w:val="20"/>
    </w:rPr>
  </w:style>
  <w:style w:type="character" w:customStyle="1" w:styleId="ECCHLyellow">
    <w:name w:val="ECC HL yellow"/>
    <w:basedOn w:val="Absatz-Standardschriftart"/>
    <w:uiPriority w:val="99"/>
    <w:qFormat/>
    <w:rsid w:val="009F0B56"/>
    <w:rPr>
      <w:rFonts w:eastAsia="Calibri"/>
      <w:i w:val="0"/>
      <w:szCs w:val="22"/>
      <w:bdr w:val="none" w:sz="0" w:space="0" w:color="auto"/>
      <w:shd w:val="solid" w:color="FFFF00" w:fill="auto"/>
      <w:lang w:val="en-GB"/>
    </w:rPr>
  </w:style>
  <w:style w:type="character" w:customStyle="1" w:styleId="ECCHLbold">
    <w:name w:val="ECC HL bold"/>
    <w:basedOn w:val="Absatz-Standardschriftart"/>
    <w:uiPriority w:val="1"/>
    <w:qFormat/>
    <w:rsid w:val="009F0B56"/>
    <w:rPr>
      <w:b/>
      <w:bCs/>
    </w:rPr>
  </w:style>
  <w:style w:type="paragraph" w:customStyle="1" w:styleId="ECCTabletext">
    <w:name w:val="ECC Table text"/>
    <w:basedOn w:val="Standard"/>
    <w:uiPriority w:val="99"/>
    <w:qFormat/>
    <w:rsid w:val="009F0B56"/>
    <w:pPr>
      <w:spacing w:before="0"/>
    </w:pPr>
  </w:style>
  <w:style w:type="paragraph" w:styleId="Unterschrift">
    <w:name w:val="Signature"/>
    <w:basedOn w:val="Standard"/>
    <w:link w:val="UnterschriftZchn"/>
    <w:uiPriority w:val="99"/>
    <w:semiHidden/>
    <w:unhideWhenUsed/>
    <w:locked/>
    <w:rsid w:val="007D52EC"/>
    <w:pPr>
      <w:spacing w:before="0" w:after="0"/>
      <w:ind w:left="4252"/>
    </w:pPr>
  </w:style>
  <w:style w:type="character" w:customStyle="1" w:styleId="UnterschriftZchn">
    <w:name w:val="Unterschrift Zchn"/>
    <w:basedOn w:val="Absatz-Standardschriftart"/>
    <w:link w:val="Unterschrift"/>
    <w:uiPriority w:val="99"/>
    <w:semiHidden/>
    <w:rsid w:val="007D52EC"/>
  </w:style>
  <w:style w:type="character" w:styleId="Hervorhebung">
    <w:name w:val="Emphasis"/>
    <w:aliases w:val="ECC HL italics"/>
    <w:uiPriority w:val="1"/>
    <w:qFormat/>
    <w:rsid w:val="009F0B56"/>
    <w:rPr>
      <w:i/>
    </w:rPr>
  </w:style>
  <w:style w:type="character" w:customStyle="1" w:styleId="ECCHLunderlined">
    <w:name w:val="ECC HL underlined"/>
    <w:uiPriority w:val="1"/>
    <w:qFormat/>
    <w:rsid w:val="009F0B56"/>
    <w:rPr>
      <w:u w:val="single"/>
    </w:rPr>
  </w:style>
  <w:style w:type="character" w:customStyle="1" w:styleId="Verzeichnis1Zchn">
    <w:name w:val="Verzeichnis 1 Zchn"/>
    <w:aliases w:val="ECC Index 1 Zchn"/>
    <w:basedOn w:val="Absatz-Standardschriftart"/>
    <w:link w:val="Verzeichnis1"/>
    <w:uiPriority w:val="39"/>
    <w:semiHidden/>
    <w:rsid w:val="000E4820"/>
    <w:rPr>
      <w:rFonts w:eastAsia="Calibri"/>
      <w:b/>
      <w:noProof/>
    </w:rPr>
  </w:style>
  <w:style w:type="character" w:customStyle="1" w:styleId="ECCHLcyan">
    <w:name w:val="ECC HL cyan"/>
    <w:basedOn w:val="Absatz-Standardschriftart"/>
    <w:uiPriority w:val="1"/>
    <w:qFormat/>
    <w:rsid w:val="009F0B56"/>
    <w:rPr>
      <w:iCs w:val="0"/>
      <w:bdr w:val="none" w:sz="0" w:space="0" w:color="auto"/>
      <w:shd w:val="solid" w:color="00FFFF" w:fill="auto"/>
      <w:lang w:val="en-GB"/>
    </w:rPr>
  </w:style>
  <w:style w:type="character" w:customStyle="1" w:styleId="ECCHLorange">
    <w:name w:val="ECC HL orange"/>
    <w:basedOn w:val="Absatz-Standardschriftart"/>
    <w:uiPriority w:val="1"/>
    <w:qFormat/>
    <w:rsid w:val="009F0B56"/>
    <w:rPr>
      <w:bdr w:val="none" w:sz="0" w:space="0" w:color="auto"/>
      <w:shd w:val="solid" w:color="FFC000" w:fill="auto"/>
    </w:rPr>
  </w:style>
  <w:style w:type="character" w:customStyle="1" w:styleId="ECCHLblue">
    <w:name w:val="ECC HL blue"/>
    <w:basedOn w:val="Absatz-Standardschriftart"/>
    <w:uiPriority w:val="1"/>
    <w:qFormat/>
    <w:rsid w:val="009F0B56"/>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9F0B56"/>
    <w:rPr>
      <w:iCs w:val="0"/>
      <w:color w:val="FFFFFF" w:themeColor="background1"/>
      <w:bdr w:val="none" w:sz="0" w:space="0" w:color="auto"/>
      <w:shd w:val="solid" w:color="008080" w:fill="auto"/>
    </w:rPr>
  </w:style>
  <w:style w:type="character" w:customStyle="1" w:styleId="ECCParagraph">
    <w:name w:val="ECC Paragraph"/>
    <w:basedOn w:val="Absatz-Standardschriftart"/>
    <w:autoRedefine/>
    <w:uiPriority w:val="1"/>
    <w:qFormat/>
    <w:rsid w:val="00537D13"/>
    <w:rPr>
      <w:rFonts w:cs="Times New Roman"/>
      <w:color w:val="auto"/>
      <w:kern w:val="0"/>
      <w:szCs w:val="22"/>
      <w:lang w:val="en-GB"/>
    </w:rPr>
  </w:style>
  <w:style w:type="character" w:customStyle="1" w:styleId="ECCLetterHeadZchn">
    <w:name w:val="ECC Letter Head Zchn"/>
    <w:basedOn w:val="Absatz-Standardschriftart"/>
    <w:link w:val="ECCLetterHead"/>
    <w:rsid w:val="009F0B56"/>
    <w:rPr>
      <w:rFonts w:eastAsia="Calibri"/>
      <w:b/>
      <w:sz w:val="22"/>
      <w:lang w:val="en-GB"/>
    </w:rPr>
  </w:style>
  <w:style w:type="character" w:customStyle="1" w:styleId="ECCHLmagenta">
    <w:name w:val="ECC HL magenta"/>
    <w:basedOn w:val="Absatz-Standardschriftart"/>
    <w:uiPriority w:val="1"/>
    <w:qFormat/>
    <w:rsid w:val="009F0B56"/>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9F0B56"/>
    <w:rPr>
      <w:color w:val="D9D9D9" w:themeColor="background1" w:themeShade="D9"/>
      <w:bdr w:val="none" w:sz="0" w:space="0" w:color="auto"/>
      <w:shd w:val="solid" w:color="B95807" w:fill="auto"/>
    </w:rPr>
  </w:style>
  <w:style w:type="paragraph" w:customStyle="1" w:styleId="ECCBreak">
    <w:name w:val="ECC Break"/>
    <w:next w:val="Standard"/>
    <w:link w:val="ECCBreakZchn"/>
    <w:rsid w:val="009F0B56"/>
    <w:pPr>
      <w:spacing w:before="360"/>
      <w:jc w:val="left"/>
    </w:pPr>
    <w:rPr>
      <w:b/>
      <w:bCs/>
      <w:iCs/>
      <w:szCs w:val="28"/>
    </w:rPr>
  </w:style>
  <w:style w:type="character" w:customStyle="1" w:styleId="ECCBreakZchn">
    <w:name w:val="ECC Break Zchn"/>
    <w:basedOn w:val="Absatz-Standardschriftart"/>
    <w:link w:val="ECCBreak"/>
    <w:rsid w:val="009F0B56"/>
    <w:rPr>
      <w:b/>
      <w:bCs/>
      <w:iCs/>
      <w:szCs w:val="28"/>
    </w:rPr>
  </w:style>
  <w:style w:type="character" w:styleId="Hyperlink">
    <w:name w:val="Hyperlink"/>
    <w:aliases w:val="ECC Hyperlink"/>
    <w:basedOn w:val="Absatz-Standardschriftart"/>
    <w:uiPriority w:val="99"/>
    <w:rsid w:val="009F0B56"/>
    <w:rPr>
      <w:color w:val="0000FF" w:themeColor="hyperlink"/>
      <w:u w:val="single"/>
    </w:rPr>
  </w:style>
  <w:style w:type="paragraph" w:styleId="Beschriftung">
    <w:name w:val="caption"/>
    <w:aliases w:val="ECC Caption"/>
    <w:next w:val="Standard"/>
    <w:qFormat/>
    <w:rsid w:val="009F0B56"/>
    <w:pPr>
      <w:keepLines/>
      <w:tabs>
        <w:tab w:val="left" w:pos="0"/>
        <w:tab w:val="center" w:pos="4820"/>
        <w:tab w:val="right" w:pos="9639"/>
      </w:tabs>
      <w:spacing w:after="240"/>
      <w:contextualSpacing/>
      <w:jc w:val="center"/>
    </w:pPr>
    <w:rPr>
      <w:rFonts w:eastAsia="Calibri"/>
      <w:b/>
      <w:bCs/>
      <w:color w:val="D2232A"/>
    </w:rPr>
  </w:style>
  <w:style w:type="paragraph" w:customStyle="1" w:styleId="ECCTableHeaderredfont">
    <w:name w:val="ECC Table Header red font"/>
    <w:qFormat/>
    <w:rsid w:val="009F0B56"/>
    <w:pPr>
      <w:spacing w:before="120" w:after="120"/>
      <w:jc w:val="left"/>
    </w:pPr>
    <w:rPr>
      <w:rFonts w:eastAsia="Calibri"/>
      <w:bCs/>
      <w:color w:val="D2232A"/>
      <w:lang w:val="en-GB" w:eastAsia="de-DE"/>
    </w:rPr>
  </w:style>
  <w:style w:type="paragraph" w:customStyle="1" w:styleId="ECCpageFooter">
    <w:name w:val="ECC page Footer"/>
    <w:rsid w:val="009F0B56"/>
    <w:pPr>
      <w:tabs>
        <w:tab w:val="left" w:pos="0"/>
        <w:tab w:val="center" w:pos="4820"/>
        <w:tab w:val="right" w:pos="9639"/>
      </w:tabs>
      <w:spacing w:before="0" w:after="0"/>
    </w:pPr>
    <w:rPr>
      <w:rFonts w:eastAsia="Calibri"/>
      <w:b/>
      <w:sz w:val="16"/>
      <w:szCs w:val="22"/>
      <w:lang w:val="de-DE" w:eastAsia="de-DE"/>
    </w:rPr>
  </w:style>
  <w:style w:type="paragraph" w:customStyle="1" w:styleId="ECCpageHeader">
    <w:name w:val="ECC page Header"/>
    <w:rsid w:val="009F0B56"/>
    <w:pPr>
      <w:tabs>
        <w:tab w:val="left" w:pos="0"/>
        <w:tab w:val="center" w:pos="4820"/>
        <w:tab w:val="right" w:pos="9639"/>
      </w:tabs>
      <w:spacing w:before="0" w:after="0"/>
      <w:jc w:val="left"/>
    </w:pPr>
    <w:rPr>
      <w:b/>
      <w:sz w:val="16"/>
    </w:rPr>
  </w:style>
  <w:style w:type="character" w:styleId="Platzhaltertext">
    <w:name w:val="Placeholder Text"/>
    <w:basedOn w:val="Absatz-Standardschriftart"/>
    <w:uiPriority w:val="99"/>
    <w:semiHidden/>
    <w:locked/>
    <w:rsid w:val="00FE538A"/>
    <w:rPr>
      <w:color w:val="808080"/>
    </w:rPr>
  </w:style>
  <w:style w:type="character" w:customStyle="1" w:styleId="ECCHLgrey">
    <w:name w:val="ECC HL grey"/>
    <w:uiPriority w:val="1"/>
    <w:qFormat/>
    <w:rsid w:val="009F0B56"/>
    <w:rPr>
      <w:bdr w:val="none" w:sz="0" w:space="0" w:color="auto"/>
      <w:shd w:val="solid" w:color="BFBFBF" w:themeColor="background1" w:themeShade="BF" w:fill="auto"/>
    </w:rPr>
  </w:style>
  <w:style w:type="character" w:customStyle="1" w:styleId="ECCHLsubscript">
    <w:name w:val="ECC HL subscript"/>
    <w:uiPriority w:val="1"/>
    <w:rsid w:val="009F0B56"/>
    <w:rPr>
      <w:vertAlign w:val="subscript"/>
    </w:rPr>
  </w:style>
  <w:style w:type="character" w:customStyle="1" w:styleId="ECCHLsuperscript">
    <w:name w:val="ECC HL superscript"/>
    <w:uiPriority w:val="99"/>
    <w:rsid w:val="009F0B56"/>
    <w:rPr>
      <w:vertAlign w:val="superscript"/>
    </w:rPr>
  </w:style>
  <w:style w:type="paragraph" w:customStyle="1" w:styleId="ECCTableHeaderwhitefont">
    <w:name w:val="ECC Table Header white font"/>
    <w:qFormat/>
    <w:rsid w:val="009F0B56"/>
    <w:pPr>
      <w:jc w:val="center"/>
    </w:pPr>
    <w:rPr>
      <w:rFonts w:eastAsia="Calibri"/>
      <w:bCs/>
      <w:color w:val="FFFFFF" w:themeColor="background1"/>
      <w:lang w:val="en-GB" w:eastAsia="de-DE"/>
    </w:rPr>
  </w:style>
  <w:style w:type="table" w:styleId="Tabellenraster">
    <w:name w:val="Table Grid"/>
    <w:basedOn w:val="NormaleTabelle"/>
    <w:locked/>
    <w:rsid w:val="006C5C1C"/>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ageECCReport">
    <w:name w:val="cover page 'ECC Report'"/>
    <w:link w:val="coverpageECCReportZchn"/>
    <w:semiHidden/>
    <w:rsid w:val="009F0B56"/>
    <w:pPr>
      <w:shd w:val="clear" w:color="FFFFFF" w:themeColor="background1" w:fill="auto"/>
      <w:spacing w:before="60"/>
    </w:pPr>
    <w:rPr>
      <w:rFonts w:eastAsia="Calibri"/>
      <w:color w:val="FFFFFF" w:themeColor="background1"/>
      <w:sz w:val="68"/>
      <w:szCs w:val="68"/>
      <w:lang w:val="en-GB"/>
    </w:rPr>
  </w:style>
  <w:style w:type="character" w:customStyle="1" w:styleId="coverpageECCReportZchn">
    <w:name w:val="cover page 'ECC Report' Zchn"/>
    <w:basedOn w:val="Absatz-Standardschriftart"/>
    <w:link w:val="coverpageECCReport"/>
    <w:semiHidden/>
    <w:rsid w:val="009F0B56"/>
    <w:rPr>
      <w:rFonts w:eastAsia="Calibri"/>
      <w:color w:val="FFFFFF" w:themeColor="background1"/>
      <w:sz w:val="68"/>
      <w:szCs w:val="68"/>
      <w:shd w:val="clear" w:color="FFFFFF" w:themeColor="background1" w:fill="auto"/>
      <w:lang w:val="en-GB"/>
    </w:rPr>
  </w:style>
  <w:style w:type="character" w:customStyle="1" w:styleId="ECCEquation">
    <w:name w:val="ECC Equation"/>
    <w:basedOn w:val="ECCParagraph"/>
    <w:rsid w:val="005B12CB"/>
    <w:rPr>
      <w:rFonts w:ascii="Arial" w:hAnsi="Arial" w:cs="Times New Roman"/>
      <w:noProof w:val="0"/>
      <w:color w:val="auto"/>
      <w:kern w:val="0"/>
      <w:sz w:val="20"/>
      <w:szCs w:val="22"/>
      <w:bdr w:val="none" w:sz="0" w:space="0" w:color="auto"/>
      <w:lang w:val="en-GB"/>
    </w:rPr>
  </w:style>
  <w:style w:type="paragraph" w:customStyle="1" w:styleId="ECCFiguregraphcentered">
    <w:name w:val="ECC Figure/graph centered"/>
    <w:next w:val="Standard"/>
    <w:rsid w:val="009F0B56"/>
    <w:pPr>
      <w:spacing w:after="240"/>
      <w:jc w:val="center"/>
    </w:pPr>
    <w:rPr>
      <w:rFonts w:eastAsia="Calibri"/>
      <w:noProof/>
      <w:lang w:val="de-DE" w:eastAsia="de-DE"/>
      <w14:cntxtAlts/>
    </w:rPr>
  </w:style>
  <w:style w:type="paragraph" w:styleId="Listenabsatz">
    <w:name w:val="List Paragraph"/>
    <w:basedOn w:val="Standard"/>
    <w:uiPriority w:val="34"/>
    <w:semiHidden/>
    <w:qFormat/>
    <w:locked/>
    <w:rsid w:val="00B1354B"/>
    <w:pPr>
      <w:ind w:left="720"/>
      <w:contextualSpacing/>
    </w:pPr>
  </w:style>
  <w:style w:type="paragraph" w:styleId="Fuzeile">
    <w:name w:val="footer"/>
    <w:basedOn w:val="Standard"/>
    <w:link w:val="FuzeileZchn"/>
    <w:uiPriority w:val="99"/>
    <w:semiHidden/>
    <w:unhideWhenUsed/>
    <w:locked/>
    <w:rsid w:val="00091185"/>
    <w:pPr>
      <w:tabs>
        <w:tab w:val="center" w:pos="4536"/>
        <w:tab w:val="right" w:pos="9072"/>
      </w:tabs>
      <w:spacing w:before="0" w:after="0"/>
    </w:pPr>
  </w:style>
  <w:style w:type="character" w:customStyle="1" w:styleId="FuzeileZchn">
    <w:name w:val="Fußzeile Zchn"/>
    <w:basedOn w:val="Absatz-Standardschriftart"/>
    <w:link w:val="Fuzeile"/>
    <w:uiPriority w:val="99"/>
    <w:semiHidden/>
    <w:rsid w:val="00091185"/>
    <w:rPr>
      <w:rFonts w:eastAsia="Calibri"/>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06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Design ECC">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D674A-C1C2-4F74-92F3-A0D0B2B2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1076</Words>
  <Characters>6783</Characters>
  <Application>Microsoft Office Word</Application>
  <DocSecurity>0</DocSecurity>
  <Lines>56</Lines>
  <Paragraphs>15</Paragraphs>
  <ScaleCrop>false</ScaleCrop>
  <HeadingPairs>
    <vt:vector size="8" baseType="variant">
      <vt:variant>
        <vt:lpstr>Titel</vt:lpstr>
      </vt:variant>
      <vt:variant>
        <vt:i4>1</vt:i4>
      </vt:variant>
      <vt:variant>
        <vt:lpstr>Titre</vt:lpstr>
      </vt:variant>
      <vt:variant>
        <vt:i4>1</vt:i4>
      </vt:variant>
      <vt:variant>
        <vt:lpstr>Title</vt:lpstr>
      </vt:variant>
      <vt:variant>
        <vt:i4>1</vt:i4>
      </vt:variant>
      <vt:variant>
        <vt:lpstr>Название</vt:lpstr>
      </vt:variant>
      <vt:variant>
        <vt:i4>1</vt:i4>
      </vt:variant>
    </vt:vector>
  </HeadingPairs>
  <TitlesOfParts>
    <vt:vector size="4" baseType="lpstr">
      <vt:lpstr>Draft CEPT Brief on AI XX</vt:lpstr>
      <vt:lpstr>Draft CEPT Brief on AI XX</vt:lpstr>
      <vt:lpstr>Draft CEPT Brief on AI XX</vt:lpstr>
      <vt:lpstr>Draft CEPT Brief on AI XX</vt:lpstr>
    </vt:vector>
  </TitlesOfParts>
  <Manager>stella.lyubchenko@eco.cept.org</Manager>
  <Company>ECO</Company>
  <LinksUpToDate>false</LinksUpToDate>
  <CharactersWithSpaces>7844</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creator>Talayeh Hezareh</dc:creator>
  <cp:keywords>CEPT Brief</cp:keywords>
  <dc:description>Output CPG19-3</dc:description>
  <cp:lastModifiedBy>CPG</cp:lastModifiedBy>
  <cp:revision>2</cp:revision>
  <cp:lastPrinted>1900-12-31T23:58:00Z</cp:lastPrinted>
  <dcterms:created xsi:type="dcterms:W3CDTF">2017-03-23T10:38:00Z</dcterms:created>
  <dcterms:modified xsi:type="dcterms:W3CDTF">2017-03-23T10:38:00Z</dcterms:modified>
  <cp:category>protected templates</cp:category>
  <cp:contentStatus>Draft</cp:contentStatus>
</cp:coreProperties>
</file>