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694"/>
        <w:gridCol w:w="3091"/>
        <w:gridCol w:w="4996"/>
      </w:tblGrid>
      <w:tr w:rsidR="003771D5" w:rsidRPr="00275555" w14:paraId="6B498F66" w14:textId="77777777" w:rsidTr="006963BD">
        <w:trPr>
          <w:cantSplit/>
          <w:trHeight w:val="1240"/>
        </w:trPr>
        <w:tc>
          <w:tcPr>
            <w:tcW w:w="4785" w:type="dxa"/>
            <w:gridSpan w:val="2"/>
            <w:tcBorders>
              <w:top w:val="nil"/>
              <w:left w:val="nil"/>
              <w:bottom w:val="nil"/>
              <w:right w:val="nil"/>
            </w:tcBorders>
          </w:tcPr>
          <w:p w14:paraId="26E7B6A4" w14:textId="77777777" w:rsidR="003771D5" w:rsidRPr="00235592" w:rsidRDefault="003771D5" w:rsidP="00BD4E12">
            <w:pPr>
              <w:pStyle w:val="ECCLetterHead"/>
            </w:pPr>
          </w:p>
        </w:tc>
        <w:tc>
          <w:tcPr>
            <w:tcW w:w="4996" w:type="dxa"/>
            <w:tcBorders>
              <w:top w:val="nil"/>
              <w:left w:val="nil"/>
              <w:bottom w:val="nil"/>
              <w:right w:val="nil"/>
            </w:tcBorders>
          </w:tcPr>
          <w:p w14:paraId="22567EC2" w14:textId="6B327DD0" w:rsidR="003771D5" w:rsidRPr="00275555" w:rsidRDefault="000701A5" w:rsidP="00E5396D">
            <w:pPr>
              <w:pStyle w:val="ECCLetterHead"/>
              <w:rPr>
                <w:lang w:val="fr-FR"/>
              </w:rPr>
            </w:pPr>
            <w:r w:rsidRPr="00235592">
              <w:tab/>
            </w:r>
            <w:r w:rsidR="00F61483" w:rsidRPr="00275555">
              <w:rPr>
                <w:lang w:val="fr-FR"/>
              </w:rPr>
              <w:t xml:space="preserve">Doc. </w:t>
            </w:r>
            <w:r w:rsidR="00BA3F75">
              <w:t>CPG</w:t>
            </w:r>
            <w:r w:rsidR="00902E2A" w:rsidRPr="00275555">
              <w:rPr>
                <w:lang w:val="fr-FR"/>
              </w:rPr>
              <w:t>(17)</w:t>
            </w:r>
            <w:r w:rsidR="008E69E0">
              <w:t>0</w:t>
            </w:r>
            <w:r w:rsidR="00BA3F75">
              <w:t>0</w:t>
            </w:r>
            <w:r w:rsidR="008E69E0">
              <w:t>2</w:t>
            </w:r>
            <w:r w:rsidR="005750AB">
              <w:rPr>
                <w:lang w:val="fr-FR"/>
              </w:rPr>
              <w:t xml:space="preserve"> </w:t>
            </w:r>
            <w:r w:rsidR="0075077E">
              <w:t xml:space="preserve">ANNEX </w:t>
            </w:r>
            <w:r w:rsidR="005750AB">
              <w:rPr>
                <w:lang w:val="fr-FR"/>
              </w:rPr>
              <w:t>IV-</w:t>
            </w:r>
            <w:r w:rsidR="005750AB">
              <w:t>14</w:t>
            </w:r>
          </w:p>
        </w:tc>
      </w:tr>
      <w:tr w:rsidR="00BA3F75" w:rsidRPr="00DD6CE9" w14:paraId="5E999A6C" w14:textId="77777777" w:rsidTr="00FF6A0F">
        <w:tblPrEx>
          <w:tblCellMar>
            <w:left w:w="108" w:type="dxa"/>
            <w:right w:w="108" w:type="dxa"/>
          </w:tblCellMar>
        </w:tblPrEx>
        <w:trPr>
          <w:cantSplit/>
          <w:trHeight w:val="405"/>
        </w:trPr>
        <w:tc>
          <w:tcPr>
            <w:tcW w:w="9781" w:type="dxa"/>
            <w:gridSpan w:val="3"/>
            <w:tcBorders>
              <w:top w:val="nil"/>
              <w:left w:val="nil"/>
              <w:bottom w:val="nil"/>
              <w:right w:val="nil"/>
            </w:tcBorders>
            <w:shd w:val="clear" w:color="auto" w:fill="auto"/>
            <w:vAlign w:val="center"/>
          </w:tcPr>
          <w:p w14:paraId="000F1B5E" w14:textId="4A657840" w:rsidR="00BA3F75" w:rsidRPr="00BA3F75" w:rsidRDefault="00BA3F75" w:rsidP="00BA3F75">
            <w:pPr>
              <w:pStyle w:val="ECCLetterHead"/>
            </w:pPr>
            <w:r w:rsidRPr="0011705C">
              <w:t>CPG</w:t>
            </w:r>
            <w:r w:rsidRPr="00BA3F75">
              <w:t>19-3</w:t>
            </w:r>
          </w:p>
        </w:tc>
      </w:tr>
      <w:tr w:rsidR="00BA3F75" w:rsidRPr="00DD6CE9" w14:paraId="58157D83" w14:textId="77777777" w:rsidTr="00FF6A0F">
        <w:tblPrEx>
          <w:tblCellMar>
            <w:left w:w="108" w:type="dxa"/>
            <w:right w:w="108" w:type="dxa"/>
          </w:tblCellMar>
        </w:tblPrEx>
        <w:trPr>
          <w:cantSplit/>
          <w:trHeight w:val="405"/>
        </w:trPr>
        <w:tc>
          <w:tcPr>
            <w:tcW w:w="9781" w:type="dxa"/>
            <w:gridSpan w:val="3"/>
            <w:tcBorders>
              <w:top w:val="nil"/>
              <w:left w:val="nil"/>
              <w:bottom w:val="nil"/>
              <w:right w:val="nil"/>
            </w:tcBorders>
            <w:vAlign w:val="center"/>
          </w:tcPr>
          <w:p w14:paraId="45C600B2" w14:textId="5DF0FD60" w:rsidR="00BA3F75" w:rsidRPr="00BA3F75" w:rsidRDefault="00BA3F75" w:rsidP="00BA3F75">
            <w:pPr>
              <w:pStyle w:val="ECCLetterHead"/>
            </w:pPr>
            <w:r>
              <w:t>Vienna</w:t>
            </w:r>
            <w:r w:rsidR="006115ED">
              <w:t>, Austria, 14</w:t>
            </w:r>
            <w:r w:rsidR="006115ED" w:rsidRPr="006115ED">
              <w:rPr>
                <w:vertAlign w:val="superscript"/>
              </w:rPr>
              <w:t>th</w:t>
            </w:r>
            <w:r w:rsidR="006115ED">
              <w:t xml:space="preserve"> - 17</w:t>
            </w:r>
            <w:r w:rsidR="006115ED" w:rsidRPr="006115ED">
              <w:rPr>
                <w:vertAlign w:val="superscript"/>
              </w:rPr>
              <w:t>th</w:t>
            </w:r>
            <w:r w:rsidR="006115ED">
              <w:t xml:space="preserve"> </w:t>
            </w:r>
            <w:r w:rsidRPr="00BA3F75">
              <w:t>March 2017</w:t>
            </w:r>
          </w:p>
        </w:tc>
      </w:tr>
      <w:tr w:rsidR="00BA3F75" w:rsidRPr="00235592" w14:paraId="3C3B0BCA" w14:textId="77777777" w:rsidTr="00FF6A0F">
        <w:tblPrEx>
          <w:tblCellMar>
            <w:left w:w="108" w:type="dxa"/>
            <w:right w:w="108" w:type="dxa"/>
          </w:tblCellMar>
        </w:tblPrEx>
        <w:trPr>
          <w:cantSplit/>
          <w:trHeight w:hRule="exact" w:val="79"/>
        </w:trPr>
        <w:tc>
          <w:tcPr>
            <w:tcW w:w="4785" w:type="dxa"/>
            <w:gridSpan w:val="2"/>
            <w:tcBorders>
              <w:top w:val="nil"/>
              <w:left w:val="nil"/>
              <w:bottom w:val="nil"/>
              <w:right w:val="nil"/>
            </w:tcBorders>
            <w:vAlign w:val="center"/>
          </w:tcPr>
          <w:p w14:paraId="4B7CE40E" w14:textId="77777777" w:rsidR="00BA3F75" w:rsidRPr="006D237D" w:rsidRDefault="00BA3F75" w:rsidP="00BA3F75">
            <w:pPr>
              <w:pStyle w:val="ECCLetterHead"/>
            </w:pPr>
          </w:p>
        </w:tc>
        <w:tc>
          <w:tcPr>
            <w:tcW w:w="4996" w:type="dxa"/>
            <w:tcBorders>
              <w:top w:val="nil"/>
              <w:left w:val="nil"/>
              <w:bottom w:val="nil"/>
              <w:right w:val="nil"/>
            </w:tcBorders>
            <w:vAlign w:val="center"/>
          </w:tcPr>
          <w:p w14:paraId="1145C248" w14:textId="77777777" w:rsidR="00BA3F75" w:rsidRPr="006963BD" w:rsidRDefault="00BA3F75" w:rsidP="00BA3F75">
            <w:pPr>
              <w:pStyle w:val="ECCLetterHead"/>
            </w:pPr>
          </w:p>
        </w:tc>
      </w:tr>
      <w:tr w:rsidR="00BA3F75" w:rsidRPr="00235592" w14:paraId="3E80E84F" w14:textId="77777777" w:rsidTr="00FF6A0F">
        <w:tblPrEx>
          <w:tblCellMar>
            <w:left w:w="108" w:type="dxa"/>
            <w:right w:w="108" w:type="dxa"/>
          </w:tblCellMar>
        </w:tblPrEx>
        <w:trPr>
          <w:cantSplit/>
          <w:trHeight w:val="405"/>
        </w:trPr>
        <w:tc>
          <w:tcPr>
            <w:tcW w:w="1694" w:type="dxa"/>
            <w:tcBorders>
              <w:top w:val="nil"/>
              <w:left w:val="nil"/>
              <w:bottom w:val="nil"/>
              <w:right w:val="nil"/>
            </w:tcBorders>
            <w:vAlign w:val="center"/>
          </w:tcPr>
          <w:p w14:paraId="404010BC" w14:textId="11DEFE37" w:rsidR="00BA3F75" w:rsidRPr="00BA3F75" w:rsidRDefault="00BA3F75" w:rsidP="00BA3F75">
            <w:pPr>
              <w:pStyle w:val="ECCLetterHead"/>
            </w:pPr>
            <w:r w:rsidRPr="00A3755D">
              <w:t xml:space="preserve">Date issued: </w:t>
            </w:r>
          </w:p>
        </w:tc>
        <w:tc>
          <w:tcPr>
            <w:tcW w:w="8087" w:type="dxa"/>
            <w:gridSpan w:val="2"/>
            <w:tcBorders>
              <w:top w:val="nil"/>
              <w:left w:val="nil"/>
              <w:bottom w:val="nil"/>
              <w:right w:val="nil"/>
            </w:tcBorders>
            <w:vAlign w:val="center"/>
          </w:tcPr>
          <w:p w14:paraId="74CED9A8" w14:textId="48E11A8B" w:rsidR="00BA3F75" w:rsidRPr="00BA3F75" w:rsidRDefault="001E5173" w:rsidP="00566712">
            <w:pPr>
              <w:pStyle w:val="ECCLetterHead"/>
            </w:pPr>
            <w:r>
              <w:t>17</w:t>
            </w:r>
            <w:r w:rsidRPr="001E5173">
              <w:rPr>
                <w:vertAlign w:val="superscript"/>
              </w:rPr>
              <w:t>th</w:t>
            </w:r>
            <w:r>
              <w:t xml:space="preserve"> March 2017</w:t>
            </w:r>
          </w:p>
        </w:tc>
      </w:tr>
      <w:tr w:rsidR="006963BD" w:rsidRPr="00235592" w14:paraId="79072A81" w14:textId="77777777" w:rsidTr="00FF6A0F">
        <w:tblPrEx>
          <w:tblCellMar>
            <w:left w:w="108" w:type="dxa"/>
            <w:right w:w="108" w:type="dxa"/>
          </w:tblCellMar>
        </w:tblPrEx>
        <w:trPr>
          <w:cantSplit/>
          <w:trHeight w:val="405"/>
        </w:trPr>
        <w:tc>
          <w:tcPr>
            <w:tcW w:w="1694" w:type="dxa"/>
            <w:tcBorders>
              <w:top w:val="nil"/>
              <w:left w:val="nil"/>
              <w:bottom w:val="nil"/>
              <w:right w:val="nil"/>
            </w:tcBorders>
            <w:vAlign w:val="center"/>
          </w:tcPr>
          <w:p w14:paraId="725CF64A" w14:textId="77777777" w:rsidR="006963BD" w:rsidRPr="006963BD" w:rsidRDefault="006963BD" w:rsidP="006963BD">
            <w:pPr>
              <w:pStyle w:val="ECCLetterHead"/>
            </w:pPr>
            <w:r w:rsidRPr="006963BD">
              <w:t xml:space="preserve">Source: </w:t>
            </w:r>
          </w:p>
        </w:tc>
        <w:tc>
          <w:tcPr>
            <w:tcW w:w="8087" w:type="dxa"/>
            <w:gridSpan w:val="2"/>
            <w:tcBorders>
              <w:top w:val="nil"/>
              <w:left w:val="nil"/>
              <w:bottom w:val="nil"/>
              <w:right w:val="nil"/>
            </w:tcBorders>
            <w:vAlign w:val="center"/>
          </w:tcPr>
          <w:p w14:paraId="73615BAE" w14:textId="217A4840" w:rsidR="006963BD" w:rsidRPr="006963BD" w:rsidRDefault="001E5173" w:rsidP="008E69E0">
            <w:pPr>
              <w:pStyle w:val="ECCLetterHead"/>
            </w:pPr>
            <w:r>
              <w:t>CPG19-3</w:t>
            </w:r>
            <w:r w:rsidR="00E5396D">
              <w:t xml:space="preserve"> minutes</w:t>
            </w:r>
          </w:p>
        </w:tc>
      </w:tr>
      <w:tr w:rsidR="006963BD" w:rsidRPr="00235592" w14:paraId="6E0CD754" w14:textId="77777777" w:rsidTr="00FF6A0F">
        <w:tblPrEx>
          <w:tblCellMar>
            <w:left w:w="108" w:type="dxa"/>
            <w:right w:w="108" w:type="dxa"/>
          </w:tblCellMar>
        </w:tblPrEx>
        <w:trPr>
          <w:cantSplit/>
          <w:trHeight w:val="405"/>
        </w:trPr>
        <w:tc>
          <w:tcPr>
            <w:tcW w:w="1694" w:type="dxa"/>
            <w:tcBorders>
              <w:top w:val="nil"/>
              <w:left w:val="nil"/>
              <w:bottom w:val="nil"/>
              <w:right w:val="nil"/>
            </w:tcBorders>
            <w:vAlign w:val="center"/>
          </w:tcPr>
          <w:p w14:paraId="22F6804A" w14:textId="77777777" w:rsidR="006963BD" w:rsidRPr="006963BD" w:rsidRDefault="006963BD" w:rsidP="006963BD">
            <w:pPr>
              <w:pStyle w:val="ECCLetterHead"/>
            </w:pPr>
            <w:r w:rsidRPr="006963BD">
              <w:t xml:space="preserve">Subject: </w:t>
            </w:r>
          </w:p>
        </w:tc>
        <w:tc>
          <w:tcPr>
            <w:tcW w:w="8087" w:type="dxa"/>
            <w:gridSpan w:val="2"/>
            <w:tcBorders>
              <w:top w:val="nil"/>
              <w:left w:val="nil"/>
              <w:bottom w:val="nil"/>
              <w:right w:val="nil"/>
            </w:tcBorders>
            <w:vAlign w:val="center"/>
          </w:tcPr>
          <w:p w14:paraId="65A4603C" w14:textId="3A9F2ABB" w:rsidR="006963BD" w:rsidRPr="006963BD" w:rsidRDefault="006963BD" w:rsidP="00E5396D">
            <w:pPr>
              <w:pStyle w:val="ECCLetterHead"/>
            </w:pPr>
            <w:r w:rsidRPr="006963BD">
              <w:t xml:space="preserve">Draft CEPT Brief on WRC-19 Agenda </w:t>
            </w:r>
            <w:r w:rsidR="00E5396D">
              <w:t>i</w:t>
            </w:r>
            <w:r w:rsidRPr="006963BD">
              <w:t>tem 1.</w:t>
            </w:r>
            <w:r>
              <w:t>14</w:t>
            </w:r>
          </w:p>
        </w:tc>
      </w:tr>
      <w:tr w:rsidR="003771D5" w:rsidRPr="00235592" w14:paraId="5E588F7F" w14:textId="77777777" w:rsidTr="00FF6A0F">
        <w:tblPrEx>
          <w:tblCellMar>
            <w:left w:w="108" w:type="dxa"/>
            <w:right w:w="108" w:type="dxa"/>
          </w:tblCellMar>
        </w:tblPrEx>
        <w:trPr>
          <w:cantSplit/>
          <w:trHeight w:hRule="exact" w:val="74"/>
        </w:trPr>
        <w:tc>
          <w:tcPr>
            <w:tcW w:w="9781" w:type="dxa"/>
            <w:gridSpan w:val="3"/>
            <w:tcBorders>
              <w:top w:val="nil"/>
              <w:left w:val="nil"/>
              <w:bottom w:val="single" w:sz="6" w:space="0" w:color="C00000"/>
              <w:right w:val="nil"/>
            </w:tcBorders>
            <w:vAlign w:val="center"/>
          </w:tcPr>
          <w:p w14:paraId="7DADA32E" w14:textId="77777777" w:rsidR="003771D5" w:rsidRPr="00235592" w:rsidRDefault="003771D5" w:rsidP="00BD4E12">
            <w:pPr>
              <w:rPr>
                <w:rStyle w:val="ECCParagraph"/>
              </w:rPr>
            </w:pPr>
          </w:p>
          <w:p w14:paraId="095A0AAF" w14:textId="77777777" w:rsidR="003771D5" w:rsidRPr="00235592" w:rsidRDefault="003771D5" w:rsidP="00BD4E12">
            <w:pPr>
              <w:pStyle w:val="ECCLetterHead"/>
            </w:pPr>
          </w:p>
        </w:tc>
      </w:tr>
      <w:tr w:rsidR="003771D5" w:rsidRPr="00235592" w14:paraId="5C52F26C" w14:textId="77777777" w:rsidTr="00696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3"/>
            <w:tcBorders>
              <w:top w:val="single" w:sz="6" w:space="0" w:color="C00000"/>
              <w:left w:val="single" w:sz="6" w:space="0" w:color="C00000"/>
              <w:bottom w:val="nil"/>
              <w:right w:val="single" w:sz="6" w:space="0" w:color="C00000"/>
            </w:tcBorders>
            <w:vAlign w:val="center"/>
          </w:tcPr>
          <w:p w14:paraId="0685F69F" w14:textId="77777777" w:rsidR="003771D5" w:rsidRPr="00235592" w:rsidRDefault="003771D5" w:rsidP="003A68D5">
            <w:pPr>
              <w:pStyle w:val="ECCLetterHead"/>
            </w:pPr>
            <w:r w:rsidRPr="00235592">
              <w:t xml:space="preserve">Summary: </w:t>
            </w:r>
          </w:p>
        </w:tc>
      </w:tr>
      <w:tr w:rsidR="003771D5" w:rsidRPr="00235592" w14:paraId="606E6697" w14:textId="77777777" w:rsidTr="00696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3"/>
            <w:tcBorders>
              <w:top w:val="nil"/>
              <w:left w:val="single" w:sz="6" w:space="0" w:color="C00000"/>
              <w:bottom w:val="single" w:sz="6" w:space="0" w:color="C00000"/>
              <w:right w:val="single" w:sz="6" w:space="0" w:color="C00000"/>
            </w:tcBorders>
          </w:tcPr>
          <w:p w14:paraId="377D63E7" w14:textId="38A1DEEF" w:rsidR="00D5316B" w:rsidRPr="00235592" w:rsidRDefault="00D5316B" w:rsidP="003E789B">
            <w:pPr>
              <w:pStyle w:val="ECCTabletext"/>
            </w:pPr>
          </w:p>
        </w:tc>
      </w:tr>
      <w:tr w:rsidR="003771D5" w:rsidRPr="00235592" w14:paraId="0D11A71E" w14:textId="77777777" w:rsidTr="00696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14:paraId="06628840" w14:textId="77777777" w:rsidR="003771D5" w:rsidRPr="00235592" w:rsidRDefault="003771D5" w:rsidP="003A68D5">
            <w:pPr>
              <w:pStyle w:val="ECCLetterHead"/>
            </w:pPr>
            <w:r w:rsidRPr="00235592">
              <w:t>Proposal:</w:t>
            </w:r>
          </w:p>
        </w:tc>
      </w:tr>
      <w:tr w:rsidR="003771D5" w:rsidRPr="00235592" w14:paraId="5FD115DC" w14:textId="77777777" w:rsidTr="006963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9781" w:type="dxa"/>
            <w:gridSpan w:val="3"/>
            <w:tcBorders>
              <w:top w:val="nil"/>
              <w:left w:val="single" w:sz="6" w:space="0" w:color="C00000"/>
              <w:bottom w:val="single" w:sz="6" w:space="0" w:color="C00000"/>
              <w:right w:val="single" w:sz="6" w:space="0" w:color="C00000"/>
            </w:tcBorders>
          </w:tcPr>
          <w:p w14:paraId="7944CF49" w14:textId="34F2529D" w:rsidR="006764E2" w:rsidRPr="00235592" w:rsidRDefault="006764E2" w:rsidP="003E789B">
            <w:pPr>
              <w:pStyle w:val="ECCTabletext"/>
            </w:pPr>
          </w:p>
        </w:tc>
      </w:tr>
    </w:tbl>
    <w:p w14:paraId="734079F4" w14:textId="77777777" w:rsidR="003771D5" w:rsidRPr="00235592" w:rsidRDefault="003771D5" w:rsidP="00BD4E12">
      <w:pPr>
        <w:rPr>
          <w:rStyle w:val="ECCParagraph"/>
        </w:rPr>
      </w:pPr>
      <w:r w:rsidRPr="00235592">
        <w:rPr>
          <w:rStyle w:val="ECCParagraph"/>
        </w:rPr>
        <w:br w:type="page"/>
      </w:r>
    </w:p>
    <w:p w14:paraId="0B93681A" w14:textId="77777777" w:rsidR="003771D5" w:rsidRPr="00235592" w:rsidRDefault="003771D5" w:rsidP="003A68D5">
      <w:pPr>
        <w:pStyle w:val="ECCHeadingnonumbering"/>
        <w:rPr>
          <w:lang w:val="en-GB"/>
        </w:rPr>
      </w:pPr>
      <w:r w:rsidRPr="00235592">
        <w:rPr>
          <w:lang w:val="en-GB"/>
        </w:rPr>
        <w:lastRenderedPageBreak/>
        <w:t>DRAFT</w:t>
      </w:r>
      <w:r w:rsidR="005F6F37">
        <w:rPr>
          <w:lang w:val="en-GB"/>
        </w:rPr>
        <w:t xml:space="preserve"> CEPT BRIEF ON AGENDA ITEM 1.14</w:t>
      </w:r>
      <w:r w:rsidRPr="00235592">
        <w:rPr>
          <w:lang w:val="en-GB"/>
        </w:rPr>
        <w:t xml:space="preserve"> </w:t>
      </w:r>
    </w:p>
    <w:p w14:paraId="310D54A2" w14:textId="77777777" w:rsidR="003771D5" w:rsidRPr="00235592" w:rsidRDefault="00B27B72" w:rsidP="00BD4E12">
      <w:pPr>
        <w:rPr>
          <w:rStyle w:val="ECCParagraph"/>
        </w:rPr>
      </w:pPr>
      <w:r>
        <w:rPr>
          <w:rStyle w:val="ECCParagraph"/>
        </w:rPr>
        <w:t>1.14</w:t>
      </w:r>
      <w:r w:rsidR="003771D5" w:rsidRPr="00235592">
        <w:rPr>
          <w:rStyle w:val="ECCParagraph"/>
        </w:rPr>
        <w:tab/>
      </w:r>
      <w:r w:rsidRPr="00B27B72">
        <w:t>to consider, on the basis of ITU</w:t>
      </w:r>
      <w:r w:rsidRPr="00B27B72">
        <w:noBreakHyphen/>
        <w:t>R studies in accordance with Resolution </w:t>
      </w:r>
      <w:r w:rsidR="0097548E" w:rsidRPr="00F647F7">
        <w:rPr>
          <w:rStyle w:val="ECCHLbold"/>
        </w:rPr>
        <w:t>160 </w:t>
      </w:r>
      <w:r w:rsidRPr="00F647F7">
        <w:rPr>
          <w:rStyle w:val="ECCHLbold"/>
        </w:rPr>
        <w:t>(WRC</w:t>
      </w:r>
      <w:r w:rsidRPr="00F647F7">
        <w:rPr>
          <w:rStyle w:val="ECCHLbold"/>
        </w:rPr>
        <w:noBreakHyphen/>
        <w:t>15)</w:t>
      </w:r>
      <w:r w:rsidRPr="00B27B72">
        <w:t>, appropriate regulatory actions for high-altitude platform stations (HAPS), within existing fixed-service allocations</w:t>
      </w:r>
    </w:p>
    <w:p w14:paraId="6774A49D" w14:textId="77777777" w:rsidR="000B2858" w:rsidRPr="000B2858" w:rsidRDefault="003771D5" w:rsidP="007A3C12">
      <w:pPr>
        <w:pStyle w:val="berschrift1"/>
      </w:pPr>
      <w:r w:rsidRPr="00235592">
        <w:rPr>
          <w:lang w:val="en-GB"/>
        </w:rPr>
        <w:t>ISSUE</w:t>
      </w:r>
    </w:p>
    <w:p w14:paraId="35A6582F" w14:textId="31EB405D" w:rsidR="00B87328" w:rsidRPr="00A5400D" w:rsidRDefault="00EB7809" w:rsidP="00EB7809">
      <w:pPr>
        <w:rPr>
          <w:rStyle w:val="ECCHLbold"/>
        </w:rPr>
      </w:pPr>
      <w:r w:rsidRPr="00A5400D">
        <w:rPr>
          <w:rStyle w:val="ECCHLbold"/>
        </w:rPr>
        <w:t xml:space="preserve">Resolution 160 (WRC-15) resolves to invite ITU-R: </w:t>
      </w:r>
    </w:p>
    <w:p w14:paraId="4991C8D5" w14:textId="77777777" w:rsidR="00B87328" w:rsidRPr="00114B8A" w:rsidRDefault="00B87328" w:rsidP="00B87328">
      <w:pPr>
        <w:pStyle w:val="ECCNumberedList"/>
        <w:rPr>
          <w:rStyle w:val="ECCParagraph"/>
        </w:rPr>
      </w:pPr>
      <w:r w:rsidRPr="00114B8A">
        <w:rPr>
          <w:rStyle w:val="ECCParagraph"/>
        </w:rPr>
        <w:t>study additional spectrum needs for gateway and fixed terminal links for HAPS to provide broadband connectivity in the fixed service taking into account:</w:t>
      </w:r>
    </w:p>
    <w:p w14:paraId="78D27156" w14:textId="77777777" w:rsidR="00B87328" w:rsidRPr="00114B8A" w:rsidRDefault="00B87328" w:rsidP="00B87328">
      <w:pPr>
        <w:pStyle w:val="ECCBulletsLv3"/>
        <w:rPr>
          <w:rStyle w:val="ECCParagraph"/>
        </w:rPr>
      </w:pPr>
      <w:r w:rsidRPr="00114B8A">
        <w:rPr>
          <w:rStyle w:val="ECCParagraph"/>
        </w:rPr>
        <w:t>the existing identifications and deployments of HAPS systems;</w:t>
      </w:r>
    </w:p>
    <w:p w14:paraId="3C52E7E7" w14:textId="77777777" w:rsidR="00B87328" w:rsidRPr="00114B8A" w:rsidRDefault="00B87328" w:rsidP="00B87328">
      <w:pPr>
        <w:pStyle w:val="ECCBulletsLv3"/>
        <w:rPr>
          <w:rStyle w:val="ECCParagraph"/>
        </w:rPr>
      </w:pPr>
      <w:r w:rsidRPr="00114B8A">
        <w:rPr>
          <w:rStyle w:val="ECCParagraph"/>
        </w:rPr>
        <w:t>the deployment scenarios envisioned for HAPS broadband systems and related requirements such as in remote areas;</w:t>
      </w:r>
    </w:p>
    <w:p w14:paraId="539765E7" w14:textId="77777777" w:rsidR="00B87328" w:rsidRPr="00114B8A" w:rsidRDefault="00B87328" w:rsidP="00B87328">
      <w:pPr>
        <w:pStyle w:val="ECCBulletsLv3"/>
        <w:rPr>
          <w:rStyle w:val="ECCParagraph"/>
        </w:rPr>
      </w:pPr>
      <w:r w:rsidRPr="00114B8A">
        <w:rPr>
          <w:rStyle w:val="ECCParagraph"/>
        </w:rPr>
        <w:t>the technical and operational characteristics of HAPS systems, including the evolution of HAPS through advances in technology and spectrally-efficient techniques, and their deployment;</w:t>
      </w:r>
    </w:p>
    <w:p w14:paraId="722D38B7" w14:textId="77777777" w:rsidR="00B87328" w:rsidRPr="00114B8A" w:rsidRDefault="00B87328" w:rsidP="00B87328">
      <w:pPr>
        <w:pStyle w:val="ECCNumberedList"/>
        <w:rPr>
          <w:rStyle w:val="ECCParagraph"/>
        </w:rPr>
      </w:pPr>
      <w:r w:rsidRPr="00114B8A">
        <w:rPr>
          <w:rStyle w:val="ECCParagraph"/>
        </w:rPr>
        <w:t>study the suitability of using the existing identifications in recognizing c), on a global or regional level, taking into account the regulatory provisions, such as geographical and technical restrictions associated with existing HAPS identifications based on the study performed in resolves to invite ITU-R 1;</w:t>
      </w:r>
    </w:p>
    <w:p w14:paraId="4BE5B09A" w14:textId="77777777" w:rsidR="00B87328" w:rsidRPr="00114B8A" w:rsidRDefault="00B87328" w:rsidP="00B87328">
      <w:pPr>
        <w:pStyle w:val="ECCNumberedList"/>
        <w:rPr>
          <w:rStyle w:val="ECCParagraph"/>
        </w:rPr>
      </w:pPr>
      <w:r w:rsidRPr="00114B8A">
        <w:rPr>
          <w:rStyle w:val="ECCParagraph"/>
        </w:rPr>
        <w:t>study appropriate modifications to the existing footnotes and associated resolutions in the identifications in recognizing c) in order to facilitate the use of HAPS links on a global or regional level, limited to the currently identified frequency bands and, where the use of an identification is not technically feasible for HAPS use, consider the possible removal of the unsuitable identification;</w:t>
      </w:r>
    </w:p>
    <w:p w14:paraId="45B4E1FB" w14:textId="77777777" w:rsidR="00B87328" w:rsidRPr="00114B8A" w:rsidRDefault="00B87328" w:rsidP="00B87328">
      <w:pPr>
        <w:pStyle w:val="ECCNumberedList"/>
        <w:rPr>
          <w:rStyle w:val="ECCParagraph"/>
        </w:rPr>
      </w:pPr>
      <w:r w:rsidRPr="00114B8A">
        <w:rPr>
          <w:rStyle w:val="ECCParagraph"/>
        </w:rPr>
        <w:t>to study, in order to meet any spectrum needs which could not be satisfied under resolves to invite ITU-R 2 and 3, for the use of gateway and fixed terminal links for HAPS, the following frequency bands already allocated to the fixed service on a primary basis, not subject to Appendices 30, 30A, and 30B in any region:</w:t>
      </w:r>
    </w:p>
    <w:p w14:paraId="474E3273" w14:textId="77777777" w:rsidR="00B87328" w:rsidRPr="00114B8A" w:rsidRDefault="00B87328" w:rsidP="00B87328">
      <w:pPr>
        <w:pStyle w:val="ECCBulletsLv3"/>
        <w:rPr>
          <w:rStyle w:val="ECCParagraph"/>
        </w:rPr>
      </w:pPr>
      <w:r w:rsidRPr="00114B8A">
        <w:rPr>
          <w:rStyle w:val="ECCParagraph"/>
        </w:rPr>
        <w:t>on a global level: 38-39.5 GHz, and</w:t>
      </w:r>
    </w:p>
    <w:p w14:paraId="1DF23E92" w14:textId="77777777" w:rsidR="00B87328" w:rsidRPr="00114B8A" w:rsidRDefault="00B87328" w:rsidP="00B87328">
      <w:pPr>
        <w:pStyle w:val="ECCBulletsLv3"/>
        <w:rPr>
          <w:rStyle w:val="ECCParagraph"/>
        </w:rPr>
      </w:pPr>
      <w:r w:rsidRPr="00114B8A">
        <w:rPr>
          <w:rStyle w:val="ECCParagraph"/>
        </w:rPr>
        <w:t>on a regional level: in Region 2, 21.4-22 GHz and 24.25-27.5 GHz,</w:t>
      </w:r>
    </w:p>
    <w:p w14:paraId="715723E1" w14:textId="77777777" w:rsidR="00B87328" w:rsidRPr="00114B8A" w:rsidRDefault="00B87328" w:rsidP="00654D49">
      <w:pPr>
        <w:pStyle w:val="ECCBulletsLv3"/>
        <w:numPr>
          <w:ilvl w:val="0"/>
          <w:numId w:val="0"/>
        </w:numPr>
        <w:ind w:left="1020"/>
        <w:rPr>
          <w:rStyle w:val="ECCParagraph"/>
        </w:rPr>
      </w:pPr>
    </w:p>
    <w:p w14:paraId="37085B76" w14:textId="77777777" w:rsidR="00B87328" w:rsidRPr="00406E9C" w:rsidRDefault="00B87328" w:rsidP="00B87328">
      <w:pPr>
        <w:pStyle w:val="ECCBulletsLv3"/>
        <w:numPr>
          <w:ilvl w:val="0"/>
          <w:numId w:val="0"/>
        </w:numPr>
        <w:rPr>
          <w:rStyle w:val="SchwacheHervorhebung"/>
        </w:rPr>
      </w:pPr>
      <w:proofErr w:type="gramStart"/>
      <w:r w:rsidRPr="00406E9C">
        <w:rPr>
          <w:rStyle w:val="SchwacheHervorhebung"/>
        </w:rPr>
        <w:t>further</w:t>
      </w:r>
      <w:proofErr w:type="gramEnd"/>
      <w:r w:rsidRPr="00406E9C">
        <w:rPr>
          <w:rStyle w:val="SchwacheHervorhebung"/>
        </w:rPr>
        <w:t xml:space="preserve"> resolves</w:t>
      </w:r>
    </w:p>
    <w:p w14:paraId="56A986EC" w14:textId="77777777" w:rsidR="00B87328" w:rsidRPr="00114B8A" w:rsidRDefault="00B87328" w:rsidP="00E5396D">
      <w:pPr>
        <w:pStyle w:val="ECCNumberedList"/>
        <w:numPr>
          <w:ilvl w:val="0"/>
          <w:numId w:val="42"/>
        </w:numPr>
        <w:rPr>
          <w:rStyle w:val="ECCParagraph"/>
        </w:rPr>
      </w:pPr>
      <w:r w:rsidRPr="00114B8A">
        <w:rPr>
          <w:rStyle w:val="ECCParagraph"/>
        </w:rPr>
        <w:t>that the studies referred to in resolves to invite ITU-R 3 and 4 include sharing and compatibility studies to ensure protection of existing services allocated in the frequency ranges identified and, as appropriate, adjacent band studies, taking into account studies already performed in ITU-R.</w:t>
      </w:r>
    </w:p>
    <w:p w14:paraId="14F304C6" w14:textId="77777777" w:rsidR="00B87328" w:rsidRPr="00114B8A" w:rsidRDefault="00B87328" w:rsidP="00B87328">
      <w:pPr>
        <w:pStyle w:val="ECCNumberedList"/>
        <w:rPr>
          <w:rStyle w:val="ECCParagraph"/>
        </w:rPr>
      </w:pPr>
      <w:r w:rsidRPr="00114B8A">
        <w:rPr>
          <w:rStyle w:val="ECCParagraph"/>
        </w:rPr>
        <w:t>that modifications studied under resolves to invite ITU-R 3 shall not consider the use of HAPS links in the frequency bands subject to Appendix 30B;</w:t>
      </w:r>
    </w:p>
    <w:p w14:paraId="6A285577" w14:textId="11F8E843" w:rsidR="0006218D" w:rsidRPr="00B87328" w:rsidRDefault="00B87328" w:rsidP="00EB7809">
      <w:pPr>
        <w:pStyle w:val="ECCNumberedList"/>
        <w:rPr>
          <w:rStyle w:val="ECCHLgrey"/>
          <w:shd w:val="clear" w:color="auto" w:fill="auto"/>
        </w:rPr>
      </w:pPr>
      <w:r w:rsidRPr="00114B8A">
        <w:rPr>
          <w:rStyle w:val="ECCParagraph"/>
        </w:rPr>
        <w:t>to develop ITU-R Recommendations and Reports, as appropriate, on the basis of the studies called for in resolves to invite ITU-R 1, 2, 3, and 4 above,</w:t>
      </w:r>
    </w:p>
    <w:p w14:paraId="380F4B0A" w14:textId="77777777" w:rsidR="003771D5" w:rsidRDefault="003771D5" w:rsidP="00BD4E12">
      <w:pPr>
        <w:pStyle w:val="berschrift1"/>
      </w:pPr>
      <w:r w:rsidRPr="00235592">
        <w:rPr>
          <w:lang w:val="en-GB"/>
        </w:rPr>
        <w:t xml:space="preserve">Preliminary CEPT position </w:t>
      </w:r>
    </w:p>
    <w:p w14:paraId="3DBE8A03" w14:textId="22587845" w:rsidR="00902411" w:rsidRPr="00A5400D" w:rsidRDefault="006779A6" w:rsidP="00B47186">
      <w:pPr>
        <w:pStyle w:val="ECCBulletsLv1"/>
        <w:rPr>
          <w:rStyle w:val="ECCParagraph"/>
        </w:rPr>
      </w:pPr>
      <w:r w:rsidRPr="00A5400D">
        <w:rPr>
          <w:rStyle w:val="ECCParagraph"/>
        </w:rPr>
        <w:t xml:space="preserve">CEPT supports consideration of this </w:t>
      </w:r>
      <w:r w:rsidR="002A675F" w:rsidRPr="00A5400D">
        <w:rPr>
          <w:rStyle w:val="ECCParagraph"/>
        </w:rPr>
        <w:t>A</w:t>
      </w:r>
      <w:r w:rsidRPr="00A5400D">
        <w:rPr>
          <w:rStyle w:val="ECCParagraph"/>
        </w:rPr>
        <w:t xml:space="preserve">genda item in accordance with </w:t>
      </w:r>
      <w:r w:rsidR="00902411" w:rsidRPr="00A5400D">
        <w:rPr>
          <w:rStyle w:val="ECCParagraph"/>
        </w:rPr>
        <w:t>Resolution 160 (WRC-15)</w:t>
      </w:r>
      <w:r w:rsidR="00E6537A" w:rsidRPr="00A5400D">
        <w:rPr>
          <w:rStyle w:val="ECCParagraph"/>
        </w:rPr>
        <w:t xml:space="preserve"> </w:t>
      </w:r>
      <w:r w:rsidR="00D31351" w:rsidRPr="00A5400D">
        <w:rPr>
          <w:rStyle w:val="ECCParagraph"/>
        </w:rPr>
        <w:t>while taking into account</w:t>
      </w:r>
      <w:r w:rsidR="00381E40">
        <w:rPr>
          <w:rStyle w:val="ECCParagraph"/>
        </w:rPr>
        <w:t xml:space="preserve"> in particular</w:t>
      </w:r>
      <w:r w:rsidR="00D31351" w:rsidRPr="00A5400D">
        <w:rPr>
          <w:rStyle w:val="ECCParagraph"/>
        </w:rPr>
        <w:t>:</w:t>
      </w:r>
    </w:p>
    <w:p w14:paraId="033CC3FC" w14:textId="77777777" w:rsidR="00902411" w:rsidRPr="00A5400D" w:rsidRDefault="00902411" w:rsidP="00B619D4">
      <w:pPr>
        <w:pStyle w:val="ECCBulletsLv2"/>
        <w:rPr>
          <w:rStyle w:val="ECCParagraph"/>
        </w:rPr>
      </w:pPr>
      <w:r w:rsidRPr="00A5400D">
        <w:rPr>
          <w:rStyle w:val="ECCParagraph"/>
        </w:rPr>
        <w:t>the developments and requirements in HAPS in the fixed service and the associated spectrum sharing aspects</w:t>
      </w:r>
    </w:p>
    <w:p w14:paraId="4D3746D4" w14:textId="77777777" w:rsidR="00030698" w:rsidRPr="00A5400D" w:rsidRDefault="00902411" w:rsidP="00B619D4">
      <w:pPr>
        <w:pStyle w:val="ECCBulletsLv2"/>
        <w:rPr>
          <w:rStyle w:val="ECCParagraph"/>
        </w:rPr>
      </w:pPr>
      <w:proofErr w:type="gramStart"/>
      <w:r w:rsidRPr="00A5400D">
        <w:rPr>
          <w:rStyle w:val="ECCParagraph"/>
        </w:rPr>
        <w:t>the</w:t>
      </w:r>
      <w:proofErr w:type="gramEnd"/>
      <w:r w:rsidRPr="00A5400D">
        <w:rPr>
          <w:rStyle w:val="ECCParagraph"/>
        </w:rPr>
        <w:t xml:space="preserve"> need to ensure there is </w:t>
      </w:r>
      <w:r w:rsidR="002B5494" w:rsidRPr="00A5400D">
        <w:rPr>
          <w:rStyle w:val="ECCParagraph"/>
        </w:rPr>
        <w:t xml:space="preserve">protection in place in order not to limit the possibility to use and develop </w:t>
      </w:r>
      <w:r w:rsidR="009E2A19" w:rsidRPr="00A5400D">
        <w:rPr>
          <w:rStyle w:val="ECCParagraph"/>
        </w:rPr>
        <w:t xml:space="preserve">existing services </w:t>
      </w:r>
      <w:r w:rsidRPr="00A5400D">
        <w:rPr>
          <w:rStyle w:val="ECCParagraph"/>
        </w:rPr>
        <w:t>including other applications of the fixed service in the frequency bands identified and, as appropriate, in the adjacent bands</w:t>
      </w:r>
      <w:r w:rsidR="00B40A82" w:rsidRPr="00A5400D">
        <w:rPr>
          <w:rStyle w:val="ECCParagraph"/>
        </w:rPr>
        <w:t>.</w:t>
      </w:r>
      <w:r w:rsidR="00B47186" w:rsidRPr="00A5400D">
        <w:rPr>
          <w:rStyle w:val="ECCParagraph"/>
        </w:rPr>
        <w:tab/>
      </w:r>
    </w:p>
    <w:p w14:paraId="16AF3C12" w14:textId="186AC83A" w:rsidR="00D31351" w:rsidRPr="00A5400D" w:rsidRDefault="00275555" w:rsidP="00D31351">
      <w:pPr>
        <w:pStyle w:val="ECCBulletsLv1"/>
        <w:rPr>
          <w:rStyle w:val="ECCParagraph"/>
        </w:rPr>
      </w:pPr>
      <w:r w:rsidRPr="00A5400D">
        <w:rPr>
          <w:rStyle w:val="ECCParagraph"/>
        </w:rPr>
        <w:lastRenderedPageBreak/>
        <w:t>CEPT</w:t>
      </w:r>
      <w:r w:rsidR="00381E40">
        <w:rPr>
          <w:rStyle w:val="ECCParagraph"/>
        </w:rPr>
        <w:t xml:space="preserve"> </w:t>
      </w:r>
      <w:r w:rsidR="0048670B">
        <w:rPr>
          <w:rStyle w:val="ECCParagraph"/>
        </w:rPr>
        <w:t>has</w:t>
      </w:r>
      <w:r w:rsidR="00381E40">
        <w:rPr>
          <w:rStyle w:val="ECCParagraph"/>
        </w:rPr>
        <w:t xml:space="preserve"> init</w:t>
      </w:r>
      <w:r w:rsidR="0048670B">
        <w:rPr>
          <w:rStyle w:val="ECCParagraph"/>
        </w:rPr>
        <w:t>iated</w:t>
      </w:r>
      <w:r w:rsidR="00381E40">
        <w:rPr>
          <w:rStyle w:val="ECCParagraph"/>
        </w:rPr>
        <w:t xml:space="preserve"> studies </w:t>
      </w:r>
      <w:r w:rsidR="0048670B">
        <w:rPr>
          <w:rStyle w:val="ECCParagraph"/>
        </w:rPr>
        <w:t>on</w:t>
      </w:r>
      <w:r w:rsidRPr="00A5400D">
        <w:rPr>
          <w:rStyle w:val="ECCParagraph"/>
        </w:rPr>
        <w:t xml:space="preserve"> spectrum needs for </w:t>
      </w:r>
      <w:r w:rsidR="00D31351" w:rsidRPr="00A5400D">
        <w:rPr>
          <w:rStyle w:val="ECCParagraph"/>
        </w:rPr>
        <w:t xml:space="preserve">broadband </w:t>
      </w:r>
      <w:r w:rsidRPr="00A5400D">
        <w:rPr>
          <w:rStyle w:val="ECCParagraph"/>
        </w:rPr>
        <w:t>connectivity</w:t>
      </w:r>
      <w:r w:rsidR="00D31351" w:rsidRPr="00A5400D">
        <w:rPr>
          <w:rStyle w:val="ECCParagraph"/>
        </w:rPr>
        <w:t xml:space="preserve"> HAPS</w:t>
      </w:r>
      <w:r w:rsidRPr="00A5400D">
        <w:rPr>
          <w:rStyle w:val="ECCParagraph"/>
        </w:rPr>
        <w:t xml:space="preserve"> applications</w:t>
      </w:r>
      <w:r w:rsidR="0021609B" w:rsidRPr="00A5400D">
        <w:rPr>
          <w:rStyle w:val="ECCParagraph"/>
        </w:rPr>
        <w:t>.</w:t>
      </w:r>
    </w:p>
    <w:p w14:paraId="5CA51A45" w14:textId="77777777" w:rsidR="0028577D" w:rsidRPr="0028577D" w:rsidRDefault="00B47186" w:rsidP="0028577D">
      <w:pPr>
        <w:pStyle w:val="ECCBulletsLv1"/>
      </w:pPr>
      <w:r w:rsidRPr="0028577D">
        <w:t xml:space="preserve">CEPT is of the view that </w:t>
      </w:r>
      <w:r w:rsidR="003B7A3E" w:rsidRPr="0028577D">
        <w:t xml:space="preserve">any </w:t>
      </w:r>
      <w:r w:rsidR="00E66255" w:rsidRPr="0028577D">
        <w:t>consideration</w:t>
      </w:r>
      <w:r w:rsidRPr="0028577D">
        <w:t xml:space="preserve"> </w:t>
      </w:r>
      <w:r w:rsidR="00E66255" w:rsidRPr="0028577D">
        <w:t xml:space="preserve">of </w:t>
      </w:r>
      <w:r w:rsidRPr="0028577D">
        <w:t xml:space="preserve">the frequency band 24.25-27.5 GHz </w:t>
      </w:r>
      <w:r w:rsidR="003B7A3E" w:rsidRPr="0028577D">
        <w:t xml:space="preserve">under this Agenda item should </w:t>
      </w:r>
      <w:r w:rsidRPr="0028577D">
        <w:t>not limit the possibility to identify the band for IMT</w:t>
      </w:r>
      <w:r w:rsidR="0098236F" w:rsidRPr="0028577D">
        <w:t xml:space="preserve"> on a global level</w:t>
      </w:r>
      <w:r w:rsidR="00925B77" w:rsidRPr="0028577D">
        <w:t xml:space="preserve"> under Agenda item 1.13</w:t>
      </w:r>
      <w:r w:rsidRPr="0028577D">
        <w:t>.</w:t>
      </w:r>
    </w:p>
    <w:p w14:paraId="44ED9F16" w14:textId="77777777" w:rsidR="003771D5" w:rsidRPr="00235592" w:rsidRDefault="003771D5" w:rsidP="003A68D5">
      <w:pPr>
        <w:pStyle w:val="berschrift1"/>
        <w:rPr>
          <w:lang w:val="en-GB"/>
        </w:rPr>
      </w:pPr>
      <w:r w:rsidRPr="00235592">
        <w:rPr>
          <w:lang w:val="en-GB"/>
        </w:rPr>
        <w:t xml:space="preserve">Background </w:t>
      </w:r>
    </w:p>
    <w:p w14:paraId="6AFCD68C" w14:textId="77777777" w:rsidR="00DE6F71" w:rsidRDefault="00DE6F71" w:rsidP="00030698">
      <w:pPr>
        <w:pStyle w:val="ECCBulletsLv1"/>
        <w:numPr>
          <w:ilvl w:val="0"/>
          <w:numId w:val="0"/>
        </w:numPr>
      </w:pPr>
    </w:p>
    <w:p w14:paraId="7B317B3F" w14:textId="67F43E73" w:rsidR="00583806" w:rsidRDefault="00202147" w:rsidP="00583806">
      <w:pPr>
        <w:pStyle w:val="ECCBulletsLv1"/>
        <w:numPr>
          <w:ilvl w:val="0"/>
          <w:numId w:val="0"/>
        </w:numPr>
        <w:rPr>
          <w:rStyle w:val="ECCParagraph"/>
        </w:rPr>
      </w:pPr>
      <w:r w:rsidRPr="00C305F6">
        <w:rPr>
          <w:rStyle w:val="ECCParagraph"/>
        </w:rPr>
        <w:t xml:space="preserve">As noted in the outcome of meeting of CPM19-1 (ITU administrative circular </w:t>
      </w:r>
      <w:hyperlink r:id="rId9" w:history="1">
        <w:r w:rsidRPr="00C305F6">
          <w:rPr>
            <w:rStyle w:val="ECCParagraph"/>
          </w:rPr>
          <w:t>CA/226</w:t>
        </w:r>
      </w:hyperlink>
      <w:r w:rsidRPr="00C305F6">
        <w:rPr>
          <w:rStyle w:val="ECCParagraph"/>
        </w:rPr>
        <w:t>), t</w:t>
      </w:r>
      <w:r w:rsidR="00DE6F71" w:rsidRPr="00C305F6">
        <w:rPr>
          <w:rStyle w:val="ECCParagraph"/>
        </w:rPr>
        <w:t xml:space="preserve">he studies </w:t>
      </w:r>
      <w:r w:rsidR="000B60D0" w:rsidRPr="00C305F6">
        <w:rPr>
          <w:rStyle w:val="ECCParagraph"/>
        </w:rPr>
        <w:t xml:space="preserve">under WRC-19 Agenda Item 1.14 </w:t>
      </w:r>
      <w:r w:rsidR="00DE6F71" w:rsidRPr="00C305F6">
        <w:rPr>
          <w:rStyle w:val="ECCParagraph"/>
        </w:rPr>
        <w:t>should also take into account that the band 38.0-39.5 GHz is also being studied under WRC-19 Agenda Items 1.6 and 1.13 and the band 24.25</w:t>
      </w:r>
      <w:r w:rsidR="00190FE1" w:rsidRPr="00C305F6">
        <w:rPr>
          <w:rStyle w:val="ECCParagraph"/>
        </w:rPr>
        <w:t>-</w:t>
      </w:r>
      <w:r w:rsidR="00DE6F71" w:rsidRPr="00C305F6">
        <w:rPr>
          <w:rStyle w:val="ECCParagraph"/>
        </w:rPr>
        <w:t xml:space="preserve">27.5 GHz </w:t>
      </w:r>
      <w:proofErr w:type="gramStart"/>
      <w:r w:rsidR="00DE6F71" w:rsidRPr="00C305F6">
        <w:rPr>
          <w:rStyle w:val="ECCParagraph"/>
        </w:rPr>
        <w:t>is</w:t>
      </w:r>
      <w:proofErr w:type="gramEnd"/>
      <w:r w:rsidR="00DE6F71" w:rsidRPr="00C305F6">
        <w:rPr>
          <w:rStyle w:val="ECCParagraph"/>
        </w:rPr>
        <w:t xml:space="preserve"> under study under </w:t>
      </w:r>
      <w:r w:rsidR="00190FE1" w:rsidRPr="00C305F6">
        <w:rPr>
          <w:rStyle w:val="ECCParagraph"/>
        </w:rPr>
        <w:t>A</w:t>
      </w:r>
      <w:r w:rsidR="00DE6F71" w:rsidRPr="00C305F6">
        <w:rPr>
          <w:rStyle w:val="ECCParagraph"/>
        </w:rPr>
        <w:t>genda item 1.13.</w:t>
      </w:r>
    </w:p>
    <w:p w14:paraId="3280A57B" w14:textId="34522A94" w:rsidR="002E0008" w:rsidRPr="00C305F6" w:rsidRDefault="002E0008" w:rsidP="00583806">
      <w:pPr>
        <w:pStyle w:val="ECCBulletsLv1"/>
        <w:numPr>
          <w:ilvl w:val="0"/>
          <w:numId w:val="0"/>
        </w:numPr>
        <w:rPr>
          <w:rStyle w:val="ECCParagraph"/>
        </w:rPr>
      </w:pPr>
      <w:r w:rsidRPr="00C305F6">
        <w:rPr>
          <w:rStyle w:val="ECCParagraph"/>
        </w:rPr>
        <w:t xml:space="preserve">Recent improvements in aerial platforms, lithium batteries, lightweight composite materials, solar technology, and spectral efficiency are creating the potential for realizable, large-scale HAPS systems. These technological innovations and the growing urgency to expand the availability of broadband </w:t>
      </w:r>
      <w:proofErr w:type="gramStart"/>
      <w:r w:rsidRPr="00C305F6">
        <w:rPr>
          <w:rStyle w:val="ECCParagraph"/>
        </w:rPr>
        <w:t>has</w:t>
      </w:r>
      <w:proofErr w:type="gramEnd"/>
      <w:r w:rsidRPr="00C305F6">
        <w:rPr>
          <w:rStyle w:val="ECCParagraph"/>
        </w:rPr>
        <w:t xml:space="preserve"> led to a </w:t>
      </w:r>
      <w:r w:rsidR="0074351B" w:rsidRPr="00C305F6">
        <w:rPr>
          <w:rStyle w:val="ECCParagraph"/>
        </w:rPr>
        <w:t xml:space="preserve">call for </w:t>
      </w:r>
      <w:r w:rsidRPr="00C305F6">
        <w:rPr>
          <w:rStyle w:val="ECCParagraph"/>
        </w:rPr>
        <w:t xml:space="preserve">review of the current regulatory environment for HAPS. As the ITU-R has recognized, stations operating in the stratosphere are high enough to provide services to a large footprint but also low enough to provide low latency services and coverage in more densely populated areas. </w:t>
      </w:r>
    </w:p>
    <w:p w14:paraId="0C592718" w14:textId="2206AE46" w:rsidR="002E0008" w:rsidRPr="00C305F6" w:rsidRDefault="005D2017" w:rsidP="002E0008">
      <w:pPr>
        <w:rPr>
          <w:rStyle w:val="ECCParagraph"/>
        </w:rPr>
      </w:pPr>
      <w:r w:rsidRPr="00C305F6">
        <w:rPr>
          <w:rStyle w:val="ECCParagraph"/>
        </w:rPr>
        <w:t>E</w:t>
      </w:r>
      <w:r w:rsidR="002E0008" w:rsidRPr="00C305F6">
        <w:rPr>
          <w:rStyle w:val="ECCParagraph"/>
        </w:rPr>
        <w:t xml:space="preserve">xpanding broadband access </w:t>
      </w:r>
      <w:r w:rsidRPr="00C305F6">
        <w:rPr>
          <w:rStyle w:val="ECCParagraph"/>
        </w:rPr>
        <w:t xml:space="preserve">(both coverage and capacity) </w:t>
      </w:r>
      <w:r w:rsidR="002E0008" w:rsidRPr="00C305F6">
        <w:rPr>
          <w:rStyle w:val="ECCParagraph"/>
        </w:rPr>
        <w:t xml:space="preserve">is the foremost challenge for telecommunications policymakers throughout the world. Broadband has become the </w:t>
      </w:r>
      <w:r w:rsidR="003C3D86" w:rsidRPr="00C305F6">
        <w:rPr>
          <w:rStyle w:val="ECCParagraph"/>
        </w:rPr>
        <w:t>centre</w:t>
      </w:r>
      <w:r w:rsidR="002E0008" w:rsidRPr="00C305F6">
        <w:rPr>
          <w:rStyle w:val="ECCParagraph"/>
        </w:rPr>
        <w:t xml:space="preserve"> of our society and the key ticket to, and catalyst for, opportunity, education, health, growth, and prosperi</w:t>
      </w:r>
      <w:r w:rsidR="00CD674A" w:rsidRPr="00C305F6">
        <w:rPr>
          <w:rStyle w:val="ECCParagraph"/>
        </w:rPr>
        <w:t xml:space="preserve">ty. It is important </w:t>
      </w:r>
      <w:r w:rsidR="002E0008" w:rsidRPr="00C305F6">
        <w:rPr>
          <w:rStyle w:val="ECCParagraph"/>
        </w:rPr>
        <w:t>to ensure</w:t>
      </w:r>
      <w:r w:rsidR="00CD674A" w:rsidRPr="00C305F6">
        <w:rPr>
          <w:rStyle w:val="ECCParagraph"/>
        </w:rPr>
        <w:t xml:space="preserve"> all </w:t>
      </w:r>
      <w:proofErr w:type="gramStart"/>
      <w:r w:rsidR="00CD674A" w:rsidRPr="00C305F6">
        <w:rPr>
          <w:rStyle w:val="ECCParagraph"/>
        </w:rPr>
        <w:t>citizen</w:t>
      </w:r>
      <w:proofErr w:type="gramEnd"/>
      <w:r w:rsidR="00CD674A" w:rsidRPr="00C305F6">
        <w:rPr>
          <w:rStyle w:val="ECCParagraph"/>
        </w:rPr>
        <w:t xml:space="preserve"> are </w:t>
      </w:r>
      <w:r w:rsidR="002E0008" w:rsidRPr="00C305F6">
        <w:rPr>
          <w:rStyle w:val="ECCParagraph"/>
        </w:rPr>
        <w:t>connected. With sufficient capacity, HAPS can provide broadband connectivity over a large geographical region with throughput also suitable for dense user coverage.</w:t>
      </w:r>
    </w:p>
    <w:p w14:paraId="12D56C63" w14:textId="77777777" w:rsidR="00217D5F" w:rsidRPr="00C305F6" w:rsidRDefault="002E0008" w:rsidP="002E0008">
      <w:pPr>
        <w:rPr>
          <w:rStyle w:val="ECCParagraph"/>
        </w:rPr>
      </w:pPr>
      <w:r w:rsidRPr="00C305F6">
        <w:rPr>
          <w:rStyle w:val="ECCParagraph"/>
        </w:rPr>
        <w:t xml:space="preserve">Recent test deployments of stations delivering broadband from approximately 20 km above ground have demonstrated the potential of such stations for providing connectivity to underserved communities with minimal ground-level infrastructure and maintenance. HAPS can therefore be effective tools, among others, to help close the digital divide in remote communities, particularly those with challenging terrain or climate. </w:t>
      </w:r>
    </w:p>
    <w:p w14:paraId="78AAE3FA" w14:textId="79530CCD" w:rsidR="00032BF7" w:rsidRPr="00C305F6" w:rsidRDefault="00217D5F" w:rsidP="002E0008">
      <w:pPr>
        <w:rPr>
          <w:rStyle w:val="ECCParagraph"/>
        </w:rPr>
      </w:pPr>
      <w:r w:rsidRPr="00C305F6">
        <w:rPr>
          <w:rStyle w:val="ECCParagraph"/>
        </w:rPr>
        <w:t>HAPs can take several different forms – some examples of proposed HAPS based systems are given in section 3 below.</w:t>
      </w:r>
    </w:p>
    <w:p w14:paraId="4EF8F956" w14:textId="021F1AC0" w:rsidR="002E0008" w:rsidRPr="002E0008" w:rsidRDefault="002E0008" w:rsidP="002E0008">
      <w:pPr>
        <w:pStyle w:val="berschrift2"/>
        <w:rPr>
          <w:rStyle w:val="ECCParagraph"/>
        </w:rPr>
      </w:pPr>
      <w:r>
        <w:rPr>
          <w:rStyle w:val="ECCParagraph"/>
        </w:rPr>
        <w:t xml:space="preserve">High </w:t>
      </w:r>
      <w:r w:rsidRPr="002E0008">
        <w:rPr>
          <w:rStyle w:val="ECCParagraph"/>
        </w:rPr>
        <w:t xml:space="preserve">altitude platform </w:t>
      </w:r>
      <w:r w:rsidR="002774CA" w:rsidRPr="00793301">
        <w:rPr>
          <w:rStyle w:val="ECCParagraph"/>
        </w:rPr>
        <w:t>Examples</w:t>
      </w:r>
    </w:p>
    <w:p w14:paraId="40823A79" w14:textId="77777777" w:rsidR="002E0008" w:rsidRPr="00793301" w:rsidRDefault="002E0008" w:rsidP="002E0008">
      <w:pPr>
        <w:pStyle w:val="berschrift3"/>
        <w:rPr>
          <w:rStyle w:val="ECCParagraph"/>
        </w:rPr>
      </w:pPr>
      <w:r w:rsidRPr="00793301">
        <w:rPr>
          <w:rStyle w:val="ECCParagraph"/>
        </w:rPr>
        <w:t>HAPs aircraft</w:t>
      </w:r>
    </w:p>
    <w:p w14:paraId="5F0A12D1" w14:textId="77777777" w:rsidR="002E0008" w:rsidRPr="00793301" w:rsidRDefault="002E0008" w:rsidP="002E0008">
      <w:pPr>
        <w:pStyle w:val="ECCTabletext"/>
        <w:rPr>
          <w:rStyle w:val="ECCParagraph"/>
        </w:rPr>
      </w:pPr>
      <w:r w:rsidRPr="00793301">
        <w:rPr>
          <w:rStyle w:val="ECCParagraph"/>
        </w:rPr>
        <w:t xml:space="preserve">The fixed wing High Altitude Platforms (HAPs) consists of a solar-electric powered autonomous aircraft.  HAPs aircraft incorporate a rechargeable power system which uses solar-electric power to fly during the day and charge high capacity secondary batteries for discharge at night time.  The HAPs aircraft are capable of continuous flight over multiple days and the current record for </w:t>
      </w:r>
      <w:r w:rsidR="00981039" w:rsidRPr="00793301">
        <w:rPr>
          <w:rStyle w:val="ECCParagraph"/>
        </w:rPr>
        <w:t>continuous</w:t>
      </w:r>
      <w:r w:rsidRPr="00793301">
        <w:rPr>
          <w:rStyle w:val="ECCParagraph"/>
        </w:rPr>
        <w:t xml:space="preserve"> flights stands at 14 days. HAPs aircrafts are capable of operation in the </w:t>
      </w:r>
      <w:r w:rsidR="00981039" w:rsidRPr="00793301">
        <w:rPr>
          <w:rStyle w:val="ECCParagraph"/>
        </w:rPr>
        <w:t>stratosphere</w:t>
      </w:r>
      <w:r w:rsidRPr="00793301">
        <w:rPr>
          <w:rStyle w:val="ECCParagraph"/>
        </w:rPr>
        <w:t xml:space="preserve"> above the weather and can reach altitudes in excess of 70,000ft</w:t>
      </w:r>
      <w:r w:rsidR="002177CB" w:rsidRPr="00793301">
        <w:rPr>
          <w:rStyle w:val="ECCParagraph"/>
        </w:rPr>
        <w:t xml:space="preserve"> (~21km)</w:t>
      </w:r>
      <w:r w:rsidRPr="00793301">
        <w:rPr>
          <w:rStyle w:val="ECCParagraph"/>
        </w:rPr>
        <w:t>.</w:t>
      </w:r>
    </w:p>
    <w:p w14:paraId="2080B41E" w14:textId="1888D2A8" w:rsidR="002E0008" w:rsidRPr="00793301" w:rsidRDefault="002E0008" w:rsidP="00B619D4">
      <w:pPr>
        <w:pStyle w:val="ECCFiguregraphcentered"/>
        <w:rPr>
          <w:rStyle w:val="ECCParagraph"/>
        </w:rPr>
      </w:pPr>
      <w:r w:rsidRPr="00793301">
        <w:rPr>
          <w:rStyle w:val="ECCParagraph"/>
        </w:rPr>
        <w:t xml:space="preserve"> </w:t>
      </w:r>
      <w:r w:rsidRPr="00793301">
        <w:rPr>
          <w:rStyle w:val="ECCParagraph"/>
          <w:noProof/>
          <w:lang w:val="de-DE"/>
        </w:rPr>
        <w:drawing>
          <wp:inline distT="0" distB="0" distL="0" distR="0" wp14:anchorId="5DEAC4C5" wp14:editId="5406422F">
            <wp:extent cx="2194560" cy="1186187"/>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4527" cy="1186169"/>
                    </a:xfrm>
                    <a:prstGeom prst="rect">
                      <a:avLst/>
                    </a:prstGeom>
                    <a:noFill/>
                    <a:ln>
                      <a:noFill/>
                    </a:ln>
                  </pic:spPr>
                </pic:pic>
              </a:graphicData>
            </a:graphic>
          </wp:inline>
        </w:drawing>
      </w:r>
    </w:p>
    <w:p w14:paraId="048AB4B9" w14:textId="77777777" w:rsidR="002E0008" w:rsidRPr="00793301" w:rsidRDefault="002E0008" w:rsidP="002E0008">
      <w:pPr>
        <w:pStyle w:val="berschrift3"/>
        <w:rPr>
          <w:rStyle w:val="ECCParagraph"/>
        </w:rPr>
      </w:pPr>
      <w:r w:rsidRPr="00793301">
        <w:rPr>
          <w:rStyle w:val="ECCParagraph"/>
        </w:rPr>
        <w:t>HAPs LTA</w:t>
      </w:r>
    </w:p>
    <w:p w14:paraId="5843DE2B" w14:textId="77777777" w:rsidR="002E0008" w:rsidRPr="00793301" w:rsidRDefault="002E0008" w:rsidP="002E0008">
      <w:pPr>
        <w:rPr>
          <w:rStyle w:val="ECCParagraph"/>
        </w:rPr>
      </w:pPr>
      <w:r w:rsidRPr="00793301">
        <w:rPr>
          <w:rStyle w:val="ECCParagraph"/>
        </w:rPr>
        <w:t xml:space="preserve">The Lighter-Than-Air (LTA) High Altitude Platforms (HAPS) consists in an autonomous Airship using buoyancy to provide lift and solar-electric power to maintain its position against stratospheric winds. A typical </w:t>
      </w:r>
      <w:r w:rsidRPr="00793301">
        <w:rPr>
          <w:rStyle w:val="ECCParagraph"/>
        </w:rPr>
        <w:lastRenderedPageBreak/>
        <w:t xml:space="preserve">HAPS-LTA can provide day-and-night permanent mission that can last several months at an altitude between 60 000 </w:t>
      </w:r>
      <w:r w:rsidR="002177CB" w:rsidRPr="00793301">
        <w:rPr>
          <w:rStyle w:val="ECCParagraph"/>
        </w:rPr>
        <w:t xml:space="preserve">feet (~18km) </w:t>
      </w:r>
      <w:r w:rsidRPr="00793301">
        <w:rPr>
          <w:rStyle w:val="ECCParagraph"/>
        </w:rPr>
        <w:t>and 75 000 feet</w:t>
      </w:r>
      <w:r w:rsidR="002177CB" w:rsidRPr="00793301">
        <w:rPr>
          <w:rStyle w:val="ECCParagraph"/>
        </w:rPr>
        <w:t xml:space="preserve"> (~22km)</w:t>
      </w:r>
      <w:r w:rsidRPr="00793301">
        <w:rPr>
          <w:rStyle w:val="ECCParagraph"/>
        </w:rPr>
        <w:t>.</w:t>
      </w:r>
    </w:p>
    <w:p w14:paraId="3EAF03F8" w14:textId="46BB891E" w:rsidR="002E0008" w:rsidRPr="00793301" w:rsidRDefault="002E0008" w:rsidP="00B619D4">
      <w:pPr>
        <w:pStyle w:val="ECCFiguregraphcentered"/>
        <w:rPr>
          <w:rStyle w:val="ECCParagraph"/>
        </w:rPr>
      </w:pPr>
      <w:r w:rsidRPr="00793301">
        <w:rPr>
          <w:rStyle w:val="ECCParagraph"/>
        </w:rPr>
        <w:t xml:space="preserve">  </w:t>
      </w:r>
      <w:r w:rsidRPr="00793301">
        <w:rPr>
          <w:rStyle w:val="ECCParagraph"/>
          <w:noProof/>
          <w:lang w:val="de-DE"/>
        </w:rPr>
        <w:drawing>
          <wp:inline distT="0" distB="0" distL="0" distR="0" wp14:anchorId="12DEA936" wp14:editId="2388144C">
            <wp:extent cx="2380035" cy="1424763"/>
            <wp:effectExtent l="0" t="0" r="1270" b="4445"/>
            <wp:docPr id="6" name="Image 6" descr="D:\masselm\StratoBus\Photo Stratob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asselm\StratoBus\Photo Stratobu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8641" cy="1423928"/>
                    </a:xfrm>
                    <a:prstGeom prst="rect">
                      <a:avLst/>
                    </a:prstGeom>
                    <a:noFill/>
                    <a:ln>
                      <a:noFill/>
                    </a:ln>
                  </pic:spPr>
                </pic:pic>
              </a:graphicData>
            </a:graphic>
          </wp:inline>
        </w:drawing>
      </w:r>
    </w:p>
    <w:p w14:paraId="5B380D98" w14:textId="77777777" w:rsidR="002E0008" w:rsidRPr="00793301" w:rsidRDefault="002E0008" w:rsidP="002E0008">
      <w:pPr>
        <w:pStyle w:val="berschrift2"/>
        <w:rPr>
          <w:rStyle w:val="ECCParagraph"/>
        </w:rPr>
      </w:pPr>
      <w:r w:rsidRPr="00793301">
        <w:rPr>
          <w:rStyle w:val="ECCParagraph"/>
        </w:rPr>
        <w:t>BROADband HAPS applications</w:t>
      </w:r>
    </w:p>
    <w:p w14:paraId="106E6B85" w14:textId="24DA02DB" w:rsidR="002E0008" w:rsidRPr="00B619D4" w:rsidRDefault="0061281B" w:rsidP="002E0008">
      <w:pPr>
        <w:pStyle w:val="ECCEditorsNote"/>
        <w:rPr>
          <w:lang w:val="en-GB"/>
        </w:rPr>
      </w:pPr>
      <w:r w:rsidRPr="00B619D4">
        <w:rPr>
          <w:lang w:val="en-GB"/>
        </w:rPr>
        <w:t xml:space="preserve">to be further </w:t>
      </w:r>
      <w:r w:rsidR="003613B1" w:rsidRPr="00B93DF1">
        <w:rPr>
          <w:lang w:val="en-GB"/>
        </w:rPr>
        <w:t>reviewed</w:t>
      </w:r>
      <w:r w:rsidR="002E0008" w:rsidRPr="00B619D4">
        <w:rPr>
          <w:lang w:val="en-GB"/>
        </w:rPr>
        <w:t xml:space="preserve"> at a future PT-A meeting</w:t>
      </w:r>
    </w:p>
    <w:p w14:paraId="25FFC5B6" w14:textId="403F668D" w:rsidR="003C6A0A" w:rsidRPr="00E362D7" w:rsidRDefault="003C6A0A" w:rsidP="003C6A0A">
      <w:pPr>
        <w:pStyle w:val="berschrift3"/>
        <w:rPr>
          <w:rStyle w:val="ECCParagraph"/>
        </w:rPr>
      </w:pPr>
      <w:r w:rsidRPr="00E362D7">
        <w:rPr>
          <w:rStyle w:val="ECCParagraph"/>
        </w:rPr>
        <w:t>Broadband connectivity HAPS applications</w:t>
      </w:r>
    </w:p>
    <w:p w14:paraId="12651B65" w14:textId="5AAC4254" w:rsidR="003C6A0A" w:rsidRPr="00434D01" w:rsidRDefault="003C6A0A" w:rsidP="003C6A0A">
      <w:pPr>
        <w:rPr>
          <w:rStyle w:val="ECCParagraph"/>
        </w:rPr>
      </w:pPr>
      <w:r w:rsidRPr="00434D01">
        <w:rPr>
          <w:rStyle w:val="ECCParagraph"/>
        </w:rPr>
        <w:t>Amongst the envisaged applications of HAPS include broadband connectivity in particular for underserved/rural communities. This scenario is the most demanding in terms of spectrum bandwidth needs.</w:t>
      </w:r>
    </w:p>
    <w:p w14:paraId="4BD8AE88" w14:textId="4C02982B" w:rsidR="003C6A0A" w:rsidRPr="00434D01" w:rsidRDefault="003C6A0A" w:rsidP="003C6A0A">
      <w:pPr>
        <w:rPr>
          <w:rStyle w:val="ECCParagraph"/>
        </w:rPr>
      </w:pPr>
      <w:proofErr w:type="gramStart"/>
      <w:r w:rsidRPr="00434D01">
        <w:rPr>
          <w:rStyle w:val="ECCParagraph"/>
        </w:rPr>
        <w:t>Based on 2014 statistics, 3.2 billion people worldwide use the Internet.</w:t>
      </w:r>
      <w:proofErr w:type="gramEnd"/>
      <w:r w:rsidRPr="00434D01">
        <w:rPr>
          <w:rStyle w:val="ECCParagraph"/>
        </w:rPr>
        <w:t xml:space="preserve"> This is a milestone, but it also means that only 43.4% of the world’s population has ever been connected to the Internet</w:t>
      </w:r>
      <w:r w:rsidR="009B3AFF">
        <w:rPr>
          <w:rStyle w:val="Funotenzeichen"/>
        </w:rPr>
        <w:footnoteReference w:id="1"/>
      </w:r>
      <w:r w:rsidRPr="00434D01">
        <w:rPr>
          <w:rStyle w:val="ECCParagraph"/>
        </w:rPr>
        <w:t>.</w:t>
      </w:r>
      <w:r w:rsidR="009B3AFF">
        <w:rPr>
          <w:rStyle w:val="ECCParagraph"/>
        </w:rPr>
        <w:t xml:space="preserve"> </w:t>
      </w:r>
      <w:r w:rsidRPr="00434D01">
        <w:rPr>
          <w:rStyle w:val="ECCParagraph"/>
        </w:rPr>
        <w:t>It is no surprise that the unconnected are disproportionately located in developing countries (82.2% of the population in the developed world is online compared to just 35.3% in emerging economies). Moreover, Internet adoption is slowing—the rate of growth declined for the fourth year in a row to just 6.9% in 2014 (down from 14.0% in 2010).</w:t>
      </w:r>
      <w:r w:rsidR="009B3AFF">
        <w:rPr>
          <w:rStyle w:val="ECCParagraph"/>
        </w:rPr>
        <w:t xml:space="preserve"> </w:t>
      </w:r>
      <w:r w:rsidRPr="00434D01">
        <w:rPr>
          <w:rStyle w:val="ECCParagraph"/>
        </w:rPr>
        <w:t>At present rates of decelerating growth, the Internet will not reach 4 billion people until 2019.</w:t>
      </w:r>
    </w:p>
    <w:p w14:paraId="52AC8420" w14:textId="363CF259" w:rsidR="003C6A0A" w:rsidRPr="00434D01" w:rsidRDefault="003C6A0A" w:rsidP="003C6A0A">
      <w:pPr>
        <w:rPr>
          <w:rStyle w:val="ECCParagraph"/>
        </w:rPr>
      </w:pPr>
      <w:r w:rsidRPr="00434D01">
        <w:rPr>
          <w:rStyle w:val="ECCParagraph"/>
        </w:rPr>
        <w:t>The ITU’s Connect 2020 Agenda calls for 90% rural broadband coverage by 2020</w:t>
      </w:r>
      <w:r w:rsidR="00DA5C7F">
        <w:rPr>
          <w:rStyle w:val="Funotenzeichen"/>
        </w:rPr>
        <w:footnoteReference w:id="2"/>
      </w:r>
      <w:r w:rsidRPr="00434D01">
        <w:rPr>
          <w:rStyle w:val="ECCParagraph"/>
        </w:rPr>
        <w:t>.</w:t>
      </w:r>
      <w:r w:rsidR="00DA5C7F">
        <w:rPr>
          <w:rStyle w:val="ECCParagraph"/>
        </w:rPr>
        <w:t xml:space="preserve"> </w:t>
      </w:r>
      <w:r w:rsidRPr="00434D01">
        <w:rPr>
          <w:rStyle w:val="ECCParagraph"/>
        </w:rPr>
        <w:t>Given that by 2015 rural coverage was only 30% globally, and much lower in developing and the least developed countries, a large focus over the next five years has to be on rural deployment</w:t>
      </w:r>
      <w:r w:rsidR="0097119C">
        <w:rPr>
          <w:rStyle w:val="Funotenzeichen"/>
        </w:rPr>
        <w:footnoteReference w:id="3"/>
      </w:r>
      <w:r w:rsidRPr="00434D01">
        <w:rPr>
          <w:rStyle w:val="ECCParagraph"/>
        </w:rPr>
        <w:t>.</w:t>
      </w:r>
      <w:r w:rsidR="00AC42AA">
        <w:rPr>
          <w:rStyle w:val="ECCParagraph"/>
        </w:rPr>
        <w:t xml:space="preserve"> </w:t>
      </w:r>
      <w:r w:rsidRPr="00434D01">
        <w:rPr>
          <w:rStyle w:val="ECCParagraph"/>
        </w:rPr>
        <w:t>HAPS are a flexible platform that could one day be deployed rurally, utilizing a fleet of HAPS to backhaul data to an Internet point of presence where ground -based backhaul is not available.</w:t>
      </w:r>
    </w:p>
    <w:p w14:paraId="3F55AEF8" w14:textId="18C9F48A" w:rsidR="003C6A0A" w:rsidRPr="003C6A0A" w:rsidRDefault="003C6A0A" w:rsidP="003C6A0A">
      <w:pPr>
        <w:rPr>
          <w:rStyle w:val="ECCHLorange"/>
        </w:rPr>
      </w:pPr>
      <w:r w:rsidRPr="00434D01">
        <w:rPr>
          <w:rStyle w:val="ECCParagraph"/>
        </w:rPr>
        <w:t>Given recent innovation in antenna and other technologies, multi-gigabit broadband capacity might be achieved using HAPS. A provider using HAPS can architect its network to either optimize capacity or coverage. For instance, a fleet of HAPS may be deployed to either efficiently cover a broad area, or to provide more capacity to a medium population density area.</w:t>
      </w:r>
    </w:p>
    <w:p w14:paraId="552636C9" w14:textId="77777777" w:rsidR="003C6A0A" w:rsidRPr="003733EB" w:rsidRDefault="003C6A0A" w:rsidP="003C6A0A">
      <w:pPr>
        <w:pStyle w:val="berschrift3"/>
        <w:rPr>
          <w:rStyle w:val="ECCParagraph"/>
        </w:rPr>
      </w:pPr>
      <w:r w:rsidRPr="003733EB">
        <w:rPr>
          <w:rStyle w:val="ECCParagraph"/>
        </w:rPr>
        <w:t>Specific broadband HAPS applications</w:t>
      </w:r>
    </w:p>
    <w:p w14:paraId="36109CEE" w14:textId="77777777" w:rsidR="003C6A0A" w:rsidRPr="003733EB" w:rsidRDefault="003C6A0A" w:rsidP="003C6A0A">
      <w:pPr>
        <w:rPr>
          <w:rStyle w:val="ECCParagraph"/>
        </w:rPr>
      </w:pPr>
      <w:r w:rsidRPr="003733EB">
        <w:rPr>
          <w:rStyle w:val="ECCParagraph"/>
        </w:rPr>
        <w:t>Some broadband HAPS communication usages foreseen are:</w:t>
      </w:r>
    </w:p>
    <w:p w14:paraId="36611D1F" w14:textId="77777777" w:rsidR="003C6A0A" w:rsidRPr="003733EB" w:rsidRDefault="003C6A0A" w:rsidP="003C6A0A">
      <w:pPr>
        <w:pStyle w:val="ECCBulletsLv1"/>
        <w:rPr>
          <w:rStyle w:val="ECCParagraph"/>
        </w:rPr>
      </w:pPr>
      <w:r w:rsidRPr="003733EB">
        <w:rPr>
          <w:rStyle w:val="ECCParagraph"/>
        </w:rPr>
        <w:t>Natural disaster relief missions, where communication for coordination and situation awareness across help and humanitarian aid organisations is needed.</w:t>
      </w:r>
    </w:p>
    <w:p w14:paraId="46A6ECC0" w14:textId="77777777" w:rsidR="003C6A0A" w:rsidRPr="003733EB" w:rsidRDefault="003C6A0A" w:rsidP="003C6A0A">
      <w:pPr>
        <w:pStyle w:val="ECCBulletsLv1"/>
        <w:rPr>
          <w:rStyle w:val="ECCParagraph"/>
        </w:rPr>
      </w:pPr>
      <w:r w:rsidRPr="003733EB">
        <w:rPr>
          <w:rStyle w:val="ECCParagraph"/>
        </w:rPr>
        <w:t>Fire detection, monitoring and firefighting missions to ensure communication between actors.</w:t>
      </w:r>
    </w:p>
    <w:p w14:paraId="0CD56E53" w14:textId="77777777" w:rsidR="003C6A0A" w:rsidRPr="003733EB" w:rsidRDefault="003C6A0A" w:rsidP="003C6A0A">
      <w:pPr>
        <w:pStyle w:val="ECCBulletsLv1"/>
        <w:rPr>
          <w:rStyle w:val="ECCParagraph"/>
        </w:rPr>
      </w:pPr>
      <w:r w:rsidRPr="003733EB">
        <w:rPr>
          <w:rStyle w:val="ECCParagraph"/>
        </w:rPr>
        <w:t>Law enforcement with communication needs across local actors and regional headquarters.</w:t>
      </w:r>
    </w:p>
    <w:p w14:paraId="2B740FDC" w14:textId="77777777" w:rsidR="0010409A" w:rsidRPr="003733EB" w:rsidRDefault="003C6A0A" w:rsidP="003C6A0A">
      <w:pPr>
        <w:pStyle w:val="ECCBulletsLv1"/>
        <w:rPr>
          <w:rStyle w:val="ECCParagraph"/>
        </w:rPr>
      </w:pPr>
      <w:r w:rsidRPr="003733EB">
        <w:rPr>
          <w:rStyle w:val="ECCParagraph"/>
        </w:rPr>
        <w:t>Exploration missions with communication needs between exploration teams and regional home base.</w:t>
      </w:r>
    </w:p>
    <w:p w14:paraId="1978AF2D" w14:textId="67F164D3" w:rsidR="0010409A" w:rsidRPr="003733EB" w:rsidRDefault="003C6A0A" w:rsidP="003733EB">
      <w:pPr>
        <w:pStyle w:val="ECCBulletsLv1"/>
        <w:rPr>
          <w:rStyle w:val="ECCParagraph"/>
        </w:rPr>
      </w:pPr>
      <w:r w:rsidRPr="003733EB">
        <w:rPr>
          <w:rStyle w:val="ECCParagraph"/>
        </w:rPr>
        <w:t>Mobile network backhauling via HAPS to cover remote areas.</w:t>
      </w:r>
    </w:p>
    <w:p w14:paraId="295F5ACD" w14:textId="5AC86302" w:rsidR="00051694" w:rsidRDefault="002E0008" w:rsidP="00051694">
      <w:pPr>
        <w:pStyle w:val="berschrift2"/>
      </w:pPr>
      <w:r>
        <w:t>broadband haps deployement scenario</w:t>
      </w:r>
    </w:p>
    <w:p w14:paraId="30628D6E" w14:textId="1D798DE0" w:rsidR="00E8452E" w:rsidRPr="00C02E0A" w:rsidRDefault="00E8452E" w:rsidP="00456292">
      <w:pPr>
        <w:pStyle w:val="berschrift3"/>
        <w:rPr>
          <w:rStyle w:val="ECCParagraph"/>
        </w:rPr>
      </w:pPr>
      <w:r w:rsidRPr="00C02E0A">
        <w:rPr>
          <w:rStyle w:val="ECCParagraph"/>
        </w:rPr>
        <w:t>Direct connectivity</w:t>
      </w:r>
      <w:r w:rsidR="00E91F42" w:rsidRPr="00C02E0A">
        <w:rPr>
          <w:rStyle w:val="ECCParagraph"/>
        </w:rPr>
        <w:t xml:space="preserve"> to </w:t>
      </w:r>
      <w:r w:rsidRPr="00C02E0A">
        <w:rPr>
          <w:rStyle w:val="ECCParagraph"/>
        </w:rPr>
        <w:t>the end users</w:t>
      </w:r>
    </w:p>
    <w:p w14:paraId="17D228B3" w14:textId="21DDE80D" w:rsidR="00E91F42" w:rsidRPr="00C02E0A" w:rsidRDefault="00B831D0" w:rsidP="00E91F42">
      <w:pPr>
        <w:rPr>
          <w:rStyle w:val="ECCParagraph"/>
        </w:rPr>
      </w:pPr>
      <w:r w:rsidRPr="00C02E0A">
        <w:rPr>
          <w:rStyle w:val="ECCParagraph"/>
        </w:rPr>
        <w:t xml:space="preserve">The service is provided to end users directly through HAPS. </w:t>
      </w:r>
    </w:p>
    <w:p w14:paraId="10392A8F" w14:textId="04DDEF52" w:rsidR="004C2C4F" w:rsidRPr="00C02E0A" w:rsidRDefault="004C2C4F" w:rsidP="00112785">
      <w:pPr>
        <w:pStyle w:val="ECCFiguregraphcentered"/>
        <w:rPr>
          <w:rStyle w:val="ECCParagraph"/>
        </w:rPr>
      </w:pPr>
      <w:r w:rsidRPr="00112785">
        <w:rPr>
          <w:rStyle w:val="ECCParagraph"/>
          <w:noProof/>
          <w:lang w:val="de-DE"/>
        </w:rPr>
        <w:drawing>
          <wp:inline distT="0" distB="0" distL="0" distR="0" wp14:anchorId="4FD0FED3" wp14:editId="3449EA83">
            <wp:extent cx="2538248" cy="1736569"/>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1290" cy="1738650"/>
                    </a:xfrm>
                    <a:prstGeom prst="rect">
                      <a:avLst/>
                    </a:prstGeom>
                    <a:noFill/>
                    <a:ln>
                      <a:noFill/>
                    </a:ln>
                  </pic:spPr>
                </pic:pic>
              </a:graphicData>
            </a:graphic>
          </wp:inline>
        </w:drawing>
      </w:r>
    </w:p>
    <w:p w14:paraId="2CA0A716" w14:textId="26043A1D" w:rsidR="004C2C4F" w:rsidRPr="00C02E0A" w:rsidRDefault="00112785" w:rsidP="00112785">
      <w:pPr>
        <w:pStyle w:val="Beschriftung"/>
        <w:rPr>
          <w:rStyle w:val="ECCParagraph"/>
        </w:rPr>
      </w:pPr>
      <w:r w:rsidRPr="00B93DF1">
        <w:rPr>
          <w:lang w:val="en-GB"/>
        </w:rPr>
        <w:t xml:space="preserve">Figure </w:t>
      </w:r>
      <w:r w:rsidR="00E170DA">
        <w:fldChar w:fldCharType="begin"/>
      </w:r>
      <w:r w:rsidR="00E170DA" w:rsidRPr="00B93DF1">
        <w:rPr>
          <w:lang w:val="en-GB"/>
        </w:rPr>
        <w:instrText xml:space="preserve"> SEQ Figure \* ARABIC </w:instrText>
      </w:r>
      <w:r w:rsidR="00E170DA">
        <w:fldChar w:fldCharType="separate"/>
      </w:r>
      <w:r w:rsidRPr="00B93DF1">
        <w:rPr>
          <w:noProof/>
          <w:lang w:val="en-GB"/>
        </w:rPr>
        <w:t>1</w:t>
      </w:r>
      <w:r w:rsidR="00E170DA">
        <w:rPr>
          <w:noProof/>
        </w:rPr>
        <w:fldChar w:fldCharType="end"/>
      </w:r>
      <w:r w:rsidRPr="00C02E0A">
        <w:rPr>
          <w:rStyle w:val="ECCParagraph"/>
        </w:rPr>
        <w:t>:</w:t>
      </w:r>
      <w:r>
        <w:rPr>
          <w:rStyle w:val="ECCParagraph"/>
        </w:rPr>
        <w:t xml:space="preserve"> </w:t>
      </w:r>
      <w:r w:rsidR="004C2C4F" w:rsidRPr="00B93DF1">
        <w:rPr>
          <w:rStyle w:val="ECCParagraph"/>
        </w:rPr>
        <w:t>I</w:t>
      </w:r>
      <w:r w:rsidR="00CA5BA4" w:rsidRPr="00B93DF1">
        <w:rPr>
          <w:rStyle w:val="ECCParagraph"/>
        </w:rPr>
        <w:t xml:space="preserve">llustration </w:t>
      </w:r>
      <w:r w:rsidR="004C2C4F" w:rsidRPr="00B93DF1">
        <w:rPr>
          <w:rStyle w:val="ECCParagraph"/>
        </w:rPr>
        <w:t>of direct connectivity scenario</w:t>
      </w:r>
    </w:p>
    <w:p w14:paraId="44264690" w14:textId="6712F7C0" w:rsidR="00E8452E" w:rsidRPr="00C02E0A" w:rsidRDefault="00E8452E" w:rsidP="00A075BD">
      <w:pPr>
        <w:pStyle w:val="berschrift3"/>
        <w:rPr>
          <w:rStyle w:val="ECCParagraph"/>
        </w:rPr>
      </w:pPr>
      <w:r w:rsidRPr="00C02E0A">
        <w:rPr>
          <w:rStyle w:val="ECCParagraph"/>
        </w:rPr>
        <w:t xml:space="preserve">Backhauling </w:t>
      </w:r>
      <w:r w:rsidR="00F60166" w:rsidRPr="00C02E0A">
        <w:rPr>
          <w:rStyle w:val="ECCParagraph"/>
        </w:rPr>
        <w:t xml:space="preserve">scenario </w:t>
      </w:r>
    </w:p>
    <w:p w14:paraId="6BAD472D" w14:textId="2AB8F914" w:rsidR="00B831D0" w:rsidRPr="00C02E0A" w:rsidRDefault="00F60166" w:rsidP="00B831D0">
      <w:pPr>
        <w:rPr>
          <w:rStyle w:val="ECCParagraph"/>
        </w:rPr>
      </w:pPr>
      <w:r w:rsidRPr="00C02E0A">
        <w:rPr>
          <w:rStyle w:val="ECCParagraph"/>
        </w:rPr>
        <w:t>HAPS which are connected to internet gateways are providing backhaul to ground infrastructure</w:t>
      </w:r>
      <w:r w:rsidR="00B831D0" w:rsidRPr="00C02E0A">
        <w:rPr>
          <w:rStyle w:val="ECCParagraph"/>
        </w:rPr>
        <w:t xml:space="preserve">.  </w:t>
      </w:r>
    </w:p>
    <w:p w14:paraId="33DC9590" w14:textId="06230581" w:rsidR="00E8452E" w:rsidRPr="00C02E0A" w:rsidRDefault="004C2C4F" w:rsidP="00112785">
      <w:pPr>
        <w:pStyle w:val="ECCFiguregraphcentered"/>
        <w:rPr>
          <w:rStyle w:val="ECCParagraph"/>
        </w:rPr>
      </w:pPr>
      <w:r w:rsidRPr="00C02E0A">
        <w:rPr>
          <w:rStyle w:val="ECCParagraph"/>
        </w:rPr>
        <w:t xml:space="preserve">  </w:t>
      </w:r>
      <w:r w:rsidRPr="00112785">
        <w:rPr>
          <w:rStyle w:val="ECCParagraph"/>
          <w:noProof/>
          <w:lang w:val="de-DE"/>
        </w:rPr>
        <w:drawing>
          <wp:inline distT="0" distB="0" distL="0" distR="0" wp14:anchorId="4D081E58" wp14:editId="13695D01">
            <wp:extent cx="3026979" cy="1429245"/>
            <wp:effectExtent l="0" t="0" r="2540" b="0"/>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24777" cy="1428205"/>
                    </a:xfrm>
                    <a:prstGeom prst="rect">
                      <a:avLst/>
                    </a:prstGeom>
                    <a:noFill/>
                    <a:ln>
                      <a:noFill/>
                    </a:ln>
                  </pic:spPr>
                </pic:pic>
              </a:graphicData>
            </a:graphic>
          </wp:inline>
        </w:drawing>
      </w:r>
    </w:p>
    <w:p w14:paraId="366AD6B1" w14:textId="747AAC2F" w:rsidR="004C2C4F" w:rsidRPr="00C02E0A" w:rsidRDefault="00112785" w:rsidP="00112785">
      <w:pPr>
        <w:pStyle w:val="Beschriftung"/>
        <w:rPr>
          <w:rStyle w:val="ECCParagraph"/>
        </w:rPr>
      </w:pPr>
      <w:r>
        <w:t xml:space="preserve">Figure </w:t>
      </w:r>
      <w:r w:rsidR="009A10F6">
        <w:fldChar w:fldCharType="begin"/>
      </w:r>
      <w:r w:rsidR="009A10F6">
        <w:instrText xml:space="preserve"> SEQ Figure \* ARABIC </w:instrText>
      </w:r>
      <w:r w:rsidR="009A10F6">
        <w:fldChar w:fldCharType="separate"/>
      </w:r>
      <w:r>
        <w:rPr>
          <w:noProof/>
        </w:rPr>
        <w:t>2</w:t>
      </w:r>
      <w:r w:rsidR="009A10F6">
        <w:rPr>
          <w:noProof/>
        </w:rPr>
        <w:fldChar w:fldCharType="end"/>
      </w:r>
      <w:r w:rsidR="004C2C4F" w:rsidRPr="00C02E0A">
        <w:rPr>
          <w:rStyle w:val="ECCParagraph"/>
        </w:rPr>
        <w:t xml:space="preserve">: </w:t>
      </w:r>
      <w:r w:rsidR="004C2C4F" w:rsidRPr="00112785">
        <w:rPr>
          <w:rStyle w:val="ECCParagraph"/>
          <w:lang w:val="da-DK"/>
        </w:rPr>
        <w:t>I</w:t>
      </w:r>
      <w:r w:rsidR="00CA5BA4" w:rsidRPr="00112785">
        <w:rPr>
          <w:rStyle w:val="ECCParagraph"/>
          <w:lang w:val="da-DK"/>
        </w:rPr>
        <w:t>llustration</w:t>
      </w:r>
      <w:r w:rsidR="00667DBA" w:rsidRPr="00C02E0A">
        <w:rPr>
          <w:rStyle w:val="ECCParagraph"/>
        </w:rPr>
        <w:t xml:space="preserve"> </w:t>
      </w:r>
      <w:r w:rsidR="004C2C4F" w:rsidRPr="00C02E0A">
        <w:rPr>
          <w:rStyle w:val="ECCParagraph"/>
        </w:rPr>
        <w:t>of backhauling scenario</w:t>
      </w:r>
    </w:p>
    <w:p w14:paraId="2A71A2AA" w14:textId="684A82D5" w:rsidR="002E0008" w:rsidRPr="00C02E0A" w:rsidRDefault="002E0008" w:rsidP="002E0008">
      <w:pPr>
        <w:pStyle w:val="berschrift2"/>
        <w:rPr>
          <w:rStyle w:val="ECCParagraph"/>
        </w:rPr>
      </w:pPr>
      <w:r w:rsidRPr="00C02E0A">
        <w:rPr>
          <w:rStyle w:val="ECCParagraph"/>
        </w:rPr>
        <w:t>Broadband haps spectrum requirements</w:t>
      </w:r>
    </w:p>
    <w:p w14:paraId="53209A08" w14:textId="77777777" w:rsidR="00051694" w:rsidRPr="00C02E0A" w:rsidRDefault="00051694" w:rsidP="00051694">
      <w:pPr>
        <w:pStyle w:val="berschrift3"/>
        <w:rPr>
          <w:rStyle w:val="ECCParagraph"/>
        </w:rPr>
      </w:pPr>
      <w:r w:rsidRPr="00C02E0A">
        <w:rPr>
          <w:rStyle w:val="ECCParagraph"/>
        </w:rPr>
        <w:t>Broadband connectivity HAPS spectrum requirements</w:t>
      </w:r>
    </w:p>
    <w:p w14:paraId="386111B1" w14:textId="2C2FDB4A" w:rsidR="00B46457" w:rsidRPr="00C02E0A" w:rsidRDefault="00B46457" w:rsidP="00B46457">
      <w:pPr>
        <w:rPr>
          <w:rStyle w:val="ECCParagraph"/>
        </w:rPr>
      </w:pPr>
      <w:r w:rsidRPr="00C02E0A">
        <w:rPr>
          <w:rStyle w:val="ECCParagraph"/>
        </w:rPr>
        <w:t xml:space="preserve">Initial studies </w:t>
      </w:r>
      <w:r w:rsidR="00381E40">
        <w:rPr>
          <w:rStyle w:val="ECCParagraph"/>
        </w:rPr>
        <w:t xml:space="preserve">presented in CPG PTA </w:t>
      </w:r>
      <w:r w:rsidRPr="00C02E0A">
        <w:rPr>
          <w:rStyle w:val="ECCParagraph"/>
        </w:rPr>
        <w:t xml:space="preserve">show that the current HAPS identifications will not satisfy the throughput requirements expressed for both user and gateway links. Throughput requirement </w:t>
      </w:r>
      <w:proofErr w:type="gramStart"/>
      <w:r w:rsidRPr="00C02E0A">
        <w:rPr>
          <w:rStyle w:val="ECCParagraph"/>
        </w:rPr>
        <w:t>for a single HAPS</w:t>
      </w:r>
      <w:proofErr w:type="gramEnd"/>
      <w:r w:rsidRPr="00C02E0A">
        <w:rPr>
          <w:rStyle w:val="ECCParagraph"/>
        </w:rPr>
        <w:t xml:space="preserve"> is estimated to be 30 </w:t>
      </w:r>
      <w:proofErr w:type="spellStart"/>
      <w:r w:rsidRPr="00C02E0A">
        <w:rPr>
          <w:rStyle w:val="ECCParagraph"/>
        </w:rPr>
        <w:t>Gbit</w:t>
      </w:r>
      <w:proofErr w:type="spellEnd"/>
      <w:r w:rsidRPr="00C02E0A">
        <w:rPr>
          <w:rStyle w:val="ECCParagraph"/>
        </w:rPr>
        <w:t>/s</w:t>
      </w:r>
      <w:r w:rsidR="008866D2">
        <w:rPr>
          <w:rStyle w:val="Funotenzeichen"/>
        </w:rPr>
        <w:footnoteReference w:id="4"/>
      </w:r>
      <w:r w:rsidRPr="00C02E0A">
        <w:rPr>
          <w:rStyle w:val="ECCParagraph"/>
        </w:rPr>
        <w:t xml:space="preserve"> which leads to architectures which are not technically and economically viable (e.g</w:t>
      </w:r>
      <w:r w:rsidR="00C51BE5">
        <w:rPr>
          <w:rStyle w:val="ECCParagraph"/>
        </w:rPr>
        <w:t>.</w:t>
      </w:r>
      <w:r w:rsidRPr="00C02E0A">
        <w:rPr>
          <w:rStyle w:val="ECCParagraph"/>
        </w:rPr>
        <w:t xml:space="preserve"> more tha</w:t>
      </w:r>
      <w:r w:rsidR="007C7F33" w:rsidRPr="00C02E0A">
        <w:rPr>
          <w:rStyle w:val="ECCParagraph"/>
        </w:rPr>
        <w:t>n 33 gateways needed per HAPS).</w:t>
      </w:r>
      <w:r w:rsidRPr="00C02E0A">
        <w:rPr>
          <w:rStyle w:val="ECCParagraph"/>
        </w:rPr>
        <w:t xml:space="preserve"> Those initial studies are based on assumptions that could be </w:t>
      </w:r>
      <w:r w:rsidR="00325504">
        <w:rPr>
          <w:rStyle w:val="ECCParagraph"/>
        </w:rPr>
        <w:t xml:space="preserve">impacted </w:t>
      </w:r>
      <w:r w:rsidRPr="00C02E0A">
        <w:rPr>
          <w:rStyle w:val="ECCParagraph"/>
        </w:rPr>
        <w:t>by sharing analyses with incumbent services.</w:t>
      </w:r>
      <w:r w:rsidR="002F2DB2">
        <w:rPr>
          <w:rStyle w:val="ECCParagraph"/>
        </w:rPr>
        <w:t xml:space="preserve"> </w:t>
      </w:r>
      <w:r w:rsidRPr="00C02E0A">
        <w:rPr>
          <w:rStyle w:val="ECCParagraph"/>
        </w:rPr>
        <w:t xml:space="preserve">Therefore, studies under Resolves 4 of Resolution 160 (WRC-15) </w:t>
      </w:r>
      <w:r w:rsidR="00381E40">
        <w:rPr>
          <w:rStyle w:val="ECCParagraph"/>
        </w:rPr>
        <w:t xml:space="preserve">would </w:t>
      </w:r>
      <w:r w:rsidRPr="00C02E0A">
        <w:rPr>
          <w:rStyle w:val="ECCParagraph"/>
        </w:rPr>
        <w:t xml:space="preserve">need to be performed. </w:t>
      </w:r>
    </w:p>
    <w:p w14:paraId="24C20857" w14:textId="77777777" w:rsidR="00051694" w:rsidRPr="00A5587A" w:rsidRDefault="00051694" w:rsidP="00051694">
      <w:pPr>
        <w:pStyle w:val="berschrift3"/>
        <w:rPr>
          <w:rStyle w:val="ECCHLorange"/>
        </w:rPr>
      </w:pPr>
      <w:r w:rsidRPr="00C02E0A">
        <w:rPr>
          <w:rStyle w:val="ECCParagraph"/>
        </w:rPr>
        <w:t>Specific broadband HAPS spectrum requirements</w:t>
      </w:r>
    </w:p>
    <w:p w14:paraId="647A11DF" w14:textId="77777777" w:rsidR="002E0008" w:rsidRPr="00B619D4" w:rsidRDefault="002E0008" w:rsidP="002E0008">
      <w:pPr>
        <w:pStyle w:val="ECCEditorsNote"/>
        <w:rPr>
          <w:lang w:val="en-GB"/>
        </w:rPr>
      </w:pPr>
      <w:r w:rsidRPr="00B619D4">
        <w:rPr>
          <w:lang w:val="en-GB"/>
        </w:rPr>
        <w:t>to be completed at a future PT-A meeting</w:t>
      </w:r>
    </w:p>
    <w:p w14:paraId="3A0C881B" w14:textId="77777777" w:rsidR="002E0008" w:rsidRPr="00B619D4" w:rsidRDefault="002E0008" w:rsidP="002E0008">
      <w:pPr>
        <w:pStyle w:val="berschrift2"/>
        <w:rPr>
          <w:lang w:val="en-GB"/>
        </w:rPr>
      </w:pPr>
      <w:r w:rsidRPr="00B619D4">
        <w:rPr>
          <w:lang w:val="en-GB"/>
        </w:rPr>
        <w:t>Technical and regulatory studies in Existing identified bands for haps</w:t>
      </w:r>
    </w:p>
    <w:p w14:paraId="0DCE4376" w14:textId="489D994D" w:rsidR="002E0008" w:rsidRPr="00B619D4" w:rsidRDefault="0095551B" w:rsidP="002E0008">
      <w:pPr>
        <w:pStyle w:val="berschrift3"/>
        <w:rPr>
          <w:lang w:val="en-GB"/>
        </w:rPr>
      </w:pPr>
      <w:r>
        <w:rPr>
          <w:lang w:val="en-GB"/>
        </w:rPr>
        <w:t>6</w:t>
      </w:r>
      <w:r>
        <w:t xml:space="preserve"> </w:t>
      </w:r>
      <w:r>
        <w:rPr>
          <w:lang w:val="en-GB"/>
        </w:rPr>
        <w:t>440-</w:t>
      </w:r>
      <w:r w:rsidR="002E0008" w:rsidRPr="00B619D4">
        <w:rPr>
          <w:lang w:val="en-GB"/>
        </w:rPr>
        <w:t>6</w:t>
      </w:r>
      <w:r>
        <w:t xml:space="preserve"> </w:t>
      </w:r>
      <w:r w:rsidR="002E0008" w:rsidRPr="00B619D4">
        <w:rPr>
          <w:lang w:val="en-GB"/>
        </w:rPr>
        <w:t>520 MHz (HAPS to ground) and 6</w:t>
      </w:r>
      <w:r>
        <w:t xml:space="preserve"> </w:t>
      </w:r>
      <w:r w:rsidR="002E0008" w:rsidRPr="00B619D4">
        <w:rPr>
          <w:lang w:val="en-GB"/>
        </w:rPr>
        <w:t>560-6</w:t>
      </w:r>
      <w:r>
        <w:t xml:space="preserve"> </w:t>
      </w:r>
      <w:r w:rsidR="002E0008" w:rsidRPr="00B619D4">
        <w:rPr>
          <w:lang w:val="en-GB"/>
        </w:rPr>
        <w:t>640 MHz (ground to HAPS)</w:t>
      </w:r>
    </w:p>
    <w:p w14:paraId="3CFEBC91" w14:textId="77777777" w:rsidR="002E0008" w:rsidRPr="00B619D4" w:rsidRDefault="002E0008" w:rsidP="002E0008">
      <w:pPr>
        <w:pStyle w:val="berschrift4"/>
        <w:rPr>
          <w:lang w:val="en-GB"/>
        </w:rPr>
      </w:pPr>
      <w:r w:rsidRPr="00B619D4">
        <w:rPr>
          <w:lang w:val="en-GB"/>
        </w:rPr>
        <w:t>Current Radio Regulation in the band 6</w:t>
      </w:r>
      <w:r w:rsidR="002A675F" w:rsidRPr="00B93DF1">
        <w:rPr>
          <w:lang w:val="en-GB"/>
        </w:rPr>
        <w:t xml:space="preserve"> </w:t>
      </w:r>
      <w:r w:rsidRPr="00B619D4">
        <w:rPr>
          <w:lang w:val="en-GB"/>
        </w:rPr>
        <w:t>640-6</w:t>
      </w:r>
      <w:r w:rsidR="002A675F" w:rsidRPr="00B93DF1">
        <w:rPr>
          <w:lang w:val="en-GB"/>
        </w:rPr>
        <w:t xml:space="preserve"> </w:t>
      </w:r>
      <w:r w:rsidRPr="00B619D4">
        <w:rPr>
          <w:lang w:val="en-GB"/>
        </w:rPr>
        <w:t>520 MHz and 6</w:t>
      </w:r>
      <w:r w:rsidR="002A675F" w:rsidRPr="00B93DF1">
        <w:rPr>
          <w:lang w:val="en-GB"/>
        </w:rPr>
        <w:t xml:space="preserve"> </w:t>
      </w:r>
      <w:r w:rsidRPr="00B619D4">
        <w:rPr>
          <w:lang w:val="en-GB"/>
        </w:rPr>
        <w:t>560-6</w:t>
      </w:r>
      <w:r w:rsidR="002A675F" w:rsidRPr="00B93DF1">
        <w:rPr>
          <w:lang w:val="en-GB"/>
        </w:rPr>
        <w:t xml:space="preserve"> </w:t>
      </w:r>
      <w:r w:rsidRPr="00B619D4">
        <w:rPr>
          <w:lang w:val="en-GB"/>
        </w:rPr>
        <w:t>640 MHz</w:t>
      </w:r>
    </w:p>
    <w:p w14:paraId="1394D115" w14:textId="77777777" w:rsidR="002E0008" w:rsidRPr="00AD2915" w:rsidRDefault="002E0008" w:rsidP="002E0008">
      <w:r w:rsidRPr="00AD2915">
        <w:t>For countries listed in footnote 5.457</w:t>
      </w:r>
      <w:r w:rsidRPr="00AD2915">
        <w:rPr>
          <w:rStyle w:val="Funotenzeichen"/>
        </w:rPr>
        <w:footnoteReference w:id="5"/>
      </w:r>
      <w:r w:rsidRPr="00AD2915">
        <w:t xml:space="preserve">, the allocation to the fixed service in the bands 6 440-6 520 MHz (HAPS-to-ground direction) and 6 560-6 640 MHz (ground-to-HAPS direction) </w:t>
      </w:r>
      <w:r>
        <w:t xml:space="preserve">is identified </w:t>
      </w:r>
      <w:r w:rsidRPr="00AD2915">
        <w:t>for high-altitude platform stations (HAPS). Such use is limited to gateway links within the territory of these countries, and in accordance with Resolution 150 (Rev.WRC-12)</w:t>
      </w:r>
      <w:proofErr w:type="gramStart"/>
      <w:r w:rsidRPr="00AD2915">
        <w:t>,</w:t>
      </w:r>
      <w:proofErr w:type="gramEnd"/>
      <w:r w:rsidRPr="00AD2915">
        <w:t xml:space="preserve"> defining operating conditions in order to protect incumbent services in these bands, and shall not claim protection from existing services.</w:t>
      </w:r>
    </w:p>
    <w:p w14:paraId="4F25D444" w14:textId="77777777" w:rsidR="002E0008" w:rsidRDefault="002E0008" w:rsidP="002E0008">
      <w:r w:rsidRPr="00D0091B">
        <w:t>The use of HAPS gateway links in these bands requires explicit agreement with other administrations whose territories are located within 1 000 kilometres from the border of an administration intending to use the HAPS gateway links.</w:t>
      </w:r>
    </w:p>
    <w:p w14:paraId="794D1309" w14:textId="77777777" w:rsidR="002E0008" w:rsidRDefault="002E0008" w:rsidP="002E0008">
      <w:r>
        <w:t>The frequency bands 6</w:t>
      </w:r>
      <w:r w:rsidR="002A675F">
        <w:t xml:space="preserve"> </w:t>
      </w:r>
      <w:r>
        <w:t>440-6</w:t>
      </w:r>
      <w:r w:rsidR="002A675F">
        <w:t xml:space="preserve"> </w:t>
      </w:r>
      <w:r>
        <w:t>520 MHz and 6</w:t>
      </w:r>
      <w:r w:rsidR="002A675F">
        <w:t xml:space="preserve"> </w:t>
      </w:r>
      <w:r>
        <w:t>560-6</w:t>
      </w:r>
      <w:r w:rsidR="002A675F">
        <w:t xml:space="preserve"> </w:t>
      </w:r>
      <w:r>
        <w:t xml:space="preserve">640 MHz are worldwide allocated on a primary status to the fixed, the mobile and the fixed satellite (Earth-to-space) services. </w:t>
      </w:r>
      <w:r w:rsidRPr="00112506">
        <w:t xml:space="preserve">In Region 2 (except </w:t>
      </w:r>
      <w:r>
        <w:t>a limited list of countries</w:t>
      </w:r>
      <w:r w:rsidRPr="00112506">
        <w:t>), the band 5 925-6 700 MHz may be used for aeronautical mobile telemetry for flight testing by</w:t>
      </w:r>
      <w:r>
        <w:t xml:space="preserve"> aircraft stations</w:t>
      </w:r>
      <w:r w:rsidRPr="00112506">
        <w:t>. Such use shall be in accordance with Resolution 416 (WRC-07) and shall not cause</w:t>
      </w:r>
      <w:r>
        <w:t xml:space="preserve"> </w:t>
      </w:r>
      <w:r w:rsidRPr="00112506">
        <w:t xml:space="preserve">harmful interference to, </w:t>
      </w:r>
      <w:proofErr w:type="gramStart"/>
      <w:r w:rsidRPr="00112506">
        <w:t>nor</w:t>
      </w:r>
      <w:proofErr w:type="gramEnd"/>
      <w:r w:rsidRPr="00112506">
        <w:t xml:space="preserve"> claim protection from, the fixed-satellite and fixed services</w:t>
      </w:r>
      <w:r>
        <w:t>.</w:t>
      </w:r>
    </w:p>
    <w:p w14:paraId="1CE03469" w14:textId="77777777" w:rsidR="002E0008" w:rsidRPr="00AD2915" w:rsidRDefault="002E0008" w:rsidP="002E0008">
      <w:r w:rsidRPr="00112506">
        <w:t>In the band 6 425-7 075 MHz, passive microwave sensor measurements a</w:t>
      </w:r>
      <w:r>
        <w:t xml:space="preserve">re carried out over the oceans. </w:t>
      </w:r>
      <w:r w:rsidRPr="00112506">
        <w:t>In the band 7 075-7 250 MHz, passive microwave sensor measurements are carried out. Administrations should bear in</w:t>
      </w:r>
      <w:r>
        <w:t xml:space="preserve"> </w:t>
      </w:r>
      <w:r w:rsidRPr="00112506">
        <w:t>mind the needs of the Earth exploration-satellite (passive) and space research (passive) services in their future planning</w:t>
      </w:r>
      <w:r>
        <w:t xml:space="preserve"> </w:t>
      </w:r>
      <w:r w:rsidRPr="00112506">
        <w:t xml:space="preserve">of the bands 6 425-7 075 MHz and 7 075-7 250 </w:t>
      </w:r>
      <w:proofErr w:type="spellStart"/>
      <w:r w:rsidR="00F23906" w:rsidRPr="00112506">
        <w:t>MHz</w:t>
      </w:r>
      <w:r w:rsidR="00F23906">
        <w:t>.</w:t>
      </w:r>
      <w:proofErr w:type="spellEnd"/>
      <w:r>
        <w:t xml:space="preserve"> </w:t>
      </w:r>
    </w:p>
    <w:p w14:paraId="60476899" w14:textId="77777777" w:rsidR="002E0008" w:rsidRPr="00B619D4" w:rsidRDefault="002E0008" w:rsidP="002E0008">
      <w:pPr>
        <w:pStyle w:val="berschrift4"/>
        <w:rPr>
          <w:lang w:val="en-GB"/>
        </w:rPr>
      </w:pPr>
      <w:r w:rsidRPr="00B619D4">
        <w:rPr>
          <w:lang w:val="en-GB"/>
        </w:rPr>
        <w:t>Sharing with Fixed Service (FS)</w:t>
      </w:r>
    </w:p>
    <w:p w14:paraId="2E84A839" w14:textId="77777777" w:rsidR="002E0008" w:rsidRPr="00B619D4" w:rsidRDefault="002E0008" w:rsidP="002E0008">
      <w:pPr>
        <w:pStyle w:val="ECCEditorsNote"/>
        <w:rPr>
          <w:lang w:val="en-GB"/>
        </w:rPr>
      </w:pPr>
      <w:r w:rsidRPr="00B619D4">
        <w:rPr>
          <w:lang w:val="en-GB"/>
        </w:rPr>
        <w:t>to be completed at a future PT-A meeting</w:t>
      </w:r>
    </w:p>
    <w:p w14:paraId="3236691A" w14:textId="77777777" w:rsidR="002E0008" w:rsidRPr="00B619D4" w:rsidRDefault="002E0008" w:rsidP="002E0008">
      <w:pPr>
        <w:pStyle w:val="berschrift4"/>
        <w:rPr>
          <w:lang w:val="en-GB"/>
        </w:rPr>
      </w:pPr>
      <w:r w:rsidRPr="00B619D4">
        <w:rPr>
          <w:lang w:val="en-GB"/>
        </w:rPr>
        <w:t>Sharing with Mobile Service (MS)</w:t>
      </w:r>
    </w:p>
    <w:p w14:paraId="6C6ACE7A" w14:textId="77777777" w:rsidR="002E0008" w:rsidRPr="00B619D4" w:rsidRDefault="002E0008" w:rsidP="002E0008">
      <w:pPr>
        <w:pStyle w:val="ECCEditorsNote"/>
        <w:rPr>
          <w:lang w:val="en-GB"/>
        </w:rPr>
      </w:pPr>
      <w:r w:rsidRPr="00B619D4">
        <w:rPr>
          <w:lang w:val="en-GB"/>
        </w:rPr>
        <w:t>to be completed at a future PT-A meeting</w:t>
      </w:r>
    </w:p>
    <w:p w14:paraId="58801BD3" w14:textId="77777777" w:rsidR="002E0008" w:rsidRPr="00B619D4" w:rsidRDefault="002E0008" w:rsidP="002E0008">
      <w:pPr>
        <w:pStyle w:val="berschrift4"/>
        <w:rPr>
          <w:lang w:val="en-GB"/>
        </w:rPr>
      </w:pPr>
      <w:r w:rsidRPr="00B619D4">
        <w:rPr>
          <w:lang w:val="en-GB"/>
        </w:rPr>
        <w:t>Sharing with Fixed-Satellite Service (FSS)</w:t>
      </w:r>
    </w:p>
    <w:p w14:paraId="45B85115" w14:textId="77777777" w:rsidR="002E0008" w:rsidRPr="00B619D4" w:rsidRDefault="002E0008" w:rsidP="002E0008">
      <w:pPr>
        <w:pStyle w:val="ECCEditorsNote"/>
        <w:rPr>
          <w:lang w:val="en-GB"/>
        </w:rPr>
      </w:pPr>
      <w:r w:rsidRPr="00B619D4">
        <w:rPr>
          <w:lang w:val="en-GB"/>
        </w:rPr>
        <w:t>to be completed at a future PT-A meeting</w:t>
      </w:r>
    </w:p>
    <w:p w14:paraId="4B0B6DE4" w14:textId="77777777" w:rsidR="002E0008" w:rsidRPr="00B619D4" w:rsidRDefault="002E0008" w:rsidP="002E0008">
      <w:pPr>
        <w:pStyle w:val="berschrift4"/>
        <w:rPr>
          <w:lang w:val="en-GB"/>
        </w:rPr>
      </w:pPr>
      <w:proofErr w:type="gramStart"/>
      <w:r w:rsidRPr="00B619D4">
        <w:rPr>
          <w:lang w:val="en-GB"/>
        </w:rPr>
        <w:t>Sharing with Earth exploration-satellite (passive) and space research (passive) services over the oceans.</w:t>
      </w:r>
      <w:proofErr w:type="gramEnd"/>
    </w:p>
    <w:p w14:paraId="1083A6D0" w14:textId="77777777" w:rsidR="002E0008" w:rsidRPr="00B619D4" w:rsidRDefault="002E0008" w:rsidP="002E0008">
      <w:pPr>
        <w:pStyle w:val="ECCEditorsNote"/>
        <w:rPr>
          <w:lang w:val="en-GB"/>
        </w:rPr>
      </w:pPr>
      <w:r w:rsidRPr="00B619D4">
        <w:rPr>
          <w:lang w:val="en-GB"/>
        </w:rPr>
        <w:t>to be completed at a future PT-A meeting</w:t>
      </w:r>
    </w:p>
    <w:p w14:paraId="25A32B04" w14:textId="77777777" w:rsidR="002E0008" w:rsidRPr="00B619D4" w:rsidRDefault="002E0008" w:rsidP="002E0008">
      <w:pPr>
        <w:pStyle w:val="berschrift3"/>
        <w:rPr>
          <w:lang w:val="en-GB"/>
        </w:rPr>
      </w:pPr>
      <w:r w:rsidRPr="00B619D4">
        <w:rPr>
          <w:lang w:val="en-GB"/>
        </w:rPr>
        <w:t>27.9-28.2 GHz (HAPS to ground) and 31-31.3 GHz (ground to HAPS)</w:t>
      </w:r>
    </w:p>
    <w:p w14:paraId="7FB60DCB" w14:textId="77777777" w:rsidR="002E0008" w:rsidRPr="00B619D4" w:rsidRDefault="002E0008" w:rsidP="002E0008">
      <w:pPr>
        <w:pStyle w:val="berschrift4"/>
        <w:rPr>
          <w:lang w:val="en-GB"/>
        </w:rPr>
      </w:pPr>
      <w:r w:rsidRPr="00B619D4">
        <w:rPr>
          <w:lang w:val="en-GB"/>
        </w:rPr>
        <w:t>Current Radio Regulation in the band 27.9-28.2 GHz and 31-31.3 GHz</w:t>
      </w:r>
    </w:p>
    <w:p w14:paraId="063C20AE" w14:textId="4F41CF01" w:rsidR="002E0008" w:rsidRPr="00DB6AEB" w:rsidRDefault="002E0008" w:rsidP="002E0008">
      <w:pPr>
        <w:rPr>
          <w:rStyle w:val="ECCParagraph"/>
        </w:rPr>
      </w:pPr>
      <w:r w:rsidRPr="00DB6AEB">
        <w:rPr>
          <w:rStyle w:val="ECCParagraph"/>
        </w:rPr>
        <w:t xml:space="preserve">HAPS </w:t>
      </w:r>
      <w:proofErr w:type="gramStart"/>
      <w:r w:rsidRPr="00DB6AEB">
        <w:rPr>
          <w:rStyle w:val="ECCParagraph"/>
        </w:rPr>
        <w:t>has</w:t>
      </w:r>
      <w:proofErr w:type="gramEnd"/>
      <w:r w:rsidRPr="00DB6AEB">
        <w:rPr>
          <w:rStyle w:val="ECCParagraph"/>
        </w:rPr>
        <w:t xml:space="preserve"> an identification at 27.9-28.2 GHz, which is allocated to the fixed, fixed satellite (Earth</w:t>
      </w:r>
      <w:r w:rsidRPr="00DB6AEB">
        <w:rPr>
          <w:rStyle w:val="ECCParagraph"/>
        </w:rPr>
        <w:noBreakHyphen/>
        <w:t>to-space) and mobile service on a primary basis. Additionally, No. 5.540 makes a secondary allocation to the fixed satellite service (space-to-Earth) for beacon transmissions intended for up-link power control at 27.501-29.999 GHz. The HAPS identification in No. 5.537A permits use within the territory of a number of countries. Such use is limited to operation in the HAPS-to-ground direction and requires HAPS systems to avoid causing harmful interference to, and precludes HAPS systems from claiming protection from, other fixed service systems or co-primary services.</w:t>
      </w:r>
    </w:p>
    <w:p w14:paraId="4BBE7778" w14:textId="03AFA264" w:rsidR="002E0008" w:rsidRPr="00DB6AEB" w:rsidRDefault="002E0008" w:rsidP="002E0008">
      <w:pPr>
        <w:rPr>
          <w:rStyle w:val="ECCParagraph"/>
        </w:rPr>
      </w:pPr>
      <w:r w:rsidRPr="00DB6AEB">
        <w:rPr>
          <w:rStyle w:val="ECCParagraph"/>
        </w:rPr>
        <w:t>The 31.0-31.3 GHz band is allocated to the fixed and mobile service on a primary basis, and the standard frequency and time signal satellite service and space research service on a secondary basis. Pursuant to RR No. 5.543A, the same countries mentioned above are permitted to use this band for HAPS in the ground-to-HAPS direction. Such use may not cause harmful interference to, nor claim protection from, other types of fixed service systems or mobile service systems</w:t>
      </w:r>
      <w:r w:rsidRPr="00B93DF1">
        <w:rPr>
          <w:rStyle w:val="ECCHLsuperscript"/>
        </w:rPr>
        <w:footnoteReference w:id="6"/>
      </w:r>
      <w:r w:rsidR="00B93DF1">
        <w:rPr>
          <w:rStyle w:val="ECCParagraph"/>
        </w:rPr>
        <w:t>.</w:t>
      </w:r>
      <w:r w:rsidRPr="00DB6AEB">
        <w:rPr>
          <w:rStyle w:val="ECCParagraph"/>
        </w:rPr>
        <w:t xml:space="preserve"> HAPS must also avoid harmful interference to the radio astronomy service</w:t>
      </w:r>
      <w:r w:rsidR="003A50B5" w:rsidRPr="00DB6AEB">
        <w:rPr>
          <w:rStyle w:val="ECCParagraph"/>
        </w:rPr>
        <w:t xml:space="preserve"> and EESS (passive), which have </w:t>
      </w:r>
      <w:r w:rsidRPr="00DB6AEB">
        <w:rPr>
          <w:rStyle w:val="ECCParagraph"/>
        </w:rPr>
        <w:t>primary allocation</w:t>
      </w:r>
      <w:r w:rsidR="003A50B5" w:rsidRPr="00DB6AEB">
        <w:rPr>
          <w:rStyle w:val="ECCParagraph"/>
        </w:rPr>
        <w:t>s</w:t>
      </w:r>
      <w:r w:rsidRPr="00DB6AEB">
        <w:rPr>
          <w:rStyle w:val="ECCParagraph"/>
        </w:rPr>
        <w:t xml:space="preserve"> in the 31.3-31.8 GHz band</w:t>
      </w:r>
      <w:r w:rsidR="00B01589" w:rsidRPr="00DB6AEB">
        <w:rPr>
          <w:rStyle w:val="ECCParagraph"/>
        </w:rPr>
        <w:t>.</w:t>
      </w:r>
      <w:r w:rsidR="003A50B5" w:rsidRPr="00DB6AEB">
        <w:rPr>
          <w:rStyle w:val="ECCParagraph"/>
        </w:rPr>
        <w:t xml:space="preserve"> </w:t>
      </w:r>
      <w:r w:rsidR="00D44FAF">
        <w:rPr>
          <w:rStyle w:val="ECCParagraph"/>
        </w:rPr>
        <w:t xml:space="preserve"> </w:t>
      </w:r>
      <w:r w:rsidR="00B01589" w:rsidRPr="00DB6AEB">
        <w:rPr>
          <w:rStyle w:val="ECCParagraph"/>
        </w:rPr>
        <w:t xml:space="preserve">No. </w:t>
      </w:r>
      <w:r w:rsidR="003A50B5" w:rsidRPr="00DB6AEB">
        <w:rPr>
          <w:rStyle w:val="ECCParagraph"/>
        </w:rPr>
        <w:t>5.340</w:t>
      </w:r>
      <w:r w:rsidR="00B01589" w:rsidRPr="00DB6AEB">
        <w:rPr>
          <w:rStyle w:val="ECCParagraph"/>
        </w:rPr>
        <w:t xml:space="preserve"> applies in 31.3</w:t>
      </w:r>
      <w:r w:rsidR="00D44FAF">
        <w:rPr>
          <w:rStyle w:val="ECCParagraph"/>
        </w:rPr>
        <w:t>-</w:t>
      </w:r>
      <w:r w:rsidR="00B01589" w:rsidRPr="00DB6AEB">
        <w:rPr>
          <w:rStyle w:val="ECCParagraph"/>
        </w:rPr>
        <w:t>31.5 GHz for all Regions and in 31.5</w:t>
      </w:r>
      <w:r w:rsidR="00D44FAF">
        <w:rPr>
          <w:rStyle w:val="ECCParagraph"/>
        </w:rPr>
        <w:t>-</w:t>
      </w:r>
      <w:r w:rsidR="00B01589" w:rsidRPr="00DB6AEB">
        <w:rPr>
          <w:rStyle w:val="ECCParagraph"/>
        </w:rPr>
        <w:t>31.8 GHz for Region 2</w:t>
      </w:r>
      <w:r w:rsidRPr="00DB6AEB">
        <w:rPr>
          <w:rStyle w:val="ECCParagraph"/>
        </w:rPr>
        <w:t xml:space="preserve">. Resolution 145 (Rev.WRC-12) ensures protection of the adjacent radio astronomy service by placing a </w:t>
      </w:r>
      <w:proofErr w:type="spellStart"/>
      <w:r w:rsidRPr="00DB6AEB">
        <w:rPr>
          <w:rStyle w:val="ECCParagraph"/>
        </w:rPr>
        <w:t>pfd</w:t>
      </w:r>
      <w:proofErr w:type="spellEnd"/>
      <w:r w:rsidRPr="00DB6AEB">
        <w:rPr>
          <w:rStyle w:val="ECCParagraph"/>
        </w:rPr>
        <w:t xml:space="preserve"> limit on the HAPS ground station antenna, while adding mandatory coordination and agreement with considered neighbouring administrations.</w:t>
      </w:r>
      <w:r w:rsidR="003A50B5" w:rsidRPr="00DB6AEB">
        <w:rPr>
          <w:rStyle w:val="ECCParagraph"/>
        </w:rPr>
        <w:t xml:space="preserve"> In order to ensure protection of EESS (passive), levels of unwanted power density applying to HAPS </w:t>
      </w:r>
      <w:r w:rsidR="005F0402" w:rsidRPr="00DB6AEB">
        <w:rPr>
          <w:rStyle w:val="ECCParagraph"/>
        </w:rPr>
        <w:t xml:space="preserve">ground </w:t>
      </w:r>
      <w:r w:rsidR="003A50B5" w:rsidRPr="00DB6AEB">
        <w:rPr>
          <w:rStyle w:val="ECCParagraph"/>
        </w:rPr>
        <w:t>stations are given in</w:t>
      </w:r>
      <w:r w:rsidR="00BC1DBD" w:rsidRPr="00DB6AEB">
        <w:rPr>
          <w:rStyle w:val="ECCParagraph"/>
        </w:rPr>
        <w:t xml:space="preserve"> </w:t>
      </w:r>
      <w:r w:rsidR="003A50B5" w:rsidRPr="00DB6AEB">
        <w:rPr>
          <w:rStyle w:val="ECCParagraph"/>
        </w:rPr>
        <w:t xml:space="preserve">No. 5.543A. </w:t>
      </w:r>
    </w:p>
    <w:p w14:paraId="64FA22A3" w14:textId="77777777" w:rsidR="002E0008" w:rsidRPr="00B619D4" w:rsidRDefault="002E0008" w:rsidP="002E0008">
      <w:pPr>
        <w:pStyle w:val="berschrift4"/>
        <w:rPr>
          <w:lang w:val="en-GB"/>
        </w:rPr>
      </w:pPr>
      <w:r w:rsidRPr="00B619D4">
        <w:rPr>
          <w:lang w:val="en-GB"/>
        </w:rPr>
        <w:t>Sharing with Fixed Service (FS) in the bands 28</w:t>
      </w:r>
      <w:r w:rsidR="00190FE1" w:rsidRPr="00B93DF1">
        <w:rPr>
          <w:lang w:val="en-GB"/>
        </w:rPr>
        <w:t xml:space="preserve"> </w:t>
      </w:r>
      <w:r w:rsidRPr="00B619D4">
        <w:rPr>
          <w:lang w:val="en-GB"/>
        </w:rPr>
        <w:t>GHz and 31 GHz</w:t>
      </w:r>
    </w:p>
    <w:p w14:paraId="6B0FC491" w14:textId="77777777" w:rsidR="002E0008" w:rsidRPr="00B619D4" w:rsidRDefault="002E0008" w:rsidP="002E0008">
      <w:pPr>
        <w:pStyle w:val="ECCEditorsNote"/>
        <w:rPr>
          <w:lang w:val="en-GB"/>
        </w:rPr>
      </w:pPr>
      <w:r w:rsidRPr="00B619D4">
        <w:rPr>
          <w:lang w:val="en-GB"/>
        </w:rPr>
        <w:t>to be completed at a future PT-A meeting</w:t>
      </w:r>
    </w:p>
    <w:p w14:paraId="56F4EA75" w14:textId="77777777" w:rsidR="002E0008" w:rsidRPr="00B619D4" w:rsidRDefault="002E0008" w:rsidP="002E0008">
      <w:pPr>
        <w:pStyle w:val="berschrift4"/>
        <w:rPr>
          <w:lang w:val="en-GB"/>
        </w:rPr>
      </w:pPr>
      <w:r w:rsidRPr="00B619D4">
        <w:rPr>
          <w:lang w:val="en-GB"/>
        </w:rPr>
        <w:t>Sharing with Mobile Service (MS) in the bands 28</w:t>
      </w:r>
      <w:r w:rsidR="00190FE1" w:rsidRPr="00B93DF1">
        <w:rPr>
          <w:lang w:val="en-GB"/>
        </w:rPr>
        <w:t xml:space="preserve"> </w:t>
      </w:r>
      <w:r w:rsidRPr="00B619D4">
        <w:rPr>
          <w:lang w:val="en-GB"/>
        </w:rPr>
        <w:t>GHz and 31 GHz</w:t>
      </w:r>
    </w:p>
    <w:p w14:paraId="0CD3670B" w14:textId="77777777" w:rsidR="002E0008" w:rsidRPr="00B619D4" w:rsidRDefault="002E0008" w:rsidP="002E0008">
      <w:pPr>
        <w:pStyle w:val="ECCEditorsNote"/>
        <w:rPr>
          <w:lang w:val="en-GB"/>
        </w:rPr>
      </w:pPr>
      <w:r w:rsidRPr="00B619D4">
        <w:rPr>
          <w:lang w:val="en-GB"/>
        </w:rPr>
        <w:t>to be completed at a future PT-A meeting</w:t>
      </w:r>
    </w:p>
    <w:p w14:paraId="2524D0FD" w14:textId="77777777" w:rsidR="002E0008" w:rsidRPr="00B619D4" w:rsidRDefault="002E0008" w:rsidP="002E0008">
      <w:pPr>
        <w:pStyle w:val="berschrift4"/>
        <w:rPr>
          <w:lang w:val="en-GB"/>
        </w:rPr>
      </w:pPr>
      <w:r w:rsidRPr="00B619D4">
        <w:rPr>
          <w:lang w:val="en-GB"/>
        </w:rPr>
        <w:t>Sharing with Fixed-Satellite Service (FSS) in the band 28</w:t>
      </w:r>
      <w:r w:rsidR="00190FE1" w:rsidRPr="00B93DF1">
        <w:rPr>
          <w:lang w:val="en-GB"/>
        </w:rPr>
        <w:t xml:space="preserve"> </w:t>
      </w:r>
      <w:r w:rsidRPr="00B619D4">
        <w:rPr>
          <w:lang w:val="en-GB"/>
        </w:rPr>
        <w:t>GHz</w:t>
      </w:r>
    </w:p>
    <w:p w14:paraId="10723209" w14:textId="77777777" w:rsidR="002E0008" w:rsidRPr="00B619D4" w:rsidRDefault="002E0008" w:rsidP="002E0008">
      <w:pPr>
        <w:pStyle w:val="ECCEditorsNote"/>
        <w:rPr>
          <w:lang w:val="en-GB"/>
        </w:rPr>
      </w:pPr>
      <w:r w:rsidRPr="00B619D4">
        <w:rPr>
          <w:lang w:val="en-GB"/>
        </w:rPr>
        <w:t>to be completed at a future PT-A meeting</w:t>
      </w:r>
    </w:p>
    <w:p w14:paraId="07F6389F" w14:textId="77777777" w:rsidR="00BC1DBD" w:rsidRPr="00B619D4" w:rsidRDefault="00974D77" w:rsidP="00030698">
      <w:pPr>
        <w:pStyle w:val="berschrift4"/>
        <w:rPr>
          <w:lang w:val="en-GB"/>
        </w:rPr>
      </w:pPr>
      <w:r w:rsidRPr="00B619D4">
        <w:rPr>
          <w:lang w:val="en-GB"/>
        </w:rPr>
        <w:t>C</w:t>
      </w:r>
      <w:r w:rsidR="00BC1DBD" w:rsidRPr="00B619D4">
        <w:rPr>
          <w:lang w:val="en-GB"/>
        </w:rPr>
        <w:t>ompatibility with EESS (passive) and RAS in 31.3</w:t>
      </w:r>
      <w:r w:rsidR="00190FE1" w:rsidRPr="00B93DF1">
        <w:rPr>
          <w:lang w:val="en-GB"/>
        </w:rPr>
        <w:t>-</w:t>
      </w:r>
      <w:r w:rsidR="00BC1DBD" w:rsidRPr="00B619D4">
        <w:rPr>
          <w:lang w:val="en-GB"/>
        </w:rPr>
        <w:t xml:space="preserve"> 31.8</w:t>
      </w:r>
      <w:r w:rsidR="00190FE1" w:rsidRPr="00B93DF1">
        <w:rPr>
          <w:lang w:val="en-GB"/>
        </w:rPr>
        <w:t xml:space="preserve"> </w:t>
      </w:r>
      <w:r w:rsidR="00BC1DBD" w:rsidRPr="00B619D4">
        <w:rPr>
          <w:lang w:val="en-GB"/>
        </w:rPr>
        <w:t>GHz</w:t>
      </w:r>
    </w:p>
    <w:p w14:paraId="34F1E31B" w14:textId="542A3B5F" w:rsidR="00BC1DBD" w:rsidRPr="0095551B" w:rsidRDefault="00BC1DBD" w:rsidP="0095551B">
      <w:pPr>
        <w:pStyle w:val="ECCEditorsNote"/>
        <w:rPr>
          <w:lang w:val="en-GB"/>
        </w:rPr>
      </w:pPr>
      <w:r w:rsidRPr="00B619D4">
        <w:rPr>
          <w:lang w:val="en-GB"/>
        </w:rPr>
        <w:t>to be completed at a future PT-A meeting</w:t>
      </w:r>
    </w:p>
    <w:p w14:paraId="3EA25A66" w14:textId="77777777" w:rsidR="002E0008" w:rsidRPr="002E0008" w:rsidRDefault="002E0008" w:rsidP="002E0008">
      <w:pPr>
        <w:pStyle w:val="berschrift3"/>
      </w:pPr>
      <w:r>
        <w:t>47.2-47.5 GHz and 47.9-48.2 GHz</w:t>
      </w:r>
    </w:p>
    <w:p w14:paraId="7572E1DA" w14:textId="77777777" w:rsidR="002E0008" w:rsidRPr="00B619D4" w:rsidRDefault="002E0008" w:rsidP="002E0008">
      <w:pPr>
        <w:pStyle w:val="berschrift4"/>
        <w:rPr>
          <w:lang w:val="en-GB"/>
        </w:rPr>
      </w:pPr>
      <w:r w:rsidRPr="00B619D4">
        <w:rPr>
          <w:lang w:val="en-GB"/>
        </w:rPr>
        <w:t>Current Radio Regulation in the band 47.2-47.5 GHz and 47.9-48.2 GHz</w:t>
      </w:r>
    </w:p>
    <w:p w14:paraId="534F707D" w14:textId="77777777" w:rsidR="002E0008" w:rsidRDefault="007D33C8" w:rsidP="002E0008">
      <w:r>
        <w:t>HAPS has a</w:t>
      </w:r>
      <w:r w:rsidR="002E0008">
        <w:t xml:space="preserve"> worldwide identification at 47.2-47.5 GHz and 47.9-48.2 GHz, which are allocated to the fixed, fixed satellite (Earth-to-space) and mobile services on a co-primary basis. The use of the bands 47.2-47.5 GHz and 47.9</w:t>
      </w:r>
      <w:r w:rsidR="002E0008">
        <w:noBreakHyphen/>
        <w:t xml:space="preserve">48.2 GHz is subject to the provisions of Resolution </w:t>
      </w:r>
      <w:r w:rsidR="002E0008" w:rsidRPr="00356BF4">
        <w:t>122</w:t>
      </w:r>
      <w:r w:rsidR="002E0008">
        <w:t xml:space="preserve"> </w:t>
      </w:r>
      <w:r w:rsidR="002E0008" w:rsidRPr="00356BF4">
        <w:t>(Rev.WRC-07)</w:t>
      </w:r>
      <w:r w:rsidR="002E0008">
        <w:t xml:space="preserve">, which establishes maximum transmit </w:t>
      </w:r>
      <w:proofErr w:type="spellStart"/>
      <w:r w:rsidR="002E0008">
        <w:t>e.i.r.p</w:t>
      </w:r>
      <w:proofErr w:type="spellEnd"/>
      <w:r w:rsidR="002E0008">
        <w:t xml:space="preserve">. levels, antenna beam patterns and </w:t>
      </w:r>
      <w:proofErr w:type="spellStart"/>
      <w:r w:rsidR="002E0008">
        <w:t>pfd</w:t>
      </w:r>
      <w:proofErr w:type="spellEnd"/>
      <w:r w:rsidR="002E0008">
        <w:t xml:space="preserve"> levels for HAPS operations.</w:t>
      </w:r>
    </w:p>
    <w:p w14:paraId="299B54D6" w14:textId="77777777" w:rsidR="002E0008" w:rsidRPr="00B619D4" w:rsidRDefault="002E0008" w:rsidP="002E0008">
      <w:pPr>
        <w:pStyle w:val="berschrift4"/>
        <w:rPr>
          <w:lang w:val="en-GB"/>
        </w:rPr>
      </w:pPr>
      <w:r w:rsidRPr="00B619D4">
        <w:rPr>
          <w:lang w:val="en-GB"/>
        </w:rPr>
        <w:t xml:space="preserve">Sharing with Fixed Service (FS) in the bands </w:t>
      </w:r>
    </w:p>
    <w:p w14:paraId="47125F06" w14:textId="77777777" w:rsidR="002E0008" w:rsidRPr="00B619D4" w:rsidRDefault="002E0008" w:rsidP="002E0008">
      <w:pPr>
        <w:pStyle w:val="ECCEditorsNote"/>
        <w:rPr>
          <w:lang w:val="en-GB"/>
        </w:rPr>
      </w:pPr>
      <w:r w:rsidRPr="00B619D4">
        <w:rPr>
          <w:lang w:val="en-GB"/>
        </w:rPr>
        <w:t>to be completed at a future PT-A meeting</w:t>
      </w:r>
    </w:p>
    <w:p w14:paraId="26D43562" w14:textId="77777777" w:rsidR="002E0008" w:rsidRPr="00B619D4" w:rsidRDefault="002E0008" w:rsidP="002E0008">
      <w:pPr>
        <w:pStyle w:val="berschrift4"/>
        <w:rPr>
          <w:lang w:val="en-GB"/>
        </w:rPr>
      </w:pPr>
      <w:r w:rsidRPr="00B619D4">
        <w:rPr>
          <w:lang w:val="en-GB"/>
        </w:rPr>
        <w:t>Sharing with Mobile Service (MS) in the bands</w:t>
      </w:r>
    </w:p>
    <w:p w14:paraId="3610C007" w14:textId="77777777" w:rsidR="002E0008" w:rsidRPr="00B619D4" w:rsidRDefault="002E0008" w:rsidP="002E0008">
      <w:pPr>
        <w:pStyle w:val="ECCEditorsNote"/>
        <w:rPr>
          <w:lang w:val="en-GB"/>
        </w:rPr>
      </w:pPr>
      <w:r w:rsidRPr="00B619D4">
        <w:rPr>
          <w:lang w:val="en-GB"/>
        </w:rPr>
        <w:t>to be completed at a future PT-A meeting</w:t>
      </w:r>
    </w:p>
    <w:p w14:paraId="3BA394B3" w14:textId="77777777" w:rsidR="002E0008" w:rsidRPr="00B619D4" w:rsidRDefault="002E0008" w:rsidP="002E0008">
      <w:pPr>
        <w:pStyle w:val="berschrift4"/>
        <w:rPr>
          <w:lang w:val="en-GB"/>
        </w:rPr>
      </w:pPr>
      <w:r w:rsidRPr="00B619D4">
        <w:rPr>
          <w:lang w:val="en-GB"/>
        </w:rPr>
        <w:t>Sharing with Fixed-Satellite Service (FSS)</w:t>
      </w:r>
    </w:p>
    <w:p w14:paraId="0D8C6DCC" w14:textId="77777777" w:rsidR="002E0008" w:rsidRPr="00B619D4" w:rsidRDefault="002E0008" w:rsidP="002E0008">
      <w:pPr>
        <w:pStyle w:val="ECCEditorsNote"/>
        <w:rPr>
          <w:lang w:val="en-GB"/>
        </w:rPr>
      </w:pPr>
      <w:r w:rsidRPr="00B619D4">
        <w:rPr>
          <w:lang w:val="en-GB"/>
        </w:rPr>
        <w:t>to be completed at a future PT-A meeting</w:t>
      </w:r>
    </w:p>
    <w:p w14:paraId="5F5CEB9F" w14:textId="77777777" w:rsidR="002E0008" w:rsidRPr="00B619D4" w:rsidRDefault="002E0008" w:rsidP="002E0008">
      <w:pPr>
        <w:pStyle w:val="berschrift3"/>
        <w:rPr>
          <w:lang w:val="en-GB"/>
        </w:rPr>
      </w:pPr>
      <w:r w:rsidRPr="00B619D4">
        <w:rPr>
          <w:lang w:val="en-GB"/>
        </w:rPr>
        <w:t>Conclusion on the suitability of using existing identified bands for HAPS</w:t>
      </w:r>
    </w:p>
    <w:p w14:paraId="0AC81BAA" w14:textId="77777777" w:rsidR="002E0008" w:rsidRPr="00B619D4" w:rsidRDefault="002E0008" w:rsidP="002E0008">
      <w:pPr>
        <w:pStyle w:val="ECCEditorsNote"/>
        <w:rPr>
          <w:lang w:val="en-GB"/>
        </w:rPr>
      </w:pPr>
      <w:r w:rsidRPr="00B619D4">
        <w:rPr>
          <w:lang w:val="en-GB"/>
        </w:rPr>
        <w:t>to be completed at a future PT-A meeting</w:t>
      </w:r>
    </w:p>
    <w:p w14:paraId="39DA07A0" w14:textId="77777777" w:rsidR="002E0008" w:rsidRPr="00B619D4" w:rsidRDefault="002E0008" w:rsidP="002E0008">
      <w:pPr>
        <w:pStyle w:val="berschrift2"/>
        <w:rPr>
          <w:lang w:val="en-GB"/>
        </w:rPr>
      </w:pPr>
      <w:r w:rsidRPr="00B619D4">
        <w:rPr>
          <w:lang w:val="en-GB"/>
        </w:rPr>
        <w:t>technical and regulatory Studies in possible new bands for haps</w:t>
      </w:r>
    </w:p>
    <w:p w14:paraId="7C6347CF" w14:textId="77777777" w:rsidR="002E0008" w:rsidRPr="002E0008" w:rsidRDefault="002E0008" w:rsidP="002E0008">
      <w:pPr>
        <w:pStyle w:val="berschrift3"/>
      </w:pPr>
      <w:r>
        <w:t>Worldwide (38-39.5 GHz)</w:t>
      </w:r>
    </w:p>
    <w:p w14:paraId="07C6C35E" w14:textId="77777777" w:rsidR="002E0008" w:rsidRPr="00B619D4" w:rsidRDefault="002E0008" w:rsidP="002E0008">
      <w:pPr>
        <w:pStyle w:val="ECCEditorsNote"/>
        <w:rPr>
          <w:lang w:val="en-GB"/>
        </w:rPr>
      </w:pPr>
      <w:r w:rsidRPr="00B619D4">
        <w:rPr>
          <w:lang w:val="en-GB"/>
        </w:rPr>
        <w:t>to be completed</w:t>
      </w:r>
      <w:r w:rsidR="00733D47" w:rsidRPr="00B619D4">
        <w:rPr>
          <w:lang w:val="en-GB"/>
        </w:rPr>
        <w:t>, if necessary,</w:t>
      </w:r>
      <w:r w:rsidRPr="00B619D4">
        <w:rPr>
          <w:lang w:val="en-GB"/>
        </w:rPr>
        <w:t xml:space="preserve"> at a future PT-A meeting</w:t>
      </w:r>
      <w:r w:rsidR="00733D47" w:rsidRPr="00B619D4">
        <w:rPr>
          <w:lang w:val="en-GB"/>
        </w:rPr>
        <w:t xml:space="preserve"> when conclusions on the </w:t>
      </w:r>
      <w:r w:rsidR="00E66255" w:rsidRPr="00B619D4">
        <w:rPr>
          <w:lang w:val="en-GB"/>
        </w:rPr>
        <w:t>suitability</w:t>
      </w:r>
      <w:r w:rsidR="00733D47" w:rsidRPr="00B619D4">
        <w:rPr>
          <w:lang w:val="en-GB"/>
        </w:rPr>
        <w:t xml:space="preserve"> of existing bands will be known</w:t>
      </w:r>
    </w:p>
    <w:p w14:paraId="6F41A7AA" w14:textId="77777777" w:rsidR="002E0008" w:rsidRPr="002E0008" w:rsidRDefault="002E0008" w:rsidP="002E0008">
      <w:pPr>
        <w:pStyle w:val="berschrift3"/>
      </w:pPr>
      <w:r>
        <w:t>Region 2 (21.4-22 GHz and 24.25-27.5 GHz)</w:t>
      </w:r>
    </w:p>
    <w:p w14:paraId="44CA1FA4" w14:textId="03F59113" w:rsidR="0038331C" w:rsidRPr="00B619D4" w:rsidRDefault="002E0008" w:rsidP="00F87F71">
      <w:pPr>
        <w:pStyle w:val="ECCEditorsNote"/>
        <w:rPr>
          <w:lang w:val="en-GB"/>
        </w:rPr>
      </w:pPr>
      <w:r w:rsidRPr="00B619D4">
        <w:rPr>
          <w:lang w:val="en-GB"/>
        </w:rPr>
        <w:t>to be completed</w:t>
      </w:r>
      <w:r w:rsidR="00733D47" w:rsidRPr="00B619D4">
        <w:rPr>
          <w:lang w:val="en-GB"/>
        </w:rPr>
        <w:t xml:space="preserve">, if necessary, </w:t>
      </w:r>
      <w:r w:rsidRPr="00B619D4">
        <w:rPr>
          <w:lang w:val="en-GB"/>
        </w:rPr>
        <w:t>at a future PT-A meeting</w:t>
      </w:r>
      <w:r w:rsidR="00733D47" w:rsidRPr="00B619D4">
        <w:rPr>
          <w:lang w:val="en-GB"/>
        </w:rPr>
        <w:t xml:space="preserve"> when conclusions on the </w:t>
      </w:r>
      <w:r w:rsidR="00E66255" w:rsidRPr="00B619D4">
        <w:rPr>
          <w:lang w:val="en-GB"/>
        </w:rPr>
        <w:t>suitability</w:t>
      </w:r>
      <w:r w:rsidR="00733D47" w:rsidRPr="00B619D4">
        <w:rPr>
          <w:lang w:val="en-GB"/>
        </w:rPr>
        <w:t xml:space="preserve"> of existing bands will be known</w:t>
      </w:r>
    </w:p>
    <w:p w14:paraId="192CAC39" w14:textId="77777777" w:rsidR="003771D5" w:rsidRPr="00235592" w:rsidRDefault="003771D5" w:rsidP="00BD4E12">
      <w:pPr>
        <w:pStyle w:val="berschrift1"/>
        <w:rPr>
          <w:lang w:val="en-GB"/>
        </w:rPr>
      </w:pPr>
      <w:r w:rsidRPr="00235592">
        <w:rPr>
          <w:lang w:val="en-GB"/>
        </w:rPr>
        <w:t>List of relevant documents</w:t>
      </w:r>
    </w:p>
    <w:p w14:paraId="61D7D1C9" w14:textId="77777777" w:rsidR="00220194" w:rsidRPr="00275555" w:rsidRDefault="003771D5" w:rsidP="000A29BC">
      <w:pPr>
        <w:pStyle w:val="ECCBreak"/>
        <w:rPr>
          <w:rStyle w:val="ECCParagraph"/>
          <w:lang w:val="fr-FR"/>
        </w:rPr>
      </w:pPr>
      <w:r w:rsidRPr="00275555">
        <w:rPr>
          <w:rStyle w:val="ECCParagraph"/>
          <w:lang w:val="fr-FR"/>
        </w:rPr>
        <w:t>ITU-Documentation (</w:t>
      </w:r>
      <w:proofErr w:type="spellStart"/>
      <w:r w:rsidRPr="00275555">
        <w:rPr>
          <w:rStyle w:val="ECCParagraph"/>
          <w:lang w:val="fr-FR"/>
        </w:rPr>
        <w:t>Recommendations</w:t>
      </w:r>
      <w:proofErr w:type="spellEnd"/>
      <w:r w:rsidRPr="00275555">
        <w:rPr>
          <w:rStyle w:val="ECCParagraph"/>
          <w:lang w:val="fr-FR"/>
        </w:rPr>
        <w:t xml:space="preserve">, Reports, </w:t>
      </w:r>
      <w:proofErr w:type="spellStart"/>
      <w:r w:rsidRPr="00275555">
        <w:rPr>
          <w:rStyle w:val="ECCParagraph"/>
          <w:lang w:val="fr-FR"/>
        </w:rPr>
        <w:t>other</w:t>
      </w:r>
      <w:proofErr w:type="spellEnd"/>
      <w:r w:rsidRPr="00275555">
        <w:rPr>
          <w:rStyle w:val="ECCParagraph"/>
          <w:lang w:val="fr-FR"/>
        </w:rPr>
        <w:t>)</w:t>
      </w:r>
    </w:p>
    <w:p w14:paraId="2F97E602" w14:textId="77777777" w:rsidR="0044760B" w:rsidRPr="0044760B" w:rsidRDefault="0044760B" w:rsidP="009F7CE0">
      <w:pPr>
        <w:pStyle w:val="ECCBulletsLv1"/>
        <w:rPr>
          <w:rStyle w:val="ECCParagraph"/>
        </w:rPr>
      </w:pPr>
      <w:r>
        <w:rPr>
          <w:rStyle w:val="ECCParagraph"/>
        </w:rPr>
        <w:t>ITU-R Agenda Item 1.14 work plan</w:t>
      </w:r>
    </w:p>
    <w:p w14:paraId="715FBA55" w14:textId="77777777" w:rsidR="0044760B" w:rsidRPr="00AE0E86" w:rsidRDefault="0044760B" w:rsidP="009F7CE0">
      <w:pPr>
        <w:pStyle w:val="ECCBulletsLv2"/>
        <w:rPr>
          <w:rStyle w:val="ECCParagraph"/>
        </w:rPr>
      </w:pPr>
      <w:r w:rsidRPr="00AE0E86">
        <w:rPr>
          <w:rStyle w:val="ECCParagraph"/>
        </w:rPr>
        <w:t xml:space="preserve">Annex 16 to Doc. </w:t>
      </w:r>
      <w:hyperlink r:id="rId14" w:history="1">
        <w:r w:rsidR="0084134C" w:rsidRPr="00AE0E86">
          <w:rPr>
            <w:rStyle w:val="ECCParagraph"/>
          </w:rPr>
          <w:t>5C/173</w:t>
        </w:r>
      </w:hyperlink>
    </w:p>
    <w:p w14:paraId="007C4665" w14:textId="77777777" w:rsidR="0044760B" w:rsidRPr="006115ED" w:rsidRDefault="0044760B" w:rsidP="009F7CE0">
      <w:pPr>
        <w:pStyle w:val="ECCBulletsLv1"/>
        <w:rPr>
          <w:rStyle w:val="ECCParagraph"/>
          <w:lang w:val="de-DE"/>
        </w:rPr>
      </w:pPr>
      <w:r w:rsidRPr="006115ED">
        <w:rPr>
          <w:rStyle w:val="ECCParagraph"/>
          <w:lang w:val="de-DE"/>
        </w:rPr>
        <w:t xml:space="preserve">ITU-R Agenda Item 1.14 </w:t>
      </w:r>
      <w:proofErr w:type="spellStart"/>
      <w:r w:rsidR="00353796" w:rsidRPr="006115ED">
        <w:rPr>
          <w:rStyle w:val="ECCParagraph"/>
          <w:lang w:val="de-DE"/>
        </w:rPr>
        <w:t>draft</w:t>
      </w:r>
      <w:proofErr w:type="spellEnd"/>
      <w:r w:rsidR="00353796" w:rsidRPr="006115ED">
        <w:rPr>
          <w:rStyle w:val="ECCParagraph"/>
          <w:lang w:val="de-DE"/>
        </w:rPr>
        <w:t xml:space="preserve"> </w:t>
      </w:r>
      <w:r w:rsidRPr="006115ED">
        <w:rPr>
          <w:rStyle w:val="ECCParagraph"/>
          <w:lang w:val="de-DE"/>
        </w:rPr>
        <w:t xml:space="preserve">CPM </w:t>
      </w:r>
      <w:proofErr w:type="spellStart"/>
      <w:r w:rsidRPr="006115ED">
        <w:rPr>
          <w:rStyle w:val="ECCParagraph"/>
          <w:lang w:val="de-DE"/>
        </w:rPr>
        <w:t>text</w:t>
      </w:r>
      <w:proofErr w:type="spellEnd"/>
    </w:p>
    <w:p w14:paraId="3AA53961" w14:textId="77777777" w:rsidR="0044760B" w:rsidRPr="00AE0E86" w:rsidRDefault="0044760B" w:rsidP="009F7CE0">
      <w:pPr>
        <w:pStyle w:val="ECCBulletsLv2"/>
        <w:rPr>
          <w:rStyle w:val="ECCParagraph"/>
        </w:rPr>
      </w:pPr>
      <w:r w:rsidRPr="00AE0E86">
        <w:rPr>
          <w:rStyle w:val="ECCParagraph"/>
        </w:rPr>
        <w:t xml:space="preserve">Annex 15 to Doc. </w:t>
      </w:r>
      <w:hyperlink r:id="rId15" w:history="1">
        <w:r w:rsidR="0084134C" w:rsidRPr="00AE0E86">
          <w:rPr>
            <w:rStyle w:val="ECCParagraph"/>
          </w:rPr>
          <w:t>5C/173</w:t>
        </w:r>
      </w:hyperlink>
    </w:p>
    <w:p w14:paraId="6F9709EA" w14:textId="77777777" w:rsidR="0044760B" w:rsidRPr="00AE0E86" w:rsidRDefault="00CF1BC8" w:rsidP="009F7CE0">
      <w:pPr>
        <w:pStyle w:val="ECCBulletsLv1"/>
        <w:rPr>
          <w:rStyle w:val="ECCParagraph"/>
        </w:rPr>
      </w:pPr>
      <w:r w:rsidRPr="00AE0E86">
        <w:rPr>
          <w:rStyle w:val="ECCParagraph"/>
        </w:rPr>
        <w:t xml:space="preserve">New draft </w:t>
      </w:r>
      <w:r w:rsidR="0044760B" w:rsidRPr="00AE0E86">
        <w:rPr>
          <w:rStyle w:val="ECCParagraph"/>
        </w:rPr>
        <w:t>I</w:t>
      </w:r>
      <w:r w:rsidRPr="00AE0E86">
        <w:rPr>
          <w:rStyle w:val="ECCParagraph"/>
        </w:rPr>
        <w:t>TU-R Recommendations/Reports under development</w:t>
      </w:r>
    </w:p>
    <w:p w14:paraId="10644CD9" w14:textId="77777777" w:rsidR="000A29BC" w:rsidRDefault="0044760B" w:rsidP="009F7CE0">
      <w:pPr>
        <w:pStyle w:val="ECCBulletsLv2"/>
        <w:rPr>
          <w:rStyle w:val="ECCParagraph"/>
        </w:rPr>
      </w:pPr>
      <w:r w:rsidRPr="00AE0E86">
        <w:rPr>
          <w:rStyle w:val="ECCParagraph"/>
        </w:rPr>
        <w:t xml:space="preserve">Annex 14 to Doc. </w:t>
      </w:r>
      <w:hyperlink r:id="rId16" w:history="1">
        <w:r w:rsidR="0084134C" w:rsidRPr="00AE0E86">
          <w:rPr>
            <w:rStyle w:val="ECCParagraph"/>
          </w:rPr>
          <w:t>5C/173</w:t>
        </w:r>
      </w:hyperlink>
      <w:r w:rsidRPr="00AE0E86">
        <w:rPr>
          <w:rStyle w:val="ECCParagraph"/>
        </w:rPr>
        <w:t>:</w:t>
      </w:r>
      <w:r w:rsidRPr="0044760B">
        <w:rPr>
          <w:rStyle w:val="ECCParagraph"/>
        </w:rPr>
        <w:t xml:space="preserve"> </w:t>
      </w:r>
      <w:r w:rsidR="00FF09E5">
        <w:rPr>
          <w:rStyle w:val="ECCParagraph"/>
        </w:rPr>
        <w:t xml:space="preserve">PDN Report </w:t>
      </w:r>
      <w:r w:rsidRPr="0044760B">
        <w:rPr>
          <w:rStyle w:val="ECCParagraph"/>
        </w:rPr>
        <w:t>ITU-R F.[</w:t>
      </w:r>
      <w:proofErr w:type="spellStart"/>
      <w:r w:rsidRPr="0044760B">
        <w:rPr>
          <w:rStyle w:val="ECCParagraph"/>
        </w:rPr>
        <w:t>Broadband_HAPS</w:t>
      </w:r>
      <w:proofErr w:type="spellEnd"/>
      <w:r w:rsidRPr="0044760B">
        <w:rPr>
          <w:rStyle w:val="ECCParagraph"/>
        </w:rPr>
        <w:t>]</w:t>
      </w:r>
    </w:p>
    <w:p w14:paraId="72E4D79A" w14:textId="77777777" w:rsidR="00CF1BC8" w:rsidRDefault="00CF1BC8" w:rsidP="00CF1BC8">
      <w:pPr>
        <w:pStyle w:val="ECCBulletsLv1"/>
        <w:rPr>
          <w:rStyle w:val="ECCParagraph"/>
        </w:rPr>
      </w:pPr>
      <w:r>
        <w:rPr>
          <w:rStyle w:val="ECCParagraph"/>
        </w:rPr>
        <w:t>Existing ITU-R Recommendations/Reports</w:t>
      </w:r>
    </w:p>
    <w:p w14:paraId="503026AE" w14:textId="77777777" w:rsidR="00E333EE" w:rsidRPr="00E333EE" w:rsidRDefault="00E333EE" w:rsidP="00E333EE">
      <w:pPr>
        <w:pStyle w:val="ECCBulletsLv2"/>
        <w:rPr>
          <w:rStyle w:val="ECCParagraph"/>
        </w:rPr>
      </w:pPr>
      <w:r w:rsidRPr="00E333EE">
        <w:rPr>
          <w:rStyle w:val="ECCParagraph"/>
        </w:rPr>
        <w:t>ITU-R P.1409</w:t>
      </w:r>
    </w:p>
    <w:p w14:paraId="6248C53D" w14:textId="77777777" w:rsidR="00E333EE" w:rsidRPr="00275555" w:rsidRDefault="00E333EE" w:rsidP="00E333EE">
      <w:pPr>
        <w:pStyle w:val="ECCBulletsLv2"/>
        <w:rPr>
          <w:rStyle w:val="ECCParagraph"/>
          <w:lang w:val="fr-FR"/>
        </w:rPr>
      </w:pPr>
      <w:r w:rsidRPr="00275555">
        <w:rPr>
          <w:rStyle w:val="ECCParagraph"/>
          <w:lang w:val="fr-FR"/>
        </w:rPr>
        <w:t>ITU-R F.1500, F.1501, F.1569, F.1570, F.1601, F.1607, F.1608, F.1609, F.1612, F.1764, F.1819, F.1820, F.1891, F.2011, ITU-R F.2240</w:t>
      </w:r>
    </w:p>
    <w:p w14:paraId="1CC3A1CF" w14:textId="77777777" w:rsidR="00E333EE" w:rsidRPr="00235592" w:rsidRDefault="00E333EE" w:rsidP="00E333EE">
      <w:pPr>
        <w:pStyle w:val="ECCBulletsLv2"/>
        <w:rPr>
          <w:rStyle w:val="ECCParagraph"/>
        </w:rPr>
      </w:pPr>
      <w:r w:rsidRPr="00E333EE">
        <w:rPr>
          <w:rStyle w:val="ECCParagraph"/>
        </w:rPr>
        <w:t>ITU-R SF.1481, SF1843</w:t>
      </w:r>
      <w:r>
        <w:rPr>
          <w:rStyle w:val="ECCParagraph"/>
        </w:rPr>
        <w:t>.</w:t>
      </w:r>
    </w:p>
    <w:p w14:paraId="18234437" w14:textId="77777777" w:rsidR="00220194" w:rsidRDefault="003771D5" w:rsidP="000A29BC">
      <w:pPr>
        <w:pStyle w:val="ECCBreak"/>
        <w:rPr>
          <w:rStyle w:val="ECCParagraph"/>
        </w:rPr>
      </w:pPr>
      <w:r w:rsidRPr="00235592">
        <w:rPr>
          <w:rStyle w:val="ECCParagraph"/>
        </w:rPr>
        <w:t>CEPT and/or ECC Documentation (Decisions, Recommendations, Reports)</w:t>
      </w:r>
    </w:p>
    <w:p w14:paraId="1BFCA66F" w14:textId="77777777" w:rsidR="002C109C" w:rsidRDefault="00CF1BC8" w:rsidP="002C109C">
      <w:pPr>
        <w:pStyle w:val="ECCBulletsLv1"/>
        <w:rPr>
          <w:rStyle w:val="ECCParagraph"/>
        </w:rPr>
      </w:pPr>
      <w:r>
        <w:rPr>
          <w:rStyle w:val="ECCParagraph"/>
        </w:rPr>
        <w:t xml:space="preserve">ECC Report </w:t>
      </w:r>
      <w:r w:rsidR="0013542F">
        <w:rPr>
          <w:rStyle w:val="ECCParagraph"/>
        </w:rPr>
        <w:t>156</w:t>
      </w:r>
    </w:p>
    <w:p w14:paraId="4689A97F" w14:textId="77777777" w:rsidR="002C109C" w:rsidRPr="00235592" w:rsidRDefault="002C109C" w:rsidP="00537D39">
      <w:pPr>
        <w:pStyle w:val="ECCBreak"/>
        <w:rPr>
          <w:rStyle w:val="ECCParagraph"/>
        </w:rPr>
      </w:pPr>
      <w:r w:rsidRPr="00235592">
        <w:rPr>
          <w:rStyle w:val="ECCParagraph"/>
        </w:rPr>
        <w:t>EU Documentation (Directives, Decisions, Recommendations, other), if applicable</w:t>
      </w:r>
    </w:p>
    <w:p w14:paraId="2A383751" w14:textId="77777777" w:rsidR="003771D5" w:rsidRPr="00235592" w:rsidRDefault="003771D5" w:rsidP="00BD4E12">
      <w:pPr>
        <w:pStyle w:val="berschrift1"/>
        <w:rPr>
          <w:lang w:val="en-GB"/>
        </w:rPr>
      </w:pPr>
      <w:r w:rsidRPr="00235592">
        <w:rPr>
          <w:lang w:val="en-GB"/>
        </w:rPr>
        <w:t>Actions to be taken</w:t>
      </w:r>
      <w:bookmarkStart w:id="0" w:name="_GoBack"/>
      <w:bookmarkEnd w:id="0"/>
    </w:p>
    <w:p w14:paraId="49AEF185" w14:textId="2C9D2AC0" w:rsidR="004A511D" w:rsidRDefault="001E2B42" w:rsidP="00E5396D">
      <w:pPr>
        <w:pStyle w:val="ECCBulletsLv2"/>
      </w:pPr>
      <w:r>
        <w:t xml:space="preserve">Follow developments and studies in ITU-R to understand the </w:t>
      </w:r>
      <w:r w:rsidR="0021609B">
        <w:t xml:space="preserve">additional </w:t>
      </w:r>
      <w:r>
        <w:t>spectrum requirements, technical characteristics and deployments scenarios for HAPS in the fixed service.</w:t>
      </w:r>
    </w:p>
    <w:p w14:paraId="57746603" w14:textId="4137A537" w:rsidR="004E615A" w:rsidRDefault="000F696A" w:rsidP="00E5396D">
      <w:pPr>
        <w:pStyle w:val="ECCBulletsLv2"/>
        <w:rPr>
          <w:rStyle w:val="ECCParagraph"/>
        </w:rPr>
      </w:pPr>
      <w:r w:rsidRPr="00A5698B">
        <w:rPr>
          <w:rStyle w:val="ECCParagraph"/>
        </w:rPr>
        <w:t>Contribute to the ITU-R studies</w:t>
      </w:r>
      <w:r w:rsidR="0021609B" w:rsidRPr="00A5698B">
        <w:rPr>
          <w:rStyle w:val="ECCParagraph"/>
        </w:rPr>
        <w:t xml:space="preserve"> including those called under Resolves 4 of Resolution </w:t>
      </w:r>
      <w:r w:rsidR="0021609B" w:rsidRPr="00E5396D">
        <w:rPr>
          <w:rStyle w:val="ECCHLbold"/>
        </w:rPr>
        <w:t>160 (WRC-15)</w:t>
      </w:r>
      <w:r w:rsidRPr="00A5698B">
        <w:rPr>
          <w:rStyle w:val="ECCParagraph"/>
        </w:rPr>
        <w:t xml:space="preserve"> with a view to </w:t>
      </w:r>
      <w:r w:rsidR="004C21A4" w:rsidRPr="00A5698B">
        <w:rPr>
          <w:rStyle w:val="ECCParagraph"/>
        </w:rPr>
        <w:t xml:space="preserve">assess the feasibility of new HAPs requirements while </w:t>
      </w:r>
      <w:r w:rsidRPr="00A5698B">
        <w:rPr>
          <w:rStyle w:val="ECCParagraph"/>
        </w:rPr>
        <w:t xml:space="preserve">maintaining an adequate sharing environment between HAPS and </w:t>
      </w:r>
      <w:r w:rsidR="008329E3" w:rsidRPr="00A5698B">
        <w:rPr>
          <w:rStyle w:val="ECCParagraph"/>
        </w:rPr>
        <w:t xml:space="preserve">other </w:t>
      </w:r>
      <w:r w:rsidRPr="00A5698B">
        <w:rPr>
          <w:rStyle w:val="ECCParagraph"/>
        </w:rPr>
        <w:t>services/applications.</w:t>
      </w:r>
    </w:p>
    <w:p w14:paraId="5A30ACEC" w14:textId="1E1B4DFC" w:rsidR="00D44FAF" w:rsidRPr="00A5698B" w:rsidRDefault="00D44FAF" w:rsidP="00E5396D">
      <w:pPr>
        <w:pStyle w:val="ECCBulletsLv2"/>
        <w:rPr>
          <w:rStyle w:val="ECCParagraph"/>
        </w:rPr>
      </w:pPr>
      <w:r>
        <w:rPr>
          <w:rStyle w:val="ECCParagraph"/>
        </w:rPr>
        <w:t>To review the initial studies regarding the spectrum requirements of HAPS broadband applications.</w:t>
      </w:r>
    </w:p>
    <w:p w14:paraId="277A741B" w14:textId="16C9C8FD" w:rsidR="00371BEA" w:rsidRPr="00A5698B" w:rsidRDefault="00371BEA" w:rsidP="00E5396D">
      <w:pPr>
        <w:pStyle w:val="ECCBulletsLv2"/>
        <w:rPr>
          <w:rStyle w:val="ECCParagraph"/>
        </w:rPr>
      </w:pPr>
      <w:r w:rsidRPr="00A5698B">
        <w:rPr>
          <w:rStyle w:val="ECCParagraph"/>
        </w:rPr>
        <w:t>Promote CEPT view that any consideration of the frequency band 24.25-27.5 GHz under this Agenda item should not limit the possibility to identify the band for IMT on a global level under Agenda item 1.13.</w:t>
      </w:r>
    </w:p>
    <w:p w14:paraId="73B0BDC9" w14:textId="7ECB48F6" w:rsidR="00D44FAF" w:rsidRPr="00D44FAF" w:rsidRDefault="009A0302" w:rsidP="00E5396D">
      <w:pPr>
        <w:pStyle w:val="ECCBulletsLv2"/>
        <w:rPr>
          <w:rStyle w:val="ECCParagraph"/>
        </w:rPr>
      </w:pPr>
      <w:r w:rsidRPr="00D44FAF">
        <w:rPr>
          <w:rStyle w:val="ECCParagraph"/>
        </w:rPr>
        <w:t xml:space="preserve">To establish </w:t>
      </w:r>
      <w:r w:rsidR="007C7F33" w:rsidRPr="00D44FAF">
        <w:rPr>
          <w:rStyle w:val="ECCParagraph"/>
        </w:rPr>
        <w:t xml:space="preserve">CEPT view on </w:t>
      </w:r>
      <w:r w:rsidR="00282D38" w:rsidRPr="00D44FAF">
        <w:rPr>
          <w:rStyle w:val="ECCParagraph"/>
        </w:rPr>
        <w:t xml:space="preserve">the </w:t>
      </w:r>
      <w:r w:rsidR="007C7F33" w:rsidRPr="00D44FAF">
        <w:rPr>
          <w:rStyle w:val="ECCParagraph"/>
        </w:rPr>
        <w:t xml:space="preserve">definition of HAPS </w:t>
      </w:r>
      <w:r w:rsidR="00473F47" w:rsidRPr="00D44FAF">
        <w:rPr>
          <w:rStyle w:val="ECCParagraph"/>
        </w:rPr>
        <w:t xml:space="preserve">given </w:t>
      </w:r>
      <w:r w:rsidR="007C7F33" w:rsidRPr="00D44FAF">
        <w:rPr>
          <w:rStyle w:val="ECCParagraph"/>
        </w:rPr>
        <w:t xml:space="preserve">in No.1.66A in light of latest HAPS characteristics being proposed. </w:t>
      </w:r>
    </w:p>
    <w:p w14:paraId="6404A301" w14:textId="77777777" w:rsidR="003771D5" w:rsidRPr="00235592" w:rsidRDefault="003771D5" w:rsidP="00BD4E12">
      <w:pPr>
        <w:pStyle w:val="berschrift1"/>
        <w:rPr>
          <w:lang w:val="en-GB"/>
        </w:rPr>
      </w:pPr>
      <w:r w:rsidRPr="00235592">
        <w:rPr>
          <w:lang w:val="en-GB"/>
        </w:rPr>
        <w:t>information from outside CEPT (examples of these are below)</w:t>
      </w:r>
    </w:p>
    <w:p w14:paraId="20EE3661" w14:textId="77777777" w:rsidR="004F16F4" w:rsidRPr="00235592" w:rsidRDefault="003771D5" w:rsidP="004F16F4">
      <w:pPr>
        <w:pStyle w:val="berschrift2"/>
        <w:rPr>
          <w:rStyle w:val="ECCParagraph"/>
        </w:rPr>
      </w:pPr>
      <w:r w:rsidRPr="00235592">
        <w:rPr>
          <w:lang w:val="en-GB"/>
        </w:rPr>
        <w:t>European Union (date of proposal)</w:t>
      </w:r>
    </w:p>
    <w:p w14:paraId="6DA8F8FC" w14:textId="77777777" w:rsidR="003771D5" w:rsidRPr="00235592" w:rsidRDefault="003771D5" w:rsidP="00BD4E12">
      <w:pPr>
        <w:pStyle w:val="berschrift2"/>
        <w:rPr>
          <w:lang w:val="en-GB"/>
        </w:rPr>
      </w:pPr>
      <w:r w:rsidRPr="00235592">
        <w:rPr>
          <w:lang w:val="en-GB"/>
        </w:rPr>
        <w:t>Regional t</w:t>
      </w:r>
      <w:r w:rsidR="0057797A" w:rsidRPr="00235592">
        <w:rPr>
          <w:lang w:val="en-GB"/>
        </w:rPr>
        <w:t>elecommunication organisations</w:t>
      </w:r>
    </w:p>
    <w:p w14:paraId="0664BBE9" w14:textId="77777777" w:rsidR="003771D5" w:rsidRPr="00235592" w:rsidRDefault="003771D5" w:rsidP="003A68D5">
      <w:pPr>
        <w:pStyle w:val="ECCBreak"/>
        <w:rPr>
          <w:lang w:val="en-GB"/>
        </w:rPr>
      </w:pPr>
      <w:r w:rsidRPr="00235592">
        <w:rPr>
          <w:lang w:val="en-GB"/>
        </w:rPr>
        <w:t>APT (</w:t>
      </w:r>
      <w:r w:rsidR="005A610B">
        <w:t>July 2016</w:t>
      </w:r>
      <w:r w:rsidRPr="00235592">
        <w:rPr>
          <w:lang w:val="en-GB"/>
        </w:rPr>
        <w:t>)</w:t>
      </w:r>
    </w:p>
    <w:p w14:paraId="61897D89" w14:textId="77777777" w:rsidR="006C5C1C" w:rsidRPr="00235592" w:rsidRDefault="005A610B" w:rsidP="006C5C1C">
      <w:pPr>
        <w:rPr>
          <w:rStyle w:val="ECCParagraph"/>
        </w:rPr>
      </w:pPr>
      <w:r>
        <w:rPr>
          <w:rStyle w:val="ECCParagraph"/>
        </w:rPr>
        <w:t>TBD</w:t>
      </w:r>
    </w:p>
    <w:p w14:paraId="72A1CAD5" w14:textId="77777777" w:rsidR="003771D5" w:rsidRPr="00235592" w:rsidRDefault="003771D5" w:rsidP="003A68D5">
      <w:pPr>
        <w:pStyle w:val="ECCBreak"/>
        <w:rPr>
          <w:lang w:val="en-GB"/>
        </w:rPr>
      </w:pPr>
      <w:r w:rsidRPr="00235592">
        <w:rPr>
          <w:lang w:val="en-GB"/>
        </w:rPr>
        <w:t>ATU (date of proposal)</w:t>
      </w:r>
    </w:p>
    <w:p w14:paraId="43EF33F5" w14:textId="77777777" w:rsidR="003771D5" w:rsidRPr="00235592" w:rsidRDefault="003771D5" w:rsidP="00BD4E12">
      <w:pPr>
        <w:rPr>
          <w:rStyle w:val="ECCParagraph"/>
        </w:rPr>
      </w:pPr>
    </w:p>
    <w:p w14:paraId="4AA90B1B" w14:textId="77777777" w:rsidR="003771D5" w:rsidRPr="00235592" w:rsidRDefault="003771D5" w:rsidP="003A68D5">
      <w:pPr>
        <w:pStyle w:val="ECCBreak"/>
        <w:rPr>
          <w:lang w:val="en-GB"/>
        </w:rPr>
      </w:pPr>
      <w:r w:rsidRPr="00235592">
        <w:rPr>
          <w:lang w:val="en-GB"/>
        </w:rPr>
        <w:t>Arab Group (date of proposal)</w:t>
      </w:r>
    </w:p>
    <w:p w14:paraId="521BE120" w14:textId="77777777" w:rsidR="003771D5" w:rsidRPr="00235592" w:rsidRDefault="003771D5" w:rsidP="00BD4E12">
      <w:pPr>
        <w:rPr>
          <w:rStyle w:val="ECCParagraph"/>
        </w:rPr>
      </w:pPr>
    </w:p>
    <w:p w14:paraId="12986C0F" w14:textId="77777777" w:rsidR="003771D5" w:rsidRPr="00235592" w:rsidRDefault="003771D5" w:rsidP="003A68D5">
      <w:pPr>
        <w:pStyle w:val="ECCBreak"/>
        <w:rPr>
          <w:lang w:val="en-GB"/>
        </w:rPr>
      </w:pPr>
      <w:r w:rsidRPr="00235592">
        <w:rPr>
          <w:lang w:val="en-GB"/>
        </w:rPr>
        <w:t>CITEL (</w:t>
      </w:r>
      <w:r w:rsidR="00795FAB">
        <w:rPr>
          <w:rStyle w:val="ECCParagraph"/>
        </w:rPr>
        <w:t>December 16</w:t>
      </w:r>
      <w:r w:rsidRPr="00235592">
        <w:rPr>
          <w:lang w:val="en-GB"/>
        </w:rPr>
        <w:t>)</w:t>
      </w:r>
    </w:p>
    <w:p w14:paraId="7C763058" w14:textId="77777777" w:rsidR="003771D5" w:rsidRPr="00235592" w:rsidRDefault="00795FAB" w:rsidP="00BD4E12">
      <w:pPr>
        <w:rPr>
          <w:rStyle w:val="ECCParagraph"/>
        </w:rPr>
      </w:pPr>
      <w:r>
        <w:rPr>
          <w:rStyle w:val="ECCParagraph"/>
        </w:rPr>
        <w:t>TBD</w:t>
      </w:r>
    </w:p>
    <w:p w14:paraId="5D29A950" w14:textId="77777777" w:rsidR="003771D5" w:rsidRPr="00235592" w:rsidRDefault="003771D5" w:rsidP="003A68D5">
      <w:pPr>
        <w:pStyle w:val="ECCBreak"/>
        <w:rPr>
          <w:lang w:val="en-GB"/>
        </w:rPr>
      </w:pPr>
      <w:r w:rsidRPr="00235592">
        <w:rPr>
          <w:lang w:val="en-GB"/>
        </w:rPr>
        <w:t>RCC (</w:t>
      </w:r>
      <w:r w:rsidR="00294713" w:rsidRPr="00B619D4">
        <w:rPr>
          <w:lang w:val="en-GB"/>
        </w:rPr>
        <w:t>16 September 2016</w:t>
      </w:r>
      <w:r w:rsidRPr="00235592">
        <w:rPr>
          <w:lang w:val="en-GB"/>
        </w:rPr>
        <w:t>)</w:t>
      </w:r>
    </w:p>
    <w:p w14:paraId="225139F5" w14:textId="77777777" w:rsidR="00294713" w:rsidRPr="00294713" w:rsidRDefault="00294713" w:rsidP="00294713">
      <w:pPr>
        <w:rPr>
          <w:lang w:val="en-US"/>
        </w:rPr>
      </w:pPr>
      <w:r w:rsidRPr="00294713">
        <w:rPr>
          <w:lang w:val="en-US"/>
        </w:rPr>
        <w:t>The RCC Administrations support the need to justify spectrum requirements for gateway station and fixed terminal links for HAPS to provide broadband connectivity in the fixed service taking into account frequency bands which have been already identified for HAPS.</w:t>
      </w:r>
    </w:p>
    <w:p w14:paraId="212921F4" w14:textId="57BAF502" w:rsidR="00294713" w:rsidRPr="00294713" w:rsidRDefault="00294713" w:rsidP="00294713">
      <w:pPr>
        <w:rPr>
          <w:lang w:val="en-US"/>
        </w:rPr>
      </w:pPr>
      <w:r w:rsidRPr="00294713">
        <w:rPr>
          <w:lang w:val="en-US"/>
        </w:rPr>
        <w:t>The RCC Administrations support necessary modifications to existing Article 5 footnotes and related WRC Resolutions to facilitate HAPS development at global or regional level.</w:t>
      </w:r>
    </w:p>
    <w:p w14:paraId="42085F16" w14:textId="77777777" w:rsidR="00294713" w:rsidRPr="00294713" w:rsidRDefault="00294713" w:rsidP="00294713">
      <w:pPr>
        <w:rPr>
          <w:lang w:val="en-US"/>
        </w:rPr>
      </w:pPr>
      <w:r w:rsidRPr="00294713">
        <w:rPr>
          <w:lang w:val="en-US"/>
        </w:rPr>
        <w:t>The RCC Administrations consider that in case of modification to conditions for use of frequency bands authorized for HAPS or identification of new frequency bands for gateway station and fixed terminal links for HAPS, stations in existing services having allocations in these and adjacent frequency bands shall be protected.</w:t>
      </w:r>
    </w:p>
    <w:p w14:paraId="5634B9D7" w14:textId="77777777" w:rsidR="003771D5" w:rsidRPr="002A15A7" w:rsidRDefault="00294713" w:rsidP="00BD4E12">
      <w:pPr>
        <w:rPr>
          <w:rStyle w:val="ECCParagraph"/>
          <w:lang w:val="en-US"/>
        </w:rPr>
      </w:pPr>
      <w:r w:rsidRPr="00294713">
        <w:rPr>
          <w:lang w:val="en-US"/>
        </w:rPr>
        <w:t>The RCC Administrations consider that when conducting studies it is necessary to identify priority frequency bands non-overlapping with the bands in agenda items 1.6 (non-GSO FSS), 1.13 (IMT).</w:t>
      </w:r>
    </w:p>
    <w:p w14:paraId="3FCA47B2" w14:textId="77777777" w:rsidR="003771D5" w:rsidRPr="00235592" w:rsidRDefault="003771D5" w:rsidP="00BD4E12">
      <w:pPr>
        <w:pStyle w:val="berschrift2"/>
        <w:rPr>
          <w:lang w:val="en-GB"/>
        </w:rPr>
      </w:pPr>
      <w:r w:rsidRPr="00235592">
        <w:rPr>
          <w:lang w:val="en-GB"/>
        </w:rPr>
        <w:t>International organisations</w:t>
      </w:r>
    </w:p>
    <w:p w14:paraId="4E2D424B" w14:textId="77777777" w:rsidR="003771D5" w:rsidRPr="00235592" w:rsidRDefault="003771D5" w:rsidP="003A68D5">
      <w:pPr>
        <w:pStyle w:val="ECCBreak"/>
        <w:rPr>
          <w:lang w:val="en-GB"/>
        </w:rPr>
      </w:pPr>
      <w:r w:rsidRPr="00235592">
        <w:rPr>
          <w:lang w:val="en-GB"/>
        </w:rPr>
        <w:t>IATA (date of proposal)</w:t>
      </w:r>
    </w:p>
    <w:p w14:paraId="39550DCA" w14:textId="77777777" w:rsidR="003771D5" w:rsidRPr="00235592" w:rsidRDefault="003771D5" w:rsidP="00BD4E12">
      <w:pPr>
        <w:rPr>
          <w:rStyle w:val="ECCParagraph"/>
        </w:rPr>
      </w:pPr>
    </w:p>
    <w:p w14:paraId="0EFED05C" w14:textId="77777777" w:rsidR="003771D5" w:rsidRPr="00235592" w:rsidRDefault="005C1074" w:rsidP="003A68D5">
      <w:pPr>
        <w:pStyle w:val="ECCBreak"/>
        <w:rPr>
          <w:lang w:val="en-GB"/>
        </w:rPr>
      </w:pPr>
      <w:r>
        <w:rPr>
          <w:lang w:val="en-GB"/>
        </w:rPr>
        <w:t>ICAO (</w:t>
      </w:r>
      <w:r w:rsidR="00DB5BD1">
        <w:t xml:space="preserve">16 </w:t>
      </w:r>
      <w:r>
        <w:rPr>
          <w:lang w:val="en-GB"/>
        </w:rPr>
        <w:t>Sept 16</w:t>
      </w:r>
      <w:r w:rsidR="003771D5" w:rsidRPr="00235592">
        <w:rPr>
          <w:lang w:val="en-GB"/>
        </w:rPr>
        <w:t>)</w:t>
      </w:r>
    </w:p>
    <w:p w14:paraId="608C01F5" w14:textId="77777777" w:rsidR="005C1074" w:rsidRPr="005C1074" w:rsidRDefault="005C1074" w:rsidP="005C1074">
      <w:r w:rsidRPr="005C1074">
        <w:rPr>
          <w:lang w:val="en-US"/>
        </w:rPr>
        <w:t xml:space="preserve">If agreed ITU-R studies demonstrate there is no adverse impact on aeronautical systems including those used for the safe operation of the </w:t>
      </w:r>
      <w:r w:rsidRPr="005C1074">
        <w:t xml:space="preserve">platform on which the HAPS resides, then </w:t>
      </w:r>
      <w:r w:rsidRPr="005C1074">
        <w:rPr>
          <w:lang w:val="en-US"/>
        </w:rPr>
        <w:t>support the use of fixed service allocations for HAPS provided</w:t>
      </w:r>
      <w:r w:rsidRPr="005C1074">
        <w:t xml:space="preserve"> that any regulatory actions taken within the existing allocations to the fixed service noted in Resolution 160 (WRC-15) do not constrain the potential future use of those HAPS fixed links as part of aeronautical communication systems (e.g., VSAT enhancement).</w:t>
      </w:r>
    </w:p>
    <w:p w14:paraId="7633F81B" w14:textId="77777777" w:rsidR="003771D5" w:rsidRPr="00235592" w:rsidRDefault="003771D5" w:rsidP="003A68D5">
      <w:pPr>
        <w:pStyle w:val="ECCBreak"/>
        <w:rPr>
          <w:lang w:val="en-GB"/>
        </w:rPr>
      </w:pPr>
      <w:r w:rsidRPr="00235592">
        <w:rPr>
          <w:lang w:val="en-GB"/>
        </w:rPr>
        <w:t>IMO (date of proposal)</w:t>
      </w:r>
    </w:p>
    <w:p w14:paraId="42C2176C" w14:textId="77777777" w:rsidR="003771D5" w:rsidRPr="00235592" w:rsidRDefault="003771D5" w:rsidP="00BD4E12">
      <w:pPr>
        <w:rPr>
          <w:rStyle w:val="ECCParagraph"/>
        </w:rPr>
      </w:pPr>
    </w:p>
    <w:p w14:paraId="2B096E91" w14:textId="77777777" w:rsidR="003771D5" w:rsidRPr="00235592" w:rsidRDefault="009A4A2B" w:rsidP="003A68D5">
      <w:pPr>
        <w:pStyle w:val="ECCBreak"/>
        <w:rPr>
          <w:lang w:val="en-GB"/>
        </w:rPr>
      </w:pPr>
      <w:r>
        <w:rPr>
          <w:lang w:val="en-GB"/>
        </w:rPr>
        <w:t xml:space="preserve">SFCG (June </w:t>
      </w:r>
      <w:r w:rsidRPr="00B619D4">
        <w:rPr>
          <w:lang w:val="en-GB"/>
        </w:rPr>
        <w:t>16</w:t>
      </w:r>
      <w:r w:rsidR="003771D5" w:rsidRPr="00235592">
        <w:rPr>
          <w:lang w:val="en-GB"/>
        </w:rPr>
        <w:t>)</w:t>
      </w:r>
    </w:p>
    <w:p w14:paraId="23E36C78" w14:textId="77777777" w:rsidR="009A4A2B" w:rsidRPr="009A4A2B" w:rsidRDefault="009A4A2B" w:rsidP="009A4A2B">
      <w:r w:rsidRPr="009A4A2B">
        <w:t xml:space="preserve">Assuming that the ITU-R studies show a need for identification of additional spectrum for HAPS, SFCG does not support the identification of frequency bands in 21.4-22 GHz and 24.25-27.5 GHz for HAPS unless acceptable sharing conditions are agreed upon that do not adversely impact the space research, Earth exploration-satellite, or inter-satellite services. </w:t>
      </w:r>
    </w:p>
    <w:p w14:paraId="66C50F7C" w14:textId="77777777" w:rsidR="009A4A2B" w:rsidRPr="009A4A2B" w:rsidRDefault="009A4A2B" w:rsidP="009A4A2B">
      <w:r w:rsidRPr="009A4A2B">
        <w:t>As with AI 1.13, a particularly critical situation concerns the band 25.25-27.5 GHz which is expected to be heavily used globally by many future EESS and SRS satellite missions for data downlinks. Within this band, inter-satellite links must also remain protected. This band is indicated as a candidate band for HAPS ide</w:t>
      </w:r>
      <w:r>
        <w:t xml:space="preserve">ntification only for Region 2. </w:t>
      </w:r>
    </w:p>
    <w:p w14:paraId="30EFE45C" w14:textId="77777777" w:rsidR="003771D5" w:rsidRPr="00235592" w:rsidRDefault="009A4A2B" w:rsidP="009A4A2B">
      <w:pPr>
        <w:rPr>
          <w:rStyle w:val="ECCParagraph"/>
        </w:rPr>
      </w:pPr>
      <w:r w:rsidRPr="009A4A2B">
        <w:t>Identification of the band 24.25- 27.5 GHz for HAPS under this agenda item must also be supported by studies showing the 23.6-24.0 GHz EESS (passive) band will remain protected.</w:t>
      </w:r>
    </w:p>
    <w:p w14:paraId="7E186EDE" w14:textId="3A56404B" w:rsidR="003771D5" w:rsidRPr="00235592" w:rsidRDefault="003771D5" w:rsidP="003A68D5">
      <w:pPr>
        <w:pStyle w:val="ECCBreak"/>
        <w:rPr>
          <w:lang w:val="en-GB"/>
        </w:rPr>
      </w:pPr>
      <w:r w:rsidRPr="00235592">
        <w:rPr>
          <w:lang w:val="en-GB"/>
        </w:rPr>
        <w:t>EUMETNET (</w:t>
      </w:r>
      <w:r w:rsidR="00756BEC" w:rsidRPr="00B93DF1">
        <w:rPr>
          <w:lang w:val="en-GB"/>
        </w:rPr>
        <w:t>21 November 16</w:t>
      </w:r>
      <w:r w:rsidRPr="00235592">
        <w:rPr>
          <w:lang w:val="en-GB"/>
        </w:rPr>
        <w:t>)</w:t>
      </w:r>
    </w:p>
    <w:p w14:paraId="0A622580" w14:textId="77777777" w:rsidR="00005BF4" w:rsidRDefault="00005BF4" w:rsidP="00005BF4">
      <w:r>
        <w:rPr>
          <w:rStyle w:val="ECCParagraph"/>
        </w:rPr>
        <w:t xml:space="preserve">EUMETNET (21 November 16) - </w:t>
      </w:r>
      <w:r w:rsidRPr="003E2183">
        <w:t>No opposition to new HAPS identification provided that protection of ISS, EESS (space-to-Earth), EESS (passive) and ground-based radiometers is ensured and that guarantees is given on the long-term usage of receiving EESS earth stations (in particular in the 25.5-27 GHz band)</w:t>
      </w:r>
      <w:r>
        <w:t>.</w:t>
      </w:r>
    </w:p>
    <w:p w14:paraId="1043A59A" w14:textId="0EB29E86" w:rsidR="006C7F57" w:rsidRDefault="006C7F57" w:rsidP="006C7F57">
      <w:pPr>
        <w:pStyle w:val="ECCBreak"/>
      </w:pPr>
      <w:r>
        <w:t>WMO (February 2017)</w:t>
      </w:r>
    </w:p>
    <w:p w14:paraId="15B6AE61" w14:textId="77777777" w:rsidR="006C7F57" w:rsidRPr="006C7F57" w:rsidRDefault="006C7F57" w:rsidP="006C7F57">
      <w:pPr>
        <w:rPr>
          <w:rStyle w:val="ECCParagraph"/>
        </w:rPr>
      </w:pPr>
      <w:r w:rsidRPr="006C7F57">
        <w:rPr>
          <w:rStyle w:val="ECCParagraph"/>
        </w:rPr>
        <w:t xml:space="preserve">WMO does not oppose new HAPS band identifications provided that studies show a need for identification of additional spectrum for HAPS and that protection of ISS, EESS (space-to-Earth), and EESS (passive) is ensured and that guarantees are given on the long-term usage and future deployment of receiving EESS earth stations (in particular in the 25.5-27 GHz band). </w:t>
      </w:r>
    </w:p>
    <w:p w14:paraId="1C4C6BD3" w14:textId="77777777" w:rsidR="006C7F57" w:rsidRPr="006C7F57" w:rsidRDefault="006C7F57" w:rsidP="006C7F57">
      <w:pPr>
        <w:rPr>
          <w:rStyle w:val="ECCParagraph"/>
        </w:rPr>
      </w:pPr>
      <w:r w:rsidRPr="006C7F57">
        <w:rPr>
          <w:rStyle w:val="ECCParagraph"/>
        </w:rPr>
        <w:t xml:space="preserve">The </w:t>
      </w:r>
      <w:r>
        <w:t xml:space="preserve">protection of EESS (passive) would require appropriate unwanted emission limits in Resolution </w:t>
      </w:r>
      <w:r w:rsidRPr="006C7F57">
        <w:t>750 (rev. WRC-15)</w:t>
      </w:r>
      <w:r>
        <w:t>.</w:t>
      </w:r>
    </w:p>
    <w:p w14:paraId="0E34ABFC" w14:textId="3AD1340D" w:rsidR="006C7F57" w:rsidRPr="003E2183" w:rsidRDefault="006C7F57" w:rsidP="006C7F57">
      <w:r>
        <w:t xml:space="preserve">Furthermore, </w:t>
      </w:r>
      <w:r w:rsidRPr="00FC431A">
        <w:t>WMO would appreciate th</w:t>
      </w:r>
      <w:r>
        <w:t>e development of</w:t>
      </w:r>
      <w:r w:rsidRPr="00FC431A">
        <w:t xml:space="preserve"> </w:t>
      </w:r>
      <w:r>
        <w:t>a</w:t>
      </w:r>
      <w:r w:rsidRPr="00FC431A">
        <w:t xml:space="preserve"> solution to ensure the effective operation of the ground-based </w:t>
      </w:r>
      <w:r>
        <w:t xml:space="preserve">radiometers in the </w:t>
      </w:r>
      <w:r w:rsidRPr="00DD6934">
        <w:t>2</w:t>
      </w:r>
      <w:r>
        <w:t xml:space="preserve">2-28 </w:t>
      </w:r>
      <w:r w:rsidRPr="00FC431A">
        <w:t>GHz frequency band.</w:t>
      </w:r>
    </w:p>
    <w:p w14:paraId="724553DF" w14:textId="77777777" w:rsidR="003771D5" w:rsidRPr="00235592" w:rsidRDefault="003771D5" w:rsidP="00BD4E12">
      <w:pPr>
        <w:pStyle w:val="berschrift2"/>
        <w:rPr>
          <w:lang w:val="en-GB"/>
        </w:rPr>
      </w:pPr>
      <w:r w:rsidRPr="00235592">
        <w:rPr>
          <w:lang w:val="en-GB"/>
        </w:rPr>
        <w:t>Regional organisations</w:t>
      </w:r>
    </w:p>
    <w:p w14:paraId="68AF90F0" w14:textId="77777777" w:rsidR="003771D5" w:rsidRPr="00235592" w:rsidRDefault="003771D5" w:rsidP="003A68D5">
      <w:pPr>
        <w:pStyle w:val="ECCBreak"/>
        <w:rPr>
          <w:lang w:val="en-GB"/>
        </w:rPr>
      </w:pPr>
      <w:r w:rsidRPr="00235592">
        <w:rPr>
          <w:lang w:val="en-GB"/>
        </w:rPr>
        <w:t>ESA (</w:t>
      </w:r>
      <w:r w:rsidR="00E322DF">
        <w:t>June 16</w:t>
      </w:r>
      <w:r w:rsidRPr="00235592">
        <w:rPr>
          <w:lang w:val="en-GB"/>
        </w:rPr>
        <w:t>)</w:t>
      </w:r>
    </w:p>
    <w:p w14:paraId="32583C00" w14:textId="77777777" w:rsidR="00E322DF" w:rsidRPr="00235592" w:rsidRDefault="00B855E1" w:rsidP="00E322DF">
      <w:pPr>
        <w:rPr>
          <w:rStyle w:val="ECCParagraph"/>
        </w:rPr>
      </w:pPr>
      <w:r>
        <w:t>ESA supports SFCG position.</w:t>
      </w:r>
    </w:p>
    <w:p w14:paraId="7E02ACA7" w14:textId="77777777" w:rsidR="003771D5" w:rsidRPr="00235592" w:rsidRDefault="003771D5" w:rsidP="00BD4E12">
      <w:pPr>
        <w:rPr>
          <w:rStyle w:val="ECCParagraph"/>
        </w:rPr>
      </w:pPr>
    </w:p>
    <w:p w14:paraId="47A68F02" w14:textId="77777777" w:rsidR="003771D5" w:rsidRPr="00235592" w:rsidRDefault="003771D5" w:rsidP="003A68D5">
      <w:pPr>
        <w:pStyle w:val="ECCBreak"/>
        <w:rPr>
          <w:lang w:val="en-GB"/>
        </w:rPr>
      </w:pPr>
      <w:proofErr w:type="spellStart"/>
      <w:r w:rsidRPr="00235592">
        <w:rPr>
          <w:lang w:val="en-GB"/>
        </w:rPr>
        <w:t>Eurocontrol</w:t>
      </w:r>
      <w:proofErr w:type="spellEnd"/>
      <w:r w:rsidRPr="00235592">
        <w:rPr>
          <w:lang w:val="en-GB"/>
        </w:rPr>
        <w:t xml:space="preserve"> (date of proposal)</w:t>
      </w:r>
    </w:p>
    <w:p w14:paraId="5BC921CE" w14:textId="77777777" w:rsidR="003771D5" w:rsidRPr="00235592" w:rsidRDefault="003771D5" w:rsidP="00BD4E12">
      <w:pPr>
        <w:rPr>
          <w:rStyle w:val="ECCParagraph"/>
        </w:rPr>
      </w:pPr>
    </w:p>
    <w:p w14:paraId="4E22D31F" w14:textId="77777777" w:rsidR="003771D5" w:rsidRPr="00235592" w:rsidRDefault="003771D5" w:rsidP="00BD4E12">
      <w:pPr>
        <w:pStyle w:val="berschrift2"/>
        <w:rPr>
          <w:lang w:val="en-GB"/>
        </w:rPr>
      </w:pPr>
      <w:r w:rsidRPr="00235592">
        <w:rPr>
          <w:lang w:val="en-GB"/>
        </w:rPr>
        <w:t>OTHER INTERNATIONAL AND REGIONAL ORGANISATIONS</w:t>
      </w:r>
    </w:p>
    <w:p w14:paraId="290A2CB2" w14:textId="77777777" w:rsidR="003771D5" w:rsidRPr="00235592" w:rsidRDefault="003771D5" w:rsidP="003A68D5">
      <w:pPr>
        <w:pStyle w:val="ECCBreak"/>
        <w:rPr>
          <w:lang w:val="en-GB"/>
        </w:rPr>
      </w:pPr>
      <w:r w:rsidRPr="00235592">
        <w:rPr>
          <w:lang w:val="en-GB"/>
        </w:rPr>
        <w:t>EBU (date of proposal)</w:t>
      </w:r>
    </w:p>
    <w:p w14:paraId="066179BE" w14:textId="77777777" w:rsidR="003771D5" w:rsidRPr="00235592" w:rsidRDefault="003771D5" w:rsidP="00BD4E12">
      <w:pPr>
        <w:rPr>
          <w:rStyle w:val="ECCParagraph"/>
        </w:rPr>
      </w:pPr>
    </w:p>
    <w:p w14:paraId="64880FAA" w14:textId="77777777" w:rsidR="004A511D" w:rsidRPr="00235592" w:rsidRDefault="003771D5" w:rsidP="003A68D5">
      <w:pPr>
        <w:pStyle w:val="ECCBreak"/>
        <w:rPr>
          <w:lang w:val="en-GB"/>
        </w:rPr>
      </w:pPr>
      <w:r w:rsidRPr="00235592">
        <w:rPr>
          <w:lang w:val="en-GB"/>
        </w:rPr>
        <w:t>GSMA (date of proposal)</w:t>
      </w:r>
    </w:p>
    <w:p w14:paraId="52CDDBF3" w14:textId="77777777" w:rsidR="003A68D5" w:rsidRPr="00235592" w:rsidRDefault="003A68D5" w:rsidP="003A68D5">
      <w:pPr>
        <w:rPr>
          <w:rStyle w:val="ECCParagraph"/>
        </w:rPr>
      </w:pPr>
    </w:p>
    <w:p w14:paraId="3E7BE865" w14:textId="71A7AC58" w:rsidR="003A68D5" w:rsidRPr="00235592" w:rsidRDefault="00DB5BD1" w:rsidP="003A68D5">
      <w:pPr>
        <w:pStyle w:val="ECCBreak"/>
        <w:rPr>
          <w:lang w:val="en-GB"/>
        </w:rPr>
      </w:pPr>
      <w:r>
        <w:rPr>
          <w:lang w:val="en-GB"/>
        </w:rPr>
        <w:t>CRAF (</w:t>
      </w:r>
      <w:r w:rsidR="006C7F57">
        <w:t>March</w:t>
      </w:r>
      <w:r w:rsidR="006C7F57">
        <w:rPr>
          <w:lang w:val="en-GB"/>
        </w:rPr>
        <w:t xml:space="preserve"> </w:t>
      </w:r>
      <w:r>
        <w:rPr>
          <w:lang w:val="en-GB"/>
        </w:rPr>
        <w:t>201</w:t>
      </w:r>
      <w:r w:rsidR="006C7F57">
        <w:t>7</w:t>
      </w:r>
      <w:r w:rsidR="003A68D5" w:rsidRPr="00235592">
        <w:rPr>
          <w:lang w:val="en-GB"/>
        </w:rPr>
        <w:t>)</w:t>
      </w:r>
    </w:p>
    <w:p w14:paraId="376DE4E3" w14:textId="77777777" w:rsidR="006C7F57" w:rsidRDefault="006C7F57" w:rsidP="003A68D5">
      <w:r w:rsidRPr="006C7F57">
        <w:t>Considering the frequency band 31.0-31.3 GHz (fixed uplink) any modification to the HAPS system characteristics already defined in existing ITU-R Recommendations will lead to new compatibility studies with the passive band 31.3 - 31.5 GHz. The frequency band 38-39.5 GHz considered in Region 1 for studies regarding this agenda item is not of concern to CRAF. However, CRAF supports the RAS operations in other regions as well and requests compatibility studies to ensure the protection of RAS in Region 2 from unwanted emissions of HAPS links. No changes should be made to the RR unless acceptable sharing and compatibility criteria are developed to ensure the protection of RAS</w:t>
      </w:r>
    </w:p>
    <w:p w14:paraId="3F69EE61" w14:textId="2D8D5172" w:rsidR="003A68D5" w:rsidRPr="00235592" w:rsidRDefault="002417B7" w:rsidP="003A68D5">
      <w:pPr>
        <w:rPr>
          <w:rStyle w:val="ECCParagraph"/>
        </w:rPr>
      </w:pPr>
      <w:r w:rsidRPr="002417B7">
        <w:t>.</w:t>
      </w:r>
    </w:p>
    <w:sectPr w:rsidR="003A68D5" w:rsidRPr="00235592" w:rsidSect="003771D5">
      <w:headerReference w:type="even" r:id="rId17"/>
      <w:headerReference w:type="default" r:id="rId18"/>
      <w:footerReference w:type="even" r:id="rId19"/>
      <w:footerReference w:type="default" r:id="rId20"/>
      <w:headerReference w:type="first" r:id="rId21"/>
      <w:footerReference w:type="first" r:id="rId22"/>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54EAB8" w14:textId="77777777" w:rsidR="009A10F6" w:rsidRDefault="009A10F6" w:rsidP="00D0121B">
      <w:r>
        <w:separator/>
      </w:r>
    </w:p>
    <w:p w14:paraId="05BD8A7C" w14:textId="77777777" w:rsidR="009A10F6" w:rsidRDefault="009A10F6"/>
    <w:p w14:paraId="53767144" w14:textId="77777777" w:rsidR="009A10F6" w:rsidRDefault="009A10F6"/>
  </w:endnote>
  <w:endnote w:type="continuationSeparator" w:id="0">
    <w:p w14:paraId="272E583F" w14:textId="77777777" w:rsidR="009A10F6" w:rsidRDefault="009A10F6" w:rsidP="00D0121B">
      <w:r>
        <w:continuationSeparator/>
      </w:r>
    </w:p>
    <w:p w14:paraId="37FC3278" w14:textId="77777777" w:rsidR="009A10F6" w:rsidRDefault="009A10F6"/>
    <w:p w14:paraId="6128FE4F" w14:textId="77777777" w:rsidR="009A10F6" w:rsidRDefault="009A10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8CC54" w14:textId="77777777" w:rsidR="00B619D4" w:rsidRDefault="00B619D4">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B6886" w14:textId="77777777" w:rsidR="00B619D4" w:rsidRDefault="00B619D4">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EE0EB" w14:textId="77777777" w:rsidR="00B619D4" w:rsidRDefault="00B619D4">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A40C1F" w14:textId="77777777" w:rsidR="009A10F6" w:rsidRPr="00686F89" w:rsidRDefault="009A10F6" w:rsidP="00686F89">
      <w:pPr>
        <w:pStyle w:val="Funotentext"/>
      </w:pPr>
      <w:r w:rsidRPr="00686F89">
        <w:separator/>
      </w:r>
    </w:p>
  </w:footnote>
  <w:footnote w:type="continuationSeparator" w:id="0">
    <w:p w14:paraId="36AC2408" w14:textId="77777777" w:rsidR="009A10F6" w:rsidRPr="003A3DA7" w:rsidRDefault="009A10F6" w:rsidP="003A3DA7">
      <w:pPr>
        <w:pStyle w:val="Funotentext"/>
      </w:pPr>
      <w:r w:rsidRPr="003A3DA7">
        <w:continuationSeparator/>
      </w:r>
    </w:p>
  </w:footnote>
  <w:footnote w:id="1">
    <w:p w14:paraId="2B737111" w14:textId="630CD74A" w:rsidR="009B3AFF" w:rsidRPr="009B3AFF" w:rsidRDefault="009B3AFF" w:rsidP="00B93DF1">
      <w:pPr>
        <w:pStyle w:val="Funotentext"/>
        <w:spacing w:before="0"/>
        <w:rPr>
          <w:rStyle w:val="Funotenzeichen"/>
          <w:lang w:val="en-GB"/>
        </w:rPr>
      </w:pPr>
      <w:r w:rsidRPr="009B3AFF">
        <w:rPr>
          <w:rStyle w:val="Funotenzeichen"/>
        </w:rPr>
        <w:footnoteRef/>
      </w:r>
      <w:r w:rsidRPr="00B93DF1">
        <w:rPr>
          <w:rStyle w:val="Funotenzeichen"/>
          <w:lang w:val="en-GB"/>
        </w:rPr>
        <w:t xml:space="preserve"> </w:t>
      </w:r>
      <w:r w:rsidR="003B7B2D" w:rsidRPr="00B93DF1">
        <w:rPr>
          <w:lang w:val="en-GB"/>
        </w:rPr>
        <w:t xml:space="preserve">See ITU, Measuring the Information Society Report, at 9 (2015), available at </w:t>
      </w:r>
      <w:hyperlink r:id="rId1" w:history="1">
        <w:r w:rsidR="003B7B2D" w:rsidRPr="00B93DF1">
          <w:rPr>
            <w:rStyle w:val="Hyperlink"/>
            <w:lang w:val="en-GB"/>
          </w:rPr>
          <w:t>http://www.itu.int/en/ITU-D/Statistics/Documents/publications/misr2015/MISR2015-w5.pdf</w:t>
        </w:r>
      </w:hyperlink>
      <w:r w:rsidR="003B7B2D" w:rsidRPr="00B93DF1">
        <w:rPr>
          <w:lang w:val="en-GB"/>
        </w:rPr>
        <w:t>.</w:t>
      </w:r>
    </w:p>
  </w:footnote>
  <w:footnote w:id="2">
    <w:p w14:paraId="3D1EF0EE" w14:textId="3CED8339" w:rsidR="00DA5C7F" w:rsidRPr="00DA5C7F" w:rsidRDefault="00DA5C7F" w:rsidP="00B93DF1">
      <w:pPr>
        <w:pStyle w:val="Funotentext"/>
        <w:spacing w:before="0"/>
        <w:rPr>
          <w:lang w:val="en-GB"/>
        </w:rPr>
      </w:pPr>
      <w:r>
        <w:rPr>
          <w:rStyle w:val="Funotenzeichen"/>
        </w:rPr>
        <w:footnoteRef/>
      </w:r>
      <w:r w:rsidRPr="00B93DF1">
        <w:rPr>
          <w:lang w:val="en-GB"/>
        </w:rPr>
        <w:t xml:space="preserve"> </w:t>
      </w:r>
      <w:r w:rsidR="006115ED">
        <w:tab/>
      </w:r>
      <w:r w:rsidR="003B7B2D" w:rsidRPr="00B93DF1">
        <w:rPr>
          <w:lang w:val="en-GB"/>
        </w:rPr>
        <w:t xml:space="preserve">See ITU, Connect 2020 Agenda, available at </w:t>
      </w:r>
      <w:hyperlink r:id="rId2" w:history="1">
        <w:r w:rsidR="003B7B2D" w:rsidRPr="00B93DF1">
          <w:rPr>
            <w:rStyle w:val="Hyperlink"/>
            <w:lang w:val="en-GB"/>
          </w:rPr>
          <w:t>http://www.itu.int/en/connect2020/Pages/default.aspx</w:t>
        </w:r>
      </w:hyperlink>
      <w:r w:rsidR="003B7B2D" w:rsidRPr="00B93DF1">
        <w:rPr>
          <w:lang w:val="en-GB"/>
        </w:rPr>
        <w:t>.</w:t>
      </w:r>
    </w:p>
  </w:footnote>
  <w:footnote w:id="3">
    <w:p w14:paraId="6CE9B4C2" w14:textId="7ECFE8BD" w:rsidR="0097119C" w:rsidRPr="0097119C" w:rsidRDefault="0097119C" w:rsidP="00B93DF1">
      <w:pPr>
        <w:pStyle w:val="Funotentext"/>
        <w:spacing w:before="0"/>
        <w:rPr>
          <w:lang w:val="en-GB"/>
        </w:rPr>
      </w:pPr>
      <w:r>
        <w:rPr>
          <w:rStyle w:val="Funotenzeichen"/>
        </w:rPr>
        <w:footnoteRef/>
      </w:r>
      <w:r w:rsidRPr="00B93DF1">
        <w:rPr>
          <w:lang w:val="en-GB"/>
        </w:rPr>
        <w:t xml:space="preserve"> </w:t>
      </w:r>
      <w:r w:rsidR="006115ED">
        <w:tab/>
      </w:r>
      <w:proofErr w:type="gramStart"/>
      <w:r w:rsidR="003B7B2D" w:rsidRPr="00B93DF1">
        <w:rPr>
          <w:lang w:val="en-GB"/>
        </w:rPr>
        <w:t>Measuring the Information Society Report, at 9.</w:t>
      </w:r>
      <w:proofErr w:type="gramEnd"/>
    </w:p>
  </w:footnote>
  <w:footnote w:id="4">
    <w:p w14:paraId="7CCC7B61" w14:textId="09209300" w:rsidR="008866D2" w:rsidRPr="008866D2" w:rsidRDefault="008866D2" w:rsidP="00B93DF1">
      <w:pPr>
        <w:pStyle w:val="Funotentext"/>
        <w:spacing w:before="0"/>
        <w:rPr>
          <w:lang w:val="en-GB"/>
        </w:rPr>
      </w:pPr>
      <w:r>
        <w:rPr>
          <w:rStyle w:val="Funotenzeichen"/>
        </w:rPr>
        <w:footnoteRef/>
      </w:r>
      <w:r w:rsidRPr="00B93DF1">
        <w:rPr>
          <w:lang w:val="en-GB"/>
        </w:rPr>
        <w:t xml:space="preserve"> </w:t>
      </w:r>
      <w:r w:rsidR="006115ED">
        <w:tab/>
      </w:r>
      <w:r w:rsidRPr="00B93DF1">
        <w:rPr>
          <w:rStyle w:val="Funotenzeichen"/>
          <w:lang w:val="en-GB"/>
        </w:rPr>
        <w:t xml:space="preserve">Annex 14 to </w:t>
      </w:r>
      <w:r w:rsidR="00F515FF" w:rsidRPr="00B93DF1">
        <w:rPr>
          <w:rStyle w:val="Funotenzeichen"/>
          <w:lang w:val="en-GB"/>
        </w:rPr>
        <w:t xml:space="preserve">Document </w:t>
      </w:r>
      <w:r w:rsidRPr="00B93DF1">
        <w:rPr>
          <w:rStyle w:val="Funotenzeichen"/>
          <w:lang w:val="en-GB"/>
        </w:rPr>
        <w:t>5C/173: PDN Report ITU-R F.[</w:t>
      </w:r>
      <w:proofErr w:type="spellStart"/>
      <w:r w:rsidRPr="00B93DF1">
        <w:rPr>
          <w:rStyle w:val="Funotenzeichen"/>
          <w:lang w:val="en-GB"/>
        </w:rPr>
        <w:t>Broadband_HAPS</w:t>
      </w:r>
      <w:proofErr w:type="spellEnd"/>
      <w:r w:rsidRPr="00B93DF1">
        <w:rPr>
          <w:rStyle w:val="Funotenzeichen"/>
          <w:lang w:val="en-GB"/>
        </w:rPr>
        <w:t>]</w:t>
      </w:r>
    </w:p>
  </w:footnote>
  <w:footnote w:id="5">
    <w:p w14:paraId="70D92919" w14:textId="41B40F89" w:rsidR="002E0008" w:rsidRPr="00275555" w:rsidRDefault="002E0008" w:rsidP="00B93DF1">
      <w:pPr>
        <w:pStyle w:val="Funotentext"/>
        <w:spacing w:before="0"/>
        <w:rPr>
          <w:lang w:val="it-IT"/>
        </w:rPr>
      </w:pPr>
      <w:r>
        <w:rPr>
          <w:rStyle w:val="Funotenzeichen"/>
        </w:rPr>
        <w:footnoteRef/>
      </w:r>
      <w:r w:rsidRPr="00275555">
        <w:rPr>
          <w:lang w:val="it-IT"/>
        </w:rPr>
        <w:t xml:space="preserve"> </w:t>
      </w:r>
      <w:r w:rsidR="006115ED">
        <w:tab/>
      </w:r>
      <w:r w:rsidRPr="00275555">
        <w:rPr>
          <w:rFonts w:ascii="TimesNewRoman" w:hAnsi="TimesNewRoman" w:cs="TimesNewRoman"/>
          <w:lang w:val="it-IT" w:eastAsia="fr-FR"/>
        </w:rPr>
        <w:t>Australia, Burkina Faso, Cote d'</w:t>
      </w:r>
      <w:proofErr w:type="spellStart"/>
      <w:r w:rsidRPr="00275555">
        <w:rPr>
          <w:rFonts w:ascii="TimesNewRoman" w:hAnsi="TimesNewRoman" w:cs="TimesNewRoman"/>
          <w:lang w:val="it-IT" w:eastAsia="fr-FR"/>
        </w:rPr>
        <w:t>Ivoire</w:t>
      </w:r>
      <w:proofErr w:type="spellEnd"/>
      <w:r w:rsidRPr="00275555">
        <w:rPr>
          <w:rFonts w:ascii="TimesNewRoman" w:hAnsi="TimesNewRoman" w:cs="TimesNewRoman"/>
          <w:lang w:val="it-IT" w:eastAsia="fr-FR"/>
        </w:rPr>
        <w:t>, Mali and Nigeria</w:t>
      </w:r>
    </w:p>
  </w:footnote>
  <w:footnote w:id="6">
    <w:p w14:paraId="560A8FC1" w14:textId="77777777" w:rsidR="002E0008" w:rsidRPr="00B619D4" w:rsidRDefault="002E0008" w:rsidP="002E0008">
      <w:pPr>
        <w:pStyle w:val="Funotentext"/>
        <w:rPr>
          <w:lang w:val="en-GB"/>
        </w:rPr>
      </w:pPr>
      <w:r w:rsidRPr="00217D1B">
        <w:rPr>
          <w:rStyle w:val="Funotenzeichen"/>
        </w:rPr>
        <w:footnoteRef/>
      </w:r>
      <w:r w:rsidRPr="00B619D4">
        <w:rPr>
          <w:rStyle w:val="Funotenzeichen"/>
          <w:sz w:val="22"/>
          <w:szCs w:val="22"/>
          <w:lang w:val="en-GB"/>
        </w:rPr>
        <w:tab/>
      </w:r>
      <w:r w:rsidRPr="006B3DF3">
        <w:rPr>
          <w:lang w:val="en-US"/>
        </w:rPr>
        <w:t>The space research service is also subject to these protections in the following countries: Armenia, Georgia, Kyrgyzstan, Tajikistan and Turkmenistan.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F7E7A" w14:textId="2438D811" w:rsidR="00E06B29" w:rsidRPr="00CF2EC7" w:rsidRDefault="003771D5" w:rsidP="003A68D5">
    <w:pPr>
      <w:pStyle w:val="ECCpageHeader"/>
      <w:rPr>
        <w:lang w:val="en-US"/>
      </w:rPr>
    </w:pPr>
    <w:r w:rsidRPr="00CF2EC7">
      <w:rPr>
        <w:lang w:val="en-US"/>
      </w:rPr>
      <w:t>Draft CEPT Brief on AI</w:t>
    </w:r>
    <w:r w:rsidR="00B619D4" w:rsidRPr="00B619D4">
      <w:rPr>
        <w:lang w:val="en-GB"/>
      </w:rPr>
      <w:t xml:space="preserve"> 1.14</w:t>
    </w:r>
    <w:r w:rsidRPr="00CF2EC7">
      <w:rPr>
        <w:lang w:val="en-US"/>
      </w:rPr>
      <w:t xml:space="preserve"> </w:t>
    </w:r>
    <w:r w:rsidR="002D6680" w:rsidRPr="00CF2EC7">
      <w:rPr>
        <w:lang w:val="en-US"/>
      </w:rPr>
      <w:t xml:space="preserve">- </w:t>
    </w:r>
    <w:r w:rsidR="005C10EB" w:rsidRPr="00CF2EC7">
      <w:rPr>
        <w:lang w:val="en-US"/>
      </w:rPr>
      <w:t xml:space="preserve">Page </w:t>
    </w:r>
    <w:r w:rsidR="005C10EB" w:rsidRPr="005611D0">
      <w:fldChar w:fldCharType="begin"/>
    </w:r>
    <w:r w:rsidR="005C10EB" w:rsidRPr="00CF2EC7">
      <w:rPr>
        <w:lang w:val="en-US"/>
      </w:rPr>
      <w:instrText xml:space="preserve"> PAGE  \* Arabic  \* MERGEFORMAT </w:instrText>
    </w:r>
    <w:r w:rsidR="005C10EB" w:rsidRPr="005611D0">
      <w:fldChar w:fldCharType="separate"/>
    </w:r>
    <w:r w:rsidR="00E5396D">
      <w:rPr>
        <w:noProof/>
        <w:lang w:val="en-US"/>
      </w:rPr>
      <w:t>10</w:t>
    </w:r>
    <w:r w:rsidR="005C10EB" w:rsidRPr="005611D0">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1E770" w14:textId="5E5D4431" w:rsidR="00E06B29" w:rsidRPr="00CF2EC7" w:rsidRDefault="00D904D5" w:rsidP="003A68D5">
    <w:pPr>
      <w:pStyle w:val="ECCpageHeader"/>
      <w:rPr>
        <w:lang w:val="en-US"/>
      </w:rPr>
    </w:pPr>
    <w:r>
      <w:tab/>
    </w:r>
    <w:r>
      <w:tab/>
    </w:r>
    <w:r w:rsidR="002D6680" w:rsidRPr="00CF2EC7">
      <w:rPr>
        <w:lang w:val="en-US"/>
      </w:rPr>
      <w:t xml:space="preserve">Draft CEPT Brief on AI </w:t>
    </w:r>
    <w:r w:rsidR="004362F3" w:rsidRPr="00B93DF1">
      <w:rPr>
        <w:lang w:val="en-GB"/>
      </w:rPr>
      <w:t>1.14</w:t>
    </w:r>
    <w:r w:rsidR="002D6680" w:rsidRPr="00CF2EC7">
      <w:rPr>
        <w:lang w:val="en-US"/>
      </w:rPr>
      <w:t xml:space="preserve"> - </w:t>
    </w:r>
    <w:r w:rsidR="005C10EB" w:rsidRPr="00CF2EC7">
      <w:rPr>
        <w:lang w:val="en-US"/>
      </w:rPr>
      <w:t xml:space="preserve">Page </w:t>
    </w:r>
    <w:r w:rsidR="005C10EB" w:rsidRPr="005611D0">
      <w:fldChar w:fldCharType="begin"/>
    </w:r>
    <w:r w:rsidR="005C10EB" w:rsidRPr="00CF2EC7">
      <w:rPr>
        <w:lang w:val="en-US"/>
      </w:rPr>
      <w:instrText xml:space="preserve"> PAGE  \* Arabic  \* MERGEFORMAT </w:instrText>
    </w:r>
    <w:r w:rsidR="005C10EB" w:rsidRPr="005611D0">
      <w:fldChar w:fldCharType="separate"/>
    </w:r>
    <w:r w:rsidR="00E5396D">
      <w:rPr>
        <w:noProof/>
        <w:lang w:val="en-US"/>
      </w:rPr>
      <w:t>11</w:t>
    </w:r>
    <w:r w:rsidR="005C10EB" w:rsidRPr="005611D0">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D6C24" w14:textId="77777777" w:rsidR="005C10EB" w:rsidRDefault="003771D5" w:rsidP="003A68D5">
    <w:pPr>
      <w:pStyle w:val="ECCpageHeader"/>
    </w:pPr>
    <w:r w:rsidRPr="008742E3">
      <w:rPr>
        <w:noProof/>
        <w:lang w:val="de-DE" w:eastAsia="de-DE"/>
      </w:rPr>
      <w:drawing>
        <wp:inline distT="0" distB="0" distL="0" distR="0" wp14:anchorId="68AF81B8" wp14:editId="3010511A">
          <wp:extent cx="889000" cy="889000"/>
          <wp:effectExtent l="0" t="0" r="6350" b="6350"/>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ab/>
    </w:r>
    <w:r>
      <w:tab/>
    </w:r>
    <w:r w:rsidRPr="008742E3">
      <w:rPr>
        <w:noProof/>
        <w:lang w:val="de-DE" w:eastAsia="de-DE"/>
      </w:rPr>
      <w:drawing>
        <wp:inline distT="0" distB="0" distL="0" distR="0" wp14:anchorId="7D042370" wp14:editId="22D08D74">
          <wp:extent cx="1461770" cy="546100"/>
          <wp:effectExtent l="0" t="0" r="5080" b="6350"/>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14:paraId="176A95F8" w14:textId="77777777" w:rsidR="003771D5" w:rsidRPr="005611D0" w:rsidRDefault="003771D5" w:rsidP="003771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F665A4"/>
    <w:lvl w:ilvl="0">
      <w:start w:val="1"/>
      <w:numFmt w:val="decimal"/>
      <w:lvlText w:val="%1."/>
      <w:lvlJc w:val="left"/>
      <w:pPr>
        <w:tabs>
          <w:tab w:val="num" w:pos="1492"/>
        </w:tabs>
        <w:ind w:left="1492" w:hanging="360"/>
      </w:pPr>
    </w:lvl>
  </w:abstractNum>
  <w:abstractNum w:abstractNumId="1">
    <w:nsid w:val="FFFFFF7D"/>
    <w:multiLevelType w:val="singleLevel"/>
    <w:tmpl w:val="D0DC41BC"/>
    <w:lvl w:ilvl="0">
      <w:start w:val="1"/>
      <w:numFmt w:val="decimal"/>
      <w:lvlText w:val="%1."/>
      <w:lvlJc w:val="left"/>
      <w:pPr>
        <w:tabs>
          <w:tab w:val="num" w:pos="1209"/>
        </w:tabs>
        <w:ind w:left="1209" w:hanging="360"/>
      </w:pPr>
    </w:lvl>
  </w:abstractNum>
  <w:abstractNum w:abstractNumId="2">
    <w:nsid w:val="FFFFFF7E"/>
    <w:multiLevelType w:val="singleLevel"/>
    <w:tmpl w:val="FEB40020"/>
    <w:lvl w:ilvl="0">
      <w:start w:val="1"/>
      <w:numFmt w:val="decimal"/>
      <w:lvlText w:val="%1."/>
      <w:lvlJc w:val="left"/>
      <w:pPr>
        <w:tabs>
          <w:tab w:val="num" w:pos="926"/>
        </w:tabs>
        <w:ind w:left="926" w:hanging="360"/>
      </w:pPr>
    </w:lvl>
  </w:abstractNum>
  <w:abstractNum w:abstractNumId="3">
    <w:nsid w:val="FFFFFF7F"/>
    <w:multiLevelType w:val="singleLevel"/>
    <w:tmpl w:val="6B449D98"/>
    <w:lvl w:ilvl="0">
      <w:start w:val="1"/>
      <w:numFmt w:val="decimal"/>
      <w:lvlText w:val="%1."/>
      <w:lvlJc w:val="left"/>
      <w:pPr>
        <w:tabs>
          <w:tab w:val="num" w:pos="643"/>
        </w:tabs>
        <w:ind w:left="643" w:hanging="360"/>
      </w:pPr>
    </w:lvl>
  </w:abstractNum>
  <w:abstractNum w:abstractNumId="4">
    <w:nsid w:val="FFFFFF80"/>
    <w:multiLevelType w:val="singleLevel"/>
    <w:tmpl w:val="259670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6A18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4F5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D25076"/>
    <w:lvl w:ilvl="0">
      <w:start w:val="1"/>
      <w:numFmt w:val="decimal"/>
      <w:lvlText w:val="%1."/>
      <w:lvlJc w:val="left"/>
      <w:pPr>
        <w:tabs>
          <w:tab w:val="num" w:pos="360"/>
        </w:tabs>
        <w:ind w:left="360" w:hanging="360"/>
      </w:pPr>
    </w:lvl>
  </w:abstractNum>
  <w:abstractNum w:abstractNumId="9">
    <w:nsid w:val="FFFFFF89"/>
    <w:multiLevelType w:val="singleLevel"/>
    <w:tmpl w:val="447A80D6"/>
    <w:lvl w:ilvl="0">
      <w:start w:val="1"/>
      <w:numFmt w:val="bullet"/>
      <w:lvlText w:val=""/>
      <w:lvlJc w:val="left"/>
      <w:pPr>
        <w:tabs>
          <w:tab w:val="num" w:pos="360"/>
        </w:tabs>
        <w:ind w:left="360" w:hanging="360"/>
      </w:pPr>
      <w:rPr>
        <w:rFonts w:ascii="Symbol" w:hAnsi="Symbol" w:hint="default"/>
      </w:rPr>
    </w:lvl>
  </w:abstractNum>
  <w:abstractNum w:abstractNumId="10">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50E777B"/>
    <w:multiLevelType w:val="hybridMultilevel"/>
    <w:tmpl w:val="DEA03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57772D"/>
    <w:multiLevelType w:val="hybridMultilevel"/>
    <w:tmpl w:val="2DB83E44"/>
    <w:lvl w:ilvl="0" w:tplc="0658B514">
      <w:start w:val="1"/>
      <w:numFmt w:val="decimal"/>
      <w:lvlText w:val="%1"/>
      <w:lvlJc w:val="left"/>
      <w:pPr>
        <w:ind w:left="720" w:hanging="360"/>
      </w:pPr>
      <w:rPr>
        <w:rFonts w:ascii="Arial" w:eastAsia="Times New Roman" w:hAnsi="Arial"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0A87A02"/>
    <w:multiLevelType w:val="hybridMultilevel"/>
    <w:tmpl w:val="248209E6"/>
    <w:lvl w:ilvl="0" w:tplc="048CDB92">
      <w:start w:val="1"/>
      <w:numFmt w:val="bullet"/>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4">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2A0A7C33"/>
    <w:multiLevelType w:val="hybridMultilevel"/>
    <w:tmpl w:val="81E804EC"/>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31D2CAF"/>
    <w:multiLevelType w:val="multilevel"/>
    <w:tmpl w:val="C0F03C06"/>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7">
    <w:nsid w:val="3D163F7A"/>
    <w:multiLevelType w:val="multilevel"/>
    <w:tmpl w:val="C51432D8"/>
    <w:lvl w:ilvl="0">
      <w:start w:val="1"/>
      <w:numFmt w:val="decimal"/>
      <w:pStyle w:val="berschrift1"/>
      <w:lvlText w:val="%1"/>
      <w:lvlJc w:val="left"/>
      <w:pPr>
        <w:tabs>
          <w:tab w:val="num" w:pos="432"/>
        </w:tabs>
        <w:ind w:left="432" w:hanging="432"/>
      </w:pPr>
      <w:rPr>
        <w:rFonts w:ascii="Arial" w:hAnsi="Arial" w:hint="default"/>
        <w:b/>
        <w:i w:val="0"/>
        <w:color w:val="D2232A"/>
        <w:sz w:val="20"/>
        <w:szCs w:val="20"/>
      </w:rPr>
    </w:lvl>
    <w:lvl w:ilvl="1">
      <w:start w:val="1"/>
      <w:numFmt w:val="decimal"/>
      <w:pStyle w:val="berschrift2"/>
      <w:lvlText w:val="%1.%2"/>
      <w:lvlJc w:val="left"/>
      <w:pPr>
        <w:tabs>
          <w:tab w:val="num" w:pos="576"/>
        </w:tabs>
        <w:ind w:left="576" w:hanging="576"/>
      </w:pPr>
      <w:rPr>
        <w:rFonts w:ascii="Arial" w:hAnsi="Arial" w:hint="default"/>
        <w:b/>
        <w:i w:val="0"/>
        <w:sz w:val="20"/>
      </w:rPr>
    </w:lvl>
    <w:lvl w:ilvl="2">
      <w:start w:val="1"/>
      <w:numFmt w:val="decimal"/>
      <w:pStyle w:val="berschrift3"/>
      <w:lvlText w:val="%1.%2.%3"/>
      <w:lvlJc w:val="left"/>
      <w:pPr>
        <w:tabs>
          <w:tab w:val="num" w:pos="720"/>
        </w:tabs>
        <w:ind w:left="720" w:hanging="720"/>
      </w:pPr>
      <w:rPr>
        <w:rFonts w:ascii="Arial" w:hAnsi="Arial" w:hint="default"/>
        <w:b/>
        <w:i w:val="0"/>
        <w:caps w:val="0"/>
        <w:sz w:val="20"/>
        <w:szCs w:val="20"/>
      </w:rPr>
    </w:lvl>
    <w:lvl w:ilvl="3">
      <w:start w:val="1"/>
      <w:numFmt w:val="decimal"/>
      <w:pStyle w:val="berschrift4"/>
      <w:lvlText w:val="%1.%2.%3.%4"/>
      <w:lvlJc w:val="left"/>
      <w:pPr>
        <w:tabs>
          <w:tab w:val="num" w:pos="864"/>
        </w:tabs>
        <w:ind w:left="864" w:hanging="864"/>
      </w:pPr>
      <w:rPr>
        <w:rFonts w:ascii="Arial" w:hAnsi="Arial" w:hint="default"/>
        <w:b w:val="0"/>
        <w:i/>
        <w:sz w:val="20"/>
      </w:rPr>
    </w:lvl>
    <w:lvl w:ilvl="4">
      <w:start w:val="1"/>
      <w:numFmt w:val="decimal"/>
      <w:pStyle w:val="berschrift5"/>
      <w:lvlText w:val="%1.%2.%3.%4.%5"/>
      <w:lvlJc w:val="left"/>
      <w:pPr>
        <w:tabs>
          <w:tab w:val="num" w:pos="1008"/>
        </w:tabs>
        <w:ind w:left="1008" w:hanging="1008"/>
      </w:pPr>
      <w:rPr>
        <w:rFonts w:hint="default"/>
        <w:sz w:val="24"/>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8">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BE4C9A"/>
    <w:multiLevelType w:val="multilevel"/>
    <w:tmpl w:val="43C0677A"/>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num w:numId="1">
    <w:abstractNumId w:val="13"/>
  </w:num>
  <w:num w:numId="2">
    <w:abstractNumId w:val="14"/>
  </w:num>
  <w:num w:numId="3">
    <w:abstractNumId w:val="13"/>
  </w:num>
  <w:num w:numId="4">
    <w:abstractNumId w:val="19"/>
  </w:num>
  <w:num w:numId="5">
    <w:abstractNumId w:val="16"/>
  </w:num>
  <w:num w:numId="6">
    <w:abstractNumId w:val="18"/>
  </w:num>
  <w:num w:numId="7">
    <w:abstractNumId w:val="17"/>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5"/>
  </w:num>
  <w:num w:numId="20">
    <w:abstractNumId w:val="15"/>
  </w:num>
  <w:num w:numId="21">
    <w:abstractNumId w:val="10"/>
  </w:num>
  <w:num w:numId="22">
    <w:abstractNumId w:val="14"/>
  </w:num>
  <w:num w:numId="23">
    <w:abstractNumId w:val="14"/>
  </w:num>
  <w:num w:numId="24">
    <w:abstractNumId w:val="14"/>
  </w:num>
  <w:num w:numId="25">
    <w:abstractNumId w:val="14"/>
  </w:num>
  <w:num w:numId="26">
    <w:abstractNumId w:val="10"/>
  </w:num>
  <w:num w:numId="27">
    <w:abstractNumId w:val="10"/>
  </w:num>
  <w:num w:numId="28">
    <w:abstractNumId w:val="10"/>
  </w:num>
  <w:num w:numId="29">
    <w:abstractNumId w:val="15"/>
  </w:num>
  <w:num w:numId="30">
    <w:abstractNumId w:val="17"/>
  </w:num>
  <w:num w:numId="31">
    <w:abstractNumId w:val="19"/>
  </w:num>
  <w:num w:numId="32">
    <w:abstractNumId w:val="16"/>
  </w:num>
  <w:num w:numId="33">
    <w:abstractNumId w:val="18"/>
  </w:num>
  <w:num w:numId="34">
    <w:abstractNumId w:val="17"/>
  </w:num>
  <w:num w:numId="35">
    <w:abstractNumId w:val="17"/>
  </w:num>
  <w:num w:numId="36">
    <w:abstractNumId w:val="17"/>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11"/>
  </w:num>
  <w:num w:numId="41">
    <w:abstractNumId w:val="10"/>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ordinator AI 1.14">
    <w15:presenceInfo w15:providerId="None" w15:userId="Coordinator AI 1.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NotTrackFormatting/>
  <w:documentProtection w:formatting="1" w:enforcement="1" w:cryptProviderType="rsaFull" w:cryptAlgorithmClass="hash" w:cryptAlgorithmType="typeAny" w:cryptAlgorithmSid="4" w:cryptSpinCount="100000" w:hash="oTJJKhGDZU8qQcjxSz+zRHphnts=" w:salt="zN/62/NUd48biJ0JsquCgw=="/>
  <w:autoFormatOverride/>
  <w:styleLockTheme/>
  <w:styleLockQFSet/>
  <w:defaultTabStop w:val="567"/>
  <w:hyphenationZone w:val="425"/>
  <w:evenAndOddHeaders/>
  <w:characterSpacingControl w:val="doNotCompress"/>
  <w:hdrShapeDefaults>
    <o:shapedefaults v:ext="edit" spidmax="4097">
      <o:colormru v:ext="edit" colors="#7b6c58,#887e6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E9F"/>
    <w:rsid w:val="0000337B"/>
    <w:rsid w:val="00004CC8"/>
    <w:rsid w:val="000054ED"/>
    <w:rsid w:val="00005BF4"/>
    <w:rsid w:val="00006D78"/>
    <w:rsid w:val="00007143"/>
    <w:rsid w:val="00010E68"/>
    <w:rsid w:val="0001231F"/>
    <w:rsid w:val="000141BD"/>
    <w:rsid w:val="00014591"/>
    <w:rsid w:val="000177E3"/>
    <w:rsid w:val="00020036"/>
    <w:rsid w:val="000220E1"/>
    <w:rsid w:val="00030698"/>
    <w:rsid w:val="00032BF7"/>
    <w:rsid w:val="000378A9"/>
    <w:rsid w:val="000404A2"/>
    <w:rsid w:val="00041A18"/>
    <w:rsid w:val="00051694"/>
    <w:rsid w:val="00052CAE"/>
    <w:rsid w:val="000602E6"/>
    <w:rsid w:val="000611F2"/>
    <w:rsid w:val="00061762"/>
    <w:rsid w:val="00061870"/>
    <w:rsid w:val="0006218D"/>
    <w:rsid w:val="00062CB1"/>
    <w:rsid w:val="000660F5"/>
    <w:rsid w:val="00067793"/>
    <w:rsid w:val="000701A5"/>
    <w:rsid w:val="0007382F"/>
    <w:rsid w:val="00074338"/>
    <w:rsid w:val="00080D4D"/>
    <w:rsid w:val="00080F51"/>
    <w:rsid w:val="00082DD7"/>
    <w:rsid w:val="000877C8"/>
    <w:rsid w:val="00092847"/>
    <w:rsid w:val="00092E09"/>
    <w:rsid w:val="0009504E"/>
    <w:rsid w:val="000951AF"/>
    <w:rsid w:val="00095620"/>
    <w:rsid w:val="0009742E"/>
    <w:rsid w:val="00097D7A"/>
    <w:rsid w:val="000A29BC"/>
    <w:rsid w:val="000A3940"/>
    <w:rsid w:val="000A6285"/>
    <w:rsid w:val="000B097D"/>
    <w:rsid w:val="000B18EB"/>
    <w:rsid w:val="000B2156"/>
    <w:rsid w:val="000B2858"/>
    <w:rsid w:val="000B5026"/>
    <w:rsid w:val="000B60D0"/>
    <w:rsid w:val="000B6D19"/>
    <w:rsid w:val="000C028F"/>
    <w:rsid w:val="000C5628"/>
    <w:rsid w:val="000C564C"/>
    <w:rsid w:val="000C5CB6"/>
    <w:rsid w:val="000C69C7"/>
    <w:rsid w:val="000D1710"/>
    <w:rsid w:val="000D1D79"/>
    <w:rsid w:val="000D7A37"/>
    <w:rsid w:val="000E07B5"/>
    <w:rsid w:val="000E37B4"/>
    <w:rsid w:val="000E42F5"/>
    <w:rsid w:val="000E4820"/>
    <w:rsid w:val="000F0594"/>
    <w:rsid w:val="000F1620"/>
    <w:rsid w:val="000F24F5"/>
    <w:rsid w:val="000F2C39"/>
    <w:rsid w:val="000F3A9A"/>
    <w:rsid w:val="000F3D4F"/>
    <w:rsid w:val="000F3F0B"/>
    <w:rsid w:val="000F679D"/>
    <w:rsid w:val="000F696A"/>
    <w:rsid w:val="001006CA"/>
    <w:rsid w:val="00100F8B"/>
    <w:rsid w:val="0010409A"/>
    <w:rsid w:val="00107574"/>
    <w:rsid w:val="00112785"/>
    <w:rsid w:val="001142C7"/>
    <w:rsid w:val="00114B8A"/>
    <w:rsid w:val="00115DAB"/>
    <w:rsid w:val="001227F5"/>
    <w:rsid w:val="00125F86"/>
    <w:rsid w:val="0013542F"/>
    <w:rsid w:val="0013671D"/>
    <w:rsid w:val="00136877"/>
    <w:rsid w:val="0013705C"/>
    <w:rsid w:val="00143008"/>
    <w:rsid w:val="00155022"/>
    <w:rsid w:val="001551EE"/>
    <w:rsid w:val="001669B4"/>
    <w:rsid w:val="00167D04"/>
    <w:rsid w:val="00171BE5"/>
    <w:rsid w:val="0017456E"/>
    <w:rsid w:val="0018284B"/>
    <w:rsid w:val="00182A02"/>
    <w:rsid w:val="00183FE0"/>
    <w:rsid w:val="0018553F"/>
    <w:rsid w:val="00187835"/>
    <w:rsid w:val="00190FE1"/>
    <w:rsid w:val="00191A59"/>
    <w:rsid w:val="00193FA6"/>
    <w:rsid w:val="0019471E"/>
    <w:rsid w:val="00196F3F"/>
    <w:rsid w:val="001A09D6"/>
    <w:rsid w:val="001A1E9F"/>
    <w:rsid w:val="001A2D02"/>
    <w:rsid w:val="001A51EC"/>
    <w:rsid w:val="001A635C"/>
    <w:rsid w:val="001B2484"/>
    <w:rsid w:val="001B5197"/>
    <w:rsid w:val="001C13D0"/>
    <w:rsid w:val="001C613C"/>
    <w:rsid w:val="001C7A47"/>
    <w:rsid w:val="001D15AA"/>
    <w:rsid w:val="001D334F"/>
    <w:rsid w:val="001D7E0F"/>
    <w:rsid w:val="001E0C76"/>
    <w:rsid w:val="001E2B42"/>
    <w:rsid w:val="001E5173"/>
    <w:rsid w:val="001E6A01"/>
    <w:rsid w:val="001E73E5"/>
    <w:rsid w:val="001F0EFA"/>
    <w:rsid w:val="001F50F5"/>
    <w:rsid w:val="0020079A"/>
    <w:rsid w:val="00202147"/>
    <w:rsid w:val="0020250F"/>
    <w:rsid w:val="00205706"/>
    <w:rsid w:val="002077E5"/>
    <w:rsid w:val="00213142"/>
    <w:rsid w:val="00213D63"/>
    <w:rsid w:val="0021609B"/>
    <w:rsid w:val="002177CB"/>
    <w:rsid w:val="00217D5F"/>
    <w:rsid w:val="00220194"/>
    <w:rsid w:val="00225DB8"/>
    <w:rsid w:val="00226070"/>
    <w:rsid w:val="0022676B"/>
    <w:rsid w:val="002312CF"/>
    <w:rsid w:val="00233B3C"/>
    <w:rsid w:val="00234E2B"/>
    <w:rsid w:val="00235592"/>
    <w:rsid w:val="00236978"/>
    <w:rsid w:val="002417B7"/>
    <w:rsid w:val="00254D5D"/>
    <w:rsid w:val="00260095"/>
    <w:rsid w:val="0026028C"/>
    <w:rsid w:val="002620A2"/>
    <w:rsid w:val="002654A3"/>
    <w:rsid w:val="002706F4"/>
    <w:rsid w:val="00273354"/>
    <w:rsid w:val="0027339C"/>
    <w:rsid w:val="00274F84"/>
    <w:rsid w:val="00275555"/>
    <w:rsid w:val="00276742"/>
    <w:rsid w:val="002774CA"/>
    <w:rsid w:val="0028060B"/>
    <w:rsid w:val="0028120C"/>
    <w:rsid w:val="002812D8"/>
    <w:rsid w:val="00282D38"/>
    <w:rsid w:val="002849BC"/>
    <w:rsid w:val="0028577D"/>
    <w:rsid w:val="00292E6E"/>
    <w:rsid w:val="00293920"/>
    <w:rsid w:val="00294713"/>
    <w:rsid w:val="00295827"/>
    <w:rsid w:val="00295F16"/>
    <w:rsid w:val="002A0A2D"/>
    <w:rsid w:val="002A15A7"/>
    <w:rsid w:val="002A4C3D"/>
    <w:rsid w:val="002A675F"/>
    <w:rsid w:val="002B050E"/>
    <w:rsid w:val="002B2CCD"/>
    <w:rsid w:val="002B46F5"/>
    <w:rsid w:val="002B5494"/>
    <w:rsid w:val="002B6540"/>
    <w:rsid w:val="002C109C"/>
    <w:rsid w:val="002C13F6"/>
    <w:rsid w:val="002C274C"/>
    <w:rsid w:val="002C28CA"/>
    <w:rsid w:val="002C29CC"/>
    <w:rsid w:val="002C37B1"/>
    <w:rsid w:val="002C5C63"/>
    <w:rsid w:val="002C660F"/>
    <w:rsid w:val="002C6A25"/>
    <w:rsid w:val="002D1FA9"/>
    <w:rsid w:val="002D50A3"/>
    <w:rsid w:val="002D6680"/>
    <w:rsid w:val="002E0008"/>
    <w:rsid w:val="002E0770"/>
    <w:rsid w:val="002E786C"/>
    <w:rsid w:val="002F1E6A"/>
    <w:rsid w:val="002F2DB2"/>
    <w:rsid w:val="002F5899"/>
    <w:rsid w:val="003031DA"/>
    <w:rsid w:val="00306DD4"/>
    <w:rsid w:val="003070D9"/>
    <w:rsid w:val="00307A79"/>
    <w:rsid w:val="003145E1"/>
    <w:rsid w:val="00314DA6"/>
    <w:rsid w:val="003205B6"/>
    <w:rsid w:val="00322E6A"/>
    <w:rsid w:val="00325504"/>
    <w:rsid w:val="003264A5"/>
    <w:rsid w:val="003314A0"/>
    <w:rsid w:val="003333CB"/>
    <w:rsid w:val="003419EF"/>
    <w:rsid w:val="003436CC"/>
    <w:rsid w:val="00343BD5"/>
    <w:rsid w:val="00353326"/>
    <w:rsid w:val="00353796"/>
    <w:rsid w:val="003613B1"/>
    <w:rsid w:val="00361E54"/>
    <w:rsid w:val="00367CC9"/>
    <w:rsid w:val="00370A0C"/>
    <w:rsid w:val="00371BEA"/>
    <w:rsid w:val="00371E9F"/>
    <w:rsid w:val="003733EB"/>
    <w:rsid w:val="00376925"/>
    <w:rsid w:val="003771D5"/>
    <w:rsid w:val="00377790"/>
    <w:rsid w:val="00381340"/>
    <w:rsid w:val="00381E40"/>
    <w:rsid w:val="0038331C"/>
    <w:rsid w:val="00383560"/>
    <w:rsid w:val="0038358E"/>
    <w:rsid w:val="00386536"/>
    <w:rsid w:val="00391A01"/>
    <w:rsid w:val="00394D7E"/>
    <w:rsid w:val="003972C9"/>
    <w:rsid w:val="003A0AA9"/>
    <w:rsid w:val="003A0AD5"/>
    <w:rsid w:val="003A3DA7"/>
    <w:rsid w:val="003A50B5"/>
    <w:rsid w:val="003A5711"/>
    <w:rsid w:val="003A5E02"/>
    <w:rsid w:val="003A68D5"/>
    <w:rsid w:val="003A6F30"/>
    <w:rsid w:val="003A7C6B"/>
    <w:rsid w:val="003B30CA"/>
    <w:rsid w:val="003B7070"/>
    <w:rsid w:val="003B7A3E"/>
    <w:rsid w:val="003B7B2D"/>
    <w:rsid w:val="003C3D86"/>
    <w:rsid w:val="003C4438"/>
    <w:rsid w:val="003C64D9"/>
    <w:rsid w:val="003C6A0A"/>
    <w:rsid w:val="003D6718"/>
    <w:rsid w:val="003E5392"/>
    <w:rsid w:val="003E70E0"/>
    <w:rsid w:val="003E789B"/>
    <w:rsid w:val="003F44DC"/>
    <w:rsid w:val="00403CE6"/>
    <w:rsid w:val="0040445F"/>
    <w:rsid w:val="00405017"/>
    <w:rsid w:val="004065AB"/>
    <w:rsid w:val="00406E9C"/>
    <w:rsid w:val="004074CC"/>
    <w:rsid w:val="004110CA"/>
    <w:rsid w:val="00411A37"/>
    <w:rsid w:val="00414F42"/>
    <w:rsid w:val="0042509E"/>
    <w:rsid w:val="00434C44"/>
    <w:rsid w:val="00434D01"/>
    <w:rsid w:val="004362F3"/>
    <w:rsid w:val="00437254"/>
    <w:rsid w:val="00443482"/>
    <w:rsid w:val="004437B8"/>
    <w:rsid w:val="00443912"/>
    <w:rsid w:val="00446E3E"/>
    <w:rsid w:val="0044760B"/>
    <w:rsid w:val="00450308"/>
    <w:rsid w:val="00456292"/>
    <w:rsid w:val="00456A73"/>
    <w:rsid w:val="00457AD1"/>
    <w:rsid w:val="00461930"/>
    <w:rsid w:val="0046427F"/>
    <w:rsid w:val="00470D4B"/>
    <w:rsid w:val="004723CD"/>
    <w:rsid w:val="00473F47"/>
    <w:rsid w:val="00474DC4"/>
    <w:rsid w:val="00484447"/>
    <w:rsid w:val="004852D1"/>
    <w:rsid w:val="00485307"/>
    <w:rsid w:val="00485FD8"/>
    <w:rsid w:val="0048670B"/>
    <w:rsid w:val="00490DA8"/>
    <w:rsid w:val="004914FF"/>
    <w:rsid w:val="00491977"/>
    <w:rsid w:val="00492BC3"/>
    <w:rsid w:val="0049491B"/>
    <w:rsid w:val="004A1329"/>
    <w:rsid w:val="004A4E05"/>
    <w:rsid w:val="004A511D"/>
    <w:rsid w:val="004A5EAE"/>
    <w:rsid w:val="004A64A9"/>
    <w:rsid w:val="004C21A4"/>
    <w:rsid w:val="004C2C4F"/>
    <w:rsid w:val="004C4A2E"/>
    <w:rsid w:val="004C6B6C"/>
    <w:rsid w:val="004D0BB6"/>
    <w:rsid w:val="004D1F3F"/>
    <w:rsid w:val="004D1F85"/>
    <w:rsid w:val="004D5EA3"/>
    <w:rsid w:val="004D7343"/>
    <w:rsid w:val="004E0612"/>
    <w:rsid w:val="004E350B"/>
    <w:rsid w:val="004E44C8"/>
    <w:rsid w:val="004E53BE"/>
    <w:rsid w:val="004E615A"/>
    <w:rsid w:val="004E75D8"/>
    <w:rsid w:val="004F16F4"/>
    <w:rsid w:val="004F18F7"/>
    <w:rsid w:val="004F3462"/>
    <w:rsid w:val="004F354B"/>
    <w:rsid w:val="004F3F81"/>
    <w:rsid w:val="004F5C67"/>
    <w:rsid w:val="004F6CA7"/>
    <w:rsid w:val="005028D4"/>
    <w:rsid w:val="00505D14"/>
    <w:rsid w:val="00514281"/>
    <w:rsid w:val="00515FCD"/>
    <w:rsid w:val="0052002E"/>
    <w:rsid w:val="005250FC"/>
    <w:rsid w:val="005269AF"/>
    <w:rsid w:val="00535050"/>
    <w:rsid w:val="00536A31"/>
    <w:rsid w:val="00536F3C"/>
    <w:rsid w:val="00537D39"/>
    <w:rsid w:val="00540554"/>
    <w:rsid w:val="0054260E"/>
    <w:rsid w:val="005431A8"/>
    <w:rsid w:val="00550D79"/>
    <w:rsid w:val="00555628"/>
    <w:rsid w:val="005559AC"/>
    <w:rsid w:val="00557B5A"/>
    <w:rsid w:val="005611D0"/>
    <w:rsid w:val="00561B41"/>
    <w:rsid w:val="005639E1"/>
    <w:rsid w:val="00566712"/>
    <w:rsid w:val="00571A40"/>
    <w:rsid w:val="005736B2"/>
    <w:rsid w:val="005750AB"/>
    <w:rsid w:val="00576BF8"/>
    <w:rsid w:val="0057797A"/>
    <w:rsid w:val="005815AE"/>
    <w:rsid w:val="005817E4"/>
    <w:rsid w:val="00583725"/>
    <w:rsid w:val="00583806"/>
    <w:rsid w:val="005853AB"/>
    <w:rsid w:val="005875EB"/>
    <w:rsid w:val="00590F62"/>
    <w:rsid w:val="00591DBB"/>
    <w:rsid w:val="00591E67"/>
    <w:rsid w:val="005928F8"/>
    <w:rsid w:val="00594186"/>
    <w:rsid w:val="00594B2B"/>
    <w:rsid w:val="00595AA9"/>
    <w:rsid w:val="005A53B8"/>
    <w:rsid w:val="005A610B"/>
    <w:rsid w:val="005B12CB"/>
    <w:rsid w:val="005C0258"/>
    <w:rsid w:val="005C1074"/>
    <w:rsid w:val="005C10EB"/>
    <w:rsid w:val="005C246A"/>
    <w:rsid w:val="005D2017"/>
    <w:rsid w:val="005D21D3"/>
    <w:rsid w:val="005D371D"/>
    <w:rsid w:val="005E1463"/>
    <w:rsid w:val="005E36E3"/>
    <w:rsid w:val="005E7495"/>
    <w:rsid w:val="005E7922"/>
    <w:rsid w:val="005F0402"/>
    <w:rsid w:val="005F07DC"/>
    <w:rsid w:val="005F2B42"/>
    <w:rsid w:val="005F3C6C"/>
    <w:rsid w:val="005F47C4"/>
    <w:rsid w:val="005F6F37"/>
    <w:rsid w:val="00601C4E"/>
    <w:rsid w:val="006115ED"/>
    <w:rsid w:val="0061281B"/>
    <w:rsid w:val="00613A94"/>
    <w:rsid w:val="00613B3B"/>
    <w:rsid w:val="006154AE"/>
    <w:rsid w:val="006201A1"/>
    <w:rsid w:val="00621B3E"/>
    <w:rsid w:val="00621C12"/>
    <w:rsid w:val="00621C64"/>
    <w:rsid w:val="00623F32"/>
    <w:rsid w:val="0062426E"/>
    <w:rsid w:val="00625A2D"/>
    <w:rsid w:val="00635A22"/>
    <w:rsid w:val="00642083"/>
    <w:rsid w:val="00644FAB"/>
    <w:rsid w:val="006506AF"/>
    <w:rsid w:val="00654D49"/>
    <w:rsid w:val="0065550D"/>
    <w:rsid w:val="00665364"/>
    <w:rsid w:val="00667DBA"/>
    <w:rsid w:val="006714FE"/>
    <w:rsid w:val="00674196"/>
    <w:rsid w:val="006753A9"/>
    <w:rsid w:val="006764E2"/>
    <w:rsid w:val="0067765B"/>
    <w:rsid w:val="006779A6"/>
    <w:rsid w:val="0068085F"/>
    <w:rsid w:val="00682EFE"/>
    <w:rsid w:val="00683393"/>
    <w:rsid w:val="006849B9"/>
    <w:rsid w:val="00684AD5"/>
    <w:rsid w:val="00686F89"/>
    <w:rsid w:val="006876A8"/>
    <w:rsid w:val="00687B43"/>
    <w:rsid w:val="00691567"/>
    <w:rsid w:val="00693126"/>
    <w:rsid w:val="006963BD"/>
    <w:rsid w:val="0069743A"/>
    <w:rsid w:val="00697AD5"/>
    <w:rsid w:val="006A49E3"/>
    <w:rsid w:val="006B1EFD"/>
    <w:rsid w:val="006C3C79"/>
    <w:rsid w:val="006C454C"/>
    <w:rsid w:val="006C5C1C"/>
    <w:rsid w:val="006C7F57"/>
    <w:rsid w:val="006D303B"/>
    <w:rsid w:val="006E4888"/>
    <w:rsid w:val="006F0442"/>
    <w:rsid w:val="006F0B9F"/>
    <w:rsid w:val="006F38A5"/>
    <w:rsid w:val="006F3BA7"/>
    <w:rsid w:val="006F3BA8"/>
    <w:rsid w:val="006F7509"/>
    <w:rsid w:val="007023A3"/>
    <w:rsid w:val="00703FC0"/>
    <w:rsid w:val="007108C1"/>
    <w:rsid w:val="00714E14"/>
    <w:rsid w:val="007160BE"/>
    <w:rsid w:val="007207C0"/>
    <w:rsid w:val="00721539"/>
    <w:rsid w:val="0072163F"/>
    <w:rsid w:val="00722F65"/>
    <w:rsid w:val="00724F2B"/>
    <w:rsid w:val="00726836"/>
    <w:rsid w:val="00733D47"/>
    <w:rsid w:val="0073466A"/>
    <w:rsid w:val="00734A4F"/>
    <w:rsid w:val="00734F1E"/>
    <w:rsid w:val="00737203"/>
    <w:rsid w:val="0074351B"/>
    <w:rsid w:val="0075077E"/>
    <w:rsid w:val="00752B4F"/>
    <w:rsid w:val="00756BEC"/>
    <w:rsid w:val="00762314"/>
    <w:rsid w:val="00762BCC"/>
    <w:rsid w:val="00763BA3"/>
    <w:rsid w:val="007650F9"/>
    <w:rsid w:val="00765B66"/>
    <w:rsid w:val="00767BB2"/>
    <w:rsid w:val="00780376"/>
    <w:rsid w:val="00783039"/>
    <w:rsid w:val="00785B84"/>
    <w:rsid w:val="007861CB"/>
    <w:rsid w:val="00791AAC"/>
    <w:rsid w:val="00792FCF"/>
    <w:rsid w:val="00793301"/>
    <w:rsid w:val="0079410C"/>
    <w:rsid w:val="00794341"/>
    <w:rsid w:val="00795FAB"/>
    <w:rsid w:val="007974A4"/>
    <w:rsid w:val="00797D4C"/>
    <w:rsid w:val="007A3C12"/>
    <w:rsid w:val="007A4E80"/>
    <w:rsid w:val="007A5D6B"/>
    <w:rsid w:val="007A715A"/>
    <w:rsid w:val="007A7FC3"/>
    <w:rsid w:val="007B31B6"/>
    <w:rsid w:val="007B52C8"/>
    <w:rsid w:val="007C0E7E"/>
    <w:rsid w:val="007C2AC8"/>
    <w:rsid w:val="007C386E"/>
    <w:rsid w:val="007C5A3B"/>
    <w:rsid w:val="007C7F33"/>
    <w:rsid w:val="007D17C5"/>
    <w:rsid w:val="007D33C8"/>
    <w:rsid w:val="007D52EC"/>
    <w:rsid w:val="007E4503"/>
    <w:rsid w:val="007E6107"/>
    <w:rsid w:val="007F18B7"/>
    <w:rsid w:val="007F1CEE"/>
    <w:rsid w:val="008062AC"/>
    <w:rsid w:val="00812D36"/>
    <w:rsid w:val="00815182"/>
    <w:rsid w:val="00817826"/>
    <w:rsid w:val="00824BF6"/>
    <w:rsid w:val="00831FB3"/>
    <w:rsid w:val="008329E3"/>
    <w:rsid w:val="0083744D"/>
    <w:rsid w:val="00837537"/>
    <w:rsid w:val="00837694"/>
    <w:rsid w:val="008406FA"/>
    <w:rsid w:val="0084134C"/>
    <w:rsid w:val="0084688F"/>
    <w:rsid w:val="0085767B"/>
    <w:rsid w:val="008576D1"/>
    <w:rsid w:val="0086094D"/>
    <w:rsid w:val="0086591E"/>
    <w:rsid w:val="00872382"/>
    <w:rsid w:val="008733ED"/>
    <w:rsid w:val="008742E3"/>
    <w:rsid w:val="00875A92"/>
    <w:rsid w:val="00876E65"/>
    <w:rsid w:val="008866D2"/>
    <w:rsid w:val="00894079"/>
    <w:rsid w:val="008A1315"/>
    <w:rsid w:val="008A38A9"/>
    <w:rsid w:val="008A54FC"/>
    <w:rsid w:val="008B019B"/>
    <w:rsid w:val="008B4225"/>
    <w:rsid w:val="008B70CD"/>
    <w:rsid w:val="008B7CE5"/>
    <w:rsid w:val="008B7E0C"/>
    <w:rsid w:val="008C2EA1"/>
    <w:rsid w:val="008E1F93"/>
    <w:rsid w:val="008E30D9"/>
    <w:rsid w:val="008E6109"/>
    <w:rsid w:val="008E69E0"/>
    <w:rsid w:val="008E6C0D"/>
    <w:rsid w:val="008F32AB"/>
    <w:rsid w:val="008F5C0E"/>
    <w:rsid w:val="00902411"/>
    <w:rsid w:val="00902E2A"/>
    <w:rsid w:val="00911720"/>
    <w:rsid w:val="00916431"/>
    <w:rsid w:val="00916649"/>
    <w:rsid w:val="009170EA"/>
    <w:rsid w:val="00917D1C"/>
    <w:rsid w:val="0092076F"/>
    <w:rsid w:val="00925022"/>
    <w:rsid w:val="00925B77"/>
    <w:rsid w:val="00927833"/>
    <w:rsid w:val="00930439"/>
    <w:rsid w:val="00930BDF"/>
    <w:rsid w:val="00930F07"/>
    <w:rsid w:val="00931F39"/>
    <w:rsid w:val="009355C1"/>
    <w:rsid w:val="00937FE5"/>
    <w:rsid w:val="009434C3"/>
    <w:rsid w:val="00947A5A"/>
    <w:rsid w:val="0095551B"/>
    <w:rsid w:val="009607E0"/>
    <w:rsid w:val="00961435"/>
    <w:rsid w:val="009623CA"/>
    <w:rsid w:val="0097119C"/>
    <w:rsid w:val="00974D77"/>
    <w:rsid w:val="0097548E"/>
    <w:rsid w:val="009770CA"/>
    <w:rsid w:val="00981039"/>
    <w:rsid w:val="0098236F"/>
    <w:rsid w:val="00986677"/>
    <w:rsid w:val="0098762E"/>
    <w:rsid w:val="0099421C"/>
    <w:rsid w:val="009A0302"/>
    <w:rsid w:val="009A10F6"/>
    <w:rsid w:val="009A48DA"/>
    <w:rsid w:val="009A4A2B"/>
    <w:rsid w:val="009A6101"/>
    <w:rsid w:val="009B05FF"/>
    <w:rsid w:val="009B0A78"/>
    <w:rsid w:val="009B3AFF"/>
    <w:rsid w:val="009B5E77"/>
    <w:rsid w:val="009B638C"/>
    <w:rsid w:val="009C46B3"/>
    <w:rsid w:val="009C5C9A"/>
    <w:rsid w:val="009D3496"/>
    <w:rsid w:val="009D4BA1"/>
    <w:rsid w:val="009D685B"/>
    <w:rsid w:val="009D7574"/>
    <w:rsid w:val="009D7D5A"/>
    <w:rsid w:val="009E2A19"/>
    <w:rsid w:val="009E47EB"/>
    <w:rsid w:val="009E5661"/>
    <w:rsid w:val="009E6DC3"/>
    <w:rsid w:val="009E748E"/>
    <w:rsid w:val="009F0B56"/>
    <w:rsid w:val="009F3A37"/>
    <w:rsid w:val="009F3C54"/>
    <w:rsid w:val="009F4A88"/>
    <w:rsid w:val="009F4AB3"/>
    <w:rsid w:val="009F569A"/>
    <w:rsid w:val="009F7CE0"/>
    <w:rsid w:val="00A01FCE"/>
    <w:rsid w:val="00A02090"/>
    <w:rsid w:val="00A02161"/>
    <w:rsid w:val="00A03566"/>
    <w:rsid w:val="00A051F1"/>
    <w:rsid w:val="00A075BD"/>
    <w:rsid w:val="00A076B5"/>
    <w:rsid w:val="00A21A03"/>
    <w:rsid w:val="00A23870"/>
    <w:rsid w:val="00A24631"/>
    <w:rsid w:val="00A25229"/>
    <w:rsid w:val="00A31525"/>
    <w:rsid w:val="00A31B1B"/>
    <w:rsid w:val="00A41907"/>
    <w:rsid w:val="00A4382A"/>
    <w:rsid w:val="00A43BD3"/>
    <w:rsid w:val="00A466EB"/>
    <w:rsid w:val="00A46C1E"/>
    <w:rsid w:val="00A51786"/>
    <w:rsid w:val="00A5400D"/>
    <w:rsid w:val="00A5587A"/>
    <w:rsid w:val="00A5698B"/>
    <w:rsid w:val="00A56A46"/>
    <w:rsid w:val="00A64928"/>
    <w:rsid w:val="00A64ABD"/>
    <w:rsid w:val="00A65D80"/>
    <w:rsid w:val="00A66A2F"/>
    <w:rsid w:val="00A7266D"/>
    <w:rsid w:val="00A73298"/>
    <w:rsid w:val="00A73962"/>
    <w:rsid w:val="00A7482B"/>
    <w:rsid w:val="00A759D6"/>
    <w:rsid w:val="00A83761"/>
    <w:rsid w:val="00A83EAD"/>
    <w:rsid w:val="00A84588"/>
    <w:rsid w:val="00A874EC"/>
    <w:rsid w:val="00A8763C"/>
    <w:rsid w:val="00A93983"/>
    <w:rsid w:val="00A94F76"/>
    <w:rsid w:val="00A95ACB"/>
    <w:rsid w:val="00A95DD6"/>
    <w:rsid w:val="00A964B8"/>
    <w:rsid w:val="00A97942"/>
    <w:rsid w:val="00A97E19"/>
    <w:rsid w:val="00AA079B"/>
    <w:rsid w:val="00AA086A"/>
    <w:rsid w:val="00AA258B"/>
    <w:rsid w:val="00AA37E4"/>
    <w:rsid w:val="00AA6D64"/>
    <w:rsid w:val="00AA6FDE"/>
    <w:rsid w:val="00AB1C16"/>
    <w:rsid w:val="00AB228D"/>
    <w:rsid w:val="00AB2EA8"/>
    <w:rsid w:val="00AB3C46"/>
    <w:rsid w:val="00AB559F"/>
    <w:rsid w:val="00AC2980"/>
    <w:rsid w:val="00AC42AA"/>
    <w:rsid w:val="00AD1DB6"/>
    <w:rsid w:val="00AD7257"/>
    <w:rsid w:val="00AE0E86"/>
    <w:rsid w:val="00AE1A46"/>
    <w:rsid w:val="00AE1B58"/>
    <w:rsid w:val="00AE372A"/>
    <w:rsid w:val="00AF2D0C"/>
    <w:rsid w:val="00B01589"/>
    <w:rsid w:val="00B01F77"/>
    <w:rsid w:val="00B13AFF"/>
    <w:rsid w:val="00B2563E"/>
    <w:rsid w:val="00B27B72"/>
    <w:rsid w:val="00B3042F"/>
    <w:rsid w:val="00B30B32"/>
    <w:rsid w:val="00B30D3B"/>
    <w:rsid w:val="00B40A82"/>
    <w:rsid w:val="00B40DA6"/>
    <w:rsid w:val="00B432D4"/>
    <w:rsid w:val="00B43B11"/>
    <w:rsid w:val="00B453ED"/>
    <w:rsid w:val="00B460E4"/>
    <w:rsid w:val="00B46457"/>
    <w:rsid w:val="00B47186"/>
    <w:rsid w:val="00B576D7"/>
    <w:rsid w:val="00B619D4"/>
    <w:rsid w:val="00B61A5D"/>
    <w:rsid w:val="00B65680"/>
    <w:rsid w:val="00B80892"/>
    <w:rsid w:val="00B82735"/>
    <w:rsid w:val="00B831D0"/>
    <w:rsid w:val="00B855E1"/>
    <w:rsid w:val="00B87328"/>
    <w:rsid w:val="00B91595"/>
    <w:rsid w:val="00B916B7"/>
    <w:rsid w:val="00B92861"/>
    <w:rsid w:val="00B93DF1"/>
    <w:rsid w:val="00BA18EA"/>
    <w:rsid w:val="00BA2E30"/>
    <w:rsid w:val="00BA380E"/>
    <w:rsid w:val="00BA3CB0"/>
    <w:rsid w:val="00BA3F75"/>
    <w:rsid w:val="00BA524C"/>
    <w:rsid w:val="00BA7811"/>
    <w:rsid w:val="00BA7A69"/>
    <w:rsid w:val="00BA7B31"/>
    <w:rsid w:val="00BB4940"/>
    <w:rsid w:val="00BB552D"/>
    <w:rsid w:val="00BB621E"/>
    <w:rsid w:val="00BC1DBD"/>
    <w:rsid w:val="00BC2F1F"/>
    <w:rsid w:val="00BC3CA5"/>
    <w:rsid w:val="00BD28DF"/>
    <w:rsid w:val="00BD4E12"/>
    <w:rsid w:val="00BD6879"/>
    <w:rsid w:val="00BD7478"/>
    <w:rsid w:val="00BD7669"/>
    <w:rsid w:val="00BE2864"/>
    <w:rsid w:val="00BF3831"/>
    <w:rsid w:val="00C022B0"/>
    <w:rsid w:val="00C02E0A"/>
    <w:rsid w:val="00C0466E"/>
    <w:rsid w:val="00C0561A"/>
    <w:rsid w:val="00C06850"/>
    <w:rsid w:val="00C076BF"/>
    <w:rsid w:val="00C10C10"/>
    <w:rsid w:val="00C11EAB"/>
    <w:rsid w:val="00C205D0"/>
    <w:rsid w:val="00C223DA"/>
    <w:rsid w:val="00C231F4"/>
    <w:rsid w:val="00C242F3"/>
    <w:rsid w:val="00C27F02"/>
    <w:rsid w:val="00C305F6"/>
    <w:rsid w:val="00C33A7C"/>
    <w:rsid w:val="00C44519"/>
    <w:rsid w:val="00C46D5A"/>
    <w:rsid w:val="00C504F4"/>
    <w:rsid w:val="00C51BE5"/>
    <w:rsid w:val="00C53944"/>
    <w:rsid w:val="00C564D6"/>
    <w:rsid w:val="00C57E85"/>
    <w:rsid w:val="00C6187D"/>
    <w:rsid w:val="00C65BB4"/>
    <w:rsid w:val="00C73F4B"/>
    <w:rsid w:val="00C76592"/>
    <w:rsid w:val="00C767B6"/>
    <w:rsid w:val="00C77ABB"/>
    <w:rsid w:val="00C77BA4"/>
    <w:rsid w:val="00C8071C"/>
    <w:rsid w:val="00C816CB"/>
    <w:rsid w:val="00C81D85"/>
    <w:rsid w:val="00C82461"/>
    <w:rsid w:val="00C83E7B"/>
    <w:rsid w:val="00C85CC9"/>
    <w:rsid w:val="00CA07CC"/>
    <w:rsid w:val="00CA13BB"/>
    <w:rsid w:val="00CA397C"/>
    <w:rsid w:val="00CA4FCE"/>
    <w:rsid w:val="00CA5BA4"/>
    <w:rsid w:val="00CA5DB2"/>
    <w:rsid w:val="00CA5F8F"/>
    <w:rsid w:val="00CB5B2D"/>
    <w:rsid w:val="00CC4A0C"/>
    <w:rsid w:val="00CC5A6F"/>
    <w:rsid w:val="00CD1354"/>
    <w:rsid w:val="00CD273B"/>
    <w:rsid w:val="00CD674A"/>
    <w:rsid w:val="00CD6EE0"/>
    <w:rsid w:val="00CE271A"/>
    <w:rsid w:val="00CE5316"/>
    <w:rsid w:val="00CE59F6"/>
    <w:rsid w:val="00CE6FF5"/>
    <w:rsid w:val="00CE7105"/>
    <w:rsid w:val="00CE7754"/>
    <w:rsid w:val="00CF1BC8"/>
    <w:rsid w:val="00CF2EC7"/>
    <w:rsid w:val="00CF36E0"/>
    <w:rsid w:val="00CF5245"/>
    <w:rsid w:val="00D0121B"/>
    <w:rsid w:val="00D01B8F"/>
    <w:rsid w:val="00D04BA8"/>
    <w:rsid w:val="00D0591A"/>
    <w:rsid w:val="00D06479"/>
    <w:rsid w:val="00D06CA9"/>
    <w:rsid w:val="00D076EE"/>
    <w:rsid w:val="00D07B1A"/>
    <w:rsid w:val="00D07F39"/>
    <w:rsid w:val="00D14F1E"/>
    <w:rsid w:val="00D15F89"/>
    <w:rsid w:val="00D21E94"/>
    <w:rsid w:val="00D24CD0"/>
    <w:rsid w:val="00D30E46"/>
    <w:rsid w:val="00D31351"/>
    <w:rsid w:val="00D313FF"/>
    <w:rsid w:val="00D344B2"/>
    <w:rsid w:val="00D361D9"/>
    <w:rsid w:val="00D414B8"/>
    <w:rsid w:val="00D42595"/>
    <w:rsid w:val="00D42D01"/>
    <w:rsid w:val="00D44FAF"/>
    <w:rsid w:val="00D50457"/>
    <w:rsid w:val="00D50AC8"/>
    <w:rsid w:val="00D51283"/>
    <w:rsid w:val="00D51ED7"/>
    <w:rsid w:val="00D5316B"/>
    <w:rsid w:val="00D53EEF"/>
    <w:rsid w:val="00D6051C"/>
    <w:rsid w:val="00D72E47"/>
    <w:rsid w:val="00D771E9"/>
    <w:rsid w:val="00D904D5"/>
    <w:rsid w:val="00DA0026"/>
    <w:rsid w:val="00DA444C"/>
    <w:rsid w:val="00DA534F"/>
    <w:rsid w:val="00DA5C7F"/>
    <w:rsid w:val="00DA67DE"/>
    <w:rsid w:val="00DB5BD1"/>
    <w:rsid w:val="00DB63D8"/>
    <w:rsid w:val="00DB6AEB"/>
    <w:rsid w:val="00DB7FB6"/>
    <w:rsid w:val="00DC1E1E"/>
    <w:rsid w:val="00DD32BB"/>
    <w:rsid w:val="00DD6300"/>
    <w:rsid w:val="00DD6CE9"/>
    <w:rsid w:val="00DE1E4E"/>
    <w:rsid w:val="00DE4D6C"/>
    <w:rsid w:val="00DE6F35"/>
    <w:rsid w:val="00DE6F71"/>
    <w:rsid w:val="00DF2C67"/>
    <w:rsid w:val="00DF30FF"/>
    <w:rsid w:val="00DF3AE2"/>
    <w:rsid w:val="00DF68F0"/>
    <w:rsid w:val="00DF7D21"/>
    <w:rsid w:val="00E00334"/>
    <w:rsid w:val="00E059C5"/>
    <w:rsid w:val="00E0634E"/>
    <w:rsid w:val="00E06B29"/>
    <w:rsid w:val="00E06C22"/>
    <w:rsid w:val="00E110F7"/>
    <w:rsid w:val="00E170DA"/>
    <w:rsid w:val="00E1721B"/>
    <w:rsid w:val="00E21132"/>
    <w:rsid w:val="00E22384"/>
    <w:rsid w:val="00E225FB"/>
    <w:rsid w:val="00E24017"/>
    <w:rsid w:val="00E24379"/>
    <w:rsid w:val="00E25036"/>
    <w:rsid w:val="00E26BAC"/>
    <w:rsid w:val="00E322DF"/>
    <w:rsid w:val="00E32D1E"/>
    <w:rsid w:val="00E3324A"/>
    <w:rsid w:val="00E333EE"/>
    <w:rsid w:val="00E3480F"/>
    <w:rsid w:val="00E34D11"/>
    <w:rsid w:val="00E362D7"/>
    <w:rsid w:val="00E36368"/>
    <w:rsid w:val="00E36A35"/>
    <w:rsid w:val="00E36ACF"/>
    <w:rsid w:val="00E440BA"/>
    <w:rsid w:val="00E4781B"/>
    <w:rsid w:val="00E51F8B"/>
    <w:rsid w:val="00E5396D"/>
    <w:rsid w:val="00E54D83"/>
    <w:rsid w:val="00E57B3D"/>
    <w:rsid w:val="00E60174"/>
    <w:rsid w:val="00E60351"/>
    <w:rsid w:val="00E6042A"/>
    <w:rsid w:val="00E6537A"/>
    <w:rsid w:val="00E66255"/>
    <w:rsid w:val="00E703F3"/>
    <w:rsid w:val="00E71AE7"/>
    <w:rsid w:val="00E752E6"/>
    <w:rsid w:val="00E761B2"/>
    <w:rsid w:val="00E83086"/>
    <w:rsid w:val="00E8452E"/>
    <w:rsid w:val="00E8480C"/>
    <w:rsid w:val="00E860FA"/>
    <w:rsid w:val="00E91F42"/>
    <w:rsid w:val="00E97060"/>
    <w:rsid w:val="00E97371"/>
    <w:rsid w:val="00EA1544"/>
    <w:rsid w:val="00EA1698"/>
    <w:rsid w:val="00EA1C3C"/>
    <w:rsid w:val="00EA3BCE"/>
    <w:rsid w:val="00EA6088"/>
    <w:rsid w:val="00EB7809"/>
    <w:rsid w:val="00EC1A2C"/>
    <w:rsid w:val="00ED305E"/>
    <w:rsid w:val="00EE0EF1"/>
    <w:rsid w:val="00F03D49"/>
    <w:rsid w:val="00F10E1F"/>
    <w:rsid w:val="00F134A8"/>
    <w:rsid w:val="00F13532"/>
    <w:rsid w:val="00F212EB"/>
    <w:rsid w:val="00F227C2"/>
    <w:rsid w:val="00F23906"/>
    <w:rsid w:val="00F26585"/>
    <w:rsid w:val="00F265C4"/>
    <w:rsid w:val="00F268C0"/>
    <w:rsid w:val="00F465D3"/>
    <w:rsid w:val="00F515FF"/>
    <w:rsid w:val="00F54F9E"/>
    <w:rsid w:val="00F569C9"/>
    <w:rsid w:val="00F56E1D"/>
    <w:rsid w:val="00F56F06"/>
    <w:rsid w:val="00F60166"/>
    <w:rsid w:val="00F61483"/>
    <w:rsid w:val="00F647F7"/>
    <w:rsid w:val="00F64C2A"/>
    <w:rsid w:val="00F67AB0"/>
    <w:rsid w:val="00F73815"/>
    <w:rsid w:val="00F75B2D"/>
    <w:rsid w:val="00F7770D"/>
    <w:rsid w:val="00F80702"/>
    <w:rsid w:val="00F85984"/>
    <w:rsid w:val="00F868C9"/>
    <w:rsid w:val="00F87F71"/>
    <w:rsid w:val="00F93115"/>
    <w:rsid w:val="00F96F81"/>
    <w:rsid w:val="00F97DAD"/>
    <w:rsid w:val="00FA08E6"/>
    <w:rsid w:val="00FA23C4"/>
    <w:rsid w:val="00FA24C8"/>
    <w:rsid w:val="00FA3A7E"/>
    <w:rsid w:val="00FA5792"/>
    <w:rsid w:val="00FA5B5D"/>
    <w:rsid w:val="00FA63DC"/>
    <w:rsid w:val="00FB200D"/>
    <w:rsid w:val="00FB47AB"/>
    <w:rsid w:val="00FE4788"/>
    <w:rsid w:val="00FE538A"/>
    <w:rsid w:val="00FE7EEC"/>
    <w:rsid w:val="00FF0412"/>
    <w:rsid w:val="00FF09E5"/>
    <w:rsid w:val="00FF0B50"/>
    <w:rsid w:val="00FF6A0F"/>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7b6c58,#887e6e,#b0a696"/>
    </o:shapedefaults>
    <o:shapelayout v:ext="edit">
      <o:idmap v:ext="edit" data="1"/>
    </o:shapelayout>
  </w:shapeDefaults>
  <w:decimalSymbol w:val=","/>
  <w:listSeparator w:val=";"/>
  <w14:docId w14:val="0F7F0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qFormat="1"/>
    <w:lsdException w:name="caption" w:locked="0" w:uiPriority="35" w:qFormat="1"/>
    <w:lsdException w:name="footnote reference" w:locked="0" w:qFormat="1"/>
    <w:lsdException w:name="Title" w:semiHidden="0" w:uiPriority="10" w:unhideWhenUsed="0" w:qFormat="1"/>
    <w:lsdException w:name="Default Paragraph Font" w:locked="0" w:uiPriority="1"/>
    <w:lsdException w:name="Subtitle"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ECC Base"/>
    <w:semiHidden/>
    <w:qFormat/>
    <w:rsid w:val="00571A40"/>
    <w:rPr>
      <w:rFonts w:eastAsia="Calibri"/>
      <w:szCs w:val="22"/>
      <w:lang w:val="en-GB"/>
    </w:rPr>
  </w:style>
  <w:style w:type="paragraph" w:styleId="berschrift1">
    <w:name w:val="heading 1"/>
    <w:aliases w:val="ECC Heading 1"/>
    <w:next w:val="Standard"/>
    <w:qFormat/>
    <w:rsid w:val="009F0B56"/>
    <w:pPr>
      <w:keepNext/>
      <w:numPr>
        <w:numId w:val="36"/>
      </w:numPr>
      <w:spacing w:before="600"/>
      <w:jc w:val="left"/>
      <w:outlineLvl w:val="0"/>
    </w:pPr>
    <w:rPr>
      <w:rFonts w:eastAsia="Calibri" w:cs="Arial"/>
      <w:b/>
      <w:bCs/>
      <w:caps/>
      <w:color w:val="D2232A"/>
      <w:kern w:val="32"/>
      <w:szCs w:val="32"/>
    </w:rPr>
  </w:style>
  <w:style w:type="paragraph" w:styleId="berschrift2">
    <w:name w:val="heading 2"/>
    <w:aliases w:val="ECC Heading 2"/>
    <w:next w:val="Standard"/>
    <w:qFormat/>
    <w:rsid w:val="009F0B56"/>
    <w:pPr>
      <w:keepNext/>
      <w:numPr>
        <w:ilvl w:val="1"/>
        <w:numId w:val="36"/>
      </w:numPr>
      <w:spacing w:before="480"/>
      <w:jc w:val="left"/>
      <w:outlineLvl w:val="1"/>
    </w:pPr>
    <w:rPr>
      <w:rFonts w:eastAsia="Calibri" w:cs="Arial"/>
      <w:b/>
      <w:bCs/>
      <w:iCs/>
      <w:caps/>
      <w:szCs w:val="28"/>
    </w:rPr>
  </w:style>
  <w:style w:type="paragraph" w:styleId="berschrift3">
    <w:name w:val="heading 3"/>
    <w:aliases w:val="ECC Heading 3"/>
    <w:next w:val="Standard"/>
    <w:qFormat/>
    <w:rsid w:val="009F0B56"/>
    <w:pPr>
      <w:keepNext/>
      <w:numPr>
        <w:ilvl w:val="2"/>
        <w:numId w:val="36"/>
      </w:numPr>
      <w:spacing w:before="360"/>
      <w:jc w:val="left"/>
      <w:outlineLvl w:val="2"/>
    </w:pPr>
    <w:rPr>
      <w:rFonts w:eastAsia="Calibri" w:cs="Arial"/>
      <w:b/>
      <w:bCs/>
      <w:szCs w:val="26"/>
    </w:rPr>
  </w:style>
  <w:style w:type="paragraph" w:styleId="berschrift4">
    <w:name w:val="heading 4"/>
    <w:aliases w:val="ECC Heading 4"/>
    <w:next w:val="Standard"/>
    <w:qFormat/>
    <w:rsid w:val="009F0B56"/>
    <w:pPr>
      <w:numPr>
        <w:ilvl w:val="3"/>
        <w:numId w:val="36"/>
      </w:numPr>
      <w:spacing w:before="360"/>
      <w:jc w:val="left"/>
      <w:outlineLvl w:val="3"/>
    </w:pPr>
    <w:rPr>
      <w:rFonts w:eastAsia="Calibri" w:cs="Arial"/>
      <w:bCs/>
      <w:i/>
      <w:color w:val="D2232A"/>
      <w:szCs w:val="26"/>
    </w:rPr>
  </w:style>
  <w:style w:type="paragraph" w:styleId="berschrift5">
    <w:name w:val="heading 5"/>
    <w:basedOn w:val="Standard"/>
    <w:next w:val="Standard"/>
    <w:semiHidden/>
    <w:qFormat/>
    <w:locked/>
    <w:rsid w:val="009E47EB"/>
    <w:pPr>
      <w:numPr>
        <w:ilvl w:val="4"/>
        <w:numId w:val="36"/>
      </w:numPr>
      <w:outlineLvl w:val="4"/>
    </w:pPr>
    <w:rPr>
      <w:b/>
      <w:bCs/>
      <w:i/>
      <w:iCs/>
      <w:sz w:val="26"/>
      <w:szCs w:val="26"/>
    </w:rPr>
  </w:style>
  <w:style w:type="paragraph" w:styleId="berschrift6">
    <w:name w:val="heading 6"/>
    <w:basedOn w:val="Standard"/>
    <w:next w:val="Standard"/>
    <w:semiHidden/>
    <w:qFormat/>
    <w:locked/>
    <w:rsid w:val="009E47EB"/>
    <w:pPr>
      <w:numPr>
        <w:ilvl w:val="5"/>
        <w:numId w:val="36"/>
      </w:numPr>
      <w:outlineLvl w:val="5"/>
    </w:pPr>
    <w:rPr>
      <w:b/>
      <w:bCs/>
      <w:sz w:val="22"/>
    </w:rPr>
  </w:style>
  <w:style w:type="paragraph" w:styleId="berschrift7">
    <w:name w:val="heading 7"/>
    <w:basedOn w:val="Standard"/>
    <w:next w:val="Standard"/>
    <w:semiHidden/>
    <w:qFormat/>
    <w:locked/>
    <w:rsid w:val="009E47EB"/>
    <w:pPr>
      <w:numPr>
        <w:ilvl w:val="6"/>
        <w:numId w:val="36"/>
      </w:numPr>
      <w:outlineLvl w:val="6"/>
    </w:pPr>
    <w:rPr>
      <w:sz w:val="24"/>
    </w:rPr>
  </w:style>
  <w:style w:type="paragraph" w:styleId="berschrift8">
    <w:name w:val="heading 8"/>
    <w:basedOn w:val="Standard"/>
    <w:next w:val="Standard"/>
    <w:semiHidden/>
    <w:qFormat/>
    <w:locked/>
    <w:rsid w:val="009E47EB"/>
    <w:pPr>
      <w:numPr>
        <w:ilvl w:val="7"/>
        <w:numId w:val="36"/>
      </w:numPr>
      <w:outlineLvl w:val="7"/>
    </w:pPr>
    <w:rPr>
      <w:i/>
      <w:iCs/>
      <w:sz w:val="24"/>
    </w:rPr>
  </w:style>
  <w:style w:type="paragraph" w:styleId="berschrift9">
    <w:name w:val="heading 9"/>
    <w:basedOn w:val="Standard"/>
    <w:next w:val="Standard"/>
    <w:semiHidden/>
    <w:qFormat/>
    <w:locked/>
    <w:rsid w:val="009E47EB"/>
    <w:pPr>
      <w:numPr>
        <w:ilvl w:val="8"/>
        <w:numId w:val="36"/>
      </w:numPr>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Standard"/>
    <w:qFormat/>
    <w:rsid w:val="009F0B56"/>
    <w:pPr>
      <w:numPr>
        <w:numId w:val="28"/>
      </w:numPr>
      <w:tabs>
        <w:tab w:val="left" w:pos="340"/>
      </w:tabs>
      <w:spacing w:before="60" w:after="0"/>
    </w:pPr>
  </w:style>
  <w:style w:type="paragraph" w:customStyle="1" w:styleId="ECCHeadingnonumbering">
    <w:name w:val="ECC Heading no numbering"/>
    <w:basedOn w:val="berschrift1"/>
    <w:rsid w:val="009F0B56"/>
    <w:pPr>
      <w:numPr>
        <w:numId w:val="0"/>
      </w:numPr>
      <w:tabs>
        <w:tab w:val="left" w:pos="0"/>
        <w:tab w:val="center" w:pos="4820"/>
        <w:tab w:val="right" w:pos="9639"/>
      </w:tabs>
    </w:pPr>
  </w:style>
  <w:style w:type="paragraph" w:styleId="Sprechblasentext">
    <w:name w:val="Balloon Text"/>
    <w:basedOn w:val="Standard"/>
    <w:link w:val="SprechblasentextZchn"/>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Standard"/>
    <w:rsid w:val="009F0B56"/>
    <w:pPr>
      <w:keepNext/>
      <w:pageBreakBefore/>
      <w:numPr>
        <w:numId w:val="25"/>
      </w:numPr>
      <w:jc w:val="left"/>
    </w:pPr>
    <w:rPr>
      <w:rFonts w:eastAsia="Calibri"/>
      <w:b/>
      <w:caps/>
      <w:color w:val="D2232A"/>
    </w:rPr>
  </w:style>
  <w:style w:type="paragraph" w:styleId="Verzeichnis1">
    <w:name w:val="toc 1"/>
    <w:aliases w:val="ECC Index 1"/>
    <w:basedOn w:val="Standard"/>
    <w:link w:val="Verzeichnis1Zchn"/>
    <w:uiPriority w:val="39"/>
    <w:semiHidden/>
    <w:qFormat/>
    <w:locked/>
    <w:rsid w:val="009F0B56"/>
    <w:pPr>
      <w:tabs>
        <w:tab w:val="left" w:pos="425"/>
        <w:tab w:val="right" w:leader="dot" w:pos="9639"/>
      </w:tabs>
      <w:spacing w:after="0"/>
      <w:ind w:left="425" w:hanging="425"/>
    </w:pPr>
    <w:rPr>
      <w:b/>
      <w:noProof/>
      <w:szCs w:val="20"/>
      <w:lang w:val="da-DK"/>
    </w:rPr>
  </w:style>
  <w:style w:type="paragraph" w:styleId="Funotentext">
    <w:name w:val="footnote text"/>
    <w:aliases w:val="ECC Footnote,DNV-FT,ALTS FOOTNOTE,Footnote Text Char1,Footnote Text Char Char1,Footnote Text Char4 Char Char,Footnote Text Char1 Char1 Char1 Char,Footnote Text Char Char1 Char1 Char Char"/>
    <w:basedOn w:val="Standard"/>
    <w:link w:val="FunotentextZchn"/>
    <w:uiPriority w:val="99"/>
    <w:qFormat/>
    <w:rsid w:val="009F0B56"/>
    <w:pPr>
      <w:widowControl w:val="0"/>
      <w:tabs>
        <w:tab w:val="left" w:pos="284"/>
      </w:tabs>
      <w:spacing w:after="0"/>
      <w:ind w:left="284" w:hanging="284"/>
    </w:pPr>
    <w:rPr>
      <w:sz w:val="16"/>
      <w:szCs w:val="16"/>
      <w:lang w:val="da-DK"/>
      <w14:cntxtAlts/>
    </w:rPr>
  </w:style>
  <w:style w:type="paragraph" w:styleId="Verzeichnis2">
    <w:name w:val="toc 2"/>
    <w:aliases w:val="ECC Index 2"/>
    <w:basedOn w:val="Standard"/>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Verzeichnis3">
    <w:name w:val="toc 3"/>
    <w:aliases w:val="ECC Index 3"/>
    <w:basedOn w:val="Standard"/>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Verzeichnis4">
    <w:name w:val="toc 4"/>
    <w:aliases w:val="ECC Index 4"/>
    <w:basedOn w:val="Standard"/>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Absatz-Standardschriftart"/>
    <w:uiPriority w:val="1"/>
    <w:qFormat/>
    <w:rsid w:val="009F0B56"/>
    <w:rPr>
      <w:bdr w:val="none" w:sz="0" w:space="0" w:color="auto"/>
      <w:shd w:val="solid" w:color="92D050" w:fill="auto"/>
      <w:lang w:val="en-GB"/>
    </w:rPr>
  </w:style>
  <w:style w:type="character" w:customStyle="1" w:styleId="FunotentextZchn">
    <w:name w:val="Fußnotentext Zchn"/>
    <w:aliases w:val="ECC Footnote Zchn,DNV-FT Zchn,ALTS FOOTNOTE Zchn,Footnote Text Char1 Zchn,Footnote Text Char Char1 Zchn,Footnote Text Char4 Char Char Zchn,Footnote Text Char1 Char1 Char1 Char Zchn,Footnote Text Char Char1 Char1 Char Char Zchn"/>
    <w:basedOn w:val="Absatz-Standardschriftart"/>
    <w:link w:val="Funotentext"/>
    <w:rsid w:val="009F0B56"/>
    <w:rPr>
      <w:rFonts w:eastAsia="Calibri"/>
      <w:sz w:val="16"/>
      <w:szCs w:val="16"/>
      <w14:cntxtAlts/>
    </w:rPr>
  </w:style>
  <w:style w:type="character" w:styleId="Funotenzeichen">
    <w:name w:val="footnote reference"/>
    <w:aliases w:val="ECC Footnote number,Footnote Reference/,Appel note de bas de p,Footnote symbol,Style 12,(NECG) Footnote Reference,Style 124,o,fr,Style 13,FR,Style 17,Appel note de bas de p + 11 pt,Italic,Appel note de bas de p1,Ref"/>
    <w:basedOn w:val="Absatz-Standardschriftart"/>
    <w:uiPriority w:val="99"/>
    <w:qForma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Standard"/>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Standard"/>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Standard"/>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Standard"/>
    <w:rsid w:val="009F0B56"/>
    <w:pPr>
      <w:numPr>
        <w:numId w:val="32"/>
      </w:numPr>
      <w:spacing w:after="0"/>
    </w:pPr>
    <w:rPr>
      <w:szCs w:val="20"/>
    </w:rPr>
  </w:style>
  <w:style w:type="paragraph" w:customStyle="1" w:styleId="ECCReference">
    <w:name w:val="ECC Reference"/>
    <w:basedOn w:val="Standard"/>
    <w:rsid w:val="009F0B56"/>
    <w:pPr>
      <w:numPr>
        <w:numId w:val="33"/>
      </w:numPr>
      <w:spacing w:before="0" w:after="0"/>
    </w:pPr>
    <w:rPr>
      <w:lang w:eastAsia="ja-JP"/>
    </w:rPr>
  </w:style>
  <w:style w:type="character" w:customStyle="1" w:styleId="SprechblasentextZchn">
    <w:name w:val="Sprechblasentext Zchn"/>
    <w:basedOn w:val="Absatz-Standardschriftart"/>
    <w:link w:val="Sprechblase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Standard"/>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Standard"/>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Standard"/>
    <w:link w:val="ECCLetterHeadZchn"/>
    <w:qFormat/>
    <w:rsid w:val="009F0B56"/>
    <w:pPr>
      <w:tabs>
        <w:tab w:val="right" w:pos="4750"/>
      </w:tabs>
      <w:spacing w:before="60"/>
    </w:pPr>
    <w:rPr>
      <w:b/>
      <w:sz w:val="22"/>
      <w:szCs w:val="20"/>
    </w:rPr>
  </w:style>
  <w:style w:type="character" w:customStyle="1" w:styleId="ECCHLyellow">
    <w:name w:val="ECC HL yellow"/>
    <w:basedOn w:val="Absatz-Standardschriftar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Absatz-Standardschriftart"/>
    <w:uiPriority w:val="1"/>
    <w:qFormat/>
    <w:rsid w:val="009F0B56"/>
    <w:rPr>
      <w:b/>
      <w:bCs/>
    </w:rPr>
  </w:style>
  <w:style w:type="paragraph" w:customStyle="1" w:styleId="ECCTabletext">
    <w:name w:val="ECC Table text"/>
    <w:basedOn w:val="Standard"/>
    <w:qFormat/>
    <w:rsid w:val="009F0B56"/>
    <w:pPr>
      <w:spacing w:before="0"/>
    </w:pPr>
  </w:style>
  <w:style w:type="paragraph" w:styleId="Unterschrift">
    <w:name w:val="Signature"/>
    <w:basedOn w:val="Standard"/>
    <w:link w:val="UnterschriftZchn"/>
    <w:uiPriority w:val="99"/>
    <w:semiHidden/>
    <w:unhideWhenUsed/>
    <w:locked/>
    <w:rsid w:val="007D52EC"/>
    <w:pPr>
      <w:spacing w:before="0" w:after="0"/>
      <w:ind w:left="4252"/>
    </w:pPr>
  </w:style>
  <w:style w:type="character" w:customStyle="1" w:styleId="UnterschriftZchn">
    <w:name w:val="Unterschrift Zchn"/>
    <w:basedOn w:val="Absatz-Standardschriftart"/>
    <w:link w:val="Unterschrift"/>
    <w:uiPriority w:val="99"/>
    <w:semiHidden/>
    <w:rsid w:val="007D52EC"/>
  </w:style>
  <w:style w:type="character" w:styleId="Hervorhebung">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Verzeichnis1Zchn">
    <w:name w:val="Verzeichnis 1 Zchn"/>
    <w:aliases w:val="ECC Index 1 Zchn"/>
    <w:basedOn w:val="Absatz-Standardschriftart"/>
    <w:link w:val="Verzeichnis1"/>
    <w:uiPriority w:val="39"/>
    <w:semiHidden/>
    <w:rsid w:val="000E4820"/>
    <w:rPr>
      <w:rFonts w:eastAsia="Calibri"/>
      <w:b/>
      <w:noProof/>
    </w:rPr>
  </w:style>
  <w:style w:type="character" w:customStyle="1" w:styleId="ECCHLcyan">
    <w:name w:val="ECC HL cyan"/>
    <w:basedOn w:val="Absatz-Standardschriftart"/>
    <w:uiPriority w:val="1"/>
    <w:qFormat/>
    <w:rsid w:val="009F0B56"/>
    <w:rPr>
      <w:iCs w:val="0"/>
      <w:bdr w:val="none" w:sz="0" w:space="0" w:color="auto"/>
      <w:shd w:val="solid" w:color="00FFFF" w:fill="auto"/>
      <w:lang w:val="en-GB"/>
    </w:rPr>
  </w:style>
  <w:style w:type="character" w:customStyle="1" w:styleId="ECCHLorange">
    <w:name w:val="ECC HL orange"/>
    <w:basedOn w:val="Absatz-Standardschriftart"/>
    <w:uiPriority w:val="1"/>
    <w:qFormat/>
    <w:rsid w:val="009F0B56"/>
    <w:rPr>
      <w:bdr w:val="none" w:sz="0" w:space="0" w:color="auto"/>
      <w:shd w:val="solid" w:color="FFC000" w:fill="auto"/>
    </w:rPr>
  </w:style>
  <w:style w:type="character" w:customStyle="1" w:styleId="ECCHLblue">
    <w:name w:val="ECC HL blue"/>
    <w:basedOn w:val="Absatz-Standardschriftar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Absatz-Standardschriftar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Absatz-Standardschriftar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Absatz-Standardschriftart"/>
    <w:link w:val="ECCLetterHead"/>
    <w:rsid w:val="009F0B56"/>
    <w:rPr>
      <w:rFonts w:eastAsia="Calibri"/>
      <w:b/>
      <w:sz w:val="22"/>
      <w:lang w:val="en-GB"/>
    </w:rPr>
  </w:style>
  <w:style w:type="character" w:customStyle="1" w:styleId="ECCHLmagenta">
    <w:name w:val="ECC HL magenta"/>
    <w:basedOn w:val="Absatz-Standardschriftart"/>
    <w:uiPriority w:val="1"/>
    <w:qFormat/>
    <w:rsid w:val="009F0B56"/>
    <w:rPr>
      <w:color w:val="auto"/>
      <w:bdr w:val="none" w:sz="0" w:space="0" w:color="auto"/>
      <w:shd w:val="solid" w:color="FF3399" w:fill="auto"/>
      <w:lang w:val="en-GB"/>
    </w:rPr>
  </w:style>
  <w:style w:type="character" w:customStyle="1" w:styleId="ECCHLbrown">
    <w:name w:val="ECC HL brown"/>
    <w:basedOn w:val="Absatz-Standardschriftart"/>
    <w:uiPriority w:val="1"/>
    <w:qFormat/>
    <w:rsid w:val="009F0B56"/>
    <w:rPr>
      <w:color w:val="D9D9D9" w:themeColor="background1" w:themeShade="D9"/>
      <w:bdr w:val="none" w:sz="0" w:space="0" w:color="auto"/>
      <w:shd w:val="solid" w:color="B95807" w:fill="auto"/>
    </w:rPr>
  </w:style>
  <w:style w:type="paragraph" w:customStyle="1" w:styleId="ECCBreak">
    <w:name w:val="ECC Break"/>
    <w:next w:val="Standard"/>
    <w:link w:val="ECCBreakZchn"/>
    <w:rsid w:val="009F0B56"/>
    <w:pPr>
      <w:spacing w:before="360"/>
      <w:jc w:val="left"/>
    </w:pPr>
    <w:rPr>
      <w:b/>
      <w:bCs/>
      <w:iCs/>
      <w:szCs w:val="28"/>
    </w:rPr>
  </w:style>
  <w:style w:type="character" w:customStyle="1" w:styleId="ECCBreakZchn">
    <w:name w:val="ECC Break Zchn"/>
    <w:basedOn w:val="Absatz-Standardschriftart"/>
    <w:link w:val="ECCBreak"/>
    <w:rsid w:val="009F0B56"/>
    <w:rPr>
      <w:b/>
      <w:bCs/>
      <w:iCs/>
      <w:szCs w:val="28"/>
    </w:rPr>
  </w:style>
  <w:style w:type="character" w:styleId="Hyperlink">
    <w:name w:val="Hyperlink"/>
    <w:aliases w:val="ECC Hyperlink"/>
    <w:basedOn w:val="Absatz-Standardschriftart"/>
    <w:uiPriority w:val="99"/>
    <w:rsid w:val="009F0B56"/>
    <w:rPr>
      <w:color w:val="0000FF" w:themeColor="hyperlink"/>
      <w:u w:val="single"/>
    </w:rPr>
  </w:style>
  <w:style w:type="paragraph" w:styleId="Beschriftung">
    <w:name w:val="caption"/>
    <w:aliases w:val="ECC Caption"/>
    <w:next w:val="Standard"/>
    <w:uiPriority w:val="35"/>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tzhaltertext">
    <w:name w:val="Placeholder Text"/>
    <w:basedOn w:val="Absatz-Standardschriftar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qFormat/>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ellenraster">
    <w:name w:val="Table Grid"/>
    <w:basedOn w:val="NormaleTabelle"/>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Absatz-Standardschriftar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Standard"/>
    <w:rsid w:val="009F0B56"/>
    <w:pPr>
      <w:spacing w:after="240"/>
      <w:jc w:val="center"/>
    </w:pPr>
    <w:rPr>
      <w:rFonts w:eastAsia="Calibri"/>
      <w:noProof/>
      <w:lang w:val="de-DE" w:eastAsia="de-DE"/>
      <w14:cntxtAlts/>
    </w:rPr>
  </w:style>
  <w:style w:type="character" w:styleId="SchwacheHervorhebung">
    <w:name w:val="Subtle Emphasis"/>
    <w:basedOn w:val="Absatz-Standardschriftart"/>
    <w:uiPriority w:val="19"/>
    <w:qFormat/>
    <w:rsid w:val="00B61A5D"/>
    <w:rPr>
      <w:i/>
      <w:iCs/>
      <w:color w:val="404040" w:themeColor="text1" w:themeTint="BF"/>
    </w:rPr>
  </w:style>
  <w:style w:type="paragraph" w:styleId="Fuzeile">
    <w:name w:val="footer"/>
    <w:basedOn w:val="Standard"/>
    <w:link w:val="FuzeileZchn"/>
    <w:uiPriority w:val="99"/>
    <w:semiHidden/>
    <w:unhideWhenUsed/>
    <w:locked/>
    <w:rsid w:val="00B619D4"/>
    <w:pPr>
      <w:tabs>
        <w:tab w:val="center" w:pos="4819"/>
        <w:tab w:val="right" w:pos="9638"/>
      </w:tabs>
      <w:spacing w:before="0" w:after="0"/>
    </w:pPr>
  </w:style>
  <w:style w:type="character" w:customStyle="1" w:styleId="FuzeileZchn">
    <w:name w:val="Fußzeile Zchn"/>
    <w:basedOn w:val="Absatz-Standardschriftart"/>
    <w:link w:val="Fuzeile"/>
    <w:uiPriority w:val="99"/>
    <w:semiHidden/>
    <w:rsid w:val="00B619D4"/>
    <w:rPr>
      <w:rFonts w:eastAsia="Calibri"/>
      <w:szCs w:val="22"/>
      <w:lang w:val="en-GB"/>
    </w:rPr>
  </w:style>
  <w:style w:type="paragraph" w:styleId="Listenabsatz">
    <w:name w:val="List Paragraph"/>
    <w:basedOn w:val="Standard"/>
    <w:uiPriority w:val="34"/>
    <w:qFormat/>
    <w:locked/>
    <w:rsid w:val="00E57B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qFormat="1"/>
    <w:lsdException w:name="caption" w:locked="0" w:uiPriority="35" w:qFormat="1"/>
    <w:lsdException w:name="footnote reference" w:locked="0" w:qFormat="1"/>
    <w:lsdException w:name="Title" w:semiHidden="0" w:uiPriority="10" w:unhideWhenUsed="0" w:qFormat="1"/>
    <w:lsdException w:name="Default Paragraph Font" w:locked="0" w:uiPriority="1"/>
    <w:lsdException w:name="Subtitle"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ECC Base"/>
    <w:semiHidden/>
    <w:qFormat/>
    <w:rsid w:val="00571A40"/>
    <w:rPr>
      <w:rFonts w:eastAsia="Calibri"/>
      <w:szCs w:val="22"/>
      <w:lang w:val="en-GB"/>
    </w:rPr>
  </w:style>
  <w:style w:type="paragraph" w:styleId="berschrift1">
    <w:name w:val="heading 1"/>
    <w:aliases w:val="ECC Heading 1"/>
    <w:next w:val="Standard"/>
    <w:qFormat/>
    <w:rsid w:val="009F0B56"/>
    <w:pPr>
      <w:keepNext/>
      <w:numPr>
        <w:numId w:val="36"/>
      </w:numPr>
      <w:spacing w:before="600"/>
      <w:jc w:val="left"/>
      <w:outlineLvl w:val="0"/>
    </w:pPr>
    <w:rPr>
      <w:rFonts w:eastAsia="Calibri" w:cs="Arial"/>
      <w:b/>
      <w:bCs/>
      <w:caps/>
      <w:color w:val="D2232A"/>
      <w:kern w:val="32"/>
      <w:szCs w:val="32"/>
    </w:rPr>
  </w:style>
  <w:style w:type="paragraph" w:styleId="berschrift2">
    <w:name w:val="heading 2"/>
    <w:aliases w:val="ECC Heading 2"/>
    <w:next w:val="Standard"/>
    <w:qFormat/>
    <w:rsid w:val="009F0B56"/>
    <w:pPr>
      <w:keepNext/>
      <w:numPr>
        <w:ilvl w:val="1"/>
        <w:numId w:val="36"/>
      </w:numPr>
      <w:spacing w:before="480"/>
      <w:jc w:val="left"/>
      <w:outlineLvl w:val="1"/>
    </w:pPr>
    <w:rPr>
      <w:rFonts w:eastAsia="Calibri" w:cs="Arial"/>
      <w:b/>
      <w:bCs/>
      <w:iCs/>
      <w:caps/>
      <w:szCs w:val="28"/>
    </w:rPr>
  </w:style>
  <w:style w:type="paragraph" w:styleId="berschrift3">
    <w:name w:val="heading 3"/>
    <w:aliases w:val="ECC Heading 3"/>
    <w:next w:val="Standard"/>
    <w:qFormat/>
    <w:rsid w:val="009F0B56"/>
    <w:pPr>
      <w:keepNext/>
      <w:numPr>
        <w:ilvl w:val="2"/>
        <w:numId w:val="36"/>
      </w:numPr>
      <w:spacing w:before="360"/>
      <w:jc w:val="left"/>
      <w:outlineLvl w:val="2"/>
    </w:pPr>
    <w:rPr>
      <w:rFonts w:eastAsia="Calibri" w:cs="Arial"/>
      <w:b/>
      <w:bCs/>
      <w:szCs w:val="26"/>
    </w:rPr>
  </w:style>
  <w:style w:type="paragraph" w:styleId="berschrift4">
    <w:name w:val="heading 4"/>
    <w:aliases w:val="ECC Heading 4"/>
    <w:next w:val="Standard"/>
    <w:qFormat/>
    <w:rsid w:val="009F0B56"/>
    <w:pPr>
      <w:numPr>
        <w:ilvl w:val="3"/>
        <w:numId w:val="36"/>
      </w:numPr>
      <w:spacing w:before="360"/>
      <w:jc w:val="left"/>
      <w:outlineLvl w:val="3"/>
    </w:pPr>
    <w:rPr>
      <w:rFonts w:eastAsia="Calibri" w:cs="Arial"/>
      <w:bCs/>
      <w:i/>
      <w:color w:val="D2232A"/>
      <w:szCs w:val="26"/>
    </w:rPr>
  </w:style>
  <w:style w:type="paragraph" w:styleId="berschrift5">
    <w:name w:val="heading 5"/>
    <w:basedOn w:val="Standard"/>
    <w:next w:val="Standard"/>
    <w:semiHidden/>
    <w:qFormat/>
    <w:locked/>
    <w:rsid w:val="009E47EB"/>
    <w:pPr>
      <w:numPr>
        <w:ilvl w:val="4"/>
        <w:numId w:val="36"/>
      </w:numPr>
      <w:outlineLvl w:val="4"/>
    </w:pPr>
    <w:rPr>
      <w:b/>
      <w:bCs/>
      <w:i/>
      <w:iCs/>
      <w:sz w:val="26"/>
      <w:szCs w:val="26"/>
    </w:rPr>
  </w:style>
  <w:style w:type="paragraph" w:styleId="berschrift6">
    <w:name w:val="heading 6"/>
    <w:basedOn w:val="Standard"/>
    <w:next w:val="Standard"/>
    <w:semiHidden/>
    <w:qFormat/>
    <w:locked/>
    <w:rsid w:val="009E47EB"/>
    <w:pPr>
      <w:numPr>
        <w:ilvl w:val="5"/>
        <w:numId w:val="36"/>
      </w:numPr>
      <w:outlineLvl w:val="5"/>
    </w:pPr>
    <w:rPr>
      <w:b/>
      <w:bCs/>
      <w:sz w:val="22"/>
    </w:rPr>
  </w:style>
  <w:style w:type="paragraph" w:styleId="berschrift7">
    <w:name w:val="heading 7"/>
    <w:basedOn w:val="Standard"/>
    <w:next w:val="Standard"/>
    <w:semiHidden/>
    <w:qFormat/>
    <w:locked/>
    <w:rsid w:val="009E47EB"/>
    <w:pPr>
      <w:numPr>
        <w:ilvl w:val="6"/>
        <w:numId w:val="36"/>
      </w:numPr>
      <w:outlineLvl w:val="6"/>
    </w:pPr>
    <w:rPr>
      <w:sz w:val="24"/>
    </w:rPr>
  </w:style>
  <w:style w:type="paragraph" w:styleId="berschrift8">
    <w:name w:val="heading 8"/>
    <w:basedOn w:val="Standard"/>
    <w:next w:val="Standard"/>
    <w:semiHidden/>
    <w:qFormat/>
    <w:locked/>
    <w:rsid w:val="009E47EB"/>
    <w:pPr>
      <w:numPr>
        <w:ilvl w:val="7"/>
        <w:numId w:val="36"/>
      </w:numPr>
      <w:outlineLvl w:val="7"/>
    </w:pPr>
    <w:rPr>
      <w:i/>
      <w:iCs/>
      <w:sz w:val="24"/>
    </w:rPr>
  </w:style>
  <w:style w:type="paragraph" w:styleId="berschrift9">
    <w:name w:val="heading 9"/>
    <w:basedOn w:val="Standard"/>
    <w:next w:val="Standard"/>
    <w:semiHidden/>
    <w:qFormat/>
    <w:locked/>
    <w:rsid w:val="009E47EB"/>
    <w:pPr>
      <w:numPr>
        <w:ilvl w:val="8"/>
        <w:numId w:val="36"/>
      </w:numPr>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Standard"/>
    <w:qFormat/>
    <w:rsid w:val="009F0B56"/>
    <w:pPr>
      <w:numPr>
        <w:numId w:val="28"/>
      </w:numPr>
      <w:tabs>
        <w:tab w:val="left" w:pos="340"/>
      </w:tabs>
      <w:spacing w:before="60" w:after="0"/>
    </w:pPr>
  </w:style>
  <w:style w:type="paragraph" w:customStyle="1" w:styleId="ECCHeadingnonumbering">
    <w:name w:val="ECC Heading no numbering"/>
    <w:basedOn w:val="berschrift1"/>
    <w:rsid w:val="009F0B56"/>
    <w:pPr>
      <w:numPr>
        <w:numId w:val="0"/>
      </w:numPr>
      <w:tabs>
        <w:tab w:val="left" w:pos="0"/>
        <w:tab w:val="center" w:pos="4820"/>
        <w:tab w:val="right" w:pos="9639"/>
      </w:tabs>
    </w:pPr>
  </w:style>
  <w:style w:type="paragraph" w:styleId="Sprechblasentext">
    <w:name w:val="Balloon Text"/>
    <w:basedOn w:val="Standard"/>
    <w:link w:val="SprechblasentextZchn"/>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Standard"/>
    <w:rsid w:val="009F0B56"/>
    <w:pPr>
      <w:keepNext/>
      <w:pageBreakBefore/>
      <w:numPr>
        <w:numId w:val="25"/>
      </w:numPr>
      <w:jc w:val="left"/>
    </w:pPr>
    <w:rPr>
      <w:rFonts w:eastAsia="Calibri"/>
      <w:b/>
      <w:caps/>
      <w:color w:val="D2232A"/>
    </w:rPr>
  </w:style>
  <w:style w:type="paragraph" w:styleId="Verzeichnis1">
    <w:name w:val="toc 1"/>
    <w:aliases w:val="ECC Index 1"/>
    <w:basedOn w:val="Standard"/>
    <w:link w:val="Verzeichnis1Zchn"/>
    <w:uiPriority w:val="39"/>
    <w:semiHidden/>
    <w:qFormat/>
    <w:locked/>
    <w:rsid w:val="009F0B56"/>
    <w:pPr>
      <w:tabs>
        <w:tab w:val="left" w:pos="425"/>
        <w:tab w:val="right" w:leader="dot" w:pos="9639"/>
      </w:tabs>
      <w:spacing w:after="0"/>
      <w:ind w:left="425" w:hanging="425"/>
    </w:pPr>
    <w:rPr>
      <w:b/>
      <w:noProof/>
      <w:szCs w:val="20"/>
      <w:lang w:val="da-DK"/>
    </w:rPr>
  </w:style>
  <w:style w:type="paragraph" w:styleId="Funotentext">
    <w:name w:val="footnote text"/>
    <w:aliases w:val="ECC Footnote,DNV-FT,ALTS FOOTNOTE,Footnote Text Char1,Footnote Text Char Char1,Footnote Text Char4 Char Char,Footnote Text Char1 Char1 Char1 Char,Footnote Text Char Char1 Char1 Char Char"/>
    <w:basedOn w:val="Standard"/>
    <w:link w:val="FunotentextZchn"/>
    <w:uiPriority w:val="99"/>
    <w:qFormat/>
    <w:rsid w:val="009F0B56"/>
    <w:pPr>
      <w:widowControl w:val="0"/>
      <w:tabs>
        <w:tab w:val="left" w:pos="284"/>
      </w:tabs>
      <w:spacing w:after="0"/>
      <w:ind w:left="284" w:hanging="284"/>
    </w:pPr>
    <w:rPr>
      <w:sz w:val="16"/>
      <w:szCs w:val="16"/>
      <w:lang w:val="da-DK"/>
      <w14:cntxtAlts/>
    </w:rPr>
  </w:style>
  <w:style w:type="paragraph" w:styleId="Verzeichnis2">
    <w:name w:val="toc 2"/>
    <w:aliases w:val="ECC Index 2"/>
    <w:basedOn w:val="Standard"/>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Verzeichnis3">
    <w:name w:val="toc 3"/>
    <w:aliases w:val="ECC Index 3"/>
    <w:basedOn w:val="Standard"/>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Verzeichnis4">
    <w:name w:val="toc 4"/>
    <w:aliases w:val="ECC Index 4"/>
    <w:basedOn w:val="Standard"/>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Absatz-Standardschriftart"/>
    <w:uiPriority w:val="1"/>
    <w:qFormat/>
    <w:rsid w:val="009F0B56"/>
    <w:rPr>
      <w:bdr w:val="none" w:sz="0" w:space="0" w:color="auto"/>
      <w:shd w:val="solid" w:color="92D050" w:fill="auto"/>
      <w:lang w:val="en-GB"/>
    </w:rPr>
  </w:style>
  <w:style w:type="character" w:customStyle="1" w:styleId="FunotentextZchn">
    <w:name w:val="Fußnotentext Zchn"/>
    <w:aliases w:val="ECC Footnote Zchn,DNV-FT Zchn,ALTS FOOTNOTE Zchn,Footnote Text Char1 Zchn,Footnote Text Char Char1 Zchn,Footnote Text Char4 Char Char Zchn,Footnote Text Char1 Char1 Char1 Char Zchn,Footnote Text Char Char1 Char1 Char Char Zchn"/>
    <w:basedOn w:val="Absatz-Standardschriftart"/>
    <w:link w:val="Funotentext"/>
    <w:rsid w:val="009F0B56"/>
    <w:rPr>
      <w:rFonts w:eastAsia="Calibri"/>
      <w:sz w:val="16"/>
      <w:szCs w:val="16"/>
      <w14:cntxtAlts/>
    </w:rPr>
  </w:style>
  <w:style w:type="character" w:styleId="Funotenzeichen">
    <w:name w:val="footnote reference"/>
    <w:aliases w:val="ECC Footnote number,Footnote Reference/,Appel note de bas de p,Footnote symbol,Style 12,(NECG) Footnote Reference,Style 124,o,fr,Style 13,FR,Style 17,Appel note de bas de p + 11 pt,Italic,Appel note de bas de p1,Ref"/>
    <w:basedOn w:val="Absatz-Standardschriftart"/>
    <w:uiPriority w:val="99"/>
    <w:qForma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Standard"/>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Standard"/>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Standard"/>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Standard"/>
    <w:rsid w:val="009F0B56"/>
    <w:pPr>
      <w:numPr>
        <w:numId w:val="32"/>
      </w:numPr>
      <w:spacing w:after="0"/>
    </w:pPr>
    <w:rPr>
      <w:szCs w:val="20"/>
    </w:rPr>
  </w:style>
  <w:style w:type="paragraph" w:customStyle="1" w:styleId="ECCReference">
    <w:name w:val="ECC Reference"/>
    <w:basedOn w:val="Standard"/>
    <w:rsid w:val="009F0B56"/>
    <w:pPr>
      <w:numPr>
        <w:numId w:val="33"/>
      </w:numPr>
      <w:spacing w:before="0" w:after="0"/>
    </w:pPr>
    <w:rPr>
      <w:lang w:eastAsia="ja-JP"/>
    </w:rPr>
  </w:style>
  <w:style w:type="character" w:customStyle="1" w:styleId="SprechblasentextZchn">
    <w:name w:val="Sprechblasentext Zchn"/>
    <w:basedOn w:val="Absatz-Standardschriftart"/>
    <w:link w:val="Sprechblase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Standard"/>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Standard"/>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Standard"/>
    <w:link w:val="ECCLetterHeadZchn"/>
    <w:qFormat/>
    <w:rsid w:val="009F0B56"/>
    <w:pPr>
      <w:tabs>
        <w:tab w:val="right" w:pos="4750"/>
      </w:tabs>
      <w:spacing w:before="60"/>
    </w:pPr>
    <w:rPr>
      <w:b/>
      <w:sz w:val="22"/>
      <w:szCs w:val="20"/>
    </w:rPr>
  </w:style>
  <w:style w:type="character" w:customStyle="1" w:styleId="ECCHLyellow">
    <w:name w:val="ECC HL yellow"/>
    <w:basedOn w:val="Absatz-Standardschriftar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Absatz-Standardschriftart"/>
    <w:uiPriority w:val="1"/>
    <w:qFormat/>
    <w:rsid w:val="009F0B56"/>
    <w:rPr>
      <w:b/>
      <w:bCs/>
    </w:rPr>
  </w:style>
  <w:style w:type="paragraph" w:customStyle="1" w:styleId="ECCTabletext">
    <w:name w:val="ECC Table text"/>
    <w:basedOn w:val="Standard"/>
    <w:qFormat/>
    <w:rsid w:val="009F0B56"/>
    <w:pPr>
      <w:spacing w:before="0"/>
    </w:pPr>
  </w:style>
  <w:style w:type="paragraph" w:styleId="Unterschrift">
    <w:name w:val="Signature"/>
    <w:basedOn w:val="Standard"/>
    <w:link w:val="UnterschriftZchn"/>
    <w:uiPriority w:val="99"/>
    <w:semiHidden/>
    <w:unhideWhenUsed/>
    <w:locked/>
    <w:rsid w:val="007D52EC"/>
    <w:pPr>
      <w:spacing w:before="0" w:after="0"/>
      <w:ind w:left="4252"/>
    </w:pPr>
  </w:style>
  <w:style w:type="character" w:customStyle="1" w:styleId="UnterschriftZchn">
    <w:name w:val="Unterschrift Zchn"/>
    <w:basedOn w:val="Absatz-Standardschriftart"/>
    <w:link w:val="Unterschrift"/>
    <w:uiPriority w:val="99"/>
    <w:semiHidden/>
    <w:rsid w:val="007D52EC"/>
  </w:style>
  <w:style w:type="character" w:styleId="Hervorhebung">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Verzeichnis1Zchn">
    <w:name w:val="Verzeichnis 1 Zchn"/>
    <w:aliases w:val="ECC Index 1 Zchn"/>
    <w:basedOn w:val="Absatz-Standardschriftart"/>
    <w:link w:val="Verzeichnis1"/>
    <w:uiPriority w:val="39"/>
    <w:semiHidden/>
    <w:rsid w:val="000E4820"/>
    <w:rPr>
      <w:rFonts w:eastAsia="Calibri"/>
      <w:b/>
      <w:noProof/>
    </w:rPr>
  </w:style>
  <w:style w:type="character" w:customStyle="1" w:styleId="ECCHLcyan">
    <w:name w:val="ECC HL cyan"/>
    <w:basedOn w:val="Absatz-Standardschriftart"/>
    <w:uiPriority w:val="1"/>
    <w:qFormat/>
    <w:rsid w:val="009F0B56"/>
    <w:rPr>
      <w:iCs w:val="0"/>
      <w:bdr w:val="none" w:sz="0" w:space="0" w:color="auto"/>
      <w:shd w:val="solid" w:color="00FFFF" w:fill="auto"/>
      <w:lang w:val="en-GB"/>
    </w:rPr>
  </w:style>
  <w:style w:type="character" w:customStyle="1" w:styleId="ECCHLorange">
    <w:name w:val="ECC HL orange"/>
    <w:basedOn w:val="Absatz-Standardschriftart"/>
    <w:uiPriority w:val="1"/>
    <w:qFormat/>
    <w:rsid w:val="009F0B56"/>
    <w:rPr>
      <w:bdr w:val="none" w:sz="0" w:space="0" w:color="auto"/>
      <w:shd w:val="solid" w:color="FFC000" w:fill="auto"/>
    </w:rPr>
  </w:style>
  <w:style w:type="character" w:customStyle="1" w:styleId="ECCHLblue">
    <w:name w:val="ECC HL blue"/>
    <w:basedOn w:val="Absatz-Standardschriftar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Absatz-Standardschriftar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Absatz-Standardschriftar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Absatz-Standardschriftart"/>
    <w:link w:val="ECCLetterHead"/>
    <w:rsid w:val="009F0B56"/>
    <w:rPr>
      <w:rFonts w:eastAsia="Calibri"/>
      <w:b/>
      <w:sz w:val="22"/>
      <w:lang w:val="en-GB"/>
    </w:rPr>
  </w:style>
  <w:style w:type="character" w:customStyle="1" w:styleId="ECCHLmagenta">
    <w:name w:val="ECC HL magenta"/>
    <w:basedOn w:val="Absatz-Standardschriftart"/>
    <w:uiPriority w:val="1"/>
    <w:qFormat/>
    <w:rsid w:val="009F0B56"/>
    <w:rPr>
      <w:color w:val="auto"/>
      <w:bdr w:val="none" w:sz="0" w:space="0" w:color="auto"/>
      <w:shd w:val="solid" w:color="FF3399" w:fill="auto"/>
      <w:lang w:val="en-GB"/>
    </w:rPr>
  </w:style>
  <w:style w:type="character" w:customStyle="1" w:styleId="ECCHLbrown">
    <w:name w:val="ECC HL brown"/>
    <w:basedOn w:val="Absatz-Standardschriftart"/>
    <w:uiPriority w:val="1"/>
    <w:qFormat/>
    <w:rsid w:val="009F0B56"/>
    <w:rPr>
      <w:color w:val="D9D9D9" w:themeColor="background1" w:themeShade="D9"/>
      <w:bdr w:val="none" w:sz="0" w:space="0" w:color="auto"/>
      <w:shd w:val="solid" w:color="B95807" w:fill="auto"/>
    </w:rPr>
  </w:style>
  <w:style w:type="paragraph" w:customStyle="1" w:styleId="ECCBreak">
    <w:name w:val="ECC Break"/>
    <w:next w:val="Standard"/>
    <w:link w:val="ECCBreakZchn"/>
    <w:rsid w:val="009F0B56"/>
    <w:pPr>
      <w:spacing w:before="360"/>
      <w:jc w:val="left"/>
    </w:pPr>
    <w:rPr>
      <w:b/>
      <w:bCs/>
      <w:iCs/>
      <w:szCs w:val="28"/>
    </w:rPr>
  </w:style>
  <w:style w:type="character" w:customStyle="1" w:styleId="ECCBreakZchn">
    <w:name w:val="ECC Break Zchn"/>
    <w:basedOn w:val="Absatz-Standardschriftart"/>
    <w:link w:val="ECCBreak"/>
    <w:rsid w:val="009F0B56"/>
    <w:rPr>
      <w:b/>
      <w:bCs/>
      <w:iCs/>
      <w:szCs w:val="28"/>
    </w:rPr>
  </w:style>
  <w:style w:type="character" w:styleId="Hyperlink">
    <w:name w:val="Hyperlink"/>
    <w:aliases w:val="ECC Hyperlink"/>
    <w:basedOn w:val="Absatz-Standardschriftart"/>
    <w:uiPriority w:val="99"/>
    <w:rsid w:val="009F0B56"/>
    <w:rPr>
      <w:color w:val="0000FF" w:themeColor="hyperlink"/>
      <w:u w:val="single"/>
    </w:rPr>
  </w:style>
  <w:style w:type="paragraph" w:styleId="Beschriftung">
    <w:name w:val="caption"/>
    <w:aliases w:val="ECC Caption"/>
    <w:next w:val="Standard"/>
    <w:uiPriority w:val="35"/>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tzhaltertext">
    <w:name w:val="Placeholder Text"/>
    <w:basedOn w:val="Absatz-Standardschriftar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qFormat/>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ellenraster">
    <w:name w:val="Table Grid"/>
    <w:basedOn w:val="NormaleTabelle"/>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Absatz-Standardschriftar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Standard"/>
    <w:rsid w:val="009F0B56"/>
    <w:pPr>
      <w:spacing w:after="240"/>
      <w:jc w:val="center"/>
    </w:pPr>
    <w:rPr>
      <w:rFonts w:eastAsia="Calibri"/>
      <w:noProof/>
      <w:lang w:val="de-DE" w:eastAsia="de-DE"/>
      <w14:cntxtAlts/>
    </w:rPr>
  </w:style>
  <w:style w:type="character" w:styleId="SchwacheHervorhebung">
    <w:name w:val="Subtle Emphasis"/>
    <w:basedOn w:val="Absatz-Standardschriftart"/>
    <w:uiPriority w:val="19"/>
    <w:qFormat/>
    <w:rsid w:val="00B61A5D"/>
    <w:rPr>
      <w:i/>
      <w:iCs/>
      <w:color w:val="404040" w:themeColor="text1" w:themeTint="BF"/>
    </w:rPr>
  </w:style>
  <w:style w:type="paragraph" w:styleId="Fuzeile">
    <w:name w:val="footer"/>
    <w:basedOn w:val="Standard"/>
    <w:link w:val="FuzeileZchn"/>
    <w:uiPriority w:val="99"/>
    <w:semiHidden/>
    <w:unhideWhenUsed/>
    <w:locked/>
    <w:rsid w:val="00B619D4"/>
    <w:pPr>
      <w:tabs>
        <w:tab w:val="center" w:pos="4819"/>
        <w:tab w:val="right" w:pos="9638"/>
      </w:tabs>
      <w:spacing w:before="0" w:after="0"/>
    </w:pPr>
  </w:style>
  <w:style w:type="character" w:customStyle="1" w:styleId="FuzeileZchn">
    <w:name w:val="Fußzeile Zchn"/>
    <w:basedOn w:val="Absatz-Standardschriftart"/>
    <w:link w:val="Fuzeile"/>
    <w:uiPriority w:val="99"/>
    <w:semiHidden/>
    <w:rsid w:val="00B619D4"/>
    <w:rPr>
      <w:rFonts w:eastAsia="Calibri"/>
      <w:szCs w:val="22"/>
      <w:lang w:val="en-GB"/>
    </w:rPr>
  </w:style>
  <w:style w:type="paragraph" w:styleId="Listenabsatz">
    <w:name w:val="List Paragraph"/>
    <w:basedOn w:val="Standard"/>
    <w:uiPriority w:val="34"/>
    <w:qFormat/>
    <w:locked/>
    <w:rsid w:val="00E57B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048971">
      <w:bodyDiv w:val="1"/>
      <w:marLeft w:val="0"/>
      <w:marRight w:val="0"/>
      <w:marTop w:val="0"/>
      <w:marBottom w:val="0"/>
      <w:divBdr>
        <w:top w:val="none" w:sz="0" w:space="0" w:color="auto"/>
        <w:left w:val="none" w:sz="0" w:space="0" w:color="auto"/>
        <w:bottom w:val="none" w:sz="0" w:space="0" w:color="auto"/>
        <w:right w:val="none" w:sz="0" w:space="0" w:color="auto"/>
      </w:divBdr>
    </w:div>
    <w:div w:id="199309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eader" Target="header1.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itu.int/dms_ties/itu-r/md/15/wp5c/c/R15-WP5C-C-0173!N14!MSW-E.doc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itu.int/dms_ties/itu-r/md/15/wp5c/c/R15-WP5C-C-0173!N15!MSW-E.docx"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itu.int/dms_pub/itu-r/md/00/ca/cir/R00-CA-CIR-0226!!MSW-E.docx" TargetMode="External"/><Relationship Id="rId14" Type="http://schemas.openxmlformats.org/officeDocument/2006/relationships/hyperlink" Target="https://www.itu.int/dms_ties/itu-r/md/15/wp5c/c/R15-WP5C-C-0173!N16!MSW-E.docx"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itu.int/en/connect2020/Pages/default.aspx" TargetMode="External"/><Relationship Id="rId1" Type="http://schemas.openxmlformats.org/officeDocument/2006/relationships/hyperlink" Target="http://www.itu.int/en/ITU-D/Statistics/Documents/publications/misr2015/MISR2015-w5.pdf"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D:\data\osi188\D%20AT\PTA\CPG%20PTA%201%20Copenhagen\Input\Prep\Template_Draft%20CEPT%20Brief%20on%20AI%20XX%20-%2011Aug2016.dotx" TargetMode="External"/></Relationships>
</file>

<file path=word/theme/theme1.xml><?xml version="1.0" encoding="utf-8"?>
<a:theme xmlns:a="http://schemas.openxmlformats.org/drawingml/2006/main" name="Design ECC">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C5D59-D9CF-4750-847D-30DB25DD3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Template_Draft CEPT Brief on AI XX - 11Aug2016</Template>
  <TotalTime>0</TotalTime>
  <Pages>11</Pages>
  <Words>3069</Words>
  <Characters>19341</Characters>
  <Application>Microsoft Office Word</Application>
  <DocSecurity>0</DocSecurity>
  <Lines>161</Lines>
  <Paragraphs>44</Paragraphs>
  <ScaleCrop>false</ScaleCrop>
  <HeadingPairs>
    <vt:vector size="10" baseType="variant">
      <vt:variant>
        <vt:lpstr>Titel</vt:lpstr>
      </vt:variant>
      <vt:variant>
        <vt:i4>1</vt:i4>
      </vt:variant>
      <vt:variant>
        <vt:lpstr>Title</vt:lpstr>
      </vt:variant>
      <vt:variant>
        <vt:i4>1</vt:i4>
      </vt:variant>
      <vt:variant>
        <vt:lpstr>Titre</vt:lpstr>
      </vt:variant>
      <vt:variant>
        <vt:i4>1</vt:i4>
      </vt:variant>
      <vt:variant>
        <vt:lpstr>Rubrik</vt:lpstr>
      </vt:variant>
      <vt:variant>
        <vt:i4>1</vt:i4>
      </vt:variant>
      <vt:variant>
        <vt:lpstr>Название</vt:lpstr>
      </vt:variant>
      <vt:variant>
        <vt:i4>1</vt:i4>
      </vt:variant>
    </vt:vector>
  </HeadingPairs>
  <TitlesOfParts>
    <vt:vector size="5" baseType="lpstr">
      <vt:lpstr>Draft CEPT Brief on AI XX</vt:lpstr>
      <vt:lpstr>Draft CEPT Brief on AI XX</vt:lpstr>
      <vt:lpstr>Draft CEPT Brief on AI XX</vt:lpstr>
      <vt:lpstr>Draft CEPT Brief on AI XX</vt:lpstr>
      <vt:lpstr>Draft CEPT Brief on AI XX</vt:lpstr>
    </vt:vector>
  </TitlesOfParts>
  <Manager>stella.lyubchenko@eco.cept.org</Manager>
  <Company>ECO</Company>
  <LinksUpToDate>false</LinksUpToDate>
  <CharactersWithSpaces>22366</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CEPT Brief on AI XX</dc:title>
  <dc:creator>Auteur</dc:creator>
  <cp:keywords>CEPT Brief</cp:keywords>
  <dc:description>Output CPG19-3</dc:description>
  <cp:lastModifiedBy>CPG</cp:lastModifiedBy>
  <cp:revision>2</cp:revision>
  <cp:lastPrinted>1901-01-01T00:00:00Z</cp:lastPrinted>
  <dcterms:created xsi:type="dcterms:W3CDTF">2017-03-18T22:30:00Z</dcterms:created>
  <dcterms:modified xsi:type="dcterms:W3CDTF">2017-03-18T22:30:00Z</dcterms:modified>
  <cp:category>protected templates</cp:category>
  <cp:contentStatus>Draft</cp:contentStatus>
</cp:coreProperties>
</file>