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235592" w14:paraId="39D1414A" w14:textId="77777777" w:rsidTr="00F10520">
        <w:trPr>
          <w:cantSplit/>
          <w:trHeight w:val="1240"/>
        </w:trPr>
        <w:tc>
          <w:tcPr>
            <w:tcW w:w="4785" w:type="dxa"/>
            <w:gridSpan w:val="2"/>
            <w:tcBorders>
              <w:top w:val="nil"/>
              <w:left w:val="nil"/>
              <w:bottom w:val="nil"/>
              <w:right w:val="nil"/>
            </w:tcBorders>
          </w:tcPr>
          <w:p w14:paraId="3C5BB17A" w14:textId="77777777" w:rsidR="003771D5" w:rsidRPr="00235592" w:rsidRDefault="003771D5" w:rsidP="00BD4E12">
            <w:pPr>
              <w:pStyle w:val="ECCLetterHead"/>
            </w:pPr>
          </w:p>
        </w:tc>
        <w:tc>
          <w:tcPr>
            <w:tcW w:w="4996" w:type="dxa"/>
            <w:tcBorders>
              <w:top w:val="nil"/>
              <w:left w:val="nil"/>
              <w:bottom w:val="nil"/>
              <w:right w:val="nil"/>
            </w:tcBorders>
          </w:tcPr>
          <w:p w14:paraId="24B473F5" w14:textId="1BFF25BF" w:rsidR="003771D5" w:rsidRPr="00235592" w:rsidRDefault="000701A5" w:rsidP="00D10951">
            <w:pPr>
              <w:pStyle w:val="ECCLetterHead"/>
            </w:pPr>
            <w:r w:rsidRPr="00235592">
              <w:tab/>
            </w:r>
            <w:r w:rsidR="000138E3">
              <w:t xml:space="preserve">Doc. </w:t>
            </w:r>
            <w:r w:rsidR="00324787">
              <w:t>CPG</w:t>
            </w:r>
            <w:r w:rsidR="003771D5" w:rsidRPr="00235592">
              <w:t>(1</w:t>
            </w:r>
            <w:r w:rsidR="00324787">
              <w:t>7</w:t>
            </w:r>
            <w:r w:rsidR="00BD4E12" w:rsidRPr="00235592">
              <w:t>)</w:t>
            </w:r>
            <w:r w:rsidR="00324787">
              <w:t>0</w:t>
            </w:r>
            <w:r w:rsidR="00F10520">
              <w:t>11</w:t>
            </w:r>
            <w:r w:rsidR="00324787">
              <w:t xml:space="preserve"> ANNEX IV-</w:t>
            </w:r>
            <w:r w:rsidR="00D10951">
              <w:t>2</w:t>
            </w:r>
            <w:r w:rsidR="00324787">
              <w:t>1</w:t>
            </w:r>
            <w:r w:rsidR="00D10951">
              <w:t>B</w:t>
            </w:r>
          </w:p>
        </w:tc>
      </w:tr>
      <w:tr w:rsidR="00F10520" w:rsidRPr="00235592" w14:paraId="2A3265CA" w14:textId="77777777" w:rsidTr="00F10520">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14:paraId="626A7C60" w14:textId="45D621B8" w:rsidR="00F10520" w:rsidRPr="00235592" w:rsidRDefault="00F10520" w:rsidP="00BD4E12">
            <w:pPr>
              <w:pStyle w:val="ECCLetterHead"/>
            </w:pPr>
            <w:r w:rsidRPr="00235592">
              <w:t>CPG19</w:t>
            </w:r>
            <w:r>
              <w:t>-3</w:t>
            </w:r>
          </w:p>
        </w:tc>
      </w:tr>
      <w:tr w:rsidR="00F10520" w:rsidRPr="00235592" w14:paraId="74762DD8" w14:textId="77777777" w:rsidTr="00F10520">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0D403D23" w14:textId="0B26EFFB" w:rsidR="00F10520" w:rsidRPr="00235592" w:rsidRDefault="00F10520" w:rsidP="00F10520">
            <w:pPr>
              <w:pStyle w:val="ECCLetterHead"/>
            </w:pPr>
            <w:r>
              <w:t>Vienna</w:t>
            </w:r>
            <w:r w:rsidRPr="00235592">
              <w:t xml:space="preserve">, </w:t>
            </w:r>
            <w:r>
              <w:t>Austria</w:t>
            </w:r>
            <w:r w:rsidRPr="00235592">
              <w:t xml:space="preserve">, </w:t>
            </w:r>
            <w:r>
              <w:t>14</w:t>
            </w:r>
            <w:r w:rsidRPr="00F10520">
              <w:rPr>
                <w:vertAlign w:val="superscript"/>
              </w:rPr>
              <w:t>th</w:t>
            </w:r>
            <w:r>
              <w:t xml:space="preserve"> - 17</w:t>
            </w:r>
            <w:r w:rsidRPr="00F10520">
              <w:rPr>
                <w:vertAlign w:val="superscript"/>
              </w:rPr>
              <w:t>th</w:t>
            </w:r>
            <w:r>
              <w:t xml:space="preserve"> March 2017</w:t>
            </w:r>
          </w:p>
        </w:tc>
      </w:tr>
      <w:tr w:rsidR="003771D5" w:rsidRPr="00235592" w14:paraId="4C59EDFE" w14:textId="77777777" w:rsidTr="00F10520">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14:paraId="74C9B845" w14:textId="77777777" w:rsidR="003771D5" w:rsidRPr="00235592" w:rsidRDefault="003771D5" w:rsidP="00BD4E12">
            <w:pPr>
              <w:pStyle w:val="ECCLetterHead"/>
            </w:pPr>
          </w:p>
        </w:tc>
        <w:tc>
          <w:tcPr>
            <w:tcW w:w="4996" w:type="dxa"/>
            <w:tcBorders>
              <w:top w:val="nil"/>
              <w:left w:val="nil"/>
              <w:bottom w:val="nil"/>
              <w:right w:val="nil"/>
            </w:tcBorders>
            <w:vAlign w:val="center"/>
          </w:tcPr>
          <w:p w14:paraId="79AF1231" w14:textId="77777777" w:rsidR="003771D5" w:rsidRPr="00235592" w:rsidRDefault="003771D5" w:rsidP="00BD4E12">
            <w:pPr>
              <w:pStyle w:val="ECCLetterHead"/>
            </w:pPr>
          </w:p>
        </w:tc>
      </w:tr>
      <w:tr w:rsidR="003771D5" w:rsidRPr="00235592" w14:paraId="5D4AF7F4" w14:textId="77777777" w:rsidTr="00F10520">
        <w:tblPrEx>
          <w:tblCellMar>
            <w:left w:w="108" w:type="dxa"/>
            <w:right w:w="108" w:type="dxa"/>
          </w:tblCellMar>
        </w:tblPrEx>
        <w:trPr>
          <w:cantSplit/>
          <w:trHeight w:val="405"/>
        </w:trPr>
        <w:tc>
          <w:tcPr>
            <w:tcW w:w="1694" w:type="dxa"/>
            <w:tcBorders>
              <w:top w:val="nil"/>
              <w:left w:val="nil"/>
              <w:bottom w:val="nil"/>
              <w:right w:val="nil"/>
            </w:tcBorders>
            <w:vAlign w:val="center"/>
          </w:tcPr>
          <w:p w14:paraId="310BFD6B" w14:textId="77777777" w:rsidR="003771D5" w:rsidRPr="00235592" w:rsidRDefault="003771D5" w:rsidP="00BD4E12">
            <w:pPr>
              <w:pStyle w:val="ECCLetterHead"/>
            </w:pPr>
            <w:r w:rsidRPr="00235592">
              <w:t xml:space="preserve">Date issued: </w:t>
            </w:r>
          </w:p>
        </w:tc>
        <w:tc>
          <w:tcPr>
            <w:tcW w:w="8087" w:type="dxa"/>
            <w:gridSpan w:val="2"/>
            <w:tcBorders>
              <w:top w:val="nil"/>
              <w:left w:val="nil"/>
              <w:bottom w:val="nil"/>
              <w:right w:val="nil"/>
            </w:tcBorders>
            <w:vAlign w:val="center"/>
          </w:tcPr>
          <w:p w14:paraId="3405CB09" w14:textId="3355CD74" w:rsidR="003771D5" w:rsidRPr="00235592" w:rsidRDefault="00F10520" w:rsidP="00BD4E12">
            <w:pPr>
              <w:pStyle w:val="ECCLetterHead"/>
            </w:pPr>
            <w:r>
              <w:t>17</w:t>
            </w:r>
            <w:r w:rsidRPr="00F10520">
              <w:rPr>
                <w:vertAlign w:val="superscript"/>
              </w:rPr>
              <w:t>th</w:t>
            </w:r>
            <w:r>
              <w:t xml:space="preserve"> </w:t>
            </w:r>
            <w:r w:rsidRPr="00F10520">
              <w:t>March 2017</w:t>
            </w:r>
          </w:p>
        </w:tc>
      </w:tr>
      <w:tr w:rsidR="003771D5" w:rsidRPr="00235592" w14:paraId="141E45F7" w14:textId="77777777" w:rsidTr="00F10520">
        <w:tblPrEx>
          <w:tblCellMar>
            <w:left w:w="108" w:type="dxa"/>
            <w:right w:w="108" w:type="dxa"/>
          </w:tblCellMar>
        </w:tblPrEx>
        <w:trPr>
          <w:cantSplit/>
          <w:trHeight w:val="405"/>
        </w:trPr>
        <w:tc>
          <w:tcPr>
            <w:tcW w:w="1694" w:type="dxa"/>
            <w:tcBorders>
              <w:top w:val="nil"/>
              <w:left w:val="nil"/>
              <w:bottom w:val="nil"/>
              <w:right w:val="nil"/>
            </w:tcBorders>
            <w:vAlign w:val="center"/>
          </w:tcPr>
          <w:p w14:paraId="201723C2" w14:textId="77777777" w:rsidR="003771D5" w:rsidRPr="00235592" w:rsidRDefault="003771D5" w:rsidP="00BD4E12">
            <w:pPr>
              <w:pStyle w:val="ECCLetterHead"/>
            </w:pPr>
            <w:r w:rsidRPr="00235592">
              <w:t xml:space="preserve">Source: </w:t>
            </w:r>
          </w:p>
        </w:tc>
        <w:tc>
          <w:tcPr>
            <w:tcW w:w="8087" w:type="dxa"/>
            <w:gridSpan w:val="2"/>
            <w:tcBorders>
              <w:top w:val="nil"/>
              <w:left w:val="nil"/>
              <w:bottom w:val="nil"/>
              <w:right w:val="nil"/>
            </w:tcBorders>
            <w:vAlign w:val="center"/>
          </w:tcPr>
          <w:p w14:paraId="32C39455" w14:textId="17118D74" w:rsidR="003771D5" w:rsidRPr="00235592" w:rsidRDefault="00F10520" w:rsidP="00BD4E12">
            <w:pPr>
              <w:pStyle w:val="ECCLetterHead"/>
            </w:pPr>
            <w:r>
              <w:t>CPG19-3</w:t>
            </w:r>
            <w:r w:rsidR="000138E3">
              <w:t xml:space="preserve"> minutes</w:t>
            </w:r>
          </w:p>
        </w:tc>
      </w:tr>
      <w:tr w:rsidR="003771D5" w:rsidRPr="00235592" w14:paraId="45B9F907" w14:textId="77777777" w:rsidTr="00F10520">
        <w:tblPrEx>
          <w:tblCellMar>
            <w:left w:w="108" w:type="dxa"/>
            <w:right w:w="108" w:type="dxa"/>
          </w:tblCellMar>
        </w:tblPrEx>
        <w:trPr>
          <w:cantSplit/>
          <w:trHeight w:val="405"/>
        </w:trPr>
        <w:tc>
          <w:tcPr>
            <w:tcW w:w="1694" w:type="dxa"/>
            <w:tcBorders>
              <w:top w:val="nil"/>
              <w:left w:val="nil"/>
              <w:bottom w:val="nil"/>
              <w:right w:val="nil"/>
            </w:tcBorders>
            <w:vAlign w:val="center"/>
          </w:tcPr>
          <w:p w14:paraId="686EDA56" w14:textId="77777777" w:rsidR="003771D5" w:rsidRPr="00235592" w:rsidRDefault="003771D5" w:rsidP="00BD4E12">
            <w:pPr>
              <w:pStyle w:val="ECCLetterHead"/>
            </w:pPr>
            <w:r w:rsidRPr="00235592">
              <w:t xml:space="preserve">Subject: </w:t>
            </w:r>
          </w:p>
        </w:tc>
        <w:tc>
          <w:tcPr>
            <w:tcW w:w="8087" w:type="dxa"/>
            <w:gridSpan w:val="2"/>
            <w:tcBorders>
              <w:top w:val="nil"/>
              <w:left w:val="nil"/>
              <w:bottom w:val="nil"/>
              <w:right w:val="nil"/>
            </w:tcBorders>
            <w:vAlign w:val="center"/>
          </w:tcPr>
          <w:p w14:paraId="7FBB0BA0" w14:textId="33B7368D" w:rsidR="003771D5" w:rsidRPr="00235592" w:rsidRDefault="003771D5" w:rsidP="000138E3">
            <w:pPr>
              <w:pStyle w:val="ECCLetterHead"/>
            </w:pPr>
            <w:r w:rsidRPr="00235592">
              <w:t>Draft CEPT Brief on WRC-1</w:t>
            </w:r>
            <w:r w:rsidR="000611F2" w:rsidRPr="00235592">
              <w:t>9</w:t>
            </w:r>
            <w:r w:rsidRPr="00235592">
              <w:t xml:space="preserve"> Agenda Item </w:t>
            </w:r>
            <w:r w:rsidR="00D10951">
              <w:t>9.</w:t>
            </w:r>
            <w:r w:rsidR="00324787">
              <w:t>1</w:t>
            </w:r>
            <w:r w:rsidR="00D10951">
              <w:t xml:space="preserve"> </w:t>
            </w:r>
            <w:r w:rsidR="000138E3">
              <w:t>i</w:t>
            </w:r>
            <w:r w:rsidR="00D10951">
              <w:t>ssue 9.1.2</w:t>
            </w:r>
          </w:p>
        </w:tc>
      </w:tr>
      <w:tr w:rsidR="003771D5" w:rsidRPr="00235592" w14:paraId="4EE9E352" w14:textId="77777777" w:rsidTr="00F10520">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0A935DC9" w14:textId="77777777" w:rsidR="003771D5" w:rsidRPr="00235592" w:rsidRDefault="003771D5" w:rsidP="00BD4E12">
            <w:pPr>
              <w:rPr>
                <w:rStyle w:val="ECCParagraph"/>
              </w:rPr>
            </w:pPr>
          </w:p>
          <w:p w14:paraId="52818C22" w14:textId="77777777" w:rsidR="003771D5" w:rsidRPr="00235592" w:rsidRDefault="003771D5" w:rsidP="00BD4E12">
            <w:pPr>
              <w:pStyle w:val="ECCLetterHead"/>
            </w:pPr>
          </w:p>
        </w:tc>
      </w:tr>
      <w:tr w:rsidR="003771D5" w:rsidRPr="00235592" w14:paraId="2DC14384" w14:textId="77777777" w:rsidTr="00F10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7DC29B00" w14:textId="77777777" w:rsidR="003771D5" w:rsidRPr="00235592" w:rsidRDefault="003771D5" w:rsidP="003A68D5">
            <w:pPr>
              <w:pStyle w:val="ECCLetterHead"/>
            </w:pPr>
            <w:r w:rsidRPr="00235592">
              <w:t xml:space="preserve">Summary: </w:t>
            </w:r>
          </w:p>
        </w:tc>
      </w:tr>
      <w:tr w:rsidR="003771D5" w:rsidRPr="00235592" w14:paraId="62FB79A1" w14:textId="77777777" w:rsidTr="00F10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6A47E3CF" w14:textId="77777777" w:rsidR="003771D5" w:rsidRPr="00235592" w:rsidRDefault="003771D5" w:rsidP="00BD4E12">
            <w:pPr>
              <w:pStyle w:val="ECCTabletext"/>
            </w:pPr>
          </w:p>
        </w:tc>
      </w:tr>
      <w:tr w:rsidR="003771D5" w:rsidRPr="00235592" w14:paraId="1BCCF6CB" w14:textId="77777777" w:rsidTr="00F10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6475F1DF" w14:textId="77777777" w:rsidR="003771D5" w:rsidRPr="00235592" w:rsidRDefault="003771D5" w:rsidP="003A68D5">
            <w:pPr>
              <w:pStyle w:val="ECCLetterHead"/>
            </w:pPr>
            <w:r w:rsidRPr="00235592">
              <w:t>Proposal:</w:t>
            </w:r>
          </w:p>
        </w:tc>
      </w:tr>
      <w:tr w:rsidR="003771D5" w:rsidRPr="00235592" w14:paraId="11D32F23" w14:textId="77777777" w:rsidTr="00F10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14:paraId="21248A1D" w14:textId="77777777" w:rsidR="003771D5" w:rsidRPr="00235592" w:rsidRDefault="003771D5" w:rsidP="00BD4E12">
            <w:pPr>
              <w:pStyle w:val="ECCTabletext"/>
            </w:pPr>
          </w:p>
        </w:tc>
      </w:tr>
    </w:tbl>
    <w:p w14:paraId="0EEE1431" w14:textId="77777777" w:rsidR="00D10951" w:rsidRPr="003E543E" w:rsidRDefault="003771D5" w:rsidP="00D10951">
      <w:pPr>
        <w:pStyle w:val="ECCHeadingnonumbering"/>
      </w:pPr>
      <w:r w:rsidRPr="00235592">
        <w:rPr>
          <w:rStyle w:val="ECCParagraph"/>
        </w:rPr>
        <w:br w:type="page"/>
      </w:r>
      <w:r w:rsidR="00D10951" w:rsidRPr="003E543E">
        <w:lastRenderedPageBreak/>
        <w:t xml:space="preserve">DRAFT CEPT BRIEF ON AGENDA ITEM </w:t>
      </w:r>
      <w:r w:rsidR="00D10951">
        <w:t>9.1 Issue 9.1.2</w:t>
      </w:r>
      <w:r w:rsidR="00D10951" w:rsidRPr="003E543E">
        <w:t xml:space="preserve"> </w:t>
      </w:r>
    </w:p>
    <w:p w14:paraId="5E8967C7" w14:textId="2D0DE365" w:rsidR="00D10951" w:rsidRPr="00235592" w:rsidRDefault="00D10951" w:rsidP="00D10951">
      <w:pPr>
        <w:rPr>
          <w:rStyle w:val="ECCParagraph"/>
        </w:rPr>
      </w:pPr>
      <w:r>
        <w:rPr>
          <w:rStyle w:val="ECCParagraph"/>
        </w:rPr>
        <w:t>9.1.2</w:t>
      </w:r>
      <w:r w:rsidRPr="00235592">
        <w:rPr>
          <w:rStyle w:val="ECCParagraph"/>
        </w:rPr>
        <w:tab/>
      </w:r>
      <w:r w:rsidRPr="00B871E6">
        <w:rPr>
          <w:rStyle w:val="ECCParagraph"/>
        </w:rPr>
        <w:t xml:space="preserve">Resolution </w:t>
      </w:r>
      <w:r w:rsidRPr="00F10520">
        <w:rPr>
          <w:rStyle w:val="ECCHLbold"/>
        </w:rPr>
        <w:t>761 (WRC</w:t>
      </w:r>
      <w:r w:rsidR="00F10520">
        <w:rPr>
          <w:rStyle w:val="ECCHLbold"/>
        </w:rPr>
        <w:t>-</w:t>
      </w:r>
      <w:r w:rsidRPr="00F10520">
        <w:rPr>
          <w:rStyle w:val="ECCHLbold"/>
        </w:rPr>
        <w:t>15)</w:t>
      </w:r>
      <w:r>
        <w:rPr>
          <w:rStyle w:val="ECCParagraph"/>
        </w:rPr>
        <w:t>. C</w:t>
      </w:r>
      <w:r w:rsidRPr="00B871E6">
        <w:rPr>
          <w:rStyle w:val="ECCParagraph"/>
        </w:rPr>
        <w:t xml:space="preserve">ompatibility of International Mobile Telecommunications and broadcasting-satellite service </w:t>
      </w:r>
      <w:r>
        <w:rPr>
          <w:rStyle w:val="ECCParagraph"/>
        </w:rPr>
        <w:t>(sound) in the frequency band 1</w:t>
      </w:r>
      <w:r w:rsidRPr="00B26CC3">
        <w:rPr>
          <w:rStyle w:val="ECCParagraph"/>
        </w:rPr>
        <w:t> </w:t>
      </w:r>
      <w:r>
        <w:rPr>
          <w:rStyle w:val="ECCParagraph"/>
        </w:rPr>
        <w:t>452-1</w:t>
      </w:r>
      <w:r w:rsidRPr="00B26CC3">
        <w:rPr>
          <w:rStyle w:val="ECCParagraph"/>
        </w:rPr>
        <w:t> </w:t>
      </w:r>
      <w:r w:rsidRPr="00B871E6">
        <w:rPr>
          <w:rStyle w:val="ECCParagraph"/>
        </w:rPr>
        <w:t>492 MHz in Regions 1 and 3</w:t>
      </w:r>
    </w:p>
    <w:p w14:paraId="585F1E2D" w14:textId="77777777" w:rsidR="00D10951" w:rsidRPr="00D10951" w:rsidRDefault="00D10951" w:rsidP="00D10951">
      <w:pPr>
        <w:pStyle w:val="berschrift1"/>
      </w:pPr>
      <w:r w:rsidRPr="003E543E">
        <w:t>ISSUE</w:t>
      </w:r>
    </w:p>
    <w:p w14:paraId="541578DE" w14:textId="77777777" w:rsidR="00D10951" w:rsidRPr="00235592" w:rsidRDefault="00D10951" w:rsidP="00D10951">
      <w:pPr>
        <w:rPr>
          <w:rStyle w:val="ECCParagraph"/>
        </w:rPr>
      </w:pPr>
      <w:r w:rsidRPr="00B871E6">
        <w:rPr>
          <w:rStyle w:val="ECCParagraph"/>
        </w:rPr>
        <w:t xml:space="preserve">This agenda item addresses compatibility </w:t>
      </w:r>
      <w:r>
        <w:rPr>
          <w:rStyle w:val="ECCParagraph"/>
        </w:rPr>
        <w:t xml:space="preserve">between </w:t>
      </w:r>
      <w:r w:rsidRPr="00B871E6">
        <w:rPr>
          <w:rStyle w:val="ECCParagraph"/>
        </w:rPr>
        <w:t>IMT and BSS (sound) in the f</w:t>
      </w:r>
      <w:r>
        <w:rPr>
          <w:rStyle w:val="ECCParagraph"/>
        </w:rPr>
        <w:t>requency band 1</w:t>
      </w:r>
      <w:r w:rsidRPr="00B26CC3">
        <w:rPr>
          <w:rStyle w:val="ECCParagraph"/>
        </w:rPr>
        <w:t> </w:t>
      </w:r>
      <w:r>
        <w:rPr>
          <w:rStyle w:val="ECCParagraph"/>
        </w:rPr>
        <w:t>452-1</w:t>
      </w:r>
      <w:r w:rsidRPr="00B26CC3">
        <w:rPr>
          <w:rStyle w:val="ECCParagraph"/>
        </w:rPr>
        <w:t> </w:t>
      </w:r>
      <w:r w:rsidRPr="00B871E6">
        <w:rPr>
          <w:rStyle w:val="ECCParagraph"/>
        </w:rPr>
        <w:t>492</w:t>
      </w:r>
      <w:r>
        <w:rPr>
          <w:rStyle w:val="ECCParagraph"/>
        </w:rPr>
        <w:t> </w:t>
      </w:r>
      <w:r w:rsidRPr="00B871E6">
        <w:rPr>
          <w:rStyle w:val="ECCParagraph"/>
        </w:rPr>
        <w:t>MHz in Regions 1 and 3</w:t>
      </w:r>
      <w:r>
        <w:rPr>
          <w:rStyle w:val="ECCParagraph"/>
        </w:rPr>
        <w:t>.</w:t>
      </w:r>
    </w:p>
    <w:p w14:paraId="56CAB24A" w14:textId="77777777" w:rsidR="00D10951" w:rsidRPr="00D10951" w:rsidRDefault="00D10951" w:rsidP="00D10951">
      <w:pPr>
        <w:pStyle w:val="berschrift1"/>
      </w:pPr>
      <w:r w:rsidRPr="003E543E">
        <w:t xml:space="preserve">Preliminary CEPT position </w:t>
      </w:r>
    </w:p>
    <w:p w14:paraId="1C93F425" w14:textId="77777777" w:rsidR="00D10951" w:rsidRDefault="00D10951" w:rsidP="00D10951">
      <w:pPr>
        <w:rPr>
          <w:rStyle w:val="ECCParagraph"/>
        </w:rPr>
      </w:pPr>
      <w:r>
        <w:rPr>
          <w:rStyle w:val="ECCParagraph"/>
        </w:rPr>
        <w:t>CEPT has harmonised the frequency band 1 452-1 492 MHz for supplemental downlink under the mobile service. CEPT supports the protection of this application form BSS (sound).</w:t>
      </w:r>
    </w:p>
    <w:p w14:paraId="7309E8AF" w14:textId="77777777" w:rsidR="00D10951" w:rsidRPr="00D10951" w:rsidRDefault="00D10951" w:rsidP="00D10951">
      <w:pPr>
        <w:pStyle w:val="berschrift1"/>
      </w:pPr>
      <w:r w:rsidRPr="003E543E">
        <w:t xml:space="preserve">Background </w:t>
      </w:r>
    </w:p>
    <w:p w14:paraId="5E307915" w14:textId="77777777" w:rsidR="00D10951" w:rsidRPr="00B871E6" w:rsidRDefault="00D10951" w:rsidP="00D10951">
      <w:pPr>
        <w:rPr>
          <w:rStyle w:val="ECCParagraph"/>
        </w:rPr>
      </w:pPr>
      <w:r w:rsidRPr="00B871E6">
        <w:rPr>
          <w:rStyle w:val="ECCParagraph"/>
        </w:rPr>
        <w:t>ITU-R WP 4A and WP 5D have joint responsibilities for studies under this agenda item.  The conclusion of the draft CPM text shall be agreed by both WP 4A and WP 5D. For this purpose, the Chairmen of both WPs shall coordinate the schedule of the meetings, as appropriate.</w:t>
      </w:r>
    </w:p>
    <w:p w14:paraId="04A2100C" w14:textId="77777777" w:rsidR="00D10951" w:rsidRPr="00B871E6" w:rsidRDefault="00D10951" w:rsidP="00D10951">
      <w:pPr>
        <w:rPr>
          <w:rStyle w:val="ECCParagraph"/>
        </w:rPr>
      </w:pPr>
      <w:r w:rsidRPr="00B871E6">
        <w:rPr>
          <w:rStyle w:val="ECCParagraph"/>
        </w:rPr>
        <w:t>WP 4A is responsible for the studies requested in the resolves to invite ITU-R with respect to the BSS (sound) service, taking into account the technical and operational characteristics provided by WP 5D.</w:t>
      </w:r>
    </w:p>
    <w:p w14:paraId="584E41AC" w14:textId="77777777" w:rsidR="00D10951" w:rsidRDefault="00D10951" w:rsidP="00D10951">
      <w:pPr>
        <w:rPr>
          <w:rStyle w:val="ECCParagraph"/>
        </w:rPr>
      </w:pPr>
      <w:r w:rsidRPr="00B871E6">
        <w:rPr>
          <w:rStyle w:val="ECCParagraph"/>
        </w:rPr>
        <w:t>WP 5D is responsible for the studies requested in the resolves to invites ITU-R with respect to IMT, taking into account the technical and operational characteristics provided by WP 4A.</w:t>
      </w:r>
    </w:p>
    <w:p w14:paraId="4D3A4EDB" w14:textId="77777777" w:rsidR="00D10951" w:rsidRPr="00235592" w:rsidRDefault="00D10951" w:rsidP="00D10951">
      <w:pPr>
        <w:rPr>
          <w:rStyle w:val="ECCParagraph"/>
        </w:rPr>
      </w:pPr>
      <w:r>
        <w:rPr>
          <w:rStyle w:val="ECCParagraph"/>
        </w:rPr>
        <w:t>In CEPT the frequency band 1</w:t>
      </w:r>
      <w:r w:rsidRPr="003E543E">
        <w:rPr>
          <w:rStyle w:val="ECCParagraph"/>
        </w:rPr>
        <w:t> </w:t>
      </w:r>
      <w:r>
        <w:rPr>
          <w:rStyle w:val="ECCParagraph"/>
        </w:rPr>
        <w:t>452-1</w:t>
      </w:r>
      <w:r w:rsidRPr="003E543E">
        <w:rPr>
          <w:rStyle w:val="ECCParagraph"/>
        </w:rPr>
        <w:t> </w:t>
      </w:r>
      <w:r>
        <w:rPr>
          <w:rStyle w:val="ECCParagraph"/>
        </w:rPr>
        <w:t xml:space="preserve">492 MHz </w:t>
      </w:r>
      <w:r w:rsidRPr="00B26CC3">
        <w:rPr>
          <w:rStyle w:val="ECCParagraph"/>
        </w:rPr>
        <w:t>is harmonise</w:t>
      </w:r>
      <w:r>
        <w:rPr>
          <w:rStyle w:val="ECCParagraph"/>
        </w:rPr>
        <w:t>d</w:t>
      </w:r>
      <w:r w:rsidRPr="00B26CC3">
        <w:rPr>
          <w:rStyle w:val="ECCParagraph"/>
        </w:rPr>
        <w:t xml:space="preserve"> for</w:t>
      </w:r>
      <w:r>
        <w:rPr>
          <w:rStyle w:val="ECCParagraph"/>
        </w:rPr>
        <w:t xml:space="preserve"> </w:t>
      </w:r>
      <w:r w:rsidRPr="00B26CC3">
        <w:rPr>
          <w:rStyle w:val="ECCParagraph"/>
        </w:rPr>
        <w:t>terrestrial mobile/fixed communications networks supplemental downlink</w:t>
      </w:r>
      <w:r>
        <w:rPr>
          <w:rStyle w:val="ECCParagraph"/>
        </w:rPr>
        <w:t xml:space="preserve"> (see ECC Decision (13)03).</w:t>
      </w:r>
    </w:p>
    <w:p w14:paraId="50F00C90" w14:textId="77777777" w:rsidR="00D10951" w:rsidRPr="00D10951" w:rsidRDefault="00D10951" w:rsidP="00D10951">
      <w:pPr>
        <w:pStyle w:val="berschrift1"/>
      </w:pPr>
      <w:r w:rsidRPr="003E543E">
        <w:t>List of relevant documents</w:t>
      </w:r>
    </w:p>
    <w:p w14:paraId="241EC476" w14:textId="77777777" w:rsidR="00D10951" w:rsidRPr="00B11406" w:rsidRDefault="00D10951" w:rsidP="00D10951">
      <w:pPr>
        <w:pStyle w:val="ECCBreak"/>
      </w:pPr>
      <w:r w:rsidRPr="00B11406">
        <w:t>ITU-Documentation (Recommendations, Reports, other)</w:t>
      </w:r>
    </w:p>
    <w:p w14:paraId="4B6395AB" w14:textId="77777777" w:rsidR="00D10951" w:rsidRPr="00235592" w:rsidRDefault="00D10951" w:rsidP="00D10951">
      <w:pPr>
        <w:pStyle w:val="ECCBulletsLv1"/>
        <w:rPr>
          <w:rStyle w:val="ECCParagraph"/>
        </w:rPr>
      </w:pPr>
    </w:p>
    <w:p w14:paraId="4671A0CE" w14:textId="77777777" w:rsidR="00D10951" w:rsidRPr="00B11406" w:rsidRDefault="00D10951" w:rsidP="00D10951">
      <w:pPr>
        <w:pStyle w:val="ECCBreak"/>
      </w:pPr>
      <w:r w:rsidRPr="00B11406">
        <w:t>CEPT and/or ECC Documentation (Decisions, Recommendations, Reports)</w:t>
      </w:r>
    </w:p>
    <w:p w14:paraId="1032D6F4" w14:textId="77777777" w:rsidR="00D10951" w:rsidRPr="00D10951" w:rsidRDefault="00D10951" w:rsidP="00D10951">
      <w:pPr>
        <w:pStyle w:val="ECCBulletsLv1"/>
        <w:rPr>
          <w:rStyle w:val="ECCParagraph"/>
        </w:rPr>
      </w:pPr>
      <w:r>
        <w:rPr>
          <w:rStyle w:val="ECCParagraph"/>
        </w:rPr>
        <w:t>ECC/DEC/(13)03</w:t>
      </w:r>
    </w:p>
    <w:p w14:paraId="096D197F" w14:textId="77777777" w:rsidR="00D10951" w:rsidRPr="00B11406" w:rsidRDefault="00D10951" w:rsidP="00D10951">
      <w:pPr>
        <w:pStyle w:val="ECCBreak"/>
      </w:pPr>
      <w:r w:rsidRPr="00B11406">
        <w:t>EU Documentation (Directives, Decisions, Recommendations, other), if applicable</w:t>
      </w:r>
    </w:p>
    <w:p w14:paraId="3977E239" w14:textId="77777777" w:rsidR="00D10951" w:rsidRPr="00D10951" w:rsidRDefault="00D10951" w:rsidP="00D10951">
      <w:pPr>
        <w:pStyle w:val="ECCBulletsLv1"/>
        <w:rPr>
          <w:rStyle w:val="ECCParagraph"/>
        </w:rPr>
      </w:pPr>
      <w:r>
        <w:rPr>
          <w:rStyle w:val="ECCParagraph"/>
        </w:rPr>
        <w:t>C</w:t>
      </w:r>
      <w:r w:rsidRPr="00D10951">
        <w:rPr>
          <w:rStyle w:val="ECCParagraph"/>
        </w:rPr>
        <w:t>ommission Implementing Decision (EU) 2015/750 of 8 May 2015 on the harmonisation of the 1 452-1 492 MHz frequency band for terrestrial systems capable of providing electronic communications services in the Union</w:t>
      </w:r>
    </w:p>
    <w:p w14:paraId="472E6A51" w14:textId="77777777" w:rsidR="00D10951" w:rsidRPr="00D10951" w:rsidRDefault="00D10951" w:rsidP="00D10951">
      <w:pPr>
        <w:pStyle w:val="berschrift1"/>
      </w:pPr>
      <w:r w:rsidRPr="003E543E">
        <w:lastRenderedPageBreak/>
        <w:t>Actions to be taken</w:t>
      </w:r>
      <w:bookmarkStart w:id="0" w:name="_GoBack"/>
      <w:bookmarkEnd w:id="0"/>
    </w:p>
    <w:p w14:paraId="5AB17573" w14:textId="77777777" w:rsidR="00D10951" w:rsidRPr="00D10951" w:rsidRDefault="00D10951" w:rsidP="000138E3">
      <w:pPr>
        <w:pStyle w:val="ECCBulletsLv2"/>
        <w:rPr>
          <w:rStyle w:val="ECCParagraph"/>
        </w:rPr>
      </w:pPr>
      <w:r>
        <w:rPr>
          <w:rStyle w:val="ECCParagraph"/>
        </w:rPr>
        <w:t>C</w:t>
      </w:r>
      <w:r w:rsidRPr="00D10951">
        <w:rPr>
          <w:rStyle w:val="ECCParagraph"/>
        </w:rPr>
        <w:t>ontribute to studies in ITU-R WP 4A and WP 5D</w:t>
      </w:r>
    </w:p>
    <w:p w14:paraId="64F39651" w14:textId="77777777" w:rsidR="00D10951" w:rsidRPr="00235592" w:rsidRDefault="00D10951" w:rsidP="00D10951">
      <w:pPr>
        <w:pStyle w:val="ECCTablenote"/>
      </w:pPr>
    </w:p>
    <w:p w14:paraId="6FDA7D96" w14:textId="77777777" w:rsidR="00D10951" w:rsidRPr="00D10951" w:rsidRDefault="00D10951" w:rsidP="00D10951">
      <w:pPr>
        <w:pStyle w:val="berschrift1"/>
      </w:pPr>
      <w:r w:rsidRPr="003E543E">
        <w:t>Relevant information from outside CEPT (examples of these are below)</w:t>
      </w:r>
    </w:p>
    <w:p w14:paraId="2C10CD5E" w14:textId="77777777" w:rsidR="00D10951" w:rsidRPr="00D10951" w:rsidRDefault="00D10951" w:rsidP="00D10951">
      <w:pPr>
        <w:pStyle w:val="berschrift2"/>
      </w:pPr>
      <w:r w:rsidRPr="003E543E">
        <w:t>European Union (date of proposal)</w:t>
      </w:r>
    </w:p>
    <w:p w14:paraId="1BA35BF4" w14:textId="77777777" w:rsidR="00D10951" w:rsidRPr="00235592" w:rsidRDefault="00D10951" w:rsidP="00D10951">
      <w:pPr>
        <w:rPr>
          <w:rStyle w:val="ECCParagraph"/>
        </w:rPr>
      </w:pPr>
    </w:p>
    <w:p w14:paraId="650B5A15" w14:textId="77777777" w:rsidR="00D10951" w:rsidRPr="00D10951" w:rsidRDefault="00D10951" w:rsidP="00D10951">
      <w:pPr>
        <w:pStyle w:val="berschrift2"/>
      </w:pPr>
      <w:r w:rsidRPr="003E543E">
        <w:t>Regional telecommunication organisations</w:t>
      </w:r>
    </w:p>
    <w:p w14:paraId="7F8BCB8A" w14:textId="77777777" w:rsidR="00D10951" w:rsidRPr="003E543E" w:rsidRDefault="00D10951" w:rsidP="00D10951">
      <w:pPr>
        <w:pStyle w:val="ECCBreak"/>
      </w:pPr>
      <w:r w:rsidRPr="003E543E">
        <w:t>APT (date of proposal)</w:t>
      </w:r>
    </w:p>
    <w:p w14:paraId="310C6D43" w14:textId="77777777" w:rsidR="00D10951" w:rsidRPr="00235592" w:rsidRDefault="00D10951" w:rsidP="00D10951">
      <w:pPr>
        <w:rPr>
          <w:rStyle w:val="ECCParagraph"/>
        </w:rPr>
      </w:pPr>
    </w:p>
    <w:p w14:paraId="44C86E31" w14:textId="77777777" w:rsidR="00D10951" w:rsidRPr="003E543E" w:rsidRDefault="00D10951" w:rsidP="00D10951">
      <w:pPr>
        <w:pStyle w:val="ECCBreak"/>
      </w:pPr>
      <w:r w:rsidRPr="003E543E">
        <w:t>ATU (date of proposal)</w:t>
      </w:r>
    </w:p>
    <w:p w14:paraId="5838393F" w14:textId="77777777" w:rsidR="00D10951" w:rsidRPr="00235592" w:rsidRDefault="00D10951" w:rsidP="00D10951">
      <w:pPr>
        <w:rPr>
          <w:rStyle w:val="ECCParagraph"/>
        </w:rPr>
      </w:pPr>
    </w:p>
    <w:p w14:paraId="7FF911DB" w14:textId="77777777" w:rsidR="00D10951" w:rsidRPr="003E543E" w:rsidRDefault="00D10951" w:rsidP="00D10951">
      <w:pPr>
        <w:pStyle w:val="ECCBreak"/>
      </w:pPr>
      <w:r w:rsidRPr="003E543E">
        <w:t>Arab Group (date of proposal)</w:t>
      </w:r>
    </w:p>
    <w:p w14:paraId="112EF4F3" w14:textId="77777777" w:rsidR="00D10951" w:rsidRPr="00235592" w:rsidRDefault="00D10951" w:rsidP="00D10951">
      <w:pPr>
        <w:rPr>
          <w:rStyle w:val="ECCParagraph"/>
        </w:rPr>
      </w:pPr>
    </w:p>
    <w:p w14:paraId="5177C174" w14:textId="77777777" w:rsidR="00D10951" w:rsidRPr="003E543E" w:rsidRDefault="00D10951" w:rsidP="00D10951">
      <w:pPr>
        <w:pStyle w:val="ECCBreak"/>
      </w:pPr>
      <w:r w:rsidRPr="003E543E">
        <w:t>CITEL (date of proposal)</w:t>
      </w:r>
    </w:p>
    <w:p w14:paraId="7A455B4D" w14:textId="77777777" w:rsidR="00D10951" w:rsidRPr="00235592" w:rsidRDefault="00D10951" w:rsidP="00D10951">
      <w:pPr>
        <w:rPr>
          <w:rStyle w:val="ECCParagraph"/>
        </w:rPr>
      </w:pPr>
    </w:p>
    <w:p w14:paraId="51CC82D8" w14:textId="77777777" w:rsidR="00D10951" w:rsidRPr="003E543E" w:rsidRDefault="00D10951" w:rsidP="00D10951">
      <w:pPr>
        <w:pStyle w:val="ECCBreak"/>
      </w:pPr>
      <w:r w:rsidRPr="003E543E">
        <w:t>RCC (</w:t>
      </w:r>
      <w:r>
        <w:t>16 September</w:t>
      </w:r>
      <w:r w:rsidRPr="00E545FC">
        <w:t xml:space="preserve"> 2016</w:t>
      </w:r>
      <w:r w:rsidRPr="003E543E">
        <w:t>)</w:t>
      </w:r>
    </w:p>
    <w:p w14:paraId="2DC48BA3" w14:textId="77777777" w:rsidR="00D10951" w:rsidRPr="00F10520" w:rsidRDefault="00D10951" w:rsidP="00D10951">
      <w:pPr>
        <w:rPr>
          <w:rStyle w:val="ECCParagraph"/>
        </w:rPr>
      </w:pPr>
      <w:r w:rsidRPr="00F10520">
        <w:rPr>
          <w:rStyle w:val="ECCParagraph"/>
        </w:rPr>
        <w:t>The RCC Administrations are in favour of the development of relevant regulatory provisions and technical conditions in order to provide compatibility between IMT and broadcasting-satellite service (sound) in the frequency band 1452-1492 MHz in Regions 1 and 3, taking into account IMT and BSS (sound) operational requirements.</w:t>
      </w:r>
    </w:p>
    <w:p w14:paraId="682DA6A8" w14:textId="77777777" w:rsidR="00D10951" w:rsidRPr="00F10520" w:rsidRDefault="00D10951" w:rsidP="00D10951">
      <w:pPr>
        <w:rPr>
          <w:rStyle w:val="ECCParagraph"/>
        </w:rPr>
      </w:pPr>
      <w:r w:rsidRPr="00F10520">
        <w:rPr>
          <w:rStyle w:val="ECCParagraph"/>
        </w:rPr>
        <w:t>The RCC Administrations consider that technical conditions and regulatory provisions developed within the framework of conducted studies should also take into account the need to protect aeronautical telemetry systems in aeronautical mobile service.</w:t>
      </w:r>
    </w:p>
    <w:p w14:paraId="3A5F6EF2" w14:textId="77777777" w:rsidR="00D10951" w:rsidRPr="00D10951" w:rsidRDefault="00D10951" w:rsidP="00D10951">
      <w:pPr>
        <w:pStyle w:val="berschrift2"/>
      </w:pPr>
      <w:r w:rsidRPr="003E543E">
        <w:t>International organisations</w:t>
      </w:r>
    </w:p>
    <w:p w14:paraId="7A3013AD" w14:textId="77777777" w:rsidR="00D10951" w:rsidRPr="003E543E" w:rsidRDefault="00D10951" w:rsidP="00D10951">
      <w:pPr>
        <w:pStyle w:val="ECCBreak"/>
      </w:pPr>
      <w:r w:rsidRPr="003E543E">
        <w:t>IATA (date of proposal)</w:t>
      </w:r>
    </w:p>
    <w:p w14:paraId="216FC4EB" w14:textId="77777777" w:rsidR="00D10951" w:rsidRPr="00235592" w:rsidRDefault="00D10951" w:rsidP="00D10951">
      <w:pPr>
        <w:rPr>
          <w:rStyle w:val="ECCParagraph"/>
        </w:rPr>
      </w:pPr>
    </w:p>
    <w:p w14:paraId="57E22298" w14:textId="77777777" w:rsidR="00D10951" w:rsidRPr="003E543E" w:rsidRDefault="00D10951" w:rsidP="00D10951">
      <w:pPr>
        <w:pStyle w:val="ECCBreak"/>
      </w:pPr>
      <w:r w:rsidRPr="003E543E">
        <w:t>ICAO (date of proposal)</w:t>
      </w:r>
    </w:p>
    <w:p w14:paraId="1955F60A" w14:textId="77777777" w:rsidR="00D10951" w:rsidRPr="00235592" w:rsidRDefault="00D10951" w:rsidP="00D10951">
      <w:pPr>
        <w:rPr>
          <w:rStyle w:val="ECCParagraph"/>
        </w:rPr>
      </w:pPr>
    </w:p>
    <w:p w14:paraId="11CCA8CA" w14:textId="77777777" w:rsidR="00D10951" w:rsidRPr="003E543E" w:rsidRDefault="00D10951" w:rsidP="00D10951">
      <w:pPr>
        <w:pStyle w:val="ECCBreak"/>
      </w:pPr>
      <w:r w:rsidRPr="003E543E">
        <w:t>IMO (date of proposal)</w:t>
      </w:r>
    </w:p>
    <w:p w14:paraId="737407F9" w14:textId="77777777" w:rsidR="00D10951" w:rsidRPr="00235592" w:rsidRDefault="00D10951" w:rsidP="00D10951">
      <w:pPr>
        <w:rPr>
          <w:rStyle w:val="ECCParagraph"/>
        </w:rPr>
      </w:pPr>
    </w:p>
    <w:p w14:paraId="4562DD4F" w14:textId="77777777" w:rsidR="00D10951" w:rsidRPr="003E543E" w:rsidRDefault="00D10951" w:rsidP="00D10951">
      <w:pPr>
        <w:pStyle w:val="ECCBreak"/>
      </w:pPr>
      <w:r w:rsidRPr="003E543E">
        <w:t>SFCG (date of proposal)</w:t>
      </w:r>
    </w:p>
    <w:p w14:paraId="7CD0F14B" w14:textId="77777777" w:rsidR="00D10951" w:rsidRPr="00235592" w:rsidRDefault="00D10951" w:rsidP="00D10951">
      <w:pPr>
        <w:rPr>
          <w:rStyle w:val="ECCParagraph"/>
        </w:rPr>
      </w:pPr>
    </w:p>
    <w:p w14:paraId="76C5C307" w14:textId="77777777" w:rsidR="00D10951" w:rsidRPr="003E543E" w:rsidRDefault="00D10951" w:rsidP="00D10951">
      <w:pPr>
        <w:pStyle w:val="ECCBreak"/>
      </w:pPr>
      <w:r w:rsidRPr="003E543E">
        <w:t>WMO and EUMETNET (date of proposal)</w:t>
      </w:r>
    </w:p>
    <w:p w14:paraId="1BD7DC41" w14:textId="77777777" w:rsidR="00D10951" w:rsidRPr="00235592" w:rsidRDefault="00D10951" w:rsidP="00D10951">
      <w:pPr>
        <w:rPr>
          <w:rStyle w:val="ECCParagraph"/>
        </w:rPr>
      </w:pPr>
    </w:p>
    <w:p w14:paraId="43297511" w14:textId="77777777" w:rsidR="00D10951" w:rsidRPr="00D10951" w:rsidRDefault="00D10951" w:rsidP="00D10951">
      <w:pPr>
        <w:pStyle w:val="berschrift2"/>
      </w:pPr>
      <w:r w:rsidRPr="003E543E">
        <w:t>Regional organisations</w:t>
      </w:r>
    </w:p>
    <w:p w14:paraId="287CE3A5" w14:textId="77777777" w:rsidR="00D10951" w:rsidRPr="003E543E" w:rsidRDefault="00D10951" w:rsidP="00D10951">
      <w:pPr>
        <w:pStyle w:val="ECCBreak"/>
      </w:pPr>
      <w:r w:rsidRPr="003E543E">
        <w:t>ESA (date of proposal)</w:t>
      </w:r>
    </w:p>
    <w:p w14:paraId="5A35FBF1" w14:textId="77777777" w:rsidR="00D10951" w:rsidRPr="00235592" w:rsidRDefault="00D10951" w:rsidP="00D10951">
      <w:pPr>
        <w:rPr>
          <w:rStyle w:val="ECCParagraph"/>
        </w:rPr>
      </w:pPr>
    </w:p>
    <w:p w14:paraId="640F45EF" w14:textId="77777777" w:rsidR="00D10951" w:rsidRPr="003E543E" w:rsidRDefault="00D10951" w:rsidP="00D10951">
      <w:pPr>
        <w:pStyle w:val="ECCBreak"/>
      </w:pPr>
      <w:r w:rsidRPr="003E543E">
        <w:t>Eurocontrol (date of proposal)</w:t>
      </w:r>
    </w:p>
    <w:p w14:paraId="38FAC58E" w14:textId="77777777" w:rsidR="00D10951" w:rsidRPr="00235592" w:rsidRDefault="00D10951" w:rsidP="00D10951">
      <w:pPr>
        <w:rPr>
          <w:rStyle w:val="ECCParagraph"/>
        </w:rPr>
      </w:pPr>
    </w:p>
    <w:p w14:paraId="0779A95D" w14:textId="77777777" w:rsidR="00D10951" w:rsidRPr="00D10951" w:rsidRDefault="00D10951" w:rsidP="00D10951">
      <w:pPr>
        <w:pStyle w:val="berschrift2"/>
      </w:pPr>
      <w:r w:rsidRPr="003E543E">
        <w:t>OTHER INTERNATIONAL AND REGIONAL ORGANISATIONS</w:t>
      </w:r>
    </w:p>
    <w:p w14:paraId="616300EB" w14:textId="77777777" w:rsidR="00D10951" w:rsidRPr="003E543E" w:rsidRDefault="00D10951" w:rsidP="00D10951">
      <w:pPr>
        <w:pStyle w:val="ECCBreak"/>
      </w:pPr>
      <w:r w:rsidRPr="003E543E">
        <w:t>EBU (date of proposal)</w:t>
      </w:r>
    </w:p>
    <w:p w14:paraId="2E2710B0" w14:textId="77777777" w:rsidR="00D10951" w:rsidRPr="00235592" w:rsidRDefault="00D10951" w:rsidP="00D10951">
      <w:pPr>
        <w:rPr>
          <w:rStyle w:val="ECCParagraph"/>
        </w:rPr>
      </w:pPr>
    </w:p>
    <w:p w14:paraId="2BB7F732" w14:textId="77777777" w:rsidR="00D10951" w:rsidRPr="003E543E" w:rsidRDefault="00D10951" w:rsidP="00D10951">
      <w:pPr>
        <w:pStyle w:val="ECCBreak"/>
      </w:pPr>
      <w:r w:rsidRPr="003E543E">
        <w:t>GSMA (date of proposal)</w:t>
      </w:r>
    </w:p>
    <w:p w14:paraId="4B93090A" w14:textId="77777777" w:rsidR="00D10951" w:rsidRPr="00235592" w:rsidRDefault="00D10951" w:rsidP="00D10951">
      <w:pPr>
        <w:rPr>
          <w:rStyle w:val="ECCParagraph"/>
        </w:rPr>
      </w:pPr>
    </w:p>
    <w:p w14:paraId="62CE903C" w14:textId="77777777" w:rsidR="00D10951" w:rsidRPr="003E543E" w:rsidRDefault="00D10951" w:rsidP="00D10951">
      <w:pPr>
        <w:pStyle w:val="ECCBreak"/>
      </w:pPr>
      <w:r w:rsidRPr="003E543E">
        <w:t>CRAF (date of proposal)</w:t>
      </w:r>
    </w:p>
    <w:p w14:paraId="29803234" w14:textId="77777777" w:rsidR="00D10951" w:rsidRPr="00235592" w:rsidRDefault="00D10951" w:rsidP="00D10951">
      <w:pPr>
        <w:rPr>
          <w:rStyle w:val="ECCParagraph"/>
        </w:rPr>
      </w:pPr>
    </w:p>
    <w:p w14:paraId="3612B7A7" w14:textId="77777777" w:rsidR="00D10951" w:rsidRPr="00235592" w:rsidRDefault="00D10951" w:rsidP="00D10951">
      <w:pPr>
        <w:rPr>
          <w:rStyle w:val="ECCParagraph"/>
        </w:rPr>
      </w:pPr>
    </w:p>
    <w:p w14:paraId="22B6C8C6" w14:textId="5DB26E75" w:rsidR="00324787" w:rsidRPr="00B3700C" w:rsidRDefault="00D10951" w:rsidP="00D10951">
      <w:pPr>
        <w:pStyle w:val="ECCHeadingnonumbering"/>
      </w:pPr>
      <w:r w:rsidRPr="00B3700C">
        <w:t xml:space="preserve"> </w:t>
      </w:r>
    </w:p>
    <w:p w14:paraId="594128F9" w14:textId="77777777" w:rsidR="003771D5" w:rsidRPr="00235592" w:rsidRDefault="003771D5" w:rsidP="00BD4E12">
      <w:pPr>
        <w:rPr>
          <w:rStyle w:val="ECCParagraph"/>
        </w:rPr>
      </w:pPr>
    </w:p>
    <w:sectPr w:rsidR="003771D5" w:rsidRPr="00235592"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AC834" w14:textId="77777777" w:rsidR="00324787" w:rsidRDefault="00324787" w:rsidP="00D0121B">
      <w:r>
        <w:separator/>
      </w:r>
    </w:p>
    <w:p w14:paraId="59BF68AD" w14:textId="77777777" w:rsidR="00324787" w:rsidRDefault="00324787"/>
    <w:p w14:paraId="1F1FA35F" w14:textId="77777777" w:rsidR="00324787" w:rsidRDefault="00324787"/>
  </w:endnote>
  <w:endnote w:type="continuationSeparator" w:id="0">
    <w:p w14:paraId="5B2DAEE2" w14:textId="77777777" w:rsidR="00324787" w:rsidRDefault="00324787" w:rsidP="00D0121B">
      <w:r>
        <w:continuationSeparator/>
      </w:r>
    </w:p>
    <w:p w14:paraId="029AFD01" w14:textId="77777777" w:rsidR="00324787" w:rsidRDefault="00324787"/>
    <w:p w14:paraId="0EE8CE3B" w14:textId="77777777" w:rsidR="00324787" w:rsidRDefault="00324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A86E4" w14:textId="77777777" w:rsidR="00324787" w:rsidRDefault="00324787">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D6DB3" w14:textId="77777777" w:rsidR="00324787" w:rsidRDefault="00324787">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93BDB" w14:textId="77777777" w:rsidR="00324787" w:rsidRDefault="00324787">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2BF3E" w14:textId="77777777" w:rsidR="00324787" w:rsidRPr="00C77ABB" w:rsidRDefault="00324787" w:rsidP="00C77ABB">
      <w:pPr>
        <w:pStyle w:val="Funotentext"/>
      </w:pPr>
      <w:r w:rsidRPr="00C77ABB">
        <w:separator/>
      </w:r>
    </w:p>
  </w:footnote>
  <w:footnote w:type="continuationSeparator" w:id="0">
    <w:p w14:paraId="4BFF3E90" w14:textId="77777777" w:rsidR="00324787" w:rsidRPr="00C77ABB" w:rsidRDefault="00324787" w:rsidP="00C77ABB">
      <w:pPr>
        <w:pStyle w:val="Funoten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63910" w14:textId="702B55BD" w:rsidR="00E06B29" w:rsidRPr="00CF2EC7" w:rsidRDefault="003771D5" w:rsidP="003A68D5">
    <w:pPr>
      <w:pStyle w:val="ECCpageHeader"/>
      <w:rPr>
        <w:lang w:val="en-US"/>
      </w:rPr>
    </w:pPr>
    <w:r w:rsidRPr="00CF2EC7">
      <w:rPr>
        <w:lang w:val="en-US"/>
      </w:rPr>
      <w:t xml:space="preserve">Draft CEPT Brief on AI </w:t>
    </w:r>
    <w:r w:rsidR="00D10951">
      <w:t>9.1 Issue 9.1.2</w:t>
    </w:r>
    <w:r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0138E3">
      <w:rPr>
        <w:noProof/>
        <w:lang w:val="en-US"/>
      </w:rPr>
      <w:t>4</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0BDD3" w14:textId="4DAD0C85" w:rsidR="00E06B29" w:rsidRPr="00CF2EC7" w:rsidRDefault="00D904D5" w:rsidP="003A68D5">
    <w:pPr>
      <w:pStyle w:val="ECCpageHeader"/>
      <w:rPr>
        <w:lang w:val="en-US"/>
      </w:rPr>
    </w:pPr>
    <w:r>
      <w:tab/>
    </w:r>
    <w:r>
      <w:tab/>
    </w:r>
    <w:r w:rsidR="002D6680" w:rsidRPr="00CF2EC7">
      <w:rPr>
        <w:lang w:val="en-US"/>
      </w:rPr>
      <w:t xml:space="preserve">Draft CEPT Brief on AI </w:t>
    </w:r>
    <w:r w:rsidR="00D10951">
      <w:t>9.</w:t>
    </w:r>
    <w:r w:rsidR="00324787">
      <w:t>1</w:t>
    </w:r>
    <w:r w:rsidR="00D10951">
      <w:t xml:space="preserve"> Issue 9.1.2</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0138E3">
      <w:rPr>
        <w:noProof/>
        <w:lang w:val="en-US"/>
      </w:rPr>
      <w:t>3</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E770B" w14:textId="77777777" w:rsidR="005C10EB" w:rsidRDefault="003771D5" w:rsidP="003A68D5">
    <w:pPr>
      <w:pStyle w:val="ECCpageHeader"/>
    </w:pPr>
    <w:r w:rsidRPr="008742E3">
      <w:rPr>
        <w:noProof/>
        <w:lang w:val="de-DE" w:eastAsia="de-DE"/>
      </w:rPr>
      <w:drawing>
        <wp:inline distT="0" distB="0" distL="0" distR="0" wp14:anchorId="23996A41" wp14:editId="4F8E0AB1">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173D024B" wp14:editId="1A8DB07E">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7419AC85" w14:textId="77777777"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9"/>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10241">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87"/>
    <w:rsid w:val="000138E3"/>
    <w:rsid w:val="00041A18"/>
    <w:rsid w:val="00052CAE"/>
    <w:rsid w:val="000611F2"/>
    <w:rsid w:val="00061762"/>
    <w:rsid w:val="00062CB1"/>
    <w:rsid w:val="000660F5"/>
    <w:rsid w:val="00067793"/>
    <w:rsid w:val="000701A5"/>
    <w:rsid w:val="00080D4D"/>
    <w:rsid w:val="00082DD7"/>
    <w:rsid w:val="00095620"/>
    <w:rsid w:val="00097D7A"/>
    <w:rsid w:val="000A29BC"/>
    <w:rsid w:val="000A3940"/>
    <w:rsid w:val="000A6285"/>
    <w:rsid w:val="000B2156"/>
    <w:rsid w:val="000B5026"/>
    <w:rsid w:val="000C028F"/>
    <w:rsid w:val="000C5CB6"/>
    <w:rsid w:val="000D1710"/>
    <w:rsid w:val="000D7A37"/>
    <w:rsid w:val="000E42F5"/>
    <w:rsid w:val="000E4820"/>
    <w:rsid w:val="000F0594"/>
    <w:rsid w:val="000F1620"/>
    <w:rsid w:val="000F24F5"/>
    <w:rsid w:val="000F3F0B"/>
    <w:rsid w:val="001006CA"/>
    <w:rsid w:val="00100F8B"/>
    <w:rsid w:val="0017456E"/>
    <w:rsid w:val="00183FE0"/>
    <w:rsid w:val="0018553F"/>
    <w:rsid w:val="001D15AA"/>
    <w:rsid w:val="001D334F"/>
    <w:rsid w:val="0020079A"/>
    <w:rsid w:val="0020250F"/>
    <w:rsid w:val="00220194"/>
    <w:rsid w:val="00226070"/>
    <w:rsid w:val="00235592"/>
    <w:rsid w:val="00236978"/>
    <w:rsid w:val="002620A2"/>
    <w:rsid w:val="00273354"/>
    <w:rsid w:val="00274F84"/>
    <w:rsid w:val="0028060B"/>
    <w:rsid w:val="0028120C"/>
    <w:rsid w:val="00293920"/>
    <w:rsid w:val="00295827"/>
    <w:rsid w:val="00295F16"/>
    <w:rsid w:val="002C5C63"/>
    <w:rsid w:val="002D1FA9"/>
    <w:rsid w:val="002D50A3"/>
    <w:rsid w:val="002D6680"/>
    <w:rsid w:val="002E786C"/>
    <w:rsid w:val="002F1E6A"/>
    <w:rsid w:val="003031DA"/>
    <w:rsid w:val="00307A79"/>
    <w:rsid w:val="00322E6A"/>
    <w:rsid w:val="00324787"/>
    <w:rsid w:val="003314A0"/>
    <w:rsid w:val="003419EF"/>
    <w:rsid w:val="00361E54"/>
    <w:rsid w:val="00370A0C"/>
    <w:rsid w:val="003771D5"/>
    <w:rsid w:val="0038358E"/>
    <w:rsid w:val="00391A01"/>
    <w:rsid w:val="003A5711"/>
    <w:rsid w:val="003A68D5"/>
    <w:rsid w:val="003B7070"/>
    <w:rsid w:val="003C64D9"/>
    <w:rsid w:val="003E70E0"/>
    <w:rsid w:val="00403CE6"/>
    <w:rsid w:val="004074CC"/>
    <w:rsid w:val="004110CA"/>
    <w:rsid w:val="0042509E"/>
    <w:rsid w:val="00443482"/>
    <w:rsid w:val="00443912"/>
    <w:rsid w:val="00446E3E"/>
    <w:rsid w:val="00450308"/>
    <w:rsid w:val="00457AD1"/>
    <w:rsid w:val="00462633"/>
    <w:rsid w:val="0046427F"/>
    <w:rsid w:val="00470D4B"/>
    <w:rsid w:val="00474DC4"/>
    <w:rsid w:val="00485307"/>
    <w:rsid w:val="00491977"/>
    <w:rsid w:val="0049491B"/>
    <w:rsid w:val="004A1329"/>
    <w:rsid w:val="004A511D"/>
    <w:rsid w:val="004C4A2E"/>
    <w:rsid w:val="004D5EA3"/>
    <w:rsid w:val="004E44C8"/>
    <w:rsid w:val="004E53BE"/>
    <w:rsid w:val="004F16F4"/>
    <w:rsid w:val="004F3F81"/>
    <w:rsid w:val="004F6CA7"/>
    <w:rsid w:val="005028D4"/>
    <w:rsid w:val="00535050"/>
    <w:rsid w:val="00536F3C"/>
    <w:rsid w:val="0054260E"/>
    <w:rsid w:val="00550D79"/>
    <w:rsid w:val="005559AC"/>
    <w:rsid w:val="00557B5A"/>
    <w:rsid w:val="005611D0"/>
    <w:rsid w:val="00571A40"/>
    <w:rsid w:val="005736B2"/>
    <w:rsid w:val="0057797A"/>
    <w:rsid w:val="005817E4"/>
    <w:rsid w:val="00594186"/>
    <w:rsid w:val="005A53B8"/>
    <w:rsid w:val="005B12CB"/>
    <w:rsid w:val="005C10EB"/>
    <w:rsid w:val="005D371D"/>
    <w:rsid w:val="005E7495"/>
    <w:rsid w:val="00621C12"/>
    <w:rsid w:val="00635A22"/>
    <w:rsid w:val="00642083"/>
    <w:rsid w:val="0065550D"/>
    <w:rsid w:val="00665364"/>
    <w:rsid w:val="0068085F"/>
    <w:rsid w:val="006876A8"/>
    <w:rsid w:val="00687B43"/>
    <w:rsid w:val="006A49E3"/>
    <w:rsid w:val="006B1EFD"/>
    <w:rsid w:val="006C454C"/>
    <w:rsid w:val="006C5C1C"/>
    <w:rsid w:val="006E4888"/>
    <w:rsid w:val="006F0442"/>
    <w:rsid w:val="007023A3"/>
    <w:rsid w:val="00703FC0"/>
    <w:rsid w:val="007160BE"/>
    <w:rsid w:val="00721539"/>
    <w:rsid w:val="00722F65"/>
    <w:rsid w:val="00726836"/>
    <w:rsid w:val="00734A4F"/>
    <w:rsid w:val="00762BCC"/>
    <w:rsid w:val="00763BA3"/>
    <w:rsid w:val="00765B66"/>
    <w:rsid w:val="00767BB2"/>
    <w:rsid w:val="00780376"/>
    <w:rsid w:val="00791AAC"/>
    <w:rsid w:val="0079410C"/>
    <w:rsid w:val="00797D4C"/>
    <w:rsid w:val="007B52C8"/>
    <w:rsid w:val="007C0E7E"/>
    <w:rsid w:val="007C5A3B"/>
    <w:rsid w:val="007D17C5"/>
    <w:rsid w:val="007D52EC"/>
    <w:rsid w:val="007F1CEE"/>
    <w:rsid w:val="008062AC"/>
    <w:rsid w:val="00817826"/>
    <w:rsid w:val="00837537"/>
    <w:rsid w:val="0086094D"/>
    <w:rsid w:val="00872382"/>
    <w:rsid w:val="008742E3"/>
    <w:rsid w:val="008A1315"/>
    <w:rsid w:val="008A38A9"/>
    <w:rsid w:val="008A54FC"/>
    <w:rsid w:val="008B70CD"/>
    <w:rsid w:val="008B7CE5"/>
    <w:rsid w:val="008E6109"/>
    <w:rsid w:val="009170EA"/>
    <w:rsid w:val="00917D1C"/>
    <w:rsid w:val="0092076F"/>
    <w:rsid w:val="00927833"/>
    <w:rsid w:val="00930439"/>
    <w:rsid w:val="00930BDF"/>
    <w:rsid w:val="00937FE5"/>
    <w:rsid w:val="009434C3"/>
    <w:rsid w:val="00947A5A"/>
    <w:rsid w:val="009770CA"/>
    <w:rsid w:val="00986677"/>
    <w:rsid w:val="0099421C"/>
    <w:rsid w:val="009B0A78"/>
    <w:rsid w:val="009D3496"/>
    <w:rsid w:val="009D4BA1"/>
    <w:rsid w:val="009D7D5A"/>
    <w:rsid w:val="009E47EB"/>
    <w:rsid w:val="009E6DC3"/>
    <w:rsid w:val="009F0B56"/>
    <w:rsid w:val="009F3A37"/>
    <w:rsid w:val="00A02090"/>
    <w:rsid w:val="00A076B5"/>
    <w:rsid w:val="00A23870"/>
    <w:rsid w:val="00A31525"/>
    <w:rsid w:val="00A43BD3"/>
    <w:rsid w:val="00A73298"/>
    <w:rsid w:val="00A95ACB"/>
    <w:rsid w:val="00A95DD6"/>
    <w:rsid w:val="00A97942"/>
    <w:rsid w:val="00AA079B"/>
    <w:rsid w:val="00AA086A"/>
    <w:rsid w:val="00AB1C16"/>
    <w:rsid w:val="00AB2EA8"/>
    <w:rsid w:val="00AB3C46"/>
    <w:rsid w:val="00AD7257"/>
    <w:rsid w:val="00AE372A"/>
    <w:rsid w:val="00AF2D0C"/>
    <w:rsid w:val="00B2563E"/>
    <w:rsid w:val="00B3042F"/>
    <w:rsid w:val="00B30D3B"/>
    <w:rsid w:val="00B3700C"/>
    <w:rsid w:val="00B432D4"/>
    <w:rsid w:val="00B453ED"/>
    <w:rsid w:val="00B460E4"/>
    <w:rsid w:val="00B576D7"/>
    <w:rsid w:val="00B80892"/>
    <w:rsid w:val="00B82735"/>
    <w:rsid w:val="00B92861"/>
    <w:rsid w:val="00BA2E30"/>
    <w:rsid w:val="00BA524C"/>
    <w:rsid w:val="00BA7A69"/>
    <w:rsid w:val="00BC3CA5"/>
    <w:rsid w:val="00BD28DF"/>
    <w:rsid w:val="00BD4E12"/>
    <w:rsid w:val="00BD7669"/>
    <w:rsid w:val="00BE2864"/>
    <w:rsid w:val="00BF3831"/>
    <w:rsid w:val="00C0561A"/>
    <w:rsid w:val="00C076BF"/>
    <w:rsid w:val="00C10C10"/>
    <w:rsid w:val="00C27F02"/>
    <w:rsid w:val="00C33A7C"/>
    <w:rsid w:val="00C44519"/>
    <w:rsid w:val="00C504F4"/>
    <w:rsid w:val="00C57E85"/>
    <w:rsid w:val="00C65BB4"/>
    <w:rsid w:val="00C77ABB"/>
    <w:rsid w:val="00C8071C"/>
    <w:rsid w:val="00C816CB"/>
    <w:rsid w:val="00C82461"/>
    <w:rsid w:val="00CA07CC"/>
    <w:rsid w:val="00CA4FCE"/>
    <w:rsid w:val="00CA5F8F"/>
    <w:rsid w:val="00CC5A6F"/>
    <w:rsid w:val="00CE271A"/>
    <w:rsid w:val="00CE6FF5"/>
    <w:rsid w:val="00CF2EC7"/>
    <w:rsid w:val="00CF5245"/>
    <w:rsid w:val="00D0121B"/>
    <w:rsid w:val="00D04BA8"/>
    <w:rsid w:val="00D06479"/>
    <w:rsid w:val="00D06CA9"/>
    <w:rsid w:val="00D076EE"/>
    <w:rsid w:val="00D07B1A"/>
    <w:rsid w:val="00D10951"/>
    <w:rsid w:val="00D24CD0"/>
    <w:rsid w:val="00D30E46"/>
    <w:rsid w:val="00D50AC8"/>
    <w:rsid w:val="00D53EEF"/>
    <w:rsid w:val="00D904D5"/>
    <w:rsid w:val="00DA0026"/>
    <w:rsid w:val="00DA444C"/>
    <w:rsid w:val="00DD6CE9"/>
    <w:rsid w:val="00DF2C67"/>
    <w:rsid w:val="00DF3AE2"/>
    <w:rsid w:val="00DF7D21"/>
    <w:rsid w:val="00E059C5"/>
    <w:rsid w:val="00E06B29"/>
    <w:rsid w:val="00E06C22"/>
    <w:rsid w:val="00E26BAC"/>
    <w:rsid w:val="00E4781B"/>
    <w:rsid w:val="00E51F8B"/>
    <w:rsid w:val="00E60351"/>
    <w:rsid w:val="00E71AE7"/>
    <w:rsid w:val="00E752E6"/>
    <w:rsid w:val="00E97060"/>
    <w:rsid w:val="00EA6088"/>
    <w:rsid w:val="00EC1A2C"/>
    <w:rsid w:val="00F10520"/>
    <w:rsid w:val="00F10E1F"/>
    <w:rsid w:val="00F212EB"/>
    <w:rsid w:val="00F268C0"/>
    <w:rsid w:val="00F465D3"/>
    <w:rsid w:val="00F569C9"/>
    <w:rsid w:val="00F56F06"/>
    <w:rsid w:val="00F73815"/>
    <w:rsid w:val="00F7770D"/>
    <w:rsid w:val="00F85984"/>
    <w:rsid w:val="00F868C9"/>
    <w:rsid w:val="00F93115"/>
    <w:rsid w:val="00F97DAD"/>
    <w:rsid w:val="00FA5792"/>
    <w:rsid w:val="00FA5B5D"/>
    <w:rsid w:val="00FA63DC"/>
    <w:rsid w:val="00FB200D"/>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7b6c58,#887e6e,#b0a696"/>
    </o:shapedefaults>
    <o:shapelayout v:ext="edit">
      <o:idmap v:ext="edit" data="1"/>
    </o:shapelayout>
  </w:shapeDefaults>
  <w:decimalSymbol w:val=","/>
  <w:listSeparator w:val=";"/>
  <w14:docId w14:val="1E91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ALTS FOOTNOTE,Footnote Text Char1,Footnote Text Char Char1,Footnote Text Char4 Char Char,Footnote Text Char1 Char1 Char1 Char,Footnote Text Char Char1 Char1 Char Char,Footnote Text Char1 Char1 Char1 Char Char Char1,DNV-FT,DN"/>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ALTS FOOTNOTE Zchn,Footnote Text Char1 Zchn,Footnote Text Char Char1 Zchn,Footnote Text Char4 Char Char Zchn,Footnote Text Char1 Char1 Char1 Char Zchn,Footnote Text Char Char1 Char1 Char Char Zchn,DNV-FT Zchn,DN Zchn"/>
    <w:basedOn w:val="Absatz-Standardschriftart"/>
    <w:link w:val="Funotentext"/>
    <w:rsid w:val="009F0B56"/>
    <w:rPr>
      <w:rFonts w:eastAsia="Calibri"/>
      <w:sz w:val="16"/>
      <w:szCs w:val="16"/>
      <w14:cntxtAlts/>
    </w:rPr>
  </w:style>
  <w:style w:type="character" w:styleId="Funotenzeichen">
    <w:name w:val="footnote reference"/>
    <w:aliases w:val="ECC Footnote number,Appel note de bas de p,Footnote Reference/,Footnote symbol,Style 12,(NECG) Footnote Reference,Style 124,o,fr,Style 13,FR,Style 17,Style 3,Appel note de bas de p + 11 pt,Italic,Appel note de bas de p1"/>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324787"/>
    <w:pPr>
      <w:tabs>
        <w:tab w:val="center" w:pos="4513"/>
        <w:tab w:val="right" w:pos="9026"/>
      </w:tabs>
      <w:spacing w:before="0" w:after="0"/>
    </w:pPr>
  </w:style>
  <w:style w:type="character" w:customStyle="1" w:styleId="FuzeileZchn">
    <w:name w:val="Fußzeile Zchn"/>
    <w:basedOn w:val="Absatz-Standardschriftart"/>
    <w:link w:val="Fuzeile"/>
    <w:uiPriority w:val="99"/>
    <w:semiHidden/>
    <w:rsid w:val="00324787"/>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ALTS FOOTNOTE,Footnote Text Char1,Footnote Text Char Char1,Footnote Text Char4 Char Char,Footnote Text Char1 Char1 Char1 Char,Footnote Text Char Char1 Char1 Char Char,Footnote Text Char1 Char1 Char1 Char Char Char1,DNV-FT,DN"/>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ALTS FOOTNOTE Zchn,Footnote Text Char1 Zchn,Footnote Text Char Char1 Zchn,Footnote Text Char4 Char Char Zchn,Footnote Text Char1 Char1 Char1 Char Zchn,Footnote Text Char Char1 Char1 Char Char Zchn,DNV-FT Zchn,DN Zchn"/>
    <w:basedOn w:val="Absatz-Standardschriftart"/>
    <w:link w:val="Funotentext"/>
    <w:rsid w:val="009F0B56"/>
    <w:rPr>
      <w:rFonts w:eastAsia="Calibri"/>
      <w:sz w:val="16"/>
      <w:szCs w:val="16"/>
      <w14:cntxtAlts/>
    </w:rPr>
  </w:style>
  <w:style w:type="character" w:styleId="Funotenzeichen">
    <w:name w:val="footnote reference"/>
    <w:aliases w:val="ECC Footnote number,Appel note de bas de p,Footnote Reference/,Footnote symbol,Style 12,(NECG) Footnote Reference,Style 124,o,fr,Style 13,FR,Style 17,Style 3,Appel note de bas de p + 11 pt,Italic,Appel note de bas de p1"/>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324787"/>
    <w:pPr>
      <w:tabs>
        <w:tab w:val="center" w:pos="4513"/>
        <w:tab w:val="right" w:pos="9026"/>
      </w:tabs>
      <w:spacing w:before="0" w:after="0"/>
    </w:pPr>
  </w:style>
  <w:style w:type="character" w:customStyle="1" w:styleId="FuzeileZchn">
    <w:name w:val="Fußzeile Zchn"/>
    <w:basedOn w:val="Absatz-Standardschriftart"/>
    <w:link w:val="Fuzeile"/>
    <w:uiPriority w:val="99"/>
    <w:semiHidden/>
    <w:rsid w:val="00324787"/>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Green\Downloads\Template_Draft%20CEPT%20Brief%20on%20AI%20XX%20-%2011Aug2016%20(7).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463A-8EDB-49AA-A1CF-BA9843C4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 (7)</Template>
  <TotalTime>0</TotalTime>
  <Pages>4</Pages>
  <Words>463</Words>
  <Characters>2922</Characters>
  <Application>Microsoft Office Word</Application>
  <DocSecurity>0</DocSecurity>
  <Lines>24</Lines>
  <Paragraphs>6</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3379</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Steve Green</dc:creator>
  <cp:keywords>CEPT Brief</cp:keywords>
  <dc:description>Output CPG19-3</dc:description>
  <cp:lastModifiedBy>CPG</cp:lastModifiedBy>
  <cp:revision>2</cp:revision>
  <cp:lastPrinted>1901-01-01T00:00:00Z</cp:lastPrinted>
  <dcterms:created xsi:type="dcterms:W3CDTF">2017-03-25T03:08:00Z</dcterms:created>
  <dcterms:modified xsi:type="dcterms:W3CDTF">2017-03-25T03:08:00Z</dcterms:modified>
  <cp:category>protected templates</cp:category>
  <cp:contentStatus>Draft</cp:contentStatus>
</cp:coreProperties>
</file>