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Layout w:type="fixed"/>
        <w:tblCellMar>
          <w:left w:w="70" w:type="dxa"/>
          <w:right w:w="70" w:type="dxa"/>
        </w:tblCellMar>
        <w:tblLook w:val="0000" w:firstRow="0" w:lastRow="0" w:firstColumn="0" w:lastColumn="0" w:noHBand="0" w:noVBand="0"/>
      </w:tblPr>
      <w:tblGrid>
        <w:gridCol w:w="4482"/>
        <w:gridCol w:w="905"/>
        <w:gridCol w:w="3827"/>
      </w:tblGrid>
      <w:tr w:rsidR="00EC4026" w:rsidRPr="00EC4026" w:rsidTr="00BB4C3F">
        <w:trPr>
          <w:cantSplit/>
          <w:trHeight w:val="1843"/>
        </w:trPr>
        <w:tc>
          <w:tcPr>
            <w:tcW w:w="5387" w:type="dxa"/>
            <w:gridSpan w:val="2"/>
            <w:tcBorders>
              <w:top w:val="nil"/>
              <w:left w:val="nil"/>
              <w:bottom w:val="nil"/>
              <w:right w:val="nil"/>
            </w:tcBorders>
          </w:tcPr>
          <w:p w:rsidR="00EC4026" w:rsidRPr="00EC4026" w:rsidRDefault="00EC4026" w:rsidP="00EC4026">
            <w:pPr>
              <w:rPr>
                <w:b/>
              </w:rPr>
            </w:pPr>
            <w:r w:rsidRPr="00EC4026">
              <w:rPr>
                <w:b/>
                <w:noProof/>
                <w:lang w:eastAsia="en-GB"/>
              </w:rPr>
              <w:drawing>
                <wp:inline distT="0" distB="0" distL="0" distR="0" wp14:anchorId="0BAF0C0E" wp14:editId="556E3F0A">
                  <wp:extent cx="162877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8775" cy="838200"/>
                          </a:xfrm>
                          <a:prstGeom prst="rect">
                            <a:avLst/>
                          </a:prstGeom>
                          <a:noFill/>
                          <a:ln>
                            <a:noFill/>
                          </a:ln>
                        </pic:spPr>
                      </pic:pic>
                    </a:graphicData>
                  </a:graphic>
                </wp:inline>
              </w:drawing>
            </w:r>
          </w:p>
          <w:p w:rsidR="00EC4026" w:rsidRPr="00EC4026" w:rsidRDefault="00EC4026" w:rsidP="00EC4026">
            <w:pPr>
              <w:rPr>
                <w:b/>
              </w:rPr>
            </w:pPr>
          </w:p>
        </w:tc>
        <w:tc>
          <w:tcPr>
            <w:tcW w:w="3827" w:type="dxa"/>
            <w:tcBorders>
              <w:top w:val="nil"/>
              <w:left w:val="nil"/>
              <w:bottom w:val="nil"/>
              <w:right w:val="nil"/>
            </w:tcBorders>
          </w:tcPr>
          <w:p w:rsidR="00EC4026" w:rsidRPr="00EC4026" w:rsidRDefault="007639C3" w:rsidP="00EC4026">
            <w:pPr>
              <w:rPr>
                <w:b/>
              </w:rPr>
            </w:pPr>
            <w:r>
              <w:rPr>
                <w:b/>
              </w:rPr>
              <w:t>Doc. ECC/CPG15(13</w:t>
            </w:r>
            <w:r w:rsidR="00EC4026" w:rsidRPr="00EC4026">
              <w:rPr>
                <w:b/>
              </w:rPr>
              <w:t>)</w:t>
            </w:r>
            <w:r w:rsidR="00122C0D">
              <w:rPr>
                <w:b/>
              </w:rPr>
              <w:t>002</w:t>
            </w:r>
            <w:bookmarkStart w:id="0" w:name="_GoBack"/>
            <w:bookmarkEnd w:id="0"/>
          </w:p>
        </w:tc>
      </w:tr>
      <w:tr w:rsidR="00EC4026" w:rsidRPr="00EC4026" w:rsidTr="00BB4C3F">
        <w:tblPrEx>
          <w:tblCellMar>
            <w:left w:w="108" w:type="dxa"/>
            <w:right w:w="108" w:type="dxa"/>
          </w:tblCellMar>
        </w:tblPrEx>
        <w:trPr>
          <w:cantSplit/>
        </w:trPr>
        <w:tc>
          <w:tcPr>
            <w:tcW w:w="4482" w:type="dxa"/>
            <w:tcBorders>
              <w:top w:val="nil"/>
              <w:left w:val="nil"/>
              <w:bottom w:val="nil"/>
              <w:right w:val="nil"/>
            </w:tcBorders>
          </w:tcPr>
          <w:p w:rsidR="00EC4026" w:rsidRPr="00EC4026" w:rsidRDefault="007639C3" w:rsidP="00EC4026">
            <w:pPr>
              <w:rPr>
                <w:b/>
              </w:rPr>
            </w:pPr>
            <w:r>
              <w:rPr>
                <w:b/>
              </w:rPr>
              <w:t>CPG15 – 2</w:t>
            </w:r>
          </w:p>
          <w:p w:rsidR="00EC4026" w:rsidRPr="007639C3" w:rsidRDefault="007639C3" w:rsidP="00EC4026">
            <w:pPr>
              <w:rPr>
                <w:b/>
              </w:rPr>
            </w:pPr>
            <w:r>
              <w:rPr>
                <w:b/>
              </w:rPr>
              <w:t>Luxembourg, 22</w:t>
            </w:r>
            <w:r w:rsidR="00EC4026" w:rsidRPr="00EC4026">
              <w:rPr>
                <w:b/>
              </w:rPr>
              <w:t xml:space="preserve"> </w:t>
            </w:r>
            <w:r>
              <w:rPr>
                <w:b/>
              </w:rPr>
              <w:t>– 25 January 2013</w:t>
            </w:r>
          </w:p>
        </w:tc>
        <w:tc>
          <w:tcPr>
            <w:tcW w:w="4732" w:type="dxa"/>
            <w:gridSpan w:val="2"/>
            <w:tcBorders>
              <w:top w:val="nil"/>
              <w:left w:val="nil"/>
              <w:bottom w:val="nil"/>
              <w:right w:val="nil"/>
            </w:tcBorders>
          </w:tcPr>
          <w:p w:rsidR="00EC4026" w:rsidRPr="00EC4026" w:rsidRDefault="00EC4026" w:rsidP="00EC4026"/>
        </w:tc>
      </w:tr>
      <w:tr w:rsidR="00EC4026" w:rsidRPr="00EC4026" w:rsidTr="00B44F73">
        <w:tblPrEx>
          <w:tblCellMar>
            <w:left w:w="108" w:type="dxa"/>
            <w:right w:w="108" w:type="dxa"/>
          </w:tblCellMar>
        </w:tblPrEx>
        <w:trPr>
          <w:cantSplit/>
        </w:trPr>
        <w:tc>
          <w:tcPr>
            <w:tcW w:w="9214" w:type="dxa"/>
            <w:gridSpan w:val="3"/>
            <w:tcBorders>
              <w:top w:val="nil"/>
              <w:left w:val="nil"/>
              <w:bottom w:val="single" w:sz="4" w:space="0" w:color="auto"/>
              <w:right w:val="nil"/>
            </w:tcBorders>
          </w:tcPr>
          <w:p w:rsidR="00EC4026" w:rsidRPr="00EC4026" w:rsidRDefault="00EC4026" w:rsidP="00EC4026">
            <w:r w:rsidRPr="00EC4026">
              <w:rPr>
                <w:b/>
              </w:rPr>
              <w:t>Date issued:</w:t>
            </w:r>
            <w:r w:rsidRPr="00EC4026">
              <w:t xml:space="preserve">   </w:t>
            </w:r>
            <w:r w:rsidR="00D137EA">
              <w:t>18 December 201</w:t>
            </w:r>
            <w:r w:rsidR="007639C3">
              <w:t>2</w:t>
            </w:r>
            <w:r w:rsidRPr="00EC4026">
              <w:tab/>
            </w:r>
          </w:p>
          <w:p w:rsidR="00EC4026" w:rsidRPr="00EC4026" w:rsidRDefault="00EC4026" w:rsidP="00EC4026">
            <w:r w:rsidRPr="00EC4026">
              <w:rPr>
                <w:b/>
              </w:rPr>
              <w:t>Source:</w:t>
            </w:r>
            <w:r w:rsidRPr="00EC4026">
              <w:tab/>
            </w:r>
            <w:r w:rsidR="007639C3">
              <w:t>EUMETNET</w:t>
            </w:r>
          </w:p>
          <w:p w:rsidR="00EC4026" w:rsidRPr="00EC4026" w:rsidRDefault="00EC4026" w:rsidP="00EC4026">
            <w:r w:rsidRPr="00EC4026">
              <w:rPr>
                <w:b/>
              </w:rPr>
              <w:t>Subject:</w:t>
            </w:r>
            <w:r w:rsidRPr="00EC4026">
              <w:t xml:space="preserve"> </w:t>
            </w:r>
            <w:r w:rsidR="007639C3">
              <w:t xml:space="preserve">EUMETNET preliminary positions on WRC-15 agenda </w:t>
            </w:r>
          </w:p>
          <w:p w:rsidR="00EC4026" w:rsidRPr="00EC4026" w:rsidRDefault="00EC4026" w:rsidP="00EC4026"/>
          <w:p w:rsidR="007639C3" w:rsidRPr="00B44F73" w:rsidRDefault="00B44F73" w:rsidP="00EC4026">
            <w:pPr>
              <w:rPr>
                <w:b/>
              </w:rPr>
            </w:pPr>
            <w:r>
              <w:rPr>
                <w:b/>
              </w:rPr>
              <w:t xml:space="preserve">NOTA : </w:t>
            </w:r>
            <w:r w:rsidRPr="00B44F73">
              <w:rPr>
                <w:b/>
              </w:rPr>
              <w:t>This document is presented to CPG and its project teams, PTA, PTB, PTC and PTD</w:t>
            </w:r>
          </w:p>
        </w:tc>
      </w:tr>
      <w:tr w:rsidR="00B44F73" w:rsidRPr="000E5C90" w:rsidTr="00B44F73">
        <w:tblPrEx>
          <w:tblCellMar>
            <w:left w:w="108" w:type="dxa"/>
            <w:right w:w="108" w:type="dxa"/>
          </w:tblCellMar>
        </w:tblPrEx>
        <w:trPr>
          <w:cantSplit/>
        </w:trPr>
        <w:tc>
          <w:tcPr>
            <w:tcW w:w="9214" w:type="dxa"/>
            <w:gridSpan w:val="3"/>
            <w:tcBorders>
              <w:top w:val="single" w:sz="4" w:space="0" w:color="auto"/>
              <w:left w:val="single" w:sz="4" w:space="0" w:color="auto"/>
              <w:bottom w:val="nil"/>
              <w:right w:val="single" w:sz="4" w:space="0" w:color="auto"/>
            </w:tcBorders>
          </w:tcPr>
          <w:p w:rsidR="00B44F73" w:rsidRPr="00B44F73" w:rsidRDefault="00B44F73" w:rsidP="00B44F73">
            <w:pPr>
              <w:rPr>
                <w:b/>
              </w:rPr>
            </w:pPr>
            <w:r w:rsidRPr="00B44F73">
              <w:rPr>
                <w:b/>
              </w:rPr>
              <w:t xml:space="preserve">Summary: </w:t>
            </w:r>
          </w:p>
        </w:tc>
      </w:tr>
      <w:tr w:rsidR="00B44F73" w:rsidRPr="000E5C90" w:rsidTr="00B44F73">
        <w:tblPrEx>
          <w:tblCellMar>
            <w:left w:w="108" w:type="dxa"/>
            <w:right w:w="108" w:type="dxa"/>
          </w:tblCellMar>
        </w:tblPrEx>
        <w:trPr>
          <w:cantSplit/>
        </w:trPr>
        <w:tc>
          <w:tcPr>
            <w:tcW w:w="9214" w:type="dxa"/>
            <w:gridSpan w:val="3"/>
            <w:tcBorders>
              <w:top w:val="nil"/>
              <w:left w:val="single" w:sz="4" w:space="0" w:color="auto"/>
              <w:bottom w:val="single" w:sz="4" w:space="0" w:color="auto"/>
              <w:right w:val="single" w:sz="4" w:space="0" w:color="auto"/>
            </w:tcBorders>
          </w:tcPr>
          <w:p w:rsidR="00B44F73" w:rsidRPr="00B44F73" w:rsidRDefault="00B44F73" w:rsidP="00D20F24">
            <w:r w:rsidRPr="00D67FA3">
              <w:t>This document provides the EUMETNET preliminary positions on WRC-15 agenda items</w:t>
            </w:r>
          </w:p>
        </w:tc>
      </w:tr>
      <w:tr w:rsidR="00B44F73" w:rsidRPr="000E5C90" w:rsidTr="00B44F73">
        <w:tblPrEx>
          <w:tblCellMar>
            <w:left w:w="108" w:type="dxa"/>
            <w:right w:w="108" w:type="dxa"/>
          </w:tblCellMar>
        </w:tblPrEx>
        <w:trPr>
          <w:cantSplit/>
        </w:trPr>
        <w:tc>
          <w:tcPr>
            <w:tcW w:w="9214" w:type="dxa"/>
            <w:gridSpan w:val="3"/>
            <w:tcBorders>
              <w:top w:val="single" w:sz="4" w:space="0" w:color="auto"/>
              <w:left w:val="single" w:sz="4" w:space="0" w:color="auto"/>
              <w:bottom w:val="nil"/>
              <w:right w:val="single" w:sz="4" w:space="0" w:color="auto"/>
            </w:tcBorders>
          </w:tcPr>
          <w:p w:rsidR="00B44F73" w:rsidRPr="00B44F73" w:rsidRDefault="00B44F73" w:rsidP="00B44F73">
            <w:pPr>
              <w:rPr>
                <w:b/>
              </w:rPr>
            </w:pPr>
            <w:r w:rsidRPr="00B44F73">
              <w:rPr>
                <w:b/>
              </w:rPr>
              <w:t xml:space="preserve">Proposal: </w:t>
            </w:r>
          </w:p>
        </w:tc>
      </w:tr>
      <w:tr w:rsidR="00B44F73" w:rsidRPr="000E5C90" w:rsidTr="00B44F73">
        <w:tblPrEx>
          <w:tblCellMar>
            <w:left w:w="108" w:type="dxa"/>
            <w:right w:w="108" w:type="dxa"/>
          </w:tblCellMar>
        </w:tblPrEx>
        <w:trPr>
          <w:cantSplit/>
        </w:trPr>
        <w:tc>
          <w:tcPr>
            <w:tcW w:w="9214" w:type="dxa"/>
            <w:gridSpan w:val="3"/>
            <w:tcBorders>
              <w:top w:val="nil"/>
              <w:left w:val="single" w:sz="4" w:space="0" w:color="auto"/>
              <w:bottom w:val="single" w:sz="4" w:space="0" w:color="auto"/>
              <w:right w:val="single" w:sz="4" w:space="0" w:color="auto"/>
            </w:tcBorders>
          </w:tcPr>
          <w:p w:rsidR="00B53D76" w:rsidRDefault="00B44F73" w:rsidP="00B44F73">
            <w:r>
              <w:t xml:space="preserve">It is proposed that CPG and its project teams(PTA, PTB, PTC and PTD) </w:t>
            </w:r>
            <w:r w:rsidR="00B53D76">
              <w:t>duly consider t</w:t>
            </w:r>
            <w:r w:rsidRPr="00D67FA3">
              <w:t>h</w:t>
            </w:r>
            <w:r w:rsidR="00B53D76">
              <w:t>e EUMETNET positions during their discussions on the relevant agenda item (1.1; 1.5; 1.6; 1.10; 1.11; 1.12; 1.17; 9.1.1; 9.1.5).</w:t>
            </w:r>
          </w:p>
          <w:p w:rsidR="00B44F73" w:rsidRPr="00B44F73" w:rsidRDefault="00B44F73" w:rsidP="00B44F73">
            <w:pPr>
              <w:rPr>
                <w:b/>
              </w:rPr>
            </w:pPr>
            <w:r w:rsidRPr="00B44F73">
              <w:rPr>
                <w:b/>
              </w:rPr>
              <w:t xml:space="preserve"> </w:t>
            </w:r>
          </w:p>
        </w:tc>
      </w:tr>
      <w:tr w:rsidR="00B44F73" w:rsidRPr="000E5C90" w:rsidTr="00B44F73">
        <w:tblPrEx>
          <w:tblCellMar>
            <w:left w:w="108" w:type="dxa"/>
            <w:right w:w="108" w:type="dxa"/>
          </w:tblCellMar>
        </w:tblPrEx>
        <w:trPr>
          <w:cantSplit/>
        </w:trPr>
        <w:tc>
          <w:tcPr>
            <w:tcW w:w="9214" w:type="dxa"/>
            <w:gridSpan w:val="3"/>
            <w:tcBorders>
              <w:top w:val="single" w:sz="4" w:space="0" w:color="auto"/>
              <w:left w:val="single" w:sz="4" w:space="0" w:color="auto"/>
              <w:bottom w:val="nil"/>
              <w:right w:val="single" w:sz="4" w:space="0" w:color="auto"/>
            </w:tcBorders>
          </w:tcPr>
          <w:p w:rsidR="00B44F73" w:rsidRPr="00B44F73" w:rsidRDefault="00B44F73" w:rsidP="00B44F73">
            <w:pPr>
              <w:rPr>
                <w:b/>
              </w:rPr>
            </w:pPr>
            <w:r w:rsidRPr="00B44F73">
              <w:rPr>
                <w:b/>
              </w:rPr>
              <w:t>Background:</w:t>
            </w:r>
            <w:r w:rsidRPr="00B44F73">
              <w:rPr>
                <w:b/>
              </w:rPr>
              <w:tab/>
            </w:r>
          </w:p>
        </w:tc>
      </w:tr>
      <w:tr w:rsidR="00B44F73" w:rsidRPr="000E5C90" w:rsidTr="00B44F73">
        <w:tblPrEx>
          <w:tblCellMar>
            <w:left w:w="108" w:type="dxa"/>
            <w:right w:w="108" w:type="dxa"/>
          </w:tblCellMar>
        </w:tblPrEx>
        <w:trPr>
          <w:cantSplit/>
        </w:trPr>
        <w:tc>
          <w:tcPr>
            <w:tcW w:w="9214" w:type="dxa"/>
            <w:gridSpan w:val="3"/>
            <w:tcBorders>
              <w:top w:val="nil"/>
              <w:left w:val="single" w:sz="4" w:space="0" w:color="auto"/>
              <w:bottom w:val="single" w:sz="4" w:space="0" w:color="auto"/>
              <w:right w:val="single" w:sz="4" w:space="0" w:color="auto"/>
            </w:tcBorders>
          </w:tcPr>
          <w:p w:rsidR="00B44F73" w:rsidRDefault="00B53D76" w:rsidP="00D20F24">
            <w:r w:rsidRPr="00B53D76">
              <w:t xml:space="preserve">These positions </w:t>
            </w:r>
            <w:r w:rsidR="0048075A">
              <w:t xml:space="preserve">were developed within </w:t>
            </w:r>
            <w:r w:rsidR="00117AC0">
              <w:t>EUMETNET and adopted at the 9</w:t>
            </w:r>
            <w:r w:rsidR="00117AC0" w:rsidRPr="00485418">
              <w:rPr>
                <w:vertAlign w:val="superscript"/>
              </w:rPr>
              <w:t>th</w:t>
            </w:r>
            <w:r w:rsidR="00117AC0">
              <w:t xml:space="preserve"> EUMETNET Assembly (27-28 November, </w:t>
            </w:r>
            <w:proofErr w:type="spellStart"/>
            <w:r w:rsidR="00117AC0">
              <w:t>Brdo</w:t>
            </w:r>
            <w:proofErr w:type="spellEnd"/>
            <w:r w:rsidR="00117AC0">
              <w:t>,  Slovenia).</w:t>
            </w:r>
          </w:p>
          <w:p w:rsidR="00117AC0" w:rsidRPr="00FD5486" w:rsidRDefault="00117AC0" w:rsidP="00D20F24">
            <w:pPr>
              <w:rPr>
                <w:szCs w:val="20"/>
                <w:lang w:val="en-US"/>
              </w:rPr>
            </w:pPr>
            <w:r>
              <w:rPr>
                <w:szCs w:val="20"/>
                <w:lang w:val="en-US"/>
              </w:rPr>
              <w:t>EIG EUMETNET (</w:t>
            </w:r>
            <w:hyperlink r:id="rId7" w:history="1">
              <w:r w:rsidRPr="00E62769">
                <w:rPr>
                  <w:rStyle w:val="Hyperlink"/>
                  <w:szCs w:val="20"/>
                  <w:lang w:val="en-US"/>
                </w:rPr>
                <w:t>www.eumetnet.eu</w:t>
              </w:r>
            </w:hyperlink>
            <w:r>
              <w:rPr>
                <w:szCs w:val="20"/>
                <w:lang w:val="en-US"/>
              </w:rPr>
              <w:t xml:space="preserve">) is a grouping of 29 European National Meteorological Services from Austria, Belgium, </w:t>
            </w:r>
            <w:r w:rsidR="000B16CC">
              <w:rPr>
                <w:szCs w:val="20"/>
                <w:lang w:val="en-US"/>
              </w:rPr>
              <w:t xml:space="preserve">Croatia, </w:t>
            </w:r>
            <w:r>
              <w:rPr>
                <w:szCs w:val="20"/>
                <w:lang w:val="en-US"/>
              </w:rPr>
              <w:t xml:space="preserve">Cyprus, </w:t>
            </w:r>
            <w:r w:rsidR="000B16CC">
              <w:rPr>
                <w:szCs w:val="20"/>
                <w:lang w:val="en-US"/>
              </w:rPr>
              <w:t xml:space="preserve">Czech Republic, </w:t>
            </w:r>
            <w:r>
              <w:rPr>
                <w:szCs w:val="20"/>
                <w:lang w:val="en-US"/>
              </w:rPr>
              <w:t xml:space="preserve">Denmark, </w:t>
            </w:r>
            <w:r w:rsidR="000B16CC">
              <w:rPr>
                <w:szCs w:val="20"/>
                <w:lang w:val="en-US"/>
              </w:rPr>
              <w:t xml:space="preserve">Estonia, </w:t>
            </w:r>
            <w:r>
              <w:rPr>
                <w:szCs w:val="20"/>
                <w:lang w:val="en-US"/>
              </w:rPr>
              <w:t>Finland, France,</w:t>
            </w:r>
            <w:r w:rsidR="000B16CC">
              <w:rPr>
                <w:szCs w:val="20"/>
                <w:lang w:val="en-US"/>
              </w:rPr>
              <w:t xml:space="preserve"> FYROM,</w:t>
            </w:r>
            <w:r>
              <w:rPr>
                <w:szCs w:val="20"/>
                <w:lang w:val="en-US"/>
              </w:rPr>
              <w:t xml:space="preserve"> Germany, Greece, Hungary, Iceland, Ireland, Italy, Latvia, Luxembourg, </w:t>
            </w:r>
            <w:r w:rsidR="000B16CC">
              <w:rPr>
                <w:szCs w:val="20"/>
                <w:lang w:val="en-US"/>
              </w:rPr>
              <w:t xml:space="preserve">Montenegro, </w:t>
            </w:r>
            <w:r>
              <w:rPr>
                <w:szCs w:val="20"/>
                <w:lang w:val="en-US"/>
              </w:rPr>
              <w:t xml:space="preserve">Netherlands, Norway, </w:t>
            </w:r>
            <w:r w:rsidR="000B16CC">
              <w:rPr>
                <w:szCs w:val="20"/>
                <w:lang w:val="en-US"/>
              </w:rPr>
              <w:t xml:space="preserve">Poland, </w:t>
            </w:r>
            <w:r>
              <w:rPr>
                <w:szCs w:val="20"/>
                <w:lang w:val="en-US"/>
              </w:rPr>
              <w:t xml:space="preserve">Portugal, </w:t>
            </w:r>
            <w:r w:rsidR="000B16CC">
              <w:rPr>
                <w:szCs w:val="20"/>
                <w:lang w:val="en-US"/>
              </w:rPr>
              <w:t xml:space="preserve">Serbia, Slovenia, </w:t>
            </w:r>
            <w:r>
              <w:rPr>
                <w:szCs w:val="20"/>
                <w:lang w:val="en-US"/>
              </w:rPr>
              <w:t>Spain, Sweden, Switzerl</w:t>
            </w:r>
            <w:r w:rsidR="00FD5486">
              <w:rPr>
                <w:szCs w:val="20"/>
                <w:lang w:val="en-US"/>
              </w:rPr>
              <w:t>and and the United Kingdom and 5</w:t>
            </w:r>
            <w:r>
              <w:rPr>
                <w:szCs w:val="20"/>
                <w:lang w:val="en-US"/>
              </w:rPr>
              <w:t xml:space="preserve"> other </w:t>
            </w:r>
            <w:r w:rsidR="00FD5486">
              <w:rPr>
                <w:szCs w:val="20"/>
                <w:lang w:val="en-US"/>
              </w:rPr>
              <w:t xml:space="preserve">cooperating </w:t>
            </w:r>
            <w:r>
              <w:rPr>
                <w:szCs w:val="20"/>
                <w:lang w:val="en-US"/>
              </w:rPr>
              <w:t xml:space="preserve">countries, Bulgaria, </w:t>
            </w:r>
            <w:r w:rsidR="00FD5486">
              <w:rPr>
                <w:szCs w:val="20"/>
                <w:lang w:val="en-US"/>
              </w:rPr>
              <w:t>Lithuania, Malta, Romania and</w:t>
            </w:r>
            <w:r>
              <w:rPr>
                <w:szCs w:val="20"/>
                <w:lang w:val="en-US"/>
              </w:rPr>
              <w:t xml:space="preserve"> Slovak Republic</w:t>
            </w:r>
            <w:r w:rsidR="00FD5486">
              <w:rPr>
                <w:szCs w:val="20"/>
                <w:lang w:val="en-US"/>
              </w:rPr>
              <w:t>.</w:t>
            </w:r>
          </w:p>
        </w:tc>
      </w:tr>
    </w:tbl>
    <w:p w:rsidR="00212C75" w:rsidRDefault="00212C75"/>
    <w:p w:rsidR="007639C3" w:rsidRDefault="007639C3">
      <w:r>
        <w:br w:type="page"/>
      </w:r>
    </w:p>
    <w:p w:rsidR="007639C3" w:rsidRPr="0063207B" w:rsidRDefault="007639C3" w:rsidP="007639C3">
      <w:pPr>
        <w:jc w:val="center"/>
        <w:rPr>
          <w:rFonts w:asciiTheme="majorHAnsi" w:hAnsiTheme="majorHAnsi"/>
          <w:b/>
          <w:color w:val="365F91" w:themeColor="accent1" w:themeShade="BF"/>
          <w:sz w:val="24"/>
          <w:szCs w:val="24"/>
        </w:rPr>
      </w:pPr>
      <w:r w:rsidRPr="0063207B">
        <w:rPr>
          <w:rFonts w:asciiTheme="majorHAnsi" w:hAnsiTheme="majorHAnsi"/>
          <w:b/>
          <w:color w:val="365F91" w:themeColor="accent1" w:themeShade="BF"/>
          <w:sz w:val="24"/>
          <w:szCs w:val="24"/>
        </w:rPr>
        <w:lastRenderedPageBreak/>
        <w:t>World Radiocommunications Conference 2015 (WRC-15)</w:t>
      </w:r>
    </w:p>
    <w:p w:rsidR="007639C3" w:rsidRPr="00D67FA3" w:rsidRDefault="007639C3" w:rsidP="007639C3">
      <w:pPr>
        <w:jc w:val="center"/>
        <w:rPr>
          <w:rFonts w:asciiTheme="majorHAnsi" w:hAnsiTheme="majorHAnsi"/>
          <w:b/>
          <w:color w:val="365F91" w:themeColor="accent1" w:themeShade="BF"/>
          <w:sz w:val="24"/>
          <w:szCs w:val="24"/>
        </w:rPr>
      </w:pPr>
      <w:r w:rsidRPr="0063207B">
        <w:rPr>
          <w:rFonts w:asciiTheme="majorHAnsi" w:hAnsiTheme="majorHAnsi"/>
          <w:b/>
          <w:color w:val="365F91" w:themeColor="accent1" w:themeShade="BF"/>
          <w:sz w:val="24"/>
          <w:szCs w:val="24"/>
        </w:rPr>
        <w:t>EUMETNET preliminary positions (</w:t>
      </w:r>
      <w:r w:rsidR="00E73D14">
        <w:rPr>
          <w:rFonts w:asciiTheme="majorHAnsi" w:hAnsiTheme="majorHAnsi"/>
          <w:b/>
          <w:color w:val="365F91" w:themeColor="accent1" w:themeShade="BF"/>
          <w:sz w:val="24"/>
          <w:szCs w:val="24"/>
        </w:rPr>
        <w:t>28</w:t>
      </w:r>
      <w:r>
        <w:rPr>
          <w:rFonts w:asciiTheme="majorHAnsi" w:hAnsiTheme="majorHAnsi"/>
          <w:b/>
          <w:color w:val="365F91" w:themeColor="accent1" w:themeShade="BF"/>
          <w:sz w:val="24"/>
          <w:szCs w:val="24"/>
        </w:rPr>
        <w:t xml:space="preserve"> November</w:t>
      </w:r>
      <w:r w:rsidRPr="00D67FA3">
        <w:rPr>
          <w:rFonts w:asciiTheme="majorHAnsi" w:hAnsiTheme="majorHAnsi"/>
          <w:b/>
          <w:color w:val="365F91" w:themeColor="accent1" w:themeShade="BF"/>
          <w:sz w:val="24"/>
          <w:szCs w:val="24"/>
        </w:rPr>
        <w:t xml:space="preserve"> 2012)</w:t>
      </w:r>
    </w:p>
    <w:p w:rsidR="00E73D14" w:rsidRPr="00D67FA3" w:rsidRDefault="00E73D14" w:rsidP="00E73D14">
      <w:r>
        <w:t>Adopted at the 9</w:t>
      </w:r>
      <w:r w:rsidRPr="00485418">
        <w:rPr>
          <w:vertAlign w:val="superscript"/>
        </w:rPr>
        <w:t>th</w:t>
      </w:r>
      <w:r>
        <w:t xml:space="preserve"> EUMETNET Assembly (27-28 November, </w:t>
      </w:r>
      <w:proofErr w:type="spellStart"/>
      <w:r>
        <w:t>Brdo</w:t>
      </w:r>
      <w:proofErr w:type="spellEnd"/>
      <w:r>
        <w:t>,  Slovenia)</w:t>
      </w:r>
    </w:p>
    <w:p w:rsidR="007639C3" w:rsidRPr="00D67FA3" w:rsidRDefault="007639C3" w:rsidP="007639C3">
      <w:pPr>
        <w:pStyle w:val="Heading1"/>
      </w:pPr>
      <w:r w:rsidRPr="00D67FA3">
        <w:t>Introduction</w:t>
      </w:r>
    </w:p>
    <w:p w:rsidR="007639C3" w:rsidRPr="00D67FA3" w:rsidRDefault="007639C3" w:rsidP="007639C3">
      <w:pPr>
        <w:pStyle w:val="ListParagraph"/>
      </w:pPr>
      <w:r w:rsidRPr="00D67FA3">
        <w:t>This document provides the EUMETNET preliminary positions on WRC-15 agenda items and is aimed at providing support and guidance to EUMETNET members in their National preparations</w:t>
      </w:r>
      <w:r w:rsidR="00E73D14">
        <w:t xml:space="preserve"> as well as being presented in relevant outside forum such as the ECC/CPG</w:t>
      </w:r>
      <w:r w:rsidRPr="00D67FA3">
        <w:t>.</w:t>
      </w:r>
    </w:p>
    <w:p w:rsidR="007639C3" w:rsidRPr="00D67FA3" w:rsidRDefault="007639C3" w:rsidP="007639C3">
      <w:pPr>
        <w:pStyle w:val="ListParagraph"/>
      </w:pPr>
      <w:r>
        <w:t>Among WRC-15</w:t>
      </w:r>
      <w:r w:rsidRPr="00D67FA3">
        <w:t xml:space="preserve"> agenda items, 8 items concerned frequency bands or issues of prime interest/concern for Meteorology:</w:t>
      </w:r>
    </w:p>
    <w:p w:rsidR="007639C3" w:rsidRPr="00D67FA3" w:rsidRDefault="007639C3" w:rsidP="007639C3">
      <w:pPr>
        <w:pStyle w:val="Alinea"/>
        <w:ind w:left="851" w:hanging="491"/>
      </w:pPr>
      <w:r w:rsidRPr="00D67FA3">
        <w:rPr>
          <w:b/>
        </w:rPr>
        <w:t>agenda item 1.1</w:t>
      </w:r>
      <w:r w:rsidRPr="00D67FA3">
        <w:t xml:space="preserve"> :</w:t>
      </w:r>
      <w:r w:rsidRPr="00D67FA3">
        <w:tab/>
        <w:t>Mobile Broadband</w:t>
      </w:r>
    </w:p>
    <w:p w:rsidR="007639C3" w:rsidRPr="00D67FA3" w:rsidRDefault="007639C3" w:rsidP="007639C3">
      <w:pPr>
        <w:pStyle w:val="Alinea"/>
        <w:ind w:left="851" w:hanging="491"/>
      </w:pPr>
      <w:r w:rsidRPr="00D67FA3">
        <w:rPr>
          <w:b/>
        </w:rPr>
        <w:t xml:space="preserve">agenda item 1.6 </w:t>
      </w:r>
      <w:r w:rsidRPr="00D67FA3">
        <w:t>:</w:t>
      </w:r>
      <w:r w:rsidRPr="00D67FA3">
        <w:tab/>
        <w:t>New FSS allocations in the 10-17 GHz range</w:t>
      </w:r>
    </w:p>
    <w:p w:rsidR="007639C3" w:rsidRPr="00D67FA3" w:rsidRDefault="007639C3" w:rsidP="007639C3">
      <w:pPr>
        <w:pStyle w:val="Alinea"/>
        <w:ind w:left="851" w:hanging="491"/>
      </w:pPr>
      <w:r w:rsidRPr="00D67FA3">
        <w:rPr>
          <w:b/>
        </w:rPr>
        <w:t xml:space="preserve">agenda item 1.10 </w:t>
      </w:r>
      <w:r w:rsidRPr="00D67FA3">
        <w:t>:</w:t>
      </w:r>
      <w:r w:rsidRPr="00D67FA3">
        <w:tab/>
        <w:t>New MSS allocations in the 22-26 GHz band</w:t>
      </w:r>
    </w:p>
    <w:p w:rsidR="007639C3" w:rsidRPr="00D67FA3" w:rsidRDefault="007639C3" w:rsidP="007639C3">
      <w:pPr>
        <w:pStyle w:val="Alinea"/>
        <w:ind w:left="851" w:hanging="491"/>
      </w:pPr>
      <w:r w:rsidRPr="00D67FA3">
        <w:rPr>
          <w:b/>
        </w:rPr>
        <w:t>agenda item 1.11</w:t>
      </w:r>
      <w:r w:rsidRPr="00D67FA3">
        <w:t xml:space="preserve"> :</w:t>
      </w:r>
      <w:r w:rsidRPr="00D67FA3">
        <w:tab/>
        <w:t>New EESS (Earth-to-space) allocation in the 7-8 GHz range</w:t>
      </w:r>
    </w:p>
    <w:p w:rsidR="007639C3" w:rsidRPr="00D67FA3" w:rsidRDefault="007639C3" w:rsidP="007639C3">
      <w:pPr>
        <w:pStyle w:val="Alinea"/>
        <w:ind w:left="851" w:hanging="491"/>
        <w:rPr>
          <w:color w:val="000000" w:themeColor="text1"/>
        </w:rPr>
      </w:pPr>
      <w:r w:rsidRPr="00D67FA3">
        <w:rPr>
          <w:b/>
          <w:color w:val="000000" w:themeColor="text1"/>
        </w:rPr>
        <w:t>agenda item 1.17</w:t>
      </w:r>
      <w:r w:rsidRPr="00D67FA3">
        <w:rPr>
          <w:color w:val="000000" w:themeColor="text1"/>
        </w:rPr>
        <w:t xml:space="preserve"> :</w:t>
      </w:r>
      <w:r w:rsidRPr="00D67FA3">
        <w:rPr>
          <w:color w:val="000000" w:themeColor="text1"/>
        </w:rPr>
        <w:tab/>
        <w:t>Wireless avionics intra-communications (WAIC)</w:t>
      </w:r>
    </w:p>
    <w:p w:rsidR="007639C3" w:rsidRPr="00D67FA3" w:rsidRDefault="007639C3" w:rsidP="007639C3">
      <w:pPr>
        <w:pStyle w:val="Alinea"/>
        <w:ind w:left="851" w:hanging="491"/>
      </w:pPr>
      <w:r w:rsidRPr="00D67FA3">
        <w:rPr>
          <w:b/>
        </w:rPr>
        <w:t xml:space="preserve">agenda item 9.1.1 </w:t>
      </w:r>
      <w:r w:rsidRPr="00D67FA3">
        <w:t>:</w:t>
      </w:r>
      <w:r w:rsidRPr="00D67FA3">
        <w:tab/>
        <w:t>Protection of COSPAS-SARSAT applications</w:t>
      </w:r>
    </w:p>
    <w:p w:rsidR="007639C3" w:rsidRPr="00D67FA3" w:rsidRDefault="007639C3" w:rsidP="007639C3">
      <w:pPr>
        <w:pStyle w:val="Alinea"/>
        <w:ind w:left="851" w:hanging="491"/>
      </w:pPr>
      <w:r w:rsidRPr="00D67FA3">
        <w:rPr>
          <w:b/>
        </w:rPr>
        <w:t xml:space="preserve">agenda item 9.1.5 </w:t>
      </w:r>
      <w:r w:rsidRPr="00D67FA3">
        <w:t>:</w:t>
      </w:r>
      <w:r w:rsidRPr="00D67FA3">
        <w:tab/>
        <w:t xml:space="preserve">FSS use for aviation and </w:t>
      </w:r>
      <w:proofErr w:type="spellStart"/>
      <w:r w:rsidRPr="00D67FA3">
        <w:t>meteo</w:t>
      </w:r>
      <w:proofErr w:type="spellEnd"/>
      <w:r>
        <w:t xml:space="preserve"> </w:t>
      </w:r>
      <w:r w:rsidRPr="00D67FA3">
        <w:t xml:space="preserve">in the 3 400-4 200 MHz </w:t>
      </w:r>
      <w:r>
        <w:t xml:space="preserve">frequency </w:t>
      </w:r>
      <w:r w:rsidRPr="00D67FA3">
        <w:t>band in Region 1</w:t>
      </w:r>
    </w:p>
    <w:p w:rsidR="007639C3" w:rsidRPr="00D67FA3" w:rsidRDefault="007639C3" w:rsidP="007639C3">
      <w:pPr>
        <w:pStyle w:val="Alinea"/>
        <w:numPr>
          <w:ilvl w:val="0"/>
          <w:numId w:val="0"/>
        </w:numPr>
      </w:pPr>
    </w:p>
    <w:p w:rsidR="007639C3" w:rsidRPr="00D67FA3" w:rsidRDefault="007639C3" w:rsidP="007639C3">
      <w:pPr>
        <w:pStyle w:val="ListParagraph"/>
      </w:pPr>
      <w:r w:rsidRPr="00D67FA3">
        <w:t>In addition, other agenda items are currently not involving specific frequency bands used for meteorological purposes but may potentially have an impact on meteorological interests, either due to their wide open scope in terms of frequency ranges under study or in relation with a potential general interest:</w:t>
      </w:r>
    </w:p>
    <w:p w:rsidR="007639C3" w:rsidRPr="00D67FA3" w:rsidRDefault="007639C3" w:rsidP="007639C3">
      <w:pPr>
        <w:pStyle w:val="Alinea"/>
        <w:ind w:left="851" w:hanging="491"/>
      </w:pPr>
      <w:r w:rsidRPr="00D67FA3">
        <w:rPr>
          <w:b/>
        </w:rPr>
        <w:t>agenda item 1.5</w:t>
      </w:r>
      <w:r w:rsidRPr="00D67FA3">
        <w:t xml:space="preserve"> :</w:t>
      </w:r>
      <w:r w:rsidRPr="00D67FA3">
        <w:tab/>
        <w:t>Use of FSS bands for Unmanned Aircraft Systems (UAS)</w:t>
      </w:r>
    </w:p>
    <w:p w:rsidR="007639C3" w:rsidRPr="00D67FA3" w:rsidRDefault="007639C3" w:rsidP="007639C3">
      <w:pPr>
        <w:pStyle w:val="Alinea"/>
        <w:ind w:left="851" w:hanging="491"/>
        <w:rPr>
          <w:color w:val="000000" w:themeColor="text1"/>
        </w:rPr>
      </w:pPr>
      <w:r w:rsidRPr="00D67FA3">
        <w:rPr>
          <w:b/>
        </w:rPr>
        <w:t xml:space="preserve">agenda item 1.12 </w:t>
      </w:r>
      <w:r w:rsidRPr="00D67FA3">
        <w:t>:</w:t>
      </w:r>
      <w:r w:rsidRPr="00D67FA3">
        <w:tab/>
        <w:t>New EESS (active) allocation around 9 GHz</w:t>
      </w:r>
    </w:p>
    <w:p w:rsidR="007639C3" w:rsidRPr="00D67FA3" w:rsidRDefault="007639C3" w:rsidP="007639C3">
      <w:pPr>
        <w:pStyle w:val="Heading1"/>
      </w:pPr>
      <w:r w:rsidRPr="00D67FA3">
        <w:t>Agenda item 1.1:</w:t>
      </w:r>
      <w:r w:rsidRPr="00D67FA3">
        <w:tab/>
        <w:t>Mobile Broadband</w:t>
      </w:r>
    </w:p>
    <w:p w:rsidR="007639C3" w:rsidRPr="004C7483" w:rsidRDefault="007639C3" w:rsidP="007639C3">
      <w:pPr>
        <w:pStyle w:val="ListParagraph"/>
      </w:pPr>
      <w:r w:rsidRPr="00D67FA3">
        <w:t>Agenda item 1.1 will consider additional allocations and identification to IMT under the mobile service for broadband applications</w:t>
      </w:r>
      <w:r>
        <w:t>,</w:t>
      </w:r>
      <w:r w:rsidRPr="00D67FA3">
        <w:t xml:space="preserve"> targeting in priority frequencies up to around 6 GHz, although not explicitly indicated in the associated Resolution 233 (WRC-12)</w:t>
      </w:r>
      <w:r>
        <w:t>.</w:t>
      </w:r>
    </w:p>
    <w:p w:rsidR="007639C3" w:rsidRPr="00D67FA3" w:rsidRDefault="007639C3" w:rsidP="007639C3">
      <w:pPr>
        <w:pStyle w:val="ListParagraph"/>
        <w:rPr>
          <w:szCs w:val="22"/>
        </w:rPr>
      </w:pPr>
      <w:r w:rsidRPr="00D67FA3">
        <w:rPr>
          <w:szCs w:val="22"/>
        </w:rPr>
        <w:t xml:space="preserve">No </w:t>
      </w:r>
      <w:r>
        <w:rPr>
          <w:szCs w:val="22"/>
        </w:rPr>
        <w:t xml:space="preserve">definitive </w:t>
      </w:r>
      <w:r w:rsidRPr="00D67FA3">
        <w:rPr>
          <w:szCs w:val="22"/>
        </w:rPr>
        <w:t>list of candidate frequency bands</w:t>
      </w:r>
      <w:r>
        <w:rPr>
          <w:szCs w:val="22"/>
        </w:rPr>
        <w:t xml:space="preserve"> has been </w:t>
      </w:r>
      <w:r w:rsidRPr="00D67FA3">
        <w:rPr>
          <w:szCs w:val="22"/>
        </w:rPr>
        <w:t>developed but one can expect that the following bands of interest for the meteorological community will be under threat:</w:t>
      </w:r>
    </w:p>
    <w:p w:rsidR="007639C3" w:rsidRPr="00D67FA3" w:rsidRDefault="007639C3" w:rsidP="007639C3">
      <w:pPr>
        <w:pStyle w:val="ListParagraph"/>
        <w:widowControl/>
        <w:numPr>
          <w:ilvl w:val="0"/>
          <w:numId w:val="3"/>
        </w:numPr>
        <w:suppressAutoHyphens w:val="0"/>
        <w:spacing w:after="200"/>
        <w:ind w:left="714" w:hanging="357"/>
      </w:pPr>
      <w:r w:rsidRPr="00D67FA3">
        <w:t>1400-1427 MHz used for EESS (passive). This band is in particular used by SMOS and would have to be protected from unwanted emissions from possible Mobile use in both adjacent bands (1375-1400 and 1427-1452 MHz)</w:t>
      </w:r>
    </w:p>
    <w:p w:rsidR="007639C3" w:rsidRPr="00D67FA3" w:rsidRDefault="007639C3" w:rsidP="007639C3">
      <w:pPr>
        <w:pStyle w:val="ListParagraph"/>
        <w:widowControl/>
        <w:numPr>
          <w:ilvl w:val="0"/>
          <w:numId w:val="3"/>
        </w:numPr>
        <w:suppressAutoHyphens w:val="0"/>
        <w:spacing w:before="0" w:after="120"/>
      </w:pPr>
      <w:r w:rsidRPr="00D67FA3">
        <w:t xml:space="preserve">1675-1710 MHz used for all meteorological satellites with Earth Stations in almost all meteorological services. This band was already proposed in 2010 and already triggered in 2010 a strong reaction </w:t>
      </w:r>
      <w:r>
        <w:t xml:space="preserve">and opposition </w:t>
      </w:r>
      <w:r w:rsidRPr="00D67FA3">
        <w:t>from WMO.</w:t>
      </w:r>
    </w:p>
    <w:p w:rsidR="007639C3" w:rsidRPr="00D67FA3" w:rsidRDefault="007639C3" w:rsidP="007639C3">
      <w:pPr>
        <w:pStyle w:val="ListParagraph"/>
        <w:numPr>
          <w:ilvl w:val="0"/>
          <w:numId w:val="3"/>
        </w:numPr>
        <w:suppressAutoHyphens w:val="0"/>
        <w:spacing w:before="0" w:after="120"/>
      </w:pPr>
      <w:r w:rsidRPr="00D67FA3">
        <w:lastRenderedPageBreak/>
        <w:t>Bands 2025 – 2110 MHz and 2200 – 2290 MHz used for space research, Earth exploration satellite and space operation services. These bands are essential to all satellite operators and in particular meteorological satellites operators (EUMETSAT in particular). Previous studies have shown that the satellite applications are not compatible with high density mobile applications (as confirmed in RR No 5.391 and Recommendation SA.1154).</w:t>
      </w:r>
    </w:p>
    <w:p w:rsidR="007639C3" w:rsidRPr="00D67FA3" w:rsidRDefault="007639C3" w:rsidP="007639C3">
      <w:pPr>
        <w:pStyle w:val="ListParagraph"/>
        <w:numPr>
          <w:ilvl w:val="0"/>
          <w:numId w:val="3"/>
        </w:numPr>
        <w:suppressAutoHyphens w:val="0"/>
        <w:spacing w:before="0" w:after="120"/>
      </w:pPr>
      <w:r w:rsidRPr="00D67FA3">
        <w:t xml:space="preserve">The Band 2700-2900 MHz used for meteorological radars and already proposed by the Mobile community as well as few countries. This band was already considered for IMT identification (i.e. Mobile use) at WRC-2000 and WRC-07 and was duly rejected. In particular ITU-R Report M.2112 concludes on the non-compatibility between IMT and radars in this 2700-2900 MHz band. </w:t>
      </w:r>
    </w:p>
    <w:p w:rsidR="007639C3" w:rsidRPr="00D67FA3" w:rsidRDefault="007639C3" w:rsidP="007639C3">
      <w:pPr>
        <w:pStyle w:val="ListParagraph"/>
        <w:numPr>
          <w:ilvl w:val="0"/>
          <w:numId w:val="3"/>
        </w:numPr>
        <w:suppressAutoHyphens w:val="0"/>
        <w:spacing w:before="0" w:after="120"/>
      </w:pPr>
      <w:r w:rsidRPr="00D67FA3">
        <w:t>The 3400-4200 MHz band used for satellite systems for the meteorological community, either for EUMETCAST or GEONETCAST. The meteorological community should continue, together with the satellite community, to argue about the essential point of maintaining relevant satellite capacity and availability in th</w:t>
      </w:r>
      <w:r>
        <w:t>is b</w:t>
      </w:r>
      <w:r w:rsidRPr="00D67FA3">
        <w:t xml:space="preserve">and and in particular in the 3800-4200 MHz </w:t>
      </w:r>
      <w:r>
        <w:t xml:space="preserve">frequency </w:t>
      </w:r>
      <w:r w:rsidRPr="00D67FA3">
        <w:t xml:space="preserve">band, </w:t>
      </w:r>
    </w:p>
    <w:p w:rsidR="007639C3" w:rsidRPr="00D67FA3" w:rsidRDefault="007639C3" w:rsidP="007639C3">
      <w:pPr>
        <w:pStyle w:val="ListParagraph"/>
        <w:numPr>
          <w:ilvl w:val="0"/>
          <w:numId w:val="3"/>
        </w:numPr>
        <w:suppressAutoHyphens w:val="0"/>
        <w:spacing w:before="0" w:after="120"/>
      </w:pPr>
      <w:r w:rsidRPr="00D67FA3">
        <w:t xml:space="preserve">The 5350-5470 MHz band used of EESS (active) (in the 5250-5470 MHz), such as ASCAT on </w:t>
      </w:r>
      <w:proofErr w:type="spellStart"/>
      <w:r w:rsidRPr="00D67FA3">
        <w:t>Metop</w:t>
      </w:r>
      <w:proofErr w:type="spellEnd"/>
      <w:r w:rsidRPr="00D67FA3">
        <w:t xml:space="preserve"> or Poseidon on Jason. Relevant conditions to ensure protection of EESS (active) sensors will have to be specified.</w:t>
      </w:r>
    </w:p>
    <w:p w:rsidR="007639C3" w:rsidRPr="00D67FA3" w:rsidRDefault="007639C3" w:rsidP="007639C3">
      <w:pPr>
        <w:pStyle w:val="ListParagraph"/>
        <w:spacing w:before="0" w:after="120"/>
        <w:rPr>
          <w:b/>
        </w:rPr>
      </w:pPr>
    </w:p>
    <w:p w:rsidR="007639C3" w:rsidRPr="00D67FA3" w:rsidRDefault="007639C3" w:rsidP="007639C3">
      <w:pPr>
        <w:pStyle w:val="ListParagraph"/>
        <w:rPr>
          <w:b/>
        </w:rPr>
      </w:pPr>
      <w:r w:rsidRPr="00D67FA3">
        <w:rPr>
          <w:b/>
        </w:rPr>
        <w:t xml:space="preserve">EUMETNET confirms its high concerns in relation to this agenda item and urges that compatibility with and protection of meteorological applications and services be ensured. In particular, consideration of previous compatibility studies will need to be taken into account. To this respect, EUMETNET is strongly opposed to see any Mobile allocation/identification in the 1675-1710 MHz, 2025-2110 MHz and 2200-2290 MHz band as well as 2700-2900 MHz bands. </w:t>
      </w:r>
      <w:r>
        <w:rPr>
          <w:b/>
        </w:rPr>
        <w:t xml:space="preserve">EUMETNET is opposed to see any Mobile allocation </w:t>
      </w:r>
      <w:r w:rsidRPr="00D67FA3">
        <w:rPr>
          <w:b/>
        </w:rPr>
        <w:t>in the 1400-1427 MHz band,</w:t>
      </w:r>
      <w:r>
        <w:rPr>
          <w:b/>
        </w:rPr>
        <w:t xml:space="preserve"> covered by RR No 5.340, and also requires that compatibility of sensors in this band be ensured from unwanted emissions of IMT systems that would be proposed in the adjacent bands. Finally, for all proposals under agenda item 1.1, </w:t>
      </w:r>
      <w:r w:rsidRPr="00D67FA3">
        <w:rPr>
          <w:b/>
        </w:rPr>
        <w:t>EUMETNET urges</w:t>
      </w:r>
      <w:r>
        <w:rPr>
          <w:b/>
        </w:rPr>
        <w:t>, as appropriate,</w:t>
      </w:r>
      <w:r w:rsidRPr="00D67FA3">
        <w:rPr>
          <w:b/>
        </w:rPr>
        <w:t xml:space="preserve"> that compatibility with meteorological and Earth Observations related applications be assessed and adequate protection be ensured.</w:t>
      </w:r>
    </w:p>
    <w:p w:rsidR="007639C3" w:rsidRPr="00D67FA3" w:rsidRDefault="007639C3" w:rsidP="007639C3">
      <w:pPr>
        <w:pStyle w:val="Heading1"/>
      </w:pPr>
      <w:r w:rsidRPr="00D67FA3">
        <w:t>Agenda item 1.6:</w:t>
      </w:r>
      <w:r w:rsidRPr="00D67FA3">
        <w:tab/>
        <w:t>New FSS allocations in the 10-17 GHz range</w:t>
      </w:r>
    </w:p>
    <w:p w:rsidR="007639C3" w:rsidRPr="00D67FA3" w:rsidRDefault="007639C3" w:rsidP="007639C3">
      <w:pPr>
        <w:pStyle w:val="ListParagraph"/>
      </w:pPr>
      <w:r w:rsidRPr="00D67FA3">
        <w:t xml:space="preserve">Agenda item 1.6 will consider additional FSS allocations in the range 13 – 17 GHz, including the band 13.25 – 13.75 GHz, which contains an allocation to the EESS (active). This band is used for active remote sensing (altimeters, </w:t>
      </w:r>
      <w:proofErr w:type="spellStart"/>
      <w:r w:rsidRPr="00D67FA3">
        <w:t>scatterometers</w:t>
      </w:r>
      <w:proofErr w:type="spellEnd"/>
      <w:r w:rsidRPr="00D67FA3">
        <w:t xml:space="preserve"> and precipitation radars) by number of existing or planned missions such as </w:t>
      </w:r>
      <w:proofErr w:type="spellStart"/>
      <w:r w:rsidRPr="00D67FA3">
        <w:t>Envisat</w:t>
      </w:r>
      <w:proofErr w:type="spellEnd"/>
      <w:r w:rsidRPr="00D67FA3">
        <w:t xml:space="preserve"> (currently not operational), </w:t>
      </w:r>
      <w:proofErr w:type="spellStart"/>
      <w:r w:rsidRPr="00D67FA3">
        <w:t>Cryosat</w:t>
      </w:r>
      <w:proofErr w:type="spellEnd"/>
      <w:r w:rsidRPr="00D67FA3">
        <w:t>, Sentinel-3, Jason.</w:t>
      </w:r>
    </w:p>
    <w:p w:rsidR="007639C3" w:rsidRPr="00D67FA3" w:rsidRDefault="007639C3" w:rsidP="007639C3">
      <w:pPr>
        <w:pStyle w:val="ListParagraph"/>
      </w:pPr>
      <w:r w:rsidRPr="00D67FA3">
        <w:t xml:space="preserve">Similar case already happened during WARC-92 </w:t>
      </w:r>
      <w:r>
        <w:t xml:space="preserve">at which </w:t>
      </w:r>
      <w:r w:rsidRPr="00D67FA3">
        <w:t>the band 13.75-14 GHz, allocated to the EESS (active), was re-allocated to FSS (Earth-to-space), recognising that both services cannot share. Indeed, sharing between EESS (active) and FSS (Earth-to-space) around 13.5 GHz is known as not being practicable</w:t>
      </w:r>
      <w:r>
        <w:t>. A</w:t>
      </w:r>
      <w:r w:rsidRPr="00D67FA3">
        <w:t xml:space="preserve">ny new allocation to FSS within the 13.25-13.75 GHz band would </w:t>
      </w:r>
      <w:r>
        <w:t xml:space="preserve">hence </w:t>
      </w:r>
      <w:r w:rsidRPr="00D67FA3">
        <w:t>lead to a situation that further parts of the current EESS (active) primary allocation will become unusable in some or all Regions.</w:t>
      </w:r>
    </w:p>
    <w:p w:rsidR="007639C3" w:rsidRPr="00D67FA3" w:rsidRDefault="007639C3" w:rsidP="007639C3">
      <w:pPr>
        <w:pStyle w:val="ListParagraph"/>
        <w:rPr>
          <w:b/>
        </w:rPr>
      </w:pPr>
    </w:p>
    <w:p w:rsidR="007639C3" w:rsidRPr="00D67FA3" w:rsidRDefault="007639C3" w:rsidP="007639C3">
      <w:pPr>
        <w:pStyle w:val="ListParagraph"/>
        <w:rPr>
          <w:b/>
        </w:rPr>
      </w:pPr>
      <w:r w:rsidRPr="00D67FA3">
        <w:rPr>
          <w:b/>
        </w:rPr>
        <w:lastRenderedPageBreak/>
        <w:t>EUMETNET is strongly opposed to see any FSS allocations in the band 13.25 – 13.75 GHz.</w:t>
      </w:r>
    </w:p>
    <w:p w:rsidR="007639C3" w:rsidRPr="00D67FA3" w:rsidRDefault="007639C3" w:rsidP="007639C3">
      <w:pPr>
        <w:pStyle w:val="Heading1"/>
      </w:pPr>
      <w:r w:rsidRPr="00D67FA3">
        <w:t>Agenda item 1. 10:</w:t>
      </w:r>
      <w:r w:rsidRPr="00D67FA3">
        <w:tab/>
        <w:t>New MSS allocations in the 22-26 GHz band</w:t>
      </w:r>
    </w:p>
    <w:p w:rsidR="007639C3" w:rsidRPr="00D67FA3" w:rsidRDefault="007639C3" w:rsidP="007639C3">
      <w:pPr>
        <w:pStyle w:val="ListParagraph"/>
      </w:pPr>
      <w:r w:rsidRPr="00D67FA3">
        <w:t>Agenda item 1.10 will consider an allocation to the Mobile Satellite Service (MSS) in the frequency range 22 – 26 GHz. This will affect several current and future meteorological and Earth Observations applications, from the EESS (Space-to-Earth) in the bands 22.55-23.55 GHz and 25.25 – 26 GHz to the EESS (passive) in the 23.6-24 GHz band.</w:t>
      </w:r>
    </w:p>
    <w:p w:rsidR="007639C3" w:rsidRPr="00D67FA3" w:rsidRDefault="007639C3" w:rsidP="007639C3">
      <w:pPr>
        <w:pStyle w:val="ListParagraph"/>
        <w:rPr>
          <w:b/>
        </w:rPr>
      </w:pPr>
    </w:p>
    <w:p w:rsidR="007639C3" w:rsidRPr="00D67FA3" w:rsidRDefault="007639C3" w:rsidP="007639C3">
      <w:pPr>
        <w:pStyle w:val="ListParagraph"/>
        <w:rPr>
          <w:b/>
        </w:rPr>
      </w:pPr>
      <w:r w:rsidRPr="00D67FA3">
        <w:rPr>
          <w:b/>
        </w:rPr>
        <w:t>EUMETNET does not support MSS allocations in the 22-26 GHz range. However, should such allocations be considered, EUMETNET urges that compatibility with meteorological and Earth Observations related applications be assessed and adequate protection be ensured.</w:t>
      </w:r>
    </w:p>
    <w:p w:rsidR="007639C3" w:rsidRPr="00D67FA3" w:rsidRDefault="007639C3" w:rsidP="007639C3">
      <w:pPr>
        <w:pStyle w:val="Heading1"/>
      </w:pPr>
      <w:r w:rsidRPr="00D67FA3">
        <w:t>Agenda item 1. 11:</w:t>
      </w:r>
      <w:r w:rsidRPr="00D67FA3">
        <w:tab/>
        <w:t>New EESS (E-to-s) allocation in the 7-8 GHz range</w:t>
      </w:r>
    </w:p>
    <w:p w:rsidR="007639C3" w:rsidRPr="00D67FA3" w:rsidRDefault="007639C3" w:rsidP="007639C3">
      <w:pPr>
        <w:pStyle w:val="ListParagraph"/>
      </w:pPr>
      <w:r w:rsidRPr="00D67FA3">
        <w:t>Agenda item 1.11 will consider an additional allocation to EESS (Earth-to-space) in the 7-8 GHz frequency range, with a particular focus on the 7145 – 7235 MHz. This Agenda Item was initially proposed by ESA aiming at identifying frequencies for use for TT&amp;C in combination with the existing EESS (space-to-Earth) allocation in the band 8 025-8 400 MHz to alleviate the current congestion problem in the 2025-2110 MHz band.</w:t>
      </w:r>
    </w:p>
    <w:p w:rsidR="007639C3" w:rsidRPr="00D67FA3" w:rsidRDefault="007639C3" w:rsidP="007639C3">
      <w:pPr>
        <w:pStyle w:val="ListParagraph"/>
        <w:rPr>
          <w:b/>
        </w:rPr>
      </w:pPr>
    </w:p>
    <w:p w:rsidR="007639C3" w:rsidRPr="00D67FA3" w:rsidRDefault="007639C3" w:rsidP="007639C3">
      <w:pPr>
        <w:pStyle w:val="ListParagraph"/>
        <w:rPr>
          <w:b/>
        </w:rPr>
      </w:pPr>
      <w:r w:rsidRPr="00D67FA3">
        <w:rPr>
          <w:b/>
        </w:rPr>
        <w:t xml:space="preserve">EUMETNET supports a new allocation to EESS (Earth-to-space) in the 7-8 GHz frequency range, provided that compatibility with meteorological applications is ensured. </w:t>
      </w:r>
    </w:p>
    <w:p w:rsidR="007639C3" w:rsidRPr="00D67FA3" w:rsidRDefault="007639C3" w:rsidP="007639C3">
      <w:pPr>
        <w:pStyle w:val="Heading1"/>
      </w:pPr>
      <w:r w:rsidRPr="00D67FA3">
        <w:t>Agenda item 1. 17:</w:t>
      </w:r>
      <w:r w:rsidRPr="00D67FA3">
        <w:tab/>
        <w:t>Wireless avionics intra-communications (WAIC)</w:t>
      </w:r>
    </w:p>
    <w:p w:rsidR="007639C3" w:rsidRPr="00D67FA3" w:rsidRDefault="007639C3" w:rsidP="007639C3">
      <w:pPr>
        <w:pStyle w:val="ListParagraph"/>
      </w:pPr>
      <w:r w:rsidRPr="00D67FA3">
        <w:t xml:space="preserve">This Agenda Item was proposed by the aeronautical community to support wireless avionics intra-communications (WAIC). This Agenda Items generically targets frequencies above 15.7 GHz in case the existing aeronautical allocations at lower frequencies are found not to be suitable for the WAIC application. </w:t>
      </w:r>
    </w:p>
    <w:p w:rsidR="007639C3" w:rsidRPr="00D67FA3" w:rsidRDefault="007639C3" w:rsidP="007639C3">
      <w:pPr>
        <w:pStyle w:val="ListParagraph"/>
      </w:pPr>
      <w:r w:rsidRPr="00D67FA3">
        <w:t xml:space="preserve">In addition, the aeronautical industry initially considered the 5 GHz RLAN bands for such applications. Although it seems that such band is not anymore considered, a particular survey will be required, noting that recent activities in Europe shown that RLAN on-board aircraft are not compatible with meteorological radars (ECC Report 140). Finally, some information </w:t>
      </w:r>
      <w:r>
        <w:t>has</w:t>
      </w:r>
      <w:r w:rsidRPr="00D67FA3">
        <w:t xml:space="preserve"> been recently received about a possible consideration of the 2700-2900 MHz </w:t>
      </w:r>
      <w:r>
        <w:t xml:space="preserve">and 5350-5470 MHz </w:t>
      </w:r>
      <w:r w:rsidRPr="00D67FA3">
        <w:t>band</w:t>
      </w:r>
      <w:r>
        <w:t>s</w:t>
      </w:r>
      <w:r w:rsidRPr="00D67FA3">
        <w:t xml:space="preserve"> for such WAIC.</w:t>
      </w:r>
    </w:p>
    <w:p w:rsidR="007639C3" w:rsidRDefault="007639C3" w:rsidP="007639C3">
      <w:pPr>
        <w:pStyle w:val="ListParagraph"/>
        <w:rPr>
          <w:b/>
        </w:rPr>
      </w:pPr>
    </w:p>
    <w:p w:rsidR="007639C3" w:rsidRPr="00D67FA3" w:rsidRDefault="007639C3" w:rsidP="007639C3">
      <w:pPr>
        <w:pStyle w:val="ListParagraph"/>
        <w:rPr>
          <w:b/>
        </w:rPr>
      </w:pPr>
      <w:r w:rsidRPr="00D67FA3">
        <w:rPr>
          <w:b/>
        </w:rPr>
        <w:t xml:space="preserve">EUMETNET wishes to reiterate previous conclusions that mobile applications on board aircraft are not compatible with meteorological radars and is hence strongly opposed to any WAIC identification in the 2.8 GHz and 5.6 GHz bands. </w:t>
      </w:r>
      <w:r>
        <w:rPr>
          <w:b/>
        </w:rPr>
        <w:t xml:space="preserve">Overall, </w:t>
      </w:r>
      <w:r w:rsidRPr="00D67FA3">
        <w:rPr>
          <w:b/>
        </w:rPr>
        <w:t>EUMETNET urges that compatibility with meteorological and Earth Observations related applications be assessed and adequate protection be ensured</w:t>
      </w:r>
      <w:r>
        <w:rPr>
          <w:b/>
        </w:rPr>
        <w:t xml:space="preserve">, in particular </w:t>
      </w:r>
      <w:r w:rsidRPr="00D67FA3">
        <w:rPr>
          <w:b/>
        </w:rPr>
        <w:t>should new allocations were to be considered</w:t>
      </w:r>
      <w:r>
        <w:rPr>
          <w:b/>
        </w:rPr>
        <w:t xml:space="preserve"> above 15.7 GHz.</w:t>
      </w:r>
    </w:p>
    <w:p w:rsidR="007639C3" w:rsidRPr="00D67FA3" w:rsidRDefault="007639C3" w:rsidP="007639C3">
      <w:pPr>
        <w:pStyle w:val="Heading1"/>
      </w:pPr>
      <w:r w:rsidRPr="00D67FA3">
        <w:lastRenderedPageBreak/>
        <w:t>Agenda item 9.1.1:</w:t>
      </w:r>
      <w:r w:rsidRPr="00D67FA3">
        <w:tab/>
        <w:t>Protection of COSPAS-SARSAT applications</w:t>
      </w:r>
    </w:p>
    <w:p w:rsidR="007639C3" w:rsidRPr="00D67FA3" w:rsidRDefault="007639C3" w:rsidP="007639C3">
      <w:pPr>
        <w:pStyle w:val="ListParagraph"/>
        <w:rPr>
          <w:rFonts w:eastAsia="Calibri"/>
        </w:rPr>
      </w:pPr>
      <w:r w:rsidRPr="00D67FA3">
        <w:rPr>
          <w:rFonts w:eastAsia="Calibri"/>
        </w:rPr>
        <w:t xml:space="preserve">Agenda item 9.1.1 and Resolution 205 call for studying appropriate regulatory, technical and operational measures with a view to ensuring the adequate protection of COSPAS-SARSAT </w:t>
      </w:r>
      <w:r w:rsidRPr="00D67FA3">
        <w:t xml:space="preserve">system in the frequency </w:t>
      </w:r>
      <w:r w:rsidRPr="00D67FA3">
        <w:rPr>
          <w:rFonts w:eastAsia="Calibri"/>
        </w:rPr>
        <w:t>band 406-406.1 MHz from any emissions that could cause harmful interference.</w:t>
      </w:r>
    </w:p>
    <w:p w:rsidR="007639C3" w:rsidRPr="00D67FA3" w:rsidRDefault="007639C3" w:rsidP="007639C3">
      <w:pPr>
        <w:pStyle w:val="ListParagraph"/>
        <w:rPr>
          <w:color w:val="000000"/>
        </w:rPr>
      </w:pPr>
      <w:r w:rsidRPr="00D67FA3">
        <w:rPr>
          <w:color w:val="000000"/>
        </w:rPr>
        <w:t xml:space="preserve">It is known that current noise increase events of a number of COSPAS-SARSAT </w:t>
      </w:r>
      <w:r w:rsidRPr="00D67FA3">
        <w:t>search and rescue instruments (mainly over Europe and Asia) are due to emissions of services operated in adjacent bands and in particular the Mobile Service operated in the 380-400 MHz and 406.1-420 MHz band</w:t>
      </w:r>
      <w:r w:rsidRPr="00D67FA3">
        <w:rPr>
          <w:color w:val="000000"/>
        </w:rPr>
        <w:t>.</w:t>
      </w:r>
    </w:p>
    <w:p w:rsidR="007639C3" w:rsidRPr="00D67FA3" w:rsidRDefault="007639C3" w:rsidP="007639C3">
      <w:pPr>
        <w:pStyle w:val="ListParagraph"/>
      </w:pPr>
      <w:r w:rsidRPr="00D67FA3">
        <w:t xml:space="preserve">One can </w:t>
      </w:r>
      <w:r>
        <w:t xml:space="preserve">finally </w:t>
      </w:r>
      <w:r w:rsidRPr="00D67FA3">
        <w:t>note that meteorological satellite systems uplinks and Meteorological aids (</w:t>
      </w:r>
      <w:proofErr w:type="spellStart"/>
      <w:r w:rsidRPr="00D67FA3">
        <w:t>Radiosondes</w:t>
      </w:r>
      <w:proofErr w:type="spellEnd"/>
      <w:r w:rsidRPr="00D67FA3">
        <w:t>) are also operated in the vicinity of the 406 MHz band but it is more than likely that these systems are of no effect on COSPAS-SARSAT receivers.</w:t>
      </w:r>
    </w:p>
    <w:p w:rsidR="007639C3" w:rsidRDefault="007639C3" w:rsidP="007639C3">
      <w:pPr>
        <w:pStyle w:val="ListParagraph"/>
        <w:rPr>
          <w:b/>
        </w:rPr>
      </w:pPr>
    </w:p>
    <w:p w:rsidR="007639C3" w:rsidRPr="00D67FA3" w:rsidRDefault="007639C3" w:rsidP="007639C3">
      <w:pPr>
        <w:pStyle w:val="ListParagraph"/>
        <w:rPr>
          <w:b/>
        </w:rPr>
      </w:pPr>
      <w:r w:rsidRPr="00D67FA3">
        <w:rPr>
          <w:b/>
        </w:rPr>
        <w:t xml:space="preserve">EUMETNET does </w:t>
      </w:r>
      <w:r>
        <w:rPr>
          <w:b/>
        </w:rPr>
        <w:t>n</w:t>
      </w:r>
      <w:r w:rsidRPr="00D67FA3">
        <w:rPr>
          <w:b/>
        </w:rPr>
        <w:t>ot oppose studies and regulatory measures towards ensuring better protection to COSPAS-SARSAT receivers</w:t>
      </w:r>
      <w:r>
        <w:rPr>
          <w:b/>
        </w:rPr>
        <w:t xml:space="preserve">, noting that, </w:t>
      </w:r>
      <w:r w:rsidRPr="00D67FA3">
        <w:rPr>
          <w:b/>
        </w:rPr>
        <w:t xml:space="preserve">to a large extent, </w:t>
      </w:r>
      <w:r>
        <w:rPr>
          <w:b/>
        </w:rPr>
        <w:t xml:space="preserve">those receivers are </w:t>
      </w:r>
      <w:r w:rsidRPr="00D67FA3">
        <w:rPr>
          <w:b/>
        </w:rPr>
        <w:t>implemented on meteorological satellites.</w:t>
      </w:r>
    </w:p>
    <w:p w:rsidR="007639C3" w:rsidRPr="00D67FA3" w:rsidRDefault="007639C3" w:rsidP="007639C3">
      <w:pPr>
        <w:pStyle w:val="Heading1"/>
        <w:rPr>
          <w:rFonts w:cs="Arial"/>
        </w:rPr>
      </w:pPr>
      <w:r w:rsidRPr="00D67FA3">
        <w:t>Agenda item 9.1.5:</w:t>
      </w:r>
      <w:r w:rsidRPr="00D67FA3">
        <w:tab/>
        <w:t xml:space="preserve">FSS use for aviation and </w:t>
      </w:r>
      <w:proofErr w:type="spellStart"/>
      <w:r w:rsidRPr="00D67FA3">
        <w:t>meteo</w:t>
      </w:r>
      <w:proofErr w:type="spellEnd"/>
      <w:r w:rsidRPr="00D67FA3">
        <w:t xml:space="preserve"> in Region 1</w:t>
      </w:r>
      <w:r w:rsidRPr="00464368">
        <w:t xml:space="preserve"> </w:t>
      </w:r>
      <w:r w:rsidRPr="00D67FA3">
        <w:t xml:space="preserve">in the 3 400-4 200 MHz </w:t>
      </w:r>
      <w:r>
        <w:t xml:space="preserve">frequency </w:t>
      </w:r>
      <w:r w:rsidRPr="00D67FA3">
        <w:t>band</w:t>
      </w:r>
    </w:p>
    <w:p w:rsidR="007639C3" w:rsidRPr="00D67FA3" w:rsidRDefault="007639C3" w:rsidP="007639C3">
      <w:pPr>
        <w:pStyle w:val="ListParagraph"/>
      </w:pPr>
      <w:r w:rsidRPr="00D67FA3">
        <w:t xml:space="preserve">Resolution 154 (WRC-12) calls to study possible technical and regulatory measures in some countries in Region 1 to support the existing and future FSS earth stations in the 3 400-4 200 MHz band used for satellite communications related to safe operation of aircraft and reliable distribution of meteorological information. All members of the Radiocommunication Sector, ICAO and WMO </w:t>
      </w:r>
      <w:r w:rsidRPr="00D67FA3">
        <w:rPr>
          <w:lang w:eastAsia="ja-JP"/>
        </w:rPr>
        <w:t xml:space="preserve">are invited </w:t>
      </w:r>
      <w:r w:rsidRPr="00D67FA3">
        <w:t>to contribute to these studies.</w:t>
      </w:r>
    </w:p>
    <w:p w:rsidR="007639C3" w:rsidRPr="00D67FA3" w:rsidRDefault="007639C3" w:rsidP="007639C3">
      <w:pPr>
        <w:pStyle w:val="ListParagraph"/>
      </w:pPr>
      <w:r w:rsidRPr="00D67FA3">
        <w:t xml:space="preserve">Ensuring the availability of the </w:t>
      </w:r>
      <w:r w:rsidRPr="00464368">
        <w:t>3 400-4 200 MHz frequency band</w:t>
      </w:r>
      <w:r w:rsidRPr="00464368" w:rsidDel="00464368">
        <w:t xml:space="preserve"> </w:t>
      </w:r>
      <w:r w:rsidRPr="00D67FA3">
        <w:t xml:space="preserve">for the distribution of meteorological data via </w:t>
      </w:r>
      <w:proofErr w:type="spellStart"/>
      <w:r w:rsidRPr="00D67FA3">
        <w:t>EUMETCast</w:t>
      </w:r>
      <w:proofErr w:type="spellEnd"/>
      <w:r w:rsidRPr="00D67FA3">
        <w:t xml:space="preserve"> and </w:t>
      </w:r>
      <w:proofErr w:type="spellStart"/>
      <w:r w:rsidRPr="00D67FA3">
        <w:t>GEONETCast</w:t>
      </w:r>
      <w:proofErr w:type="spellEnd"/>
      <w:r w:rsidRPr="00D67FA3">
        <w:t xml:space="preserve"> is an important issue for the whole meteorological community and should be followed and supported in the framework of WMO.</w:t>
      </w:r>
    </w:p>
    <w:p w:rsidR="007639C3" w:rsidRPr="00D67FA3" w:rsidRDefault="007639C3" w:rsidP="007639C3">
      <w:pPr>
        <w:pStyle w:val="ListParagraph"/>
        <w:rPr>
          <w:b/>
        </w:rPr>
      </w:pPr>
    </w:p>
    <w:p w:rsidR="007639C3" w:rsidRPr="00D67FA3" w:rsidRDefault="007639C3" w:rsidP="007639C3">
      <w:pPr>
        <w:pStyle w:val="ListParagraph"/>
        <w:rPr>
          <w:b/>
        </w:rPr>
      </w:pPr>
      <w:r w:rsidRPr="00D67FA3">
        <w:rPr>
          <w:b/>
        </w:rPr>
        <w:t>EUMETNET supports studies and regulatory measures that would improve situation of existing and future FSS earth stations in the 3 400-4 200 MHz in Region 1.</w:t>
      </w:r>
    </w:p>
    <w:p w:rsidR="007639C3" w:rsidRPr="00D67FA3" w:rsidRDefault="007639C3" w:rsidP="007639C3">
      <w:pPr>
        <w:pStyle w:val="Heading1"/>
      </w:pPr>
      <w:r w:rsidRPr="00D67FA3">
        <w:t>Other agenda items</w:t>
      </w:r>
    </w:p>
    <w:p w:rsidR="007639C3" w:rsidRPr="00D67FA3" w:rsidRDefault="007639C3" w:rsidP="007639C3">
      <w:pPr>
        <w:pStyle w:val="Alinea"/>
        <w:numPr>
          <w:ilvl w:val="0"/>
          <w:numId w:val="0"/>
        </w:numPr>
      </w:pPr>
      <w:r w:rsidRPr="00D67FA3">
        <w:rPr>
          <w:b/>
        </w:rPr>
        <w:t>Agenda item 1.5</w:t>
      </w:r>
      <w:r w:rsidRPr="00D67FA3">
        <w:t>:</w:t>
      </w:r>
      <w:r w:rsidRPr="00D67FA3">
        <w:tab/>
        <w:t>Use of FSS bands for Unmanned Aircraft Systems (UAS)</w:t>
      </w:r>
    </w:p>
    <w:p w:rsidR="007639C3" w:rsidRPr="00D67FA3" w:rsidRDefault="007639C3" w:rsidP="007639C3">
      <w:pPr>
        <w:pStyle w:val="ListParagraph"/>
      </w:pPr>
      <w:r w:rsidRPr="00D67FA3">
        <w:t xml:space="preserve">Although it can be assumed that the focus will be more on Ku and </w:t>
      </w:r>
      <w:proofErr w:type="spellStart"/>
      <w:r w:rsidRPr="00D67FA3">
        <w:t>Ka</w:t>
      </w:r>
      <w:proofErr w:type="spellEnd"/>
      <w:r w:rsidRPr="00D67FA3">
        <w:t xml:space="preserve"> bands, this issue could theoretically also consider all FSS bands, including the 8 GHz EESS(S-to-E) band.</w:t>
      </w:r>
    </w:p>
    <w:p w:rsidR="007639C3" w:rsidRPr="00D67FA3" w:rsidRDefault="007639C3" w:rsidP="007639C3">
      <w:pPr>
        <w:pStyle w:val="ListParagraph"/>
        <w:rPr>
          <w:b/>
        </w:rPr>
      </w:pPr>
      <w:r w:rsidRPr="00D67FA3">
        <w:rPr>
          <w:b/>
        </w:rPr>
        <w:t>EUMETNET does not support specific or general measures that would lead to authorising UAV (uplink) in the 8 GHz band.</w:t>
      </w:r>
    </w:p>
    <w:p w:rsidR="007639C3" w:rsidRPr="00D67FA3" w:rsidRDefault="007639C3" w:rsidP="007639C3">
      <w:pPr>
        <w:pStyle w:val="Alinea"/>
        <w:numPr>
          <w:ilvl w:val="0"/>
          <w:numId w:val="0"/>
        </w:numPr>
        <w:ind w:left="2700" w:hanging="2340"/>
        <w:rPr>
          <w:color w:val="000000" w:themeColor="text1"/>
        </w:rPr>
      </w:pPr>
    </w:p>
    <w:p w:rsidR="007639C3" w:rsidRPr="00D67FA3" w:rsidRDefault="007639C3" w:rsidP="007639C3">
      <w:pPr>
        <w:pStyle w:val="Alinea"/>
        <w:numPr>
          <w:ilvl w:val="0"/>
          <w:numId w:val="0"/>
        </w:numPr>
        <w:rPr>
          <w:color w:val="000000" w:themeColor="text1"/>
        </w:rPr>
      </w:pPr>
      <w:r w:rsidRPr="00D67FA3">
        <w:rPr>
          <w:b/>
        </w:rPr>
        <w:t>Agenda item 1.12</w:t>
      </w:r>
      <w:r w:rsidRPr="00D67FA3">
        <w:t>:</w:t>
      </w:r>
      <w:r w:rsidRPr="00D67FA3">
        <w:tab/>
        <w:t>New EESS (active) allocation around 9 GHz</w:t>
      </w:r>
    </w:p>
    <w:p w:rsidR="007639C3" w:rsidRPr="00D67FA3" w:rsidRDefault="007639C3" w:rsidP="007639C3">
      <w:pPr>
        <w:pStyle w:val="ListParagraph"/>
        <w:rPr>
          <w:lang w:val="en-US"/>
        </w:rPr>
      </w:pPr>
      <w:r w:rsidRPr="00D67FA3">
        <w:t xml:space="preserve">This </w:t>
      </w:r>
      <w:r w:rsidRPr="00D67FA3">
        <w:rPr>
          <w:lang w:val="en-US"/>
        </w:rPr>
        <w:t xml:space="preserve">Agenda item will consider an extension of the current EESS(active) allocation in the band 9300 – 9900 MHz by up to 600 MHz within the frequency range 8700 – 9300 MHz </w:t>
      </w:r>
      <w:r w:rsidRPr="00D67FA3">
        <w:lastRenderedPageBreak/>
        <w:t>and/or 9 900-10 500 MHz</w:t>
      </w:r>
      <w:r w:rsidRPr="00D67FA3">
        <w:rPr>
          <w:lang w:val="en-US"/>
        </w:rPr>
        <w:t>.</w:t>
      </w:r>
    </w:p>
    <w:p w:rsidR="007639C3" w:rsidRPr="00D67FA3" w:rsidRDefault="007639C3" w:rsidP="007639C3">
      <w:pPr>
        <w:pStyle w:val="ListParagraph"/>
        <w:rPr>
          <w:b/>
        </w:rPr>
      </w:pPr>
      <w:r w:rsidRPr="00D67FA3">
        <w:rPr>
          <w:b/>
        </w:rPr>
        <w:t>EUMETNET supports this agenda item but urges that it would not lead to any review of the conditions of use of EESS (Active) in the currently existing band 9300-9500 MHz band used for meteorological radars.</w:t>
      </w:r>
    </w:p>
    <w:p w:rsidR="007639C3" w:rsidRPr="00D67FA3" w:rsidRDefault="007639C3" w:rsidP="007639C3">
      <w:pPr>
        <w:pStyle w:val="ListParagraph"/>
        <w:rPr>
          <w:b/>
        </w:rPr>
      </w:pPr>
    </w:p>
    <w:p w:rsidR="007639C3" w:rsidRPr="00532B7F" w:rsidRDefault="007639C3" w:rsidP="007639C3">
      <w:pPr>
        <w:jc w:val="center"/>
        <w:rPr>
          <w:rFonts w:ascii="Times New Roman" w:hAnsi="Times New Roman" w:cs="Times New Roman"/>
          <w:sz w:val="24"/>
          <w:szCs w:val="24"/>
        </w:rPr>
      </w:pPr>
      <w:r w:rsidRPr="00D67FA3">
        <w:rPr>
          <w:rFonts w:ascii="Times New Roman" w:hAnsi="Times New Roman" w:cs="Times New Roman"/>
          <w:sz w:val="24"/>
          <w:szCs w:val="24"/>
        </w:rPr>
        <w:t>---------------------------------</w:t>
      </w:r>
    </w:p>
    <w:p w:rsidR="007639C3" w:rsidRDefault="007639C3"/>
    <w:p w:rsidR="007639C3" w:rsidRDefault="007639C3"/>
    <w:sectPr w:rsidR="007639C3" w:rsidSect="00212C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D079E"/>
    <w:multiLevelType w:val="hybridMultilevel"/>
    <w:tmpl w:val="44F61A2A"/>
    <w:lvl w:ilvl="0" w:tplc="FFFFFFFF">
      <w:numFmt w:val="bullet"/>
      <w:pStyle w:val="Alinea"/>
      <w:lvlText w:val="-"/>
      <w:lvlJc w:val="left"/>
      <w:pPr>
        <w:tabs>
          <w:tab w:val="num" w:pos="1125"/>
        </w:tabs>
        <w:ind w:left="1125" w:hanging="765"/>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413011FD"/>
    <w:multiLevelType w:val="hybridMultilevel"/>
    <w:tmpl w:val="6584DDA4"/>
    <w:lvl w:ilvl="0" w:tplc="23C8003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8EA5BCC"/>
    <w:multiLevelType w:val="hybridMultilevel"/>
    <w:tmpl w:val="B60C6A96"/>
    <w:lvl w:ilvl="0" w:tplc="796EE292">
      <w:start w:val="1"/>
      <w:numFmt w:val="decimal"/>
      <w:pStyle w:val="Heading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026"/>
    <w:rsid w:val="000B16CC"/>
    <w:rsid w:val="00117AC0"/>
    <w:rsid w:val="00122C0D"/>
    <w:rsid w:val="00212C75"/>
    <w:rsid w:val="0048075A"/>
    <w:rsid w:val="00491A44"/>
    <w:rsid w:val="007639C3"/>
    <w:rsid w:val="00B44F73"/>
    <w:rsid w:val="00B53D76"/>
    <w:rsid w:val="00D137EA"/>
    <w:rsid w:val="00E73D14"/>
    <w:rsid w:val="00EC4026"/>
    <w:rsid w:val="00FD548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39C3"/>
    <w:pPr>
      <w:keepNext/>
      <w:keepLines/>
      <w:numPr>
        <w:numId w:val="2"/>
      </w:numPr>
      <w:spacing w:before="480" w:after="0"/>
      <w:ind w:left="567" w:hanging="567"/>
      <w:outlineLvl w:val="0"/>
    </w:pPr>
    <w:rPr>
      <w:rFonts w:asciiTheme="majorHAnsi" w:eastAsiaTheme="majorEastAsia" w:hAnsiTheme="majorHAnsi" w:cstheme="majorBidi"/>
      <w:b/>
      <w:bCs/>
      <w:color w:val="365F91"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026"/>
    <w:rPr>
      <w:rFonts w:ascii="Tahoma" w:hAnsi="Tahoma" w:cs="Tahoma"/>
      <w:sz w:val="16"/>
      <w:szCs w:val="16"/>
    </w:rPr>
  </w:style>
  <w:style w:type="character" w:customStyle="1" w:styleId="Heading1Char">
    <w:name w:val="Heading 1 Char"/>
    <w:basedOn w:val="DefaultParagraphFont"/>
    <w:link w:val="Heading1"/>
    <w:uiPriority w:val="9"/>
    <w:rsid w:val="007639C3"/>
    <w:rPr>
      <w:rFonts w:asciiTheme="majorHAnsi" w:eastAsiaTheme="majorEastAsia" w:hAnsiTheme="majorHAnsi" w:cstheme="majorBidi"/>
      <w:b/>
      <w:bCs/>
      <w:color w:val="365F91" w:themeColor="accent1" w:themeShade="BF"/>
      <w:sz w:val="24"/>
      <w:szCs w:val="28"/>
    </w:rPr>
  </w:style>
  <w:style w:type="paragraph" w:styleId="ListParagraph">
    <w:name w:val="List Paragraph"/>
    <w:basedOn w:val="Texte"/>
    <w:uiPriority w:val="34"/>
    <w:qFormat/>
    <w:rsid w:val="007639C3"/>
    <w:pPr>
      <w:widowControl w:val="0"/>
      <w:suppressAutoHyphens/>
    </w:pPr>
  </w:style>
  <w:style w:type="paragraph" w:customStyle="1" w:styleId="Texte">
    <w:name w:val="Texte"/>
    <w:basedOn w:val="Normal"/>
    <w:rsid w:val="007639C3"/>
    <w:pPr>
      <w:spacing w:before="120" w:after="0" w:line="240" w:lineRule="auto"/>
      <w:jc w:val="both"/>
    </w:pPr>
    <w:rPr>
      <w:rFonts w:ascii="Times New Roman" w:eastAsia="Times New Roman" w:hAnsi="Times New Roman" w:cs="Times New Roman"/>
      <w:sz w:val="24"/>
      <w:szCs w:val="24"/>
      <w:lang w:eastAsia="fr-FR"/>
    </w:rPr>
  </w:style>
  <w:style w:type="paragraph" w:customStyle="1" w:styleId="Alinea">
    <w:name w:val="Alinea"/>
    <w:basedOn w:val="Texte"/>
    <w:rsid w:val="007639C3"/>
    <w:pPr>
      <w:widowControl w:val="0"/>
      <w:numPr>
        <w:numId w:val="1"/>
      </w:numPr>
      <w:tabs>
        <w:tab w:val="clear" w:pos="1125"/>
      </w:tabs>
      <w:suppressAutoHyphens/>
      <w:ind w:left="2700" w:hanging="2340"/>
    </w:pPr>
  </w:style>
  <w:style w:type="paragraph" w:customStyle="1" w:styleId="Header2">
    <w:name w:val="Header2"/>
    <w:basedOn w:val="Header"/>
    <w:rsid w:val="00B44F73"/>
    <w:rPr>
      <w:rFonts w:ascii="Arial" w:eastAsia="Times New Roman" w:hAnsi="Arial" w:cs="Times New Roman"/>
      <w:b/>
      <w:szCs w:val="20"/>
      <w:lang w:val="nb-NO" w:eastAsia="de-DE"/>
    </w:rPr>
  </w:style>
  <w:style w:type="paragraph" w:styleId="Header">
    <w:name w:val="header"/>
    <w:basedOn w:val="Normal"/>
    <w:link w:val="HeaderChar"/>
    <w:uiPriority w:val="99"/>
    <w:semiHidden/>
    <w:unhideWhenUsed/>
    <w:rsid w:val="00B44F7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44F73"/>
  </w:style>
  <w:style w:type="character" w:styleId="Hyperlink">
    <w:name w:val="Hyperlink"/>
    <w:basedOn w:val="DefaultParagraphFont"/>
    <w:uiPriority w:val="99"/>
    <w:unhideWhenUsed/>
    <w:rsid w:val="00117A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39C3"/>
    <w:pPr>
      <w:keepNext/>
      <w:keepLines/>
      <w:numPr>
        <w:numId w:val="2"/>
      </w:numPr>
      <w:spacing w:before="480" w:after="0"/>
      <w:ind w:left="567" w:hanging="567"/>
      <w:outlineLvl w:val="0"/>
    </w:pPr>
    <w:rPr>
      <w:rFonts w:asciiTheme="majorHAnsi" w:eastAsiaTheme="majorEastAsia" w:hAnsiTheme="majorHAnsi" w:cstheme="majorBidi"/>
      <w:b/>
      <w:bCs/>
      <w:color w:val="365F91"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026"/>
    <w:rPr>
      <w:rFonts w:ascii="Tahoma" w:hAnsi="Tahoma" w:cs="Tahoma"/>
      <w:sz w:val="16"/>
      <w:szCs w:val="16"/>
    </w:rPr>
  </w:style>
  <w:style w:type="character" w:customStyle="1" w:styleId="Heading1Char">
    <w:name w:val="Heading 1 Char"/>
    <w:basedOn w:val="DefaultParagraphFont"/>
    <w:link w:val="Heading1"/>
    <w:uiPriority w:val="9"/>
    <w:rsid w:val="007639C3"/>
    <w:rPr>
      <w:rFonts w:asciiTheme="majorHAnsi" w:eastAsiaTheme="majorEastAsia" w:hAnsiTheme="majorHAnsi" w:cstheme="majorBidi"/>
      <w:b/>
      <w:bCs/>
      <w:color w:val="365F91" w:themeColor="accent1" w:themeShade="BF"/>
      <w:sz w:val="24"/>
      <w:szCs w:val="28"/>
    </w:rPr>
  </w:style>
  <w:style w:type="paragraph" w:styleId="ListParagraph">
    <w:name w:val="List Paragraph"/>
    <w:basedOn w:val="Texte"/>
    <w:uiPriority w:val="34"/>
    <w:qFormat/>
    <w:rsid w:val="007639C3"/>
    <w:pPr>
      <w:widowControl w:val="0"/>
      <w:suppressAutoHyphens/>
    </w:pPr>
  </w:style>
  <w:style w:type="paragraph" w:customStyle="1" w:styleId="Texte">
    <w:name w:val="Texte"/>
    <w:basedOn w:val="Normal"/>
    <w:rsid w:val="007639C3"/>
    <w:pPr>
      <w:spacing w:before="120" w:after="0" w:line="240" w:lineRule="auto"/>
      <w:jc w:val="both"/>
    </w:pPr>
    <w:rPr>
      <w:rFonts w:ascii="Times New Roman" w:eastAsia="Times New Roman" w:hAnsi="Times New Roman" w:cs="Times New Roman"/>
      <w:sz w:val="24"/>
      <w:szCs w:val="24"/>
      <w:lang w:eastAsia="fr-FR"/>
    </w:rPr>
  </w:style>
  <w:style w:type="paragraph" w:customStyle="1" w:styleId="Alinea">
    <w:name w:val="Alinea"/>
    <w:basedOn w:val="Texte"/>
    <w:rsid w:val="007639C3"/>
    <w:pPr>
      <w:widowControl w:val="0"/>
      <w:numPr>
        <w:numId w:val="1"/>
      </w:numPr>
      <w:tabs>
        <w:tab w:val="clear" w:pos="1125"/>
      </w:tabs>
      <w:suppressAutoHyphens/>
      <w:ind w:left="2700" w:hanging="2340"/>
    </w:pPr>
  </w:style>
  <w:style w:type="paragraph" w:customStyle="1" w:styleId="Header2">
    <w:name w:val="Header2"/>
    <w:basedOn w:val="Header"/>
    <w:rsid w:val="00B44F73"/>
    <w:rPr>
      <w:rFonts w:ascii="Arial" w:eastAsia="Times New Roman" w:hAnsi="Arial" w:cs="Times New Roman"/>
      <w:b/>
      <w:szCs w:val="20"/>
      <w:lang w:val="nb-NO" w:eastAsia="de-DE"/>
    </w:rPr>
  </w:style>
  <w:style w:type="paragraph" w:styleId="Header">
    <w:name w:val="header"/>
    <w:basedOn w:val="Normal"/>
    <w:link w:val="HeaderChar"/>
    <w:uiPriority w:val="99"/>
    <w:semiHidden/>
    <w:unhideWhenUsed/>
    <w:rsid w:val="00B44F7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44F73"/>
  </w:style>
  <w:style w:type="character" w:styleId="Hyperlink">
    <w:name w:val="Hyperlink"/>
    <w:basedOn w:val="DefaultParagraphFont"/>
    <w:uiPriority w:val="99"/>
    <w:unhideWhenUsed/>
    <w:rsid w:val="00117A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umetnet.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1866</Words>
  <Characters>10640</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OFCOM</Company>
  <LinksUpToDate>false</LinksUpToDate>
  <CharactersWithSpaces>12482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wesley.milton</dc:creator>
  <cp:lastModifiedBy>wesley.milton</cp:lastModifiedBy>
  <cp:revision>2</cp:revision>
  <dcterms:created xsi:type="dcterms:W3CDTF">2012-12-20T15:17:00Z</dcterms:created>
  <dcterms:modified xsi:type="dcterms:W3CDTF">2012-12-20T15:17:00Z</dcterms:modified>
</cp:coreProperties>
</file>