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2"/>
        <w:gridCol w:w="905"/>
        <w:gridCol w:w="3827"/>
      </w:tblGrid>
      <w:tr w:rsidR="00EC4026" w:rsidRPr="00EC4026" w:rsidTr="00147E1D">
        <w:trPr>
          <w:cantSplit/>
          <w:trHeight w:val="1418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4026" w:rsidRPr="00EC4026" w:rsidRDefault="00EC4026" w:rsidP="00EC4026">
            <w:pPr>
              <w:rPr>
                <w:b/>
              </w:rPr>
            </w:pPr>
            <w:r w:rsidRPr="00EC4026">
              <w:rPr>
                <w:b/>
                <w:noProof/>
                <w:lang w:eastAsia="en-GB"/>
              </w:rPr>
              <w:drawing>
                <wp:inline distT="0" distB="0" distL="0" distR="0" wp14:anchorId="73250FD1" wp14:editId="6FDCCCD8">
                  <wp:extent cx="1628775" cy="838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C4026" w:rsidRPr="00EC4026" w:rsidRDefault="007639C3" w:rsidP="00EC4026">
            <w:pPr>
              <w:rPr>
                <w:b/>
              </w:rPr>
            </w:pPr>
            <w:r>
              <w:rPr>
                <w:b/>
              </w:rPr>
              <w:t>Doc. ECC/CPG15(13</w:t>
            </w:r>
            <w:r w:rsidR="00EC4026" w:rsidRPr="00EC4026">
              <w:rPr>
                <w:b/>
              </w:rPr>
              <w:t>)</w:t>
            </w:r>
            <w:r w:rsidR="00E44453">
              <w:rPr>
                <w:b/>
              </w:rPr>
              <w:t>008</w:t>
            </w:r>
            <w:bookmarkStart w:id="0" w:name="_GoBack"/>
            <w:bookmarkEnd w:id="0"/>
          </w:p>
        </w:tc>
      </w:tr>
      <w:tr w:rsidR="00EC4026" w:rsidRPr="00EC4026" w:rsidTr="00BB4C3F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</w:tcPr>
          <w:p w:rsidR="00EC4026" w:rsidRPr="00EC4026" w:rsidRDefault="007639C3" w:rsidP="00EC4026">
            <w:pPr>
              <w:rPr>
                <w:b/>
              </w:rPr>
            </w:pPr>
            <w:r>
              <w:rPr>
                <w:b/>
              </w:rPr>
              <w:t>CPG15 – 2</w:t>
            </w:r>
          </w:p>
          <w:p w:rsidR="00EC4026" w:rsidRPr="007639C3" w:rsidRDefault="007639C3" w:rsidP="00EC4026">
            <w:pPr>
              <w:rPr>
                <w:b/>
              </w:rPr>
            </w:pPr>
            <w:r>
              <w:rPr>
                <w:b/>
              </w:rPr>
              <w:t>Luxembourg, 22</w:t>
            </w:r>
            <w:r w:rsidR="00EC4026" w:rsidRPr="00EC4026">
              <w:rPr>
                <w:b/>
              </w:rPr>
              <w:t xml:space="preserve"> </w:t>
            </w:r>
            <w:r>
              <w:rPr>
                <w:b/>
              </w:rPr>
              <w:t>– 25 January 2013</w:t>
            </w:r>
          </w:p>
        </w:tc>
        <w:tc>
          <w:tcPr>
            <w:tcW w:w="4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4026" w:rsidRPr="00EC4026" w:rsidRDefault="00EC4026" w:rsidP="00EC4026"/>
        </w:tc>
      </w:tr>
      <w:tr w:rsidR="00EC4026" w:rsidRPr="00EC4026" w:rsidTr="00B44F7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9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4026" w:rsidRPr="00EC4026" w:rsidRDefault="00EC4026" w:rsidP="00EC4026">
            <w:r w:rsidRPr="00EC4026">
              <w:rPr>
                <w:b/>
              </w:rPr>
              <w:t>Date issued:</w:t>
            </w:r>
            <w:r w:rsidRPr="00EC4026">
              <w:t xml:space="preserve">   </w:t>
            </w:r>
            <w:r w:rsidR="00D80B72">
              <w:t>15 January 2013</w:t>
            </w:r>
            <w:r w:rsidRPr="00EC4026">
              <w:tab/>
            </w:r>
          </w:p>
          <w:p w:rsidR="00EC4026" w:rsidRPr="00EC4026" w:rsidRDefault="00EC4026" w:rsidP="00EC4026">
            <w:r w:rsidRPr="00EC4026">
              <w:rPr>
                <w:b/>
              </w:rPr>
              <w:t>Source:</w:t>
            </w:r>
            <w:r w:rsidRPr="00EC4026">
              <w:tab/>
            </w:r>
            <w:r w:rsidR="00D80B72">
              <w:t>France</w:t>
            </w:r>
          </w:p>
          <w:p w:rsidR="007639C3" w:rsidRPr="00147E1D" w:rsidRDefault="00EC4026" w:rsidP="00EC4026">
            <w:r w:rsidRPr="00EC4026">
              <w:rPr>
                <w:b/>
              </w:rPr>
              <w:t>Subject:</w:t>
            </w:r>
            <w:r w:rsidRPr="00EC4026">
              <w:t xml:space="preserve"> </w:t>
            </w:r>
            <w:r w:rsidR="00D80B72">
              <w:t>CEPT coordination of regulatory/procedural cases affecting specific satellite systems</w:t>
            </w:r>
          </w:p>
        </w:tc>
      </w:tr>
      <w:tr w:rsidR="00B44F73" w:rsidRPr="000E5C90" w:rsidTr="00B44F7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F73" w:rsidRPr="00B44F73" w:rsidRDefault="00B44F73" w:rsidP="00B44F73">
            <w:pPr>
              <w:rPr>
                <w:b/>
              </w:rPr>
            </w:pPr>
            <w:r w:rsidRPr="00B44F73">
              <w:rPr>
                <w:b/>
              </w:rPr>
              <w:t xml:space="preserve">Summary: </w:t>
            </w:r>
          </w:p>
        </w:tc>
      </w:tr>
      <w:tr w:rsidR="00B44F73" w:rsidRPr="000E5C90" w:rsidTr="00B44F7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9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21" w:rsidRDefault="00166421" w:rsidP="00147E1D">
            <w:pPr>
              <w:spacing w:after="120"/>
            </w:pPr>
            <w:r>
              <w:t>ECC agreed that CPG-15 should</w:t>
            </w:r>
            <w:r w:rsidRPr="001422EF">
              <w:t xml:space="preserve"> use the experience gained</w:t>
            </w:r>
            <w:r>
              <w:t xml:space="preserve"> in WRC-12</w:t>
            </w:r>
            <w:r w:rsidRPr="001422EF">
              <w:t xml:space="preserve"> for considering possible improvement of the preparation process for WRC-15</w:t>
            </w:r>
            <w:r>
              <w:t xml:space="preserve">. </w:t>
            </w:r>
            <w:r w:rsidRPr="000B1E99">
              <w:t>Doc. ECC(12)014</w:t>
            </w:r>
            <w:r>
              <w:t xml:space="preserve"> stated that “</w:t>
            </w:r>
            <w:r w:rsidRPr="00166421">
              <w:t>in the context of WRC-15, the question should be examined whether bilateral issues, if so desired by the CEPT country(</w:t>
            </w:r>
            <w:proofErr w:type="spellStart"/>
            <w:r w:rsidRPr="00166421">
              <w:t>ies</w:t>
            </w:r>
            <w:proofErr w:type="spellEnd"/>
            <w:r w:rsidRPr="00166421">
              <w:t>) involved, could also be addressed within CEPT with the aim to increase the solidarity amongst CEPT administrations for such issues</w:t>
            </w:r>
            <w:r>
              <w:t>”</w:t>
            </w:r>
            <w:r w:rsidRPr="00166421">
              <w:t>.</w:t>
            </w:r>
          </w:p>
          <w:p w:rsidR="00F9135E" w:rsidRDefault="00595CD6" w:rsidP="00147E1D">
            <w:pPr>
              <w:spacing w:after="120"/>
            </w:pPr>
            <w:r>
              <w:t>During WRC-12, the consideration of agenda item</w:t>
            </w:r>
            <w:r w:rsidR="00F9135E">
              <w:t>s</w:t>
            </w:r>
            <w:r>
              <w:t xml:space="preserve"> 7 </w:t>
            </w:r>
            <w:r w:rsidR="00F9135E">
              <w:t xml:space="preserve">and 8 </w:t>
            </w:r>
            <w:r>
              <w:t xml:space="preserve">attracted a number of administrations and created a lot of discussions on a variety of topics related to regulatory procedures for space services. </w:t>
            </w:r>
            <w:r w:rsidR="00F9135E">
              <w:t xml:space="preserve">As during each WRC, individual cases of certain satellite networks were discussed in addition to issues of a more general nature concerning the modification of the Radio Regulations. </w:t>
            </w:r>
          </w:p>
          <w:p w:rsidR="00595CD6" w:rsidRDefault="00F9135E" w:rsidP="00147E1D">
            <w:pPr>
              <w:spacing w:after="120"/>
            </w:pPr>
            <w:r>
              <w:t xml:space="preserve">Even in </w:t>
            </w:r>
            <w:r w:rsidR="00595CD6">
              <w:t xml:space="preserve">the </w:t>
            </w:r>
            <w:r>
              <w:t xml:space="preserve">topics </w:t>
            </w:r>
            <w:r w:rsidR="00595CD6">
              <w:t xml:space="preserve">of a general nature, a number of cases involving specific satellite systems </w:t>
            </w:r>
            <w:r>
              <w:t xml:space="preserve">significantly </w:t>
            </w:r>
            <w:r w:rsidR="00595CD6">
              <w:t xml:space="preserve">impacted the </w:t>
            </w:r>
            <w:r>
              <w:t>progress and orientation of the discussions (</w:t>
            </w:r>
            <w:r w:rsidR="00A660B0">
              <w:t>for instance on the</w:t>
            </w:r>
            <w:r>
              <w:t xml:space="preserve"> definition of bringing into use). </w:t>
            </w:r>
          </w:p>
          <w:p w:rsidR="00166421" w:rsidRPr="00B44F73" w:rsidRDefault="00F9135E" w:rsidP="00147E1D">
            <w:pPr>
              <w:spacing w:after="120"/>
            </w:pPr>
            <w:r>
              <w:t xml:space="preserve">While the appearance of these specific cases is almost inevitable, France suggests that CEPT administrations be </w:t>
            </w:r>
            <w:r w:rsidR="00A660B0">
              <w:t xml:space="preserve">invited </w:t>
            </w:r>
            <w:r>
              <w:t xml:space="preserve">to bring these cases to the attention of CPG PTB as early as possible in the preparatory process so that a </w:t>
            </w:r>
            <w:r w:rsidR="00C740B3">
              <w:t xml:space="preserve">solution can be worked out within CEPT, if possible in advance of the WRC itself. </w:t>
            </w:r>
          </w:p>
        </w:tc>
      </w:tr>
      <w:tr w:rsidR="00B44F73" w:rsidRPr="000E5C90" w:rsidTr="00B44F7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F73" w:rsidRPr="00B44F73" w:rsidRDefault="00B44F73" w:rsidP="00B44F73">
            <w:pPr>
              <w:rPr>
                <w:b/>
              </w:rPr>
            </w:pPr>
            <w:r w:rsidRPr="00B44F73">
              <w:rPr>
                <w:b/>
              </w:rPr>
              <w:t xml:space="preserve">Proposal: </w:t>
            </w:r>
          </w:p>
        </w:tc>
      </w:tr>
      <w:tr w:rsidR="00B44F73" w:rsidRPr="000E5C90" w:rsidTr="00B44F7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9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B0" w:rsidRPr="00A660B0" w:rsidRDefault="00A660B0" w:rsidP="00147E1D">
            <w:pPr>
              <w:spacing w:after="0"/>
              <w:rPr>
                <w:rFonts w:cstheme="minorHAnsi"/>
              </w:rPr>
            </w:pPr>
            <w:r w:rsidRPr="00A660B0">
              <w:rPr>
                <w:rFonts w:cstheme="minorHAnsi"/>
              </w:rPr>
              <w:t xml:space="preserve">It is proposed that CPG: </w:t>
            </w:r>
          </w:p>
          <w:p w:rsidR="00C740B3" w:rsidRPr="00A660B0" w:rsidRDefault="00C740B3" w:rsidP="00147E1D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60B0">
              <w:rPr>
                <w:rFonts w:asciiTheme="minorHAnsi" w:hAnsiTheme="minorHAnsi" w:cstheme="minorHAnsi"/>
                <w:sz w:val="22"/>
                <w:szCs w:val="22"/>
              </w:rPr>
              <w:t xml:space="preserve">invites </w:t>
            </w:r>
            <w:r w:rsidR="00A660B0" w:rsidRPr="00A660B0">
              <w:rPr>
                <w:rFonts w:asciiTheme="minorHAnsi" w:hAnsiTheme="minorHAnsi" w:cstheme="minorHAnsi"/>
                <w:sz w:val="22"/>
                <w:szCs w:val="22"/>
              </w:rPr>
              <w:t xml:space="preserve">CEPT </w:t>
            </w:r>
            <w:r w:rsidRPr="00A660B0">
              <w:rPr>
                <w:rFonts w:asciiTheme="minorHAnsi" w:hAnsiTheme="minorHAnsi" w:cstheme="minorHAnsi"/>
                <w:sz w:val="22"/>
                <w:szCs w:val="22"/>
              </w:rPr>
              <w:t xml:space="preserve">administrations that may face </w:t>
            </w:r>
            <w:r w:rsidR="00A660B0" w:rsidRPr="00A660B0">
              <w:rPr>
                <w:rFonts w:asciiTheme="minorHAnsi" w:hAnsiTheme="minorHAnsi" w:cstheme="minorHAnsi"/>
                <w:sz w:val="22"/>
                <w:szCs w:val="22"/>
              </w:rPr>
              <w:t xml:space="preserve">regulatory </w:t>
            </w:r>
            <w:r w:rsidRPr="00A660B0">
              <w:rPr>
                <w:rFonts w:asciiTheme="minorHAnsi" w:hAnsiTheme="minorHAnsi" w:cstheme="minorHAnsi"/>
                <w:sz w:val="22"/>
                <w:szCs w:val="22"/>
              </w:rPr>
              <w:t xml:space="preserve">difficulties </w:t>
            </w:r>
            <w:r w:rsidR="00A660B0" w:rsidRPr="00A660B0">
              <w:rPr>
                <w:rFonts w:asciiTheme="minorHAnsi" w:hAnsiTheme="minorHAnsi" w:cstheme="minorHAnsi"/>
                <w:sz w:val="22"/>
                <w:szCs w:val="22"/>
              </w:rPr>
              <w:t>related to one of their specific satellite networks or systems</w:t>
            </w:r>
            <w:r w:rsidR="00166421">
              <w:rPr>
                <w:rFonts w:asciiTheme="minorHAnsi" w:hAnsiTheme="minorHAnsi" w:cstheme="minorHAnsi"/>
                <w:sz w:val="22"/>
                <w:szCs w:val="22"/>
              </w:rPr>
              <w:t>, in particular when it may</w:t>
            </w:r>
            <w:r w:rsidR="00A660B0">
              <w:rPr>
                <w:rFonts w:asciiTheme="minorHAnsi" w:hAnsiTheme="minorHAnsi" w:cstheme="minorHAnsi"/>
                <w:sz w:val="22"/>
                <w:szCs w:val="22"/>
              </w:rPr>
              <w:t xml:space="preserve"> affect their positions with regards to a CEPT proposal related to WRC-15 agenda items 7 or 9 </w:t>
            </w:r>
            <w:r w:rsidR="00A660B0" w:rsidRPr="00A660B0">
              <w:rPr>
                <w:rFonts w:asciiTheme="minorHAnsi" w:hAnsiTheme="minorHAnsi" w:cstheme="minorHAnsi"/>
                <w:sz w:val="22"/>
                <w:szCs w:val="22"/>
              </w:rPr>
              <w:t xml:space="preserve">to bring them </w:t>
            </w:r>
            <w:r w:rsidR="00A660B0">
              <w:rPr>
                <w:rFonts w:asciiTheme="minorHAnsi" w:hAnsiTheme="minorHAnsi" w:cstheme="minorHAnsi"/>
                <w:sz w:val="22"/>
                <w:szCs w:val="22"/>
              </w:rPr>
              <w:t>to the attention of CPG PTB;</w:t>
            </w:r>
          </w:p>
          <w:p w:rsidR="00B44F73" w:rsidRPr="00A660B0" w:rsidRDefault="00D80B72" w:rsidP="00147E1D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60B0">
              <w:rPr>
                <w:rFonts w:asciiTheme="minorHAnsi" w:hAnsiTheme="minorHAnsi" w:cstheme="minorHAnsi"/>
                <w:sz w:val="22"/>
                <w:szCs w:val="22"/>
              </w:rPr>
              <w:t>task</w:t>
            </w:r>
            <w:r w:rsidR="00595CD6" w:rsidRPr="00A660B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A660B0">
              <w:rPr>
                <w:rFonts w:asciiTheme="minorHAnsi" w:hAnsiTheme="minorHAnsi" w:cstheme="minorHAnsi"/>
                <w:sz w:val="22"/>
                <w:szCs w:val="22"/>
              </w:rPr>
              <w:t xml:space="preserve"> CPG PTB</w:t>
            </w:r>
            <w:r w:rsidR="00C740B3" w:rsidRPr="00A660B0"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r w:rsidR="00A660B0">
              <w:rPr>
                <w:rFonts w:asciiTheme="minorHAnsi" w:hAnsiTheme="minorHAnsi" w:cstheme="minorHAnsi"/>
                <w:sz w:val="22"/>
                <w:szCs w:val="22"/>
              </w:rPr>
              <w:t>take into account these specific cases in advance of WRC-15 so that a complete solution can be elaborated</w:t>
            </w:r>
            <w:r w:rsidR="00166421">
              <w:rPr>
                <w:rFonts w:asciiTheme="minorHAnsi" w:hAnsiTheme="minorHAnsi" w:cstheme="minorHAnsi"/>
                <w:sz w:val="22"/>
                <w:szCs w:val="22"/>
              </w:rPr>
              <w:t xml:space="preserve"> in advance to WRC-15</w:t>
            </w:r>
            <w:r w:rsidR="00A660B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B44F73" w:rsidRPr="000E5C90" w:rsidTr="00B44F7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F73" w:rsidRPr="00B44F73" w:rsidRDefault="00147E1D" w:rsidP="00B44F73">
            <w:pPr>
              <w:rPr>
                <w:b/>
              </w:rPr>
            </w:pPr>
            <w:r>
              <w:rPr>
                <w:b/>
              </w:rPr>
              <w:t>Background:</w:t>
            </w:r>
          </w:p>
        </w:tc>
      </w:tr>
      <w:tr w:rsidR="00B44F73" w:rsidRPr="000E5C90" w:rsidTr="00B44F7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9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C0" w:rsidRPr="00FD5486" w:rsidRDefault="00117AC0" w:rsidP="00D20F24">
            <w:pPr>
              <w:rPr>
                <w:szCs w:val="20"/>
                <w:lang w:val="en-US"/>
              </w:rPr>
            </w:pPr>
          </w:p>
        </w:tc>
      </w:tr>
    </w:tbl>
    <w:p w:rsidR="007639C3" w:rsidRDefault="007639C3" w:rsidP="00D80B72"/>
    <w:sectPr w:rsidR="007639C3" w:rsidSect="00212C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E015D"/>
    <w:multiLevelType w:val="hybridMultilevel"/>
    <w:tmpl w:val="D908A1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D079E"/>
    <w:multiLevelType w:val="hybridMultilevel"/>
    <w:tmpl w:val="44F61A2A"/>
    <w:lvl w:ilvl="0" w:tplc="FFFFFFFF">
      <w:numFmt w:val="bullet"/>
      <w:pStyle w:val="Alinea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3011FD"/>
    <w:multiLevelType w:val="hybridMultilevel"/>
    <w:tmpl w:val="6584DDA4"/>
    <w:lvl w:ilvl="0" w:tplc="23C800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EA5BCC"/>
    <w:multiLevelType w:val="hybridMultilevel"/>
    <w:tmpl w:val="B60C6A96"/>
    <w:lvl w:ilvl="0" w:tplc="796EE292">
      <w:start w:val="1"/>
      <w:numFmt w:val="decimal"/>
      <w:pStyle w:val="Heading1"/>
      <w:lvlText w:val="%1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026"/>
    <w:rsid w:val="000B16CC"/>
    <w:rsid w:val="00117AC0"/>
    <w:rsid w:val="00122C0D"/>
    <w:rsid w:val="00147E1D"/>
    <w:rsid w:val="00166421"/>
    <w:rsid w:val="00212C75"/>
    <w:rsid w:val="0048075A"/>
    <w:rsid w:val="00491A44"/>
    <w:rsid w:val="00595CD6"/>
    <w:rsid w:val="007639C3"/>
    <w:rsid w:val="009712DE"/>
    <w:rsid w:val="00A660B0"/>
    <w:rsid w:val="00B44F73"/>
    <w:rsid w:val="00B53D76"/>
    <w:rsid w:val="00C740B3"/>
    <w:rsid w:val="00D137EA"/>
    <w:rsid w:val="00D80B72"/>
    <w:rsid w:val="00E44453"/>
    <w:rsid w:val="00E73D14"/>
    <w:rsid w:val="00EC4026"/>
    <w:rsid w:val="00F9135E"/>
    <w:rsid w:val="00FD5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9C3"/>
    <w:pPr>
      <w:keepNext/>
      <w:keepLines/>
      <w:numPr>
        <w:numId w:val="2"/>
      </w:numPr>
      <w:spacing w:before="480" w:after="0"/>
      <w:ind w:left="567" w:hanging="567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4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02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639C3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ListParagraph">
    <w:name w:val="List Paragraph"/>
    <w:basedOn w:val="Texte"/>
    <w:uiPriority w:val="34"/>
    <w:qFormat/>
    <w:rsid w:val="007639C3"/>
    <w:pPr>
      <w:widowControl w:val="0"/>
      <w:suppressAutoHyphens/>
    </w:pPr>
  </w:style>
  <w:style w:type="paragraph" w:customStyle="1" w:styleId="Texte">
    <w:name w:val="Texte"/>
    <w:basedOn w:val="Normal"/>
    <w:rsid w:val="007639C3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linea">
    <w:name w:val="Alinea"/>
    <w:basedOn w:val="Texte"/>
    <w:rsid w:val="007639C3"/>
    <w:pPr>
      <w:widowControl w:val="0"/>
      <w:numPr>
        <w:numId w:val="1"/>
      </w:numPr>
      <w:tabs>
        <w:tab w:val="clear" w:pos="1125"/>
      </w:tabs>
      <w:suppressAutoHyphens/>
      <w:ind w:left="2700" w:hanging="2340"/>
    </w:pPr>
  </w:style>
  <w:style w:type="paragraph" w:customStyle="1" w:styleId="Header2">
    <w:name w:val="Header2"/>
    <w:basedOn w:val="Header"/>
    <w:rsid w:val="00B44F73"/>
    <w:rPr>
      <w:rFonts w:ascii="Arial" w:eastAsia="Times New Roman" w:hAnsi="Arial" w:cs="Times New Roman"/>
      <w:b/>
      <w:szCs w:val="20"/>
      <w:lang w:val="nb-NO" w:eastAsia="de-DE"/>
    </w:rPr>
  </w:style>
  <w:style w:type="paragraph" w:styleId="Header">
    <w:name w:val="header"/>
    <w:basedOn w:val="Normal"/>
    <w:link w:val="HeaderChar"/>
    <w:uiPriority w:val="99"/>
    <w:semiHidden/>
    <w:unhideWhenUsed/>
    <w:rsid w:val="00B44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4F73"/>
  </w:style>
  <w:style w:type="character" w:styleId="Hyperlink">
    <w:name w:val="Hyperlink"/>
    <w:basedOn w:val="DefaultParagraphFont"/>
    <w:uiPriority w:val="99"/>
    <w:unhideWhenUsed/>
    <w:rsid w:val="00117A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9C3"/>
    <w:pPr>
      <w:keepNext/>
      <w:keepLines/>
      <w:numPr>
        <w:numId w:val="2"/>
      </w:numPr>
      <w:spacing w:before="480" w:after="0"/>
      <w:ind w:left="567" w:hanging="567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4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02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639C3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ListParagraph">
    <w:name w:val="List Paragraph"/>
    <w:basedOn w:val="Texte"/>
    <w:uiPriority w:val="34"/>
    <w:qFormat/>
    <w:rsid w:val="007639C3"/>
    <w:pPr>
      <w:widowControl w:val="0"/>
      <w:suppressAutoHyphens/>
    </w:pPr>
  </w:style>
  <w:style w:type="paragraph" w:customStyle="1" w:styleId="Texte">
    <w:name w:val="Texte"/>
    <w:basedOn w:val="Normal"/>
    <w:rsid w:val="007639C3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linea">
    <w:name w:val="Alinea"/>
    <w:basedOn w:val="Texte"/>
    <w:rsid w:val="007639C3"/>
    <w:pPr>
      <w:widowControl w:val="0"/>
      <w:numPr>
        <w:numId w:val="1"/>
      </w:numPr>
      <w:tabs>
        <w:tab w:val="clear" w:pos="1125"/>
      </w:tabs>
      <w:suppressAutoHyphens/>
      <w:ind w:left="2700" w:hanging="2340"/>
    </w:pPr>
  </w:style>
  <w:style w:type="paragraph" w:customStyle="1" w:styleId="Header2">
    <w:name w:val="Header2"/>
    <w:basedOn w:val="Header"/>
    <w:rsid w:val="00B44F73"/>
    <w:rPr>
      <w:rFonts w:ascii="Arial" w:eastAsia="Times New Roman" w:hAnsi="Arial" w:cs="Times New Roman"/>
      <w:b/>
      <w:szCs w:val="20"/>
      <w:lang w:val="nb-NO" w:eastAsia="de-DE"/>
    </w:rPr>
  </w:style>
  <w:style w:type="paragraph" w:styleId="Header">
    <w:name w:val="header"/>
    <w:basedOn w:val="Normal"/>
    <w:link w:val="HeaderChar"/>
    <w:uiPriority w:val="99"/>
    <w:semiHidden/>
    <w:unhideWhenUsed/>
    <w:rsid w:val="00B44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4F73"/>
  </w:style>
  <w:style w:type="character" w:styleId="Hyperlink">
    <w:name w:val="Hyperlink"/>
    <w:basedOn w:val="DefaultParagraphFont"/>
    <w:uiPriority w:val="99"/>
    <w:unhideWhenUsed/>
    <w:rsid w:val="00117A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OFCOM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wesley.milton</dc:creator>
  <cp:lastModifiedBy>wesley.milton</cp:lastModifiedBy>
  <cp:revision>2</cp:revision>
  <dcterms:created xsi:type="dcterms:W3CDTF">2013-01-17T11:22:00Z</dcterms:created>
  <dcterms:modified xsi:type="dcterms:W3CDTF">2013-01-17T11:22:00Z</dcterms:modified>
</cp:coreProperties>
</file>