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53" w:type="dxa"/>
        <w:tblInd w:w="-459" w:type="dxa"/>
        <w:tblLayout w:type="fixed"/>
        <w:tblLook w:val="0000" w:firstRow="0" w:lastRow="0" w:firstColumn="0" w:lastColumn="0" w:noHBand="0" w:noVBand="0"/>
      </w:tblPr>
      <w:tblGrid>
        <w:gridCol w:w="3119"/>
        <w:gridCol w:w="283"/>
        <w:gridCol w:w="1134"/>
        <w:gridCol w:w="284"/>
        <w:gridCol w:w="796"/>
        <w:gridCol w:w="4137"/>
      </w:tblGrid>
      <w:tr w:rsidR="00892E72" w:rsidRPr="00946190">
        <w:tc>
          <w:tcPr>
            <w:tcW w:w="5616" w:type="dxa"/>
            <w:gridSpan w:val="5"/>
            <w:vAlign w:val="center"/>
          </w:tcPr>
          <w:p w:rsidR="00892E72" w:rsidRPr="002F1417" w:rsidRDefault="00892E72" w:rsidP="008F3680">
            <w:pPr>
              <w:pStyle w:val="Header2"/>
              <w:rPr>
                <w:rFonts w:cs="Arial"/>
                <w:sz w:val="24"/>
                <w:lang w:val="en-IE" w:eastAsia="en-IE"/>
              </w:rPr>
            </w:pPr>
            <w:r w:rsidRPr="002F1417">
              <w:rPr>
                <w:rFonts w:cs="Arial"/>
                <w:sz w:val="24"/>
                <w:lang w:val="en-IE" w:eastAsia="en-IE"/>
              </w:rPr>
              <w:t>E</w:t>
            </w:r>
            <w:bookmarkStart w:id="0" w:name="_GoBack"/>
            <w:bookmarkEnd w:id="0"/>
            <w:r w:rsidRPr="002F1417">
              <w:rPr>
                <w:rFonts w:cs="Arial"/>
                <w:sz w:val="24"/>
                <w:lang w:val="en-IE" w:eastAsia="en-IE"/>
              </w:rPr>
              <w:t>CC</w:t>
            </w:r>
            <w:r>
              <w:rPr>
                <w:rFonts w:cs="Arial"/>
                <w:sz w:val="24"/>
                <w:lang w:val="en-IE" w:eastAsia="en-IE"/>
              </w:rPr>
              <w:t xml:space="preserve"> PT1 #42</w:t>
            </w:r>
          </w:p>
        </w:tc>
        <w:tc>
          <w:tcPr>
            <w:tcW w:w="4137" w:type="dxa"/>
          </w:tcPr>
          <w:p w:rsidR="00892E72" w:rsidRPr="00946190" w:rsidRDefault="00F53CD9" w:rsidP="008F3680">
            <w:pPr>
              <w:pStyle w:val="PT1Headrechts"/>
            </w:pPr>
            <w:r>
              <w:rPr>
                <w:noProof/>
                <w:lang w:val="de-DE" w:eastAsia="de-DE"/>
              </w:rPr>
              <w:pict>
                <v:shapetype id="_x0000_t202" coordsize="21600,21600" o:spt="202" path="m,l,21600r21600,l21600,xe">
                  <v:stroke joinstyle="miter"/>
                  <v:path gradientshapeok="t" o:connecttype="rect"/>
                </v:shapetype>
                <v:shape id="_x0000_s1026" type="#_x0000_t202" style="position:absolute;margin-left:106.35pt;margin-top:-36.25pt;width:99pt;height:36pt;z-index:251658240;mso-position-horizontal-relative:text;mso-position-vertical-relative:text" stroked="f">
                  <v:textbox>
                    <w:txbxContent>
                      <w:p w:rsidR="00892E72" w:rsidRPr="004726FB" w:rsidRDefault="00892E72" w:rsidP="008F3680">
                        <w:pPr>
                          <w:rPr>
                            <w:rFonts w:ascii="Arial" w:hAnsi="Arial" w:cs="Arial"/>
                          </w:rPr>
                        </w:pPr>
                      </w:p>
                    </w:txbxContent>
                  </v:textbox>
                </v:shape>
              </w:pict>
            </w:r>
            <w:r w:rsidR="00892E72" w:rsidRPr="00946190">
              <w:t>ECC</w:t>
            </w:r>
            <w:r w:rsidR="00892E72">
              <w:t xml:space="preserve"> PT1(13)</w:t>
            </w:r>
            <w:r>
              <w:t>013</w:t>
            </w:r>
          </w:p>
          <w:p w:rsidR="00892E72" w:rsidRPr="00946190" w:rsidRDefault="00892E72" w:rsidP="008F3680">
            <w:pPr>
              <w:pStyle w:val="PT1Headrechts"/>
              <w:rPr>
                <w:b w:val="0"/>
                <w:lang w:val="it-IT"/>
              </w:rPr>
            </w:pPr>
          </w:p>
        </w:tc>
      </w:tr>
      <w:tr w:rsidR="00892E72" w:rsidRPr="00946190">
        <w:tc>
          <w:tcPr>
            <w:tcW w:w="5616" w:type="dxa"/>
            <w:gridSpan w:val="5"/>
            <w:vAlign w:val="center"/>
          </w:tcPr>
          <w:p w:rsidR="00892E72" w:rsidRPr="00EB4BBE" w:rsidRDefault="00892E72" w:rsidP="008F3680">
            <w:pPr>
              <w:pStyle w:val="Header2"/>
              <w:rPr>
                <w:lang w:val="en-GB"/>
              </w:rPr>
            </w:pPr>
            <w:r>
              <w:rPr>
                <w:lang w:val="en-GB"/>
              </w:rPr>
              <w:t>Marseille</w:t>
            </w:r>
            <w:r w:rsidRPr="00EB4BBE">
              <w:rPr>
                <w:lang w:val="en-GB"/>
              </w:rPr>
              <w:t xml:space="preserve">, </w:t>
            </w:r>
            <w:r>
              <w:rPr>
                <w:lang w:val="en-GB"/>
              </w:rPr>
              <w:t>14-18 September 2013</w:t>
            </w:r>
          </w:p>
        </w:tc>
        <w:tc>
          <w:tcPr>
            <w:tcW w:w="4137" w:type="dxa"/>
          </w:tcPr>
          <w:p w:rsidR="00892E72" w:rsidRPr="00946190" w:rsidRDefault="00892E72" w:rsidP="008F3680">
            <w:pPr>
              <w:jc w:val="right"/>
              <w:rPr>
                <w:b/>
                <w:lang w:val="en-IE"/>
              </w:rPr>
            </w:pPr>
          </w:p>
        </w:tc>
      </w:tr>
      <w:tr w:rsidR="00892E72" w:rsidRPr="00946190">
        <w:trPr>
          <w:cantSplit/>
          <w:trHeight w:val="1183"/>
        </w:trPr>
        <w:tc>
          <w:tcPr>
            <w:tcW w:w="9753" w:type="dxa"/>
            <w:gridSpan w:val="6"/>
          </w:tcPr>
          <w:p w:rsidR="001819B9" w:rsidRDefault="001819B9" w:rsidP="008F3680">
            <w:pPr>
              <w:pStyle w:val="PT1Head"/>
              <w:rPr>
                <w:rFonts w:cs="Arial"/>
                <w:lang w:val="en-IE"/>
              </w:rPr>
            </w:pPr>
          </w:p>
          <w:p w:rsidR="00892E72" w:rsidRPr="002F1417" w:rsidRDefault="001819B9" w:rsidP="008F3680">
            <w:pPr>
              <w:pStyle w:val="PT1Head"/>
              <w:rPr>
                <w:rFonts w:cs="Arial"/>
                <w:lang w:val="en-IE"/>
              </w:rPr>
            </w:pPr>
            <w:r>
              <w:rPr>
                <w:rFonts w:cs="Arial"/>
                <w:lang w:val="en-IE"/>
              </w:rPr>
              <w:t>Date issued: 21</w:t>
            </w:r>
            <w:r w:rsidR="00892E72">
              <w:rPr>
                <w:rFonts w:cs="Arial"/>
                <w:lang w:val="en-IE"/>
              </w:rPr>
              <w:t xml:space="preserve"> December 2012</w:t>
            </w:r>
          </w:p>
          <w:p w:rsidR="00892E72" w:rsidRPr="002F1417" w:rsidRDefault="00892E72" w:rsidP="008F3680">
            <w:pPr>
              <w:rPr>
                <w:rFonts w:ascii="Arial" w:hAnsi="Arial" w:cs="Arial"/>
                <w:b/>
                <w:szCs w:val="20"/>
                <w:lang w:val="en-IE" w:eastAsia="en-IE"/>
              </w:rPr>
            </w:pPr>
          </w:p>
          <w:p w:rsidR="00892E72" w:rsidRPr="008F3680" w:rsidRDefault="00892E72" w:rsidP="008F3680">
            <w:pPr>
              <w:pStyle w:val="PT1Head"/>
              <w:rPr>
                <w:rFonts w:cs="Arial"/>
                <w:lang w:val="en-IE"/>
              </w:rPr>
            </w:pPr>
            <w:r w:rsidRPr="00946190">
              <w:rPr>
                <w:rFonts w:cs="Arial"/>
                <w:lang w:val="en-IE"/>
              </w:rPr>
              <w:t xml:space="preserve">Source: </w:t>
            </w:r>
            <w:r>
              <w:rPr>
                <w:rFonts w:cs="Arial"/>
                <w:lang w:val="en-IE"/>
              </w:rPr>
              <w:t>Convener of the CG on</w:t>
            </w:r>
            <w:r w:rsidRPr="008F3680">
              <w:rPr>
                <w:rFonts w:cs="Arial"/>
                <w:lang w:val="en-IE"/>
              </w:rPr>
              <w:t xml:space="preserve"> MFCN SDL in the 1452-1492 MHz</w:t>
            </w:r>
          </w:p>
          <w:p w:rsidR="00892E72" w:rsidRPr="00946190" w:rsidRDefault="00892E72" w:rsidP="008F3680">
            <w:pPr>
              <w:pStyle w:val="PT1Head"/>
              <w:rPr>
                <w:rFonts w:cs="Arial"/>
                <w:lang w:val="en-IE"/>
              </w:rPr>
            </w:pPr>
          </w:p>
          <w:p w:rsidR="00892E72" w:rsidRDefault="00892E72" w:rsidP="008F3680">
            <w:pPr>
              <w:pStyle w:val="PT1Head"/>
              <w:rPr>
                <w:rFonts w:cs="Arial"/>
                <w:lang w:val="en-IE"/>
              </w:rPr>
            </w:pPr>
            <w:r w:rsidRPr="00946190">
              <w:rPr>
                <w:rFonts w:cs="Arial"/>
                <w:lang w:val="en-IE"/>
              </w:rPr>
              <w:t xml:space="preserve">Subject: </w:t>
            </w:r>
            <w:r w:rsidRPr="002F1417">
              <w:rPr>
                <w:rFonts w:cs="Arial"/>
                <w:lang w:val="en-IE"/>
              </w:rPr>
              <w:t xml:space="preserve">Report and output of the correspondence group activity on </w:t>
            </w:r>
            <w:r w:rsidRPr="008F3680">
              <w:rPr>
                <w:rFonts w:cs="Arial"/>
                <w:lang w:val="en-IE"/>
              </w:rPr>
              <w:t>MFCN SDL in the 1452-1492 MHz</w:t>
            </w:r>
          </w:p>
          <w:p w:rsidR="00892E72" w:rsidRPr="00113AF0" w:rsidRDefault="00892E72" w:rsidP="008F3680">
            <w:pPr>
              <w:rPr>
                <w:lang w:val="en-IE" w:eastAsia="en-IE"/>
              </w:rPr>
            </w:pPr>
          </w:p>
        </w:tc>
      </w:tr>
      <w:tr w:rsidR="00892E72" w:rsidRPr="009461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4933" w:type="dxa"/>
        </w:trPr>
        <w:tc>
          <w:tcPr>
            <w:tcW w:w="3119" w:type="dxa"/>
            <w:tcBorders>
              <w:top w:val="nil"/>
              <w:left w:val="nil"/>
              <w:bottom w:val="nil"/>
            </w:tcBorders>
          </w:tcPr>
          <w:p w:rsidR="00892E72" w:rsidRPr="00946190" w:rsidRDefault="00892E72" w:rsidP="008F3680">
            <w:pPr>
              <w:pStyle w:val="PT1Head"/>
              <w:ind w:left="71"/>
              <w:rPr>
                <w:sz w:val="20"/>
              </w:rPr>
            </w:pPr>
            <w:r w:rsidRPr="00946190">
              <w:t>Password protected: yes</w:t>
            </w:r>
          </w:p>
        </w:tc>
        <w:tc>
          <w:tcPr>
            <w:tcW w:w="283" w:type="dxa"/>
          </w:tcPr>
          <w:p w:rsidR="00892E72" w:rsidRPr="00946190" w:rsidRDefault="00892E72" w:rsidP="008F3680">
            <w:pPr>
              <w:pStyle w:val="PT1Head"/>
              <w:keepNext w:val="0"/>
              <w:rPr>
                <w:bCs/>
                <w:lang w:val="en-IE" w:eastAsia="de-DE"/>
              </w:rPr>
            </w:pPr>
          </w:p>
        </w:tc>
        <w:tc>
          <w:tcPr>
            <w:tcW w:w="1134" w:type="dxa"/>
            <w:tcBorders>
              <w:top w:val="nil"/>
              <w:bottom w:val="nil"/>
            </w:tcBorders>
          </w:tcPr>
          <w:p w:rsidR="00892E72" w:rsidRPr="00946190" w:rsidRDefault="00892E72" w:rsidP="008F3680">
            <w:pPr>
              <w:pStyle w:val="PT1Head"/>
              <w:keepNext w:val="0"/>
              <w:jc w:val="right"/>
              <w:rPr>
                <w:bCs/>
                <w:lang w:val="en-IE" w:eastAsia="de-DE"/>
              </w:rPr>
            </w:pPr>
            <w:r w:rsidRPr="00946190">
              <w:rPr>
                <w:bCs/>
                <w:lang w:val="en-IE" w:eastAsia="de-DE"/>
              </w:rPr>
              <w:t>no</w:t>
            </w:r>
          </w:p>
        </w:tc>
        <w:tc>
          <w:tcPr>
            <w:tcW w:w="284" w:type="dxa"/>
          </w:tcPr>
          <w:p w:rsidR="00892E72" w:rsidRPr="00946190" w:rsidRDefault="00892E72" w:rsidP="008F3680">
            <w:pPr>
              <w:pStyle w:val="PT1Head"/>
              <w:keepNext w:val="0"/>
              <w:rPr>
                <w:bCs/>
                <w:lang w:val="en-IE" w:eastAsia="de-DE"/>
              </w:rPr>
            </w:pPr>
            <w:r w:rsidRPr="00946190">
              <w:rPr>
                <w:bCs/>
                <w:lang w:val="en-IE" w:eastAsia="de-DE"/>
              </w:rPr>
              <w:t>X</w:t>
            </w:r>
          </w:p>
        </w:tc>
      </w:tr>
    </w:tbl>
    <w:p w:rsidR="00892E72" w:rsidRPr="00946190" w:rsidRDefault="00892E72" w:rsidP="008F3680">
      <w:pPr>
        <w:tabs>
          <w:tab w:val="num" w:pos="-360"/>
        </w:tabs>
        <w:jc w:val="both"/>
        <w:rPr>
          <w:b/>
          <w:bCs/>
        </w:rPr>
      </w:pPr>
    </w:p>
    <w:p w:rsidR="00892E72" w:rsidRPr="00A92291" w:rsidRDefault="00892E72" w:rsidP="008F3680">
      <w:pPr>
        <w:spacing w:before="60" w:after="60"/>
        <w:ind w:left="-357"/>
        <w:jc w:val="both"/>
        <w:rPr>
          <w:b/>
          <w:lang w:val="en-US"/>
        </w:rPr>
      </w:pPr>
      <w:r>
        <w:rPr>
          <w:b/>
          <w:lang w:val="en-US"/>
        </w:rPr>
        <w:t>Introduction</w:t>
      </w:r>
    </w:p>
    <w:p w:rsidR="00892E72" w:rsidRDefault="00892E72" w:rsidP="00C84208">
      <w:pPr>
        <w:spacing w:before="60" w:after="60"/>
        <w:ind w:left="-357" w:right="78"/>
        <w:jc w:val="both"/>
        <w:rPr>
          <w:lang w:val="en-US"/>
        </w:rPr>
      </w:pPr>
      <w:r>
        <w:rPr>
          <w:lang w:val="en-US"/>
        </w:rPr>
        <w:t xml:space="preserve">After the last </w:t>
      </w:r>
      <w:r w:rsidRPr="00E0332D">
        <w:rPr>
          <w:lang w:val="en-US"/>
        </w:rPr>
        <w:t>ECC PT1</w:t>
      </w:r>
      <w:r>
        <w:rPr>
          <w:lang w:val="en-US"/>
        </w:rPr>
        <w:t xml:space="preserve"> plenary meeting the ECC PT1 chairman</w:t>
      </w:r>
      <w:r w:rsidRPr="00E0332D">
        <w:rPr>
          <w:lang w:val="en-US"/>
        </w:rPr>
        <w:t xml:space="preserve"> set up a Correspondence Group (CG) on </w:t>
      </w:r>
      <w:r>
        <w:rPr>
          <w:lang w:val="en-US"/>
        </w:rPr>
        <w:t>“</w:t>
      </w:r>
      <w:r w:rsidRPr="00E0332D">
        <w:rPr>
          <w:lang w:val="en-US"/>
        </w:rPr>
        <w:t>MFCN SDL in the 1452-1492 MHz band</w:t>
      </w:r>
      <w:r>
        <w:rPr>
          <w:lang w:val="en-US"/>
        </w:rPr>
        <w:t>”</w:t>
      </w:r>
      <w:r w:rsidRPr="00E0332D">
        <w:rPr>
          <w:lang w:val="en-US"/>
        </w:rPr>
        <w:t>.</w:t>
      </w:r>
    </w:p>
    <w:p w:rsidR="001819B9" w:rsidRDefault="001819B9" w:rsidP="00C84208">
      <w:pPr>
        <w:spacing w:before="60" w:after="60"/>
        <w:ind w:left="-357" w:right="78"/>
        <w:jc w:val="both"/>
        <w:rPr>
          <w:lang w:val="en-US"/>
        </w:rPr>
      </w:pPr>
    </w:p>
    <w:p w:rsidR="00892E72" w:rsidRPr="00C702AC" w:rsidRDefault="00892E72" w:rsidP="00C84208">
      <w:pPr>
        <w:spacing w:before="60" w:after="60"/>
        <w:ind w:left="-357" w:right="78"/>
        <w:jc w:val="both"/>
        <w:rPr>
          <w:lang w:val="en-US"/>
        </w:rPr>
      </w:pPr>
      <w:r w:rsidRPr="00E0332D">
        <w:rPr>
          <w:lang w:val="en-US"/>
        </w:rPr>
        <w:t>Following LSs to ECC PT1 from WG FM and FM 50, ECC PT1 would need to develop the least restrictive technical conditions MFCN SDL, based on the block edge mask</w:t>
      </w:r>
      <w:r>
        <w:rPr>
          <w:lang w:val="en-US"/>
        </w:rPr>
        <w:t xml:space="preserve"> </w:t>
      </w:r>
      <w:r w:rsidRPr="00E0332D">
        <w:rPr>
          <w:lang w:val="en-US"/>
        </w:rPr>
        <w:t>(BEM) concept. It is expected that BEM</w:t>
      </w:r>
      <w:r>
        <w:rPr>
          <w:lang w:val="en-US"/>
        </w:rPr>
        <w:t>s</w:t>
      </w:r>
      <w:r w:rsidRPr="00E0332D">
        <w:rPr>
          <w:lang w:val="en-US"/>
        </w:rPr>
        <w:t xml:space="preserve"> defined by ECC PT1 would allow the coexistence between MFCN SDL in the 1452-1492 MHz band</w:t>
      </w:r>
      <w:r>
        <w:rPr>
          <w:lang w:val="en-US"/>
        </w:rPr>
        <w:t xml:space="preserve">; </w:t>
      </w:r>
      <w:r w:rsidRPr="00C702AC">
        <w:rPr>
          <w:lang w:val="en-US"/>
        </w:rPr>
        <w:t xml:space="preserve">those BEMs will be included </w:t>
      </w:r>
      <w:r>
        <w:rPr>
          <w:lang w:val="en-US"/>
        </w:rPr>
        <w:t xml:space="preserve">in </w:t>
      </w:r>
      <w:r w:rsidRPr="00C702AC">
        <w:rPr>
          <w:lang w:val="en-US"/>
        </w:rPr>
        <w:t xml:space="preserve">the Draft ECC Decision on the </w:t>
      </w:r>
      <w:proofErr w:type="spellStart"/>
      <w:r w:rsidRPr="00C702AC">
        <w:rPr>
          <w:lang w:val="en-US"/>
        </w:rPr>
        <w:t>harmonised</w:t>
      </w:r>
      <w:proofErr w:type="spellEnd"/>
      <w:r w:rsidRPr="00C702AC">
        <w:rPr>
          <w:lang w:val="en-US"/>
        </w:rPr>
        <w:t xml:space="preserve"> use of 1452-1492 MHz for MFCN SDL</w:t>
      </w:r>
      <w:r>
        <w:rPr>
          <w:lang w:val="en-US"/>
        </w:rPr>
        <w:t>, developed by FM50</w:t>
      </w:r>
      <w:r w:rsidRPr="00C702AC">
        <w:rPr>
          <w:lang w:val="en-US"/>
        </w:rPr>
        <w:t xml:space="preserve">. </w:t>
      </w:r>
    </w:p>
    <w:p w:rsidR="00892E72" w:rsidRPr="00E0332D" w:rsidRDefault="00892E72" w:rsidP="00C702AC">
      <w:pPr>
        <w:spacing w:before="60" w:after="60"/>
        <w:ind w:left="-357" w:right="-914"/>
        <w:jc w:val="both"/>
        <w:rPr>
          <w:lang w:val="en-US"/>
        </w:rPr>
      </w:pPr>
      <w:r>
        <w:rPr>
          <w:lang w:val="en-US"/>
        </w:rPr>
        <w:t>The tasks for the CG are the following:</w:t>
      </w:r>
    </w:p>
    <w:p w:rsidR="00892E72" w:rsidRPr="008F3680" w:rsidRDefault="00892E72" w:rsidP="008F3680">
      <w:pPr>
        <w:numPr>
          <w:ilvl w:val="0"/>
          <w:numId w:val="1"/>
        </w:numPr>
        <w:spacing w:before="60" w:after="60"/>
        <w:ind w:left="709" w:hanging="352"/>
        <w:jc w:val="both"/>
      </w:pPr>
      <w:r w:rsidRPr="008F3680">
        <w:t>to identify the issues which have to be considered to respond to  WG FM (LS ECC PT1(13)03) taking into account the latest information from FM 50 (ECC PT1(13)004)</w:t>
      </w:r>
    </w:p>
    <w:p w:rsidR="00892E72" w:rsidRPr="008F3680" w:rsidRDefault="00892E72" w:rsidP="008F3680">
      <w:pPr>
        <w:numPr>
          <w:ilvl w:val="0"/>
          <w:numId w:val="1"/>
        </w:numPr>
        <w:spacing w:before="60" w:after="60"/>
        <w:ind w:left="709" w:hanging="352"/>
        <w:jc w:val="both"/>
      </w:pPr>
      <w:r w:rsidRPr="008F3680">
        <w:t>to define ECC PT1 time plan</w:t>
      </w:r>
    </w:p>
    <w:p w:rsidR="00892E72" w:rsidRPr="008F3680" w:rsidRDefault="00892E72" w:rsidP="008F3680">
      <w:pPr>
        <w:numPr>
          <w:ilvl w:val="0"/>
          <w:numId w:val="1"/>
        </w:numPr>
        <w:spacing w:before="60" w:after="60"/>
        <w:ind w:left="709" w:hanging="352"/>
        <w:jc w:val="both"/>
      </w:pPr>
      <w:r w:rsidRPr="008F3680">
        <w:t>to draft relevant LS as appropriate</w:t>
      </w:r>
    </w:p>
    <w:p w:rsidR="00892E72" w:rsidRPr="008F3680" w:rsidRDefault="00892E72" w:rsidP="008F3680">
      <w:pPr>
        <w:numPr>
          <w:ilvl w:val="0"/>
          <w:numId w:val="1"/>
        </w:numPr>
        <w:spacing w:before="60" w:after="60"/>
        <w:ind w:left="709" w:hanging="352"/>
        <w:jc w:val="both"/>
      </w:pPr>
      <w:r w:rsidRPr="008F3680">
        <w:t>to launch the development of relevant BEM based on contributions</w:t>
      </w:r>
    </w:p>
    <w:p w:rsidR="001819B9" w:rsidRDefault="001819B9" w:rsidP="00C84208">
      <w:pPr>
        <w:spacing w:before="60" w:after="60"/>
        <w:ind w:left="-357" w:right="78"/>
        <w:jc w:val="both"/>
        <w:rPr>
          <w:lang w:val="en-US"/>
        </w:rPr>
      </w:pPr>
    </w:p>
    <w:p w:rsidR="00892E72" w:rsidRDefault="00892E72" w:rsidP="00C84208">
      <w:pPr>
        <w:spacing w:before="60" w:after="60"/>
        <w:ind w:left="-357" w:right="78"/>
        <w:jc w:val="both"/>
        <w:rPr>
          <w:lang w:val="en-US"/>
        </w:rPr>
      </w:pPr>
      <w:r>
        <w:rPr>
          <w:lang w:val="en-US"/>
        </w:rPr>
        <w:t>The</w:t>
      </w:r>
      <w:r w:rsidRPr="008F3680">
        <w:rPr>
          <w:lang w:val="en-US"/>
        </w:rPr>
        <w:t xml:space="preserve"> Correspondence Group on “MFCN SDL in the 1452-1492 MHz band”</w:t>
      </w:r>
      <w:r>
        <w:rPr>
          <w:lang w:val="en-US"/>
        </w:rPr>
        <w:t xml:space="preserve"> worked via the ECO Forum since late October 2012, considering all the above mentioned tasks</w:t>
      </w:r>
      <w:r w:rsidRPr="008F3680">
        <w:rPr>
          <w:lang w:val="en-US"/>
        </w:rPr>
        <w:t>.</w:t>
      </w:r>
    </w:p>
    <w:p w:rsidR="001819B9" w:rsidRDefault="001819B9" w:rsidP="00C84208">
      <w:pPr>
        <w:spacing w:before="60" w:after="60"/>
        <w:ind w:left="-357" w:right="78"/>
        <w:jc w:val="both"/>
        <w:rPr>
          <w:lang w:val="en-US"/>
        </w:rPr>
      </w:pPr>
    </w:p>
    <w:p w:rsidR="00CC6CF9" w:rsidRDefault="00892E72" w:rsidP="00C84208">
      <w:pPr>
        <w:spacing w:before="60" w:after="60"/>
        <w:ind w:left="-357" w:right="78"/>
        <w:jc w:val="both"/>
        <w:rPr>
          <w:lang w:val="en-US"/>
        </w:rPr>
      </w:pPr>
      <w:r>
        <w:rPr>
          <w:lang w:val="en-US"/>
        </w:rPr>
        <w:t xml:space="preserve">The activity of the CG has been practically based on one contribution submitted by </w:t>
      </w:r>
      <w:r w:rsidRPr="009140FE">
        <w:rPr>
          <w:lang w:val="en-US"/>
        </w:rPr>
        <w:t>Ericsson, France Telecom Orange</w:t>
      </w:r>
      <w:r>
        <w:rPr>
          <w:lang w:val="en-US"/>
        </w:rPr>
        <w:t xml:space="preserve"> and</w:t>
      </w:r>
      <w:r w:rsidRPr="009140FE">
        <w:rPr>
          <w:lang w:val="en-US"/>
        </w:rPr>
        <w:t xml:space="preserve"> Qualcomm</w:t>
      </w:r>
      <w:r>
        <w:rPr>
          <w:lang w:val="en-US"/>
        </w:rPr>
        <w:t xml:space="preserve"> and supported by Huawei, </w:t>
      </w:r>
      <w:r>
        <w:t>which identifies the issue to be studied, proposes a methodology to derive BEMs and proposes values for in-block and out-of block EIRP limits, as reported in the following section.</w:t>
      </w:r>
      <w:r>
        <w:rPr>
          <w:lang w:val="en-US"/>
        </w:rPr>
        <w:t xml:space="preserve"> It has to be noted, that no </w:t>
      </w:r>
      <w:r w:rsidR="00871230">
        <w:rPr>
          <w:lang w:val="en-US"/>
        </w:rPr>
        <w:t xml:space="preserve">other contribution has been </w:t>
      </w:r>
      <w:r>
        <w:rPr>
          <w:lang w:val="en-US"/>
        </w:rPr>
        <w:t>received</w:t>
      </w:r>
      <w:r w:rsidRPr="00F21EB9">
        <w:rPr>
          <w:lang w:val="en-US"/>
        </w:rPr>
        <w:t xml:space="preserve"> </w:t>
      </w:r>
      <w:r>
        <w:rPr>
          <w:lang w:val="en-US"/>
        </w:rPr>
        <w:t>during the correspondence activity.</w:t>
      </w:r>
    </w:p>
    <w:p w:rsidR="001819B9" w:rsidRDefault="001819B9" w:rsidP="00C84208">
      <w:pPr>
        <w:spacing w:before="60" w:after="60"/>
        <w:ind w:left="-357" w:right="78"/>
        <w:jc w:val="both"/>
        <w:rPr>
          <w:lang w:val="en-US"/>
        </w:rPr>
      </w:pPr>
    </w:p>
    <w:p w:rsidR="00892E72" w:rsidRDefault="00892E72" w:rsidP="00C84208">
      <w:pPr>
        <w:spacing w:before="60" w:after="60"/>
        <w:ind w:left="-357" w:right="78"/>
        <w:jc w:val="both"/>
        <w:rPr>
          <w:lang w:val="en-US"/>
        </w:rPr>
      </w:pPr>
      <w:r>
        <w:rPr>
          <w:lang w:val="en-US"/>
        </w:rPr>
        <w:t>During the discussion it was expressed that, for the time being, the main tasks of the CG should be the identification of the issues to be studied and the definition of the ECC PT1 time plan. The CG should take the tasks step by step as set out in the task order before drawing a conclusion.</w:t>
      </w:r>
    </w:p>
    <w:p w:rsidR="00892E72" w:rsidRDefault="00892E72" w:rsidP="00A92291">
      <w:pPr>
        <w:spacing w:before="60" w:after="60"/>
        <w:ind w:left="-357"/>
        <w:jc w:val="both"/>
        <w:rPr>
          <w:b/>
          <w:lang w:val="en-US"/>
        </w:rPr>
      </w:pPr>
    </w:p>
    <w:p w:rsidR="00892E72" w:rsidRPr="00C84208" w:rsidRDefault="00892E72" w:rsidP="00C84208">
      <w:pPr>
        <w:spacing w:before="60" w:after="60"/>
        <w:ind w:left="-357"/>
        <w:jc w:val="both"/>
        <w:rPr>
          <w:b/>
          <w:lang w:val="en-US"/>
        </w:rPr>
      </w:pPr>
      <w:r w:rsidRPr="00C84208">
        <w:rPr>
          <w:b/>
          <w:lang w:val="en-US"/>
        </w:rPr>
        <w:lastRenderedPageBreak/>
        <w:t>Block Edge Masks for MFCN SDL in 1452-1492 MHz band</w:t>
      </w:r>
    </w:p>
    <w:p w:rsidR="001819B9" w:rsidRDefault="001819B9" w:rsidP="00C84208">
      <w:pPr>
        <w:spacing w:before="60" w:after="60"/>
        <w:ind w:left="-357" w:right="78"/>
        <w:jc w:val="both"/>
        <w:rPr>
          <w:lang w:val="en-US"/>
        </w:rPr>
      </w:pPr>
    </w:p>
    <w:p w:rsidR="00892E72" w:rsidRDefault="00892E72" w:rsidP="00C84208">
      <w:pPr>
        <w:spacing w:before="60" w:after="60"/>
        <w:ind w:left="-357" w:right="78"/>
        <w:jc w:val="both"/>
        <w:rPr>
          <w:lang w:val="en-US"/>
        </w:rPr>
      </w:pPr>
      <w:r w:rsidRPr="00C702AC">
        <w:rPr>
          <w:lang w:val="en-US"/>
        </w:rPr>
        <w:t xml:space="preserve">The current draft ECC Decision on the </w:t>
      </w:r>
      <w:proofErr w:type="spellStart"/>
      <w:r w:rsidRPr="00C702AC">
        <w:rPr>
          <w:lang w:val="en-US"/>
        </w:rPr>
        <w:t>harmonised</w:t>
      </w:r>
      <w:proofErr w:type="spellEnd"/>
      <w:r w:rsidRPr="00C702AC">
        <w:rPr>
          <w:lang w:val="en-US"/>
        </w:rPr>
        <w:t xml:space="preserve"> use of the frequency band 1452-1492 MHz for Mobile/Fixed Communications Networks Supplemental Downlink (MFCN SDL)</w:t>
      </w:r>
      <w:r>
        <w:rPr>
          <w:lang w:val="en-US"/>
        </w:rPr>
        <w:t xml:space="preserve"> </w:t>
      </w:r>
      <w:r w:rsidRPr="00C702AC">
        <w:rPr>
          <w:lang w:val="en-US"/>
        </w:rPr>
        <w:t xml:space="preserve">includes the </w:t>
      </w:r>
      <w:proofErr w:type="spellStart"/>
      <w:r w:rsidRPr="00C702AC">
        <w:rPr>
          <w:lang w:val="en-US"/>
        </w:rPr>
        <w:t>harmonised</w:t>
      </w:r>
      <w:proofErr w:type="spellEnd"/>
      <w:r w:rsidRPr="00C702AC">
        <w:rPr>
          <w:lang w:val="en-US"/>
        </w:rPr>
        <w:t xml:space="preserve"> frequency arrangement for the band 1452-1492 MHz:</w:t>
      </w:r>
    </w:p>
    <w:p w:rsidR="00892E72" w:rsidRPr="00C702AC" w:rsidRDefault="00892E72" w:rsidP="00C702AC">
      <w:pPr>
        <w:spacing w:before="60" w:after="60"/>
        <w:ind w:left="-357" w:right="-914"/>
        <w:jc w:val="both"/>
        <w:rPr>
          <w:lang w:val="en-US"/>
        </w:rPr>
      </w:pP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992"/>
        <w:gridCol w:w="993"/>
        <w:gridCol w:w="1134"/>
        <w:gridCol w:w="1134"/>
        <w:gridCol w:w="1275"/>
        <w:gridCol w:w="1205"/>
        <w:gridCol w:w="1205"/>
      </w:tblGrid>
      <w:tr w:rsidR="00892E72">
        <w:trPr>
          <w:trHeight w:val="679"/>
        </w:trPr>
        <w:tc>
          <w:tcPr>
            <w:tcW w:w="993" w:type="dxa"/>
          </w:tcPr>
          <w:p w:rsidR="00892E72" w:rsidRDefault="00892E72">
            <w:pPr>
              <w:jc w:val="center"/>
              <w:rPr>
                <w:rFonts w:cs="Arial"/>
              </w:rPr>
            </w:pPr>
            <w:r>
              <w:rPr>
                <w:rFonts w:cs="Arial"/>
                <w:color w:val="000000"/>
                <w:kern w:val="24"/>
                <w:szCs w:val="22"/>
              </w:rPr>
              <w:t>1452 -1457</w:t>
            </w:r>
          </w:p>
        </w:tc>
        <w:tc>
          <w:tcPr>
            <w:tcW w:w="992" w:type="dxa"/>
          </w:tcPr>
          <w:p w:rsidR="00892E72" w:rsidRDefault="00892E72">
            <w:pPr>
              <w:jc w:val="center"/>
              <w:rPr>
                <w:rFonts w:cs="Arial"/>
              </w:rPr>
            </w:pPr>
            <w:r>
              <w:rPr>
                <w:rFonts w:cs="Arial"/>
                <w:color w:val="000000"/>
                <w:kern w:val="24"/>
                <w:szCs w:val="22"/>
              </w:rPr>
              <w:t>1457 - 1462</w:t>
            </w:r>
          </w:p>
        </w:tc>
        <w:tc>
          <w:tcPr>
            <w:tcW w:w="993" w:type="dxa"/>
          </w:tcPr>
          <w:p w:rsidR="00892E72" w:rsidRDefault="00892E72">
            <w:pPr>
              <w:jc w:val="center"/>
              <w:rPr>
                <w:rFonts w:cs="Arial"/>
              </w:rPr>
            </w:pPr>
            <w:r>
              <w:rPr>
                <w:rFonts w:cs="Arial"/>
                <w:color w:val="000000"/>
                <w:kern w:val="24"/>
                <w:szCs w:val="22"/>
              </w:rPr>
              <w:t>1462 - 1467</w:t>
            </w:r>
          </w:p>
        </w:tc>
        <w:tc>
          <w:tcPr>
            <w:tcW w:w="1134" w:type="dxa"/>
          </w:tcPr>
          <w:p w:rsidR="00892E72" w:rsidRDefault="00892E72">
            <w:pPr>
              <w:jc w:val="center"/>
              <w:rPr>
                <w:rFonts w:cs="Arial"/>
              </w:rPr>
            </w:pPr>
            <w:r>
              <w:rPr>
                <w:rFonts w:cs="Arial"/>
                <w:color w:val="000000"/>
                <w:kern w:val="24"/>
                <w:szCs w:val="22"/>
              </w:rPr>
              <w:t>1467 - 1472</w:t>
            </w:r>
          </w:p>
        </w:tc>
        <w:tc>
          <w:tcPr>
            <w:tcW w:w="1134" w:type="dxa"/>
          </w:tcPr>
          <w:p w:rsidR="00892E72" w:rsidRDefault="00892E72">
            <w:pPr>
              <w:jc w:val="center"/>
              <w:rPr>
                <w:rFonts w:cs="Arial"/>
              </w:rPr>
            </w:pPr>
            <w:r>
              <w:rPr>
                <w:rFonts w:cs="Arial"/>
                <w:color w:val="000000"/>
                <w:kern w:val="24"/>
                <w:szCs w:val="22"/>
              </w:rPr>
              <w:t>1472 - 1477</w:t>
            </w:r>
          </w:p>
        </w:tc>
        <w:tc>
          <w:tcPr>
            <w:tcW w:w="1275" w:type="dxa"/>
          </w:tcPr>
          <w:p w:rsidR="00892E72" w:rsidRDefault="00892E72">
            <w:pPr>
              <w:jc w:val="center"/>
              <w:rPr>
                <w:rFonts w:cs="Arial"/>
              </w:rPr>
            </w:pPr>
            <w:r>
              <w:rPr>
                <w:rFonts w:cs="Arial"/>
                <w:color w:val="000000"/>
                <w:kern w:val="24"/>
                <w:szCs w:val="22"/>
              </w:rPr>
              <w:t>1477 -1482</w:t>
            </w:r>
          </w:p>
        </w:tc>
        <w:tc>
          <w:tcPr>
            <w:tcW w:w="1205" w:type="dxa"/>
          </w:tcPr>
          <w:p w:rsidR="00892E72" w:rsidRDefault="00892E72">
            <w:pPr>
              <w:jc w:val="center"/>
              <w:rPr>
                <w:rFonts w:cs="Arial"/>
              </w:rPr>
            </w:pPr>
            <w:r>
              <w:rPr>
                <w:rFonts w:cs="Arial"/>
                <w:color w:val="000000"/>
                <w:kern w:val="24"/>
                <w:szCs w:val="22"/>
              </w:rPr>
              <w:t>1482 - 1487</w:t>
            </w:r>
          </w:p>
          <w:p w:rsidR="00892E72" w:rsidRPr="00C702AC" w:rsidRDefault="00892E72" w:rsidP="00C702AC">
            <w:pPr>
              <w:rPr>
                <w:rFonts w:cs="Arial"/>
              </w:rPr>
            </w:pPr>
          </w:p>
        </w:tc>
        <w:tc>
          <w:tcPr>
            <w:tcW w:w="1205" w:type="dxa"/>
          </w:tcPr>
          <w:p w:rsidR="00892E72" w:rsidRDefault="00892E72">
            <w:pPr>
              <w:jc w:val="center"/>
              <w:rPr>
                <w:rFonts w:cs="Arial"/>
              </w:rPr>
            </w:pPr>
            <w:r>
              <w:rPr>
                <w:rFonts w:cs="Arial"/>
                <w:color w:val="000000"/>
                <w:kern w:val="24"/>
                <w:szCs w:val="22"/>
              </w:rPr>
              <w:t>1487 - 1492</w:t>
            </w:r>
          </w:p>
        </w:tc>
      </w:tr>
      <w:tr w:rsidR="00892E72">
        <w:trPr>
          <w:trHeight w:val="407"/>
        </w:trPr>
        <w:tc>
          <w:tcPr>
            <w:tcW w:w="8931" w:type="dxa"/>
            <w:gridSpan w:val="8"/>
          </w:tcPr>
          <w:p w:rsidR="00892E72" w:rsidRDefault="00892E72">
            <w:pPr>
              <w:jc w:val="center"/>
              <w:rPr>
                <w:rFonts w:cs="Arial"/>
              </w:rPr>
            </w:pPr>
            <w:r>
              <w:rPr>
                <w:rFonts w:cs="Arial"/>
                <w:b/>
                <w:bCs/>
              </w:rPr>
              <w:t>Downlink (base station transmit)</w:t>
            </w:r>
          </w:p>
        </w:tc>
      </w:tr>
      <w:tr w:rsidR="00892E72">
        <w:trPr>
          <w:trHeight w:val="407"/>
        </w:trPr>
        <w:tc>
          <w:tcPr>
            <w:tcW w:w="8931" w:type="dxa"/>
            <w:gridSpan w:val="8"/>
          </w:tcPr>
          <w:p w:rsidR="00892E72" w:rsidRDefault="00892E72">
            <w:pPr>
              <w:jc w:val="center"/>
              <w:rPr>
                <w:rFonts w:cs="Arial"/>
              </w:rPr>
            </w:pPr>
            <w:r>
              <w:rPr>
                <w:rFonts w:cs="Arial"/>
              </w:rPr>
              <w:t>40 MHz (8 blocks of 5 MHz)</w:t>
            </w:r>
          </w:p>
        </w:tc>
      </w:tr>
    </w:tbl>
    <w:p w:rsidR="00892E72" w:rsidRDefault="00892E72" w:rsidP="00C702AC"/>
    <w:p w:rsidR="00892E72" w:rsidRPr="003E1E01" w:rsidRDefault="00892E72" w:rsidP="003E1E01">
      <w:pPr>
        <w:spacing w:before="60" w:after="60"/>
        <w:ind w:left="-357" w:right="78"/>
        <w:jc w:val="both"/>
        <w:rPr>
          <w:u w:val="single"/>
          <w:lang w:val="en-US"/>
        </w:rPr>
      </w:pPr>
      <w:bookmarkStart w:id="1" w:name="_Toc216146011"/>
      <w:r w:rsidRPr="003E1E01">
        <w:rPr>
          <w:u w:val="single"/>
          <w:lang w:val="en-US"/>
        </w:rPr>
        <w:t>Interference scenario</w:t>
      </w:r>
      <w:bookmarkEnd w:id="1"/>
    </w:p>
    <w:p w:rsidR="00892E72" w:rsidRDefault="00892E72" w:rsidP="003E1E01">
      <w:pPr>
        <w:spacing w:before="60" w:after="60"/>
        <w:ind w:left="-357" w:right="78"/>
        <w:jc w:val="both"/>
        <w:rPr>
          <w:rFonts w:cs="Arial"/>
        </w:rPr>
      </w:pPr>
      <w:r w:rsidRPr="003E1E01">
        <w:rPr>
          <w:lang w:val="en-US"/>
        </w:rPr>
        <w:t>The coexistence requirements between MFCN SDL within 1452-1492 MHz band correspond to a Base Station to Terminal Station interference scenario, which has</w:t>
      </w:r>
      <w:r>
        <w:rPr>
          <w:rFonts w:cs="Arial"/>
          <w:lang w:val="en-US"/>
        </w:rPr>
        <w:t xml:space="preserve"> already </w:t>
      </w:r>
      <w:r w:rsidRPr="00CD07C3">
        <w:rPr>
          <w:rFonts w:cs="Arial"/>
          <w:lang w:val="en-US"/>
        </w:rPr>
        <w:t xml:space="preserve">been studied </w:t>
      </w:r>
      <w:r>
        <w:rPr>
          <w:rFonts w:cs="Arial"/>
          <w:lang w:val="en-US"/>
        </w:rPr>
        <w:t xml:space="preserve">by ECC </w:t>
      </w:r>
      <w:r w:rsidRPr="00CD07C3">
        <w:rPr>
          <w:rFonts w:cs="Arial"/>
          <w:lang w:val="en-US"/>
        </w:rPr>
        <w:t xml:space="preserve">in other MFCN bands, in particular </w:t>
      </w:r>
      <w:r>
        <w:rPr>
          <w:rFonts w:cs="Arial"/>
        </w:rPr>
        <w:t>for FDD Base Station BEMs in the Downlink band in the CEPT Reports 30 (800 MHz band) and 39 (2 GHz band)</w:t>
      </w:r>
      <w:r>
        <w:rPr>
          <w:rFonts w:cs="Arial"/>
          <w:lang w:val="en-US"/>
        </w:rPr>
        <w:t>.</w:t>
      </w:r>
      <w:r w:rsidRPr="00CD07C3">
        <w:rPr>
          <w:rFonts w:cs="Arial"/>
          <w:lang w:val="en-US"/>
        </w:rPr>
        <w:t xml:space="preserve"> </w:t>
      </w:r>
      <w:r>
        <w:rPr>
          <w:rFonts w:cs="Arial"/>
        </w:rPr>
        <w:t>These BEMs are referred to as ‘Transition requirements’ in those CEPT Reports.</w:t>
      </w:r>
    </w:p>
    <w:p w:rsidR="00892E72" w:rsidRPr="003E1E01" w:rsidRDefault="00892E72" w:rsidP="003E1E01">
      <w:pPr>
        <w:spacing w:before="60" w:after="60"/>
        <w:ind w:left="-357" w:right="78"/>
        <w:jc w:val="both"/>
        <w:rPr>
          <w:lang w:val="en-US"/>
        </w:rPr>
      </w:pPr>
      <w:r w:rsidRPr="003E1E01">
        <w:rPr>
          <w:lang w:val="en-US"/>
        </w:rPr>
        <w:t>CEPT Report 30 states in Section 4.2:</w:t>
      </w:r>
    </w:p>
    <w:p w:rsidR="00892E72" w:rsidRDefault="00892E72" w:rsidP="003E1E01">
      <w:pPr>
        <w:autoSpaceDE w:val="0"/>
        <w:autoSpaceDN w:val="0"/>
        <w:adjustRightInd w:val="0"/>
        <w:ind w:left="-284"/>
        <w:rPr>
          <w:b/>
          <w:bCs/>
          <w:sz w:val="19"/>
          <w:szCs w:val="19"/>
          <w:lang w:val="en-US"/>
        </w:rPr>
      </w:pPr>
      <w:r>
        <w:rPr>
          <w:b/>
          <w:bCs/>
          <w:sz w:val="19"/>
          <w:szCs w:val="19"/>
          <w:lang w:val="en-US"/>
        </w:rPr>
        <w:t>4.2 Case C: Compatibility within the band 790-862 MHz between two ECN adjacent blocks within the</w:t>
      </w:r>
    </w:p>
    <w:p w:rsidR="00892E72" w:rsidRDefault="00892E72" w:rsidP="003E1E01">
      <w:pPr>
        <w:autoSpaceDE w:val="0"/>
        <w:autoSpaceDN w:val="0"/>
        <w:adjustRightInd w:val="0"/>
        <w:ind w:left="-284"/>
        <w:rPr>
          <w:b/>
          <w:bCs/>
          <w:sz w:val="19"/>
          <w:szCs w:val="19"/>
          <w:lang w:val="en-US"/>
        </w:rPr>
      </w:pPr>
      <w:proofErr w:type="gramStart"/>
      <w:r>
        <w:rPr>
          <w:b/>
          <w:bCs/>
          <w:sz w:val="19"/>
          <w:szCs w:val="19"/>
          <w:lang w:val="en-US"/>
        </w:rPr>
        <w:t>same</w:t>
      </w:r>
      <w:proofErr w:type="gramEnd"/>
      <w:r>
        <w:rPr>
          <w:b/>
          <w:bCs/>
          <w:sz w:val="19"/>
          <w:szCs w:val="19"/>
          <w:lang w:val="en-US"/>
        </w:rPr>
        <w:t xml:space="preserve"> geographical area</w:t>
      </w:r>
    </w:p>
    <w:p w:rsidR="00892E72" w:rsidRDefault="00892E72" w:rsidP="003E1E01">
      <w:pPr>
        <w:autoSpaceDE w:val="0"/>
        <w:autoSpaceDN w:val="0"/>
        <w:adjustRightInd w:val="0"/>
        <w:ind w:left="-284"/>
        <w:rPr>
          <w:rFonts w:ascii="TimesNewRomanPSMT" w:hAnsi="TimesNewRomanPSMT" w:cs="TimesNewRomanPSMT"/>
          <w:sz w:val="19"/>
          <w:szCs w:val="19"/>
          <w:lang w:val="en-US"/>
        </w:rPr>
      </w:pPr>
      <w:r>
        <w:rPr>
          <w:rFonts w:ascii="TimesNewRomanPSMT" w:hAnsi="TimesNewRomanPSMT" w:cs="TimesNewRomanPSMT"/>
          <w:sz w:val="19"/>
          <w:szCs w:val="19"/>
          <w:lang w:val="en-US"/>
        </w:rPr>
        <w:t>One may identify four types of inter-system adjacent-channel interference. These include:</w:t>
      </w:r>
    </w:p>
    <w:p w:rsidR="00892E72" w:rsidRDefault="00892E72" w:rsidP="003E1E01">
      <w:pPr>
        <w:autoSpaceDE w:val="0"/>
        <w:autoSpaceDN w:val="0"/>
        <w:adjustRightInd w:val="0"/>
        <w:ind w:left="-284"/>
        <w:rPr>
          <w:rFonts w:ascii="TimesNewRomanPSMT" w:hAnsi="TimesNewRomanPSMT" w:cs="TimesNewRomanPSMT"/>
          <w:sz w:val="19"/>
          <w:szCs w:val="19"/>
          <w:lang w:val="en-US"/>
        </w:rPr>
      </w:pPr>
      <w:r>
        <w:rPr>
          <w:rFonts w:ascii="TimesNewRomanPSMT" w:hAnsi="TimesNewRomanPSMT" w:cs="TimesNewRomanPSMT"/>
          <w:sz w:val="19"/>
          <w:szCs w:val="19"/>
          <w:lang w:val="en-US"/>
        </w:rPr>
        <w:t xml:space="preserve">a) </w:t>
      </w:r>
      <w:proofErr w:type="gramStart"/>
      <w:r>
        <w:rPr>
          <w:rFonts w:ascii="TimesNewRomanPSMT" w:hAnsi="TimesNewRomanPSMT" w:cs="TimesNewRomanPSMT"/>
          <w:sz w:val="19"/>
          <w:szCs w:val="19"/>
          <w:lang w:val="en-US"/>
        </w:rPr>
        <w:t>base</w:t>
      </w:r>
      <w:proofErr w:type="gramEnd"/>
      <w:r>
        <w:rPr>
          <w:rFonts w:ascii="TimesNewRomanPSMT" w:hAnsi="TimesNewRomanPSMT" w:cs="TimesNewRomanPSMT"/>
          <w:sz w:val="19"/>
          <w:szCs w:val="19"/>
          <w:lang w:val="en-US"/>
        </w:rPr>
        <w:t xml:space="preserve"> station to terminal station interference (BS-TS);</w:t>
      </w:r>
    </w:p>
    <w:p w:rsidR="00892E72" w:rsidRDefault="00892E72" w:rsidP="003E1E01">
      <w:pPr>
        <w:autoSpaceDE w:val="0"/>
        <w:autoSpaceDN w:val="0"/>
        <w:adjustRightInd w:val="0"/>
        <w:ind w:left="-284"/>
        <w:rPr>
          <w:rFonts w:ascii="TimesNewRomanPSMT" w:hAnsi="TimesNewRomanPSMT" w:cs="TimesNewRomanPSMT"/>
          <w:sz w:val="19"/>
          <w:szCs w:val="19"/>
          <w:lang w:val="en-US"/>
        </w:rPr>
      </w:pPr>
      <w:r>
        <w:rPr>
          <w:rFonts w:ascii="TimesNewRomanPSMT" w:hAnsi="TimesNewRomanPSMT" w:cs="TimesNewRomanPSMT"/>
          <w:sz w:val="19"/>
          <w:szCs w:val="19"/>
          <w:lang w:val="en-US"/>
        </w:rPr>
        <w:t xml:space="preserve">b) </w:t>
      </w:r>
      <w:proofErr w:type="gramStart"/>
      <w:r>
        <w:rPr>
          <w:rFonts w:ascii="TimesNewRomanPSMT" w:hAnsi="TimesNewRomanPSMT" w:cs="TimesNewRomanPSMT"/>
          <w:sz w:val="19"/>
          <w:szCs w:val="19"/>
          <w:lang w:val="en-US"/>
        </w:rPr>
        <w:t>terminal</w:t>
      </w:r>
      <w:proofErr w:type="gramEnd"/>
      <w:r>
        <w:rPr>
          <w:rFonts w:ascii="TimesNewRomanPSMT" w:hAnsi="TimesNewRomanPSMT" w:cs="TimesNewRomanPSMT"/>
          <w:sz w:val="19"/>
          <w:szCs w:val="19"/>
          <w:lang w:val="en-US"/>
        </w:rPr>
        <w:t xml:space="preserve"> station to base station interference (TS-BS);</w:t>
      </w:r>
    </w:p>
    <w:p w:rsidR="00892E72" w:rsidRDefault="00892E72" w:rsidP="003E1E01">
      <w:pPr>
        <w:autoSpaceDE w:val="0"/>
        <w:autoSpaceDN w:val="0"/>
        <w:adjustRightInd w:val="0"/>
        <w:ind w:left="-284"/>
        <w:rPr>
          <w:rFonts w:ascii="TimesNewRomanPSMT" w:hAnsi="TimesNewRomanPSMT" w:cs="TimesNewRomanPSMT"/>
          <w:sz w:val="19"/>
          <w:szCs w:val="19"/>
          <w:lang w:val="en-US"/>
        </w:rPr>
      </w:pPr>
      <w:r>
        <w:rPr>
          <w:rFonts w:ascii="TimesNewRomanPSMT" w:hAnsi="TimesNewRomanPSMT" w:cs="TimesNewRomanPSMT"/>
          <w:sz w:val="19"/>
          <w:szCs w:val="19"/>
          <w:lang w:val="en-US"/>
        </w:rPr>
        <w:t xml:space="preserve">c) </w:t>
      </w:r>
      <w:proofErr w:type="gramStart"/>
      <w:r>
        <w:rPr>
          <w:rFonts w:ascii="TimesNewRomanPSMT" w:hAnsi="TimesNewRomanPSMT" w:cs="TimesNewRomanPSMT"/>
          <w:sz w:val="19"/>
          <w:szCs w:val="19"/>
          <w:lang w:val="en-US"/>
        </w:rPr>
        <w:t>base</w:t>
      </w:r>
      <w:proofErr w:type="gramEnd"/>
      <w:r>
        <w:rPr>
          <w:rFonts w:ascii="TimesNewRomanPSMT" w:hAnsi="TimesNewRomanPSMT" w:cs="TimesNewRomanPSMT"/>
          <w:sz w:val="19"/>
          <w:szCs w:val="19"/>
          <w:lang w:val="en-US"/>
        </w:rPr>
        <w:t xml:space="preserve"> station to base station interference (BS-BS); and</w:t>
      </w:r>
    </w:p>
    <w:p w:rsidR="00892E72" w:rsidRDefault="00892E72" w:rsidP="003E1E01">
      <w:pPr>
        <w:ind w:left="-284"/>
        <w:rPr>
          <w:rFonts w:ascii="TimesNewRomanPSMT" w:hAnsi="TimesNewRomanPSMT" w:cs="TimesNewRomanPSMT"/>
          <w:sz w:val="19"/>
          <w:szCs w:val="19"/>
          <w:lang w:val="en-US"/>
        </w:rPr>
      </w:pPr>
      <w:r>
        <w:rPr>
          <w:rFonts w:ascii="TimesNewRomanPSMT" w:hAnsi="TimesNewRomanPSMT" w:cs="TimesNewRomanPSMT"/>
          <w:sz w:val="19"/>
          <w:szCs w:val="19"/>
          <w:lang w:val="en-US"/>
        </w:rPr>
        <w:t xml:space="preserve">d) </w:t>
      </w:r>
      <w:proofErr w:type="gramStart"/>
      <w:r>
        <w:rPr>
          <w:rFonts w:ascii="TimesNewRomanPSMT" w:hAnsi="TimesNewRomanPSMT" w:cs="TimesNewRomanPSMT"/>
          <w:sz w:val="19"/>
          <w:szCs w:val="19"/>
          <w:lang w:val="en-US"/>
        </w:rPr>
        <w:t>terminal</w:t>
      </w:r>
      <w:proofErr w:type="gramEnd"/>
      <w:r>
        <w:rPr>
          <w:rFonts w:ascii="TimesNewRomanPSMT" w:hAnsi="TimesNewRomanPSMT" w:cs="TimesNewRomanPSMT"/>
          <w:sz w:val="19"/>
          <w:szCs w:val="19"/>
          <w:lang w:val="en-US"/>
        </w:rPr>
        <w:t xml:space="preserve"> station to terminal station (TS-TS) interference.</w:t>
      </w:r>
    </w:p>
    <w:p w:rsidR="00892E72" w:rsidRDefault="00892E72" w:rsidP="003E1E01">
      <w:pPr>
        <w:autoSpaceDE w:val="0"/>
        <w:autoSpaceDN w:val="0"/>
        <w:adjustRightInd w:val="0"/>
        <w:ind w:left="-284"/>
      </w:pPr>
      <w:r>
        <w:rPr>
          <w:rFonts w:ascii="TimesNewRomanPSMT" w:hAnsi="TimesNewRomanPSMT" w:cs="TimesNewRomanPSMT"/>
          <w:sz w:val="19"/>
          <w:szCs w:val="19"/>
          <w:lang w:val="en-US"/>
        </w:rPr>
        <w:t>Categories (a) and (b) above are not different from the types of interference which occur at the frequency boundaries which separate adjacent FDD cellular systems, or those which separate adjacent TDD cellular systems. Moreover, similar types of intra-system interference occur at the channel boundaries within any type of cellular system. Therefore, this is covered by relevant technical standards.</w:t>
      </w:r>
    </w:p>
    <w:p w:rsidR="00892E72" w:rsidRPr="003E1E01" w:rsidRDefault="00892E72" w:rsidP="003E1E01">
      <w:pPr>
        <w:spacing w:before="60" w:after="60"/>
        <w:ind w:left="-357" w:right="78"/>
        <w:jc w:val="both"/>
        <w:rPr>
          <w:lang w:val="en-US"/>
        </w:rPr>
      </w:pPr>
      <w:r w:rsidRPr="003E1E01">
        <w:rPr>
          <w:lang w:val="en-US"/>
        </w:rPr>
        <w:t>The ‘category (a)’ identified by CEPT Report 30 in Section 4.2 corresponds to the case at hand.</w:t>
      </w:r>
      <w:bookmarkStart w:id="2" w:name="_Toc216146012"/>
    </w:p>
    <w:p w:rsidR="00892E72" w:rsidRDefault="00892E72" w:rsidP="00A367DC">
      <w:pPr>
        <w:spacing w:before="60" w:after="60"/>
        <w:ind w:left="-357" w:right="78"/>
        <w:jc w:val="both"/>
        <w:rPr>
          <w:u w:val="single"/>
          <w:lang w:val="en-US"/>
        </w:rPr>
      </w:pPr>
      <w:r>
        <w:rPr>
          <w:u w:val="single"/>
          <w:lang w:val="en-US"/>
        </w:rPr>
        <w:t>Methodology</w:t>
      </w:r>
    </w:p>
    <w:p w:rsidR="00892E72" w:rsidRPr="00A367DC" w:rsidRDefault="00892E72" w:rsidP="00A367DC">
      <w:pPr>
        <w:spacing w:before="60" w:after="60"/>
        <w:ind w:left="-357" w:right="78"/>
        <w:jc w:val="both"/>
        <w:rPr>
          <w:lang w:val="en-US"/>
        </w:rPr>
      </w:pPr>
      <w:r w:rsidRPr="00A93113">
        <w:rPr>
          <w:lang w:val="en-US"/>
        </w:rPr>
        <w:t>The methodology to derive Block Edge Masks is derived by CEPT Report 39, which</w:t>
      </w:r>
      <w:r w:rsidRPr="00A367DC">
        <w:rPr>
          <w:lang w:val="en-US"/>
        </w:rPr>
        <w:t xml:space="preserve"> states in its executive summary:</w:t>
      </w:r>
    </w:p>
    <w:p w:rsidR="00892E72" w:rsidRPr="00A367DC" w:rsidRDefault="00892E72" w:rsidP="00A367DC">
      <w:pPr>
        <w:autoSpaceDE w:val="0"/>
        <w:autoSpaceDN w:val="0"/>
        <w:adjustRightInd w:val="0"/>
        <w:ind w:left="-284"/>
        <w:rPr>
          <w:rFonts w:ascii="TimesNewRomanPSMT" w:hAnsi="TimesNewRomanPSMT" w:cs="TimesNewRomanPSMT"/>
          <w:sz w:val="19"/>
          <w:szCs w:val="19"/>
          <w:lang w:val="en-US"/>
        </w:rPr>
      </w:pPr>
      <w:r w:rsidRPr="00A367DC">
        <w:rPr>
          <w:rFonts w:ascii="TimesNewRomanPSMT" w:hAnsi="TimesNewRomanPSMT" w:cs="TimesNewRomanPSMT"/>
          <w:sz w:val="19"/>
          <w:szCs w:val="19"/>
          <w:lang w:val="en-US"/>
        </w:rPr>
        <w:t xml:space="preserve">BEM for FDD base stations is derived directly by integration of the spectrum emission mask of UMTS and as plans for current ECN standards (e.g. LTE, </w:t>
      </w:r>
      <w:proofErr w:type="spellStart"/>
      <w:r w:rsidRPr="00A367DC">
        <w:rPr>
          <w:rFonts w:ascii="TimesNewRomanPSMT" w:hAnsi="TimesNewRomanPSMT" w:cs="TimesNewRomanPSMT"/>
          <w:sz w:val="19"/>
          <w:szCs w:val="19"/>
          <w:lang w:val="en-US"/>
        </w:rPr>
        <w:t>WiMAX</w:t>
      </w:r>
      <w:proofErr w:type="spellEnd"/>
      <w:r w:rsidRPr="00A367DC">
        <w:rPr>
          <w:rFonts w:ascii="TimesNewRomanPSMT" w:hAnsi="TimesNewRomanPSMT" w:cs="TimesNewRomanPSMT"/>
          <w:sz w:val="19"/>
          <w:szCs w:val="19"/>
          <w:lang w:val="en-US"/>
        </w:rPr>
        <w:t>) indicate that alignment with this UMTS SEM is feasible, it is considered that this should not impose any constraint on equipment implementation.</w:t>
      </w:r>
    </w:p>
    <w:p w:rsidR="00892E72" w:rsidRPr="00A367DC" w:rsidRDefault="00892E72" w:rsidP="00A367DC">
      <w:pPr>
        <w:spacing w:before="60" w:after="60"/>
        <w:ind w:left="-357" w:right="78"/>
        <w:jc w:val="both"/>
        <w:rPr>
          <w:lang w:val="en-US"/>
        </w:rPr>
      </w:pPr>
      <w:r w:rsidRPr="00A367DC">
        <w:rPr>
          <w:lang w:val="en-US"/>
        </w:rPr>
        <w:t>CEPT Report 39 further states in Section 4.4:</w:t>
      </w:r>
    </w:p>
    <w:p w:rsidR="00892E72" w:rsidRPr="00A367DC" w:rsidRDefault="00892E72" w:rsidP="00A367DC">
      <w:pPr>
        <w:autoSpaceDE w:val="0"/>
        <w:autoSpaceDN w:val="0"/>
        <w:adjustRightInd w:val="0"/>
        <w:ind w:left="-284"/>
        <w:rPr>
          <w:rFonts w:ascii="TimesNewRomanPSMT" w:hAnsi="TimesNewRomanPSMT" w:cs="TimesNewRomanPSMT"/>
          <w:sz w:val="19"/>
          <w:szCs w:val="19"/>
          <w:lang w:val="en-US"/>
        </w:rPr>
      </w:pPr>
      <w:r w:rsidRPr="00A367DC">
        <w:rPr>
          <w:rFonts w:ascii="TimesNewRomanPSMT" w:hAnsi="TimesNewRomanPSMT" w:cs="TimesNewRomanPSMT"/>
          <w:sz w:val="19"/>
          <w:szCs w:val="19"/>
          <w:lang w:val="en-US"/>
        </w:rPr>
        <w:t>BS to TS interference is similar to intra-system interference occurs at the channel boundaries within cellular systems. Technical standards have been derived with sufficient mitigation techniques to overcome this type of interference.</w:t>
      </w:r>
    </w:p>
    <w:p w:rsidR="00892E72" w:rsidRPr="00A367DC" w:rsidRDefault="00892E72" w:rsidP="00A367DC">
      <w:pPr>
        <w:autoSpaceDE w:val="0"/>
        <w:autoSpaceDN w:val="0"/>
        <w:adjustRightInd w:val="0"/>
        <w:ind w:left="-284"/>
        <w:rPr>
          <w:rFonts w:ascii="TimesNewRomanPSMT" w:hAnsi="TimesNewRomanPSMT" w:cs="TimesNewRomanPSMT"/>
          <w:sz w:val="19"/>
          <w:szCs w:val="19"/>
          <w:lang w:val="en-US"/>
        </w:rPr>
      </w:pPr>
      <w:r w:rsidRPr="00A367DC">
        <w:rPr>
          <w:rFonts w:ascii="TimesNewRomanPSMT" w:hAnsi="TimesNewRomanPSMT" w:cs="TimesNewRomanPSMT"/>
          <w:sz w:val="19"/>
          <w:szCs w:val="19"/>
          <w:lang w:val="en-US"/>
        </w:rPr>
        <w:t>[…]</w:t>
      </w:r>
    </w:p>
    <w:p w:rsidR="00892E72" w:rsidRPr="00A367DC" w:rsidRDefault="00892E72" w:rsidP="00A367DC">
      <w:pPr>
        <w:autoSpaceDE w:val="0"/>
        <w:autoSpaceDN w:val="0"/>
        <w:adjustRightInd w:val="0"/>
        <w:ind w:left="-284"/>
        <w:rPr>
          <w:rFonts w:ascii="TimesNewRomanPSMT" w:hAnsi="TimesNewRomanPSMT" w:cs="TimesNewRomanPSMT"/>
          <w:sz w:val="19"/>
          <w:szCs w:val="19"/>
          <w:lang w:val="en-US"/>
        </w:rPr>
      </w:pPr>
      <w:r w:rsidRPr="00A367DC">
        <w:rPr>
          <w:rFonts w:ascii="TimesNewRomanPSMT" w:hAnsi="TimesNewRomanPSMT" w:cs="TimesNewRomanPSMT"/>
          <w:sz w:val="19"/>
          <w:szCs w:val="19"/>
          <w:lang w:val="en-US"/>
        </w:rPr>
        <w:t>4.4.2.2 Derivation of BEM out-of-block transitional level for BS</w:t>
      </w:r>
    </w:p>
    <w:p w:rsidR="00892E72" w:rsidRDefault="00892E72" w:rsidP="00A367DC">
      <w:pPr>
        <w:autoSpaceDE w:val="0"/>
        <w:autoSpaceDN w:val="0"/>
        <w:adjustRightInd w:val="0"/>
        <w:ind w:left="-284"/>
        <w:rPr>
          <w:rFonts w:ascii="TimesNewRomanPSMT" w:hAnsi="TimesNewRomanPSMT" w:cs="TimesNewRomanPSMT"/>
          <w:sz w:val="19"/>
          <w:szCs w:val="19"/>
          <w:lang w:val="en-US"/>
        </w:rPr>
      </w:pPr>
      <w:r w:rsidRPr="00A367DC">
        <w:rPr>
          <w:rFonts w:ascii="TimesNewRomanPSMT" w:hAnsi="TimesNewRomanPSMT" w:cs="TimesNewRomanPSMT"/>
          <w:sz w:val="19"/>
          <w:szCs w:val="19"/>
          <w:lang w:val="en-US"/>
        </w:rPr>
        <w:t>BS to TS case, out-of-channel emission within the FDD band can be derived by numerical integration of the PSDs of the E-UTRA BS SEM specified in 3GPP TS 36.104 [19] over bandwidth of 5 MHz channel. It was found that the transitional levels for BS are</w:t>
      </w:r>
      <w:r>
        <w:rPr>
          <w:rFonts w:ascii="TimesNewRomanPSMT" w:hAnsi="TimesNewRomanPSMT" w:cs="TimesNewRomanPSMT"/>
          <w:sz w:val="19"/>
          <w:szCs w:val="19"/>
          <w:lang w:val="en-US"/>
        </w:rPr>
        <w:t xml:space="preserve"> </w:t>
      </w:r>
      <w:r w:rsidRPr="00A367DC">
        <w:rPr>
          <w:rFonts w:ascii="TimesNewRomanPSMT" w:hAnsi="TimesNewRomanPSMT" w:cs="TimesNewRomanPSMT"/>
          <w:sz w:val="19"/>
          <w:szCs w:val="19"/>
          <w:lang w:val="en-US"/>
        </w:rPr>
        <w:t xml:space="preserve">16.3 dBm/5 MHz in the first adjacent block, 11 dBm/5MHz, in the second adjacent block and 9 dBm/5MHz for the remaining FDD downlink frequencies. </w:t>
      </w:r>
    </w:p>
    <w:p w:rsidR="00FF5129" w:rsidRPr="00FF5129" w:rsidRDefault="00FF5129" w:rsidP="00FF5129">
      <w:pPr>
        <w:spacing w:before="60" w:after="60"/>
        <w:ind w:left="-357" w:right="78"/>
        <w:jc w:val="both"/>
        <w:rPr>
          <w:lang w:val="en-US"/>
        </w:rPr>
      </w:pPr>
      <w:r w:rsidRPr="00FF5129">
        <w:rPr>
          <w:lang w:val="en-US"/>
        </w:rPr>
        <w:t>It is proposed to adopt the same BEM for MFCN SDL in 1452-1492 MHz, together with a similar justification.</w:t>
      </w:r>
    </w:p>
    <w:p w:rsidR="00892E72" w:rsidRPr="00A367DC" w:rsidRDefault="00892E72" w:rsidP="00A367DC">
      <w:pPr>
        <w:spacing w:before="60" w:after="60"/>
        <w:ind w:left="-357" w:right="78"/>
        <w:jc w:val="both"/>
        <w:rPr>
          <w:u w:val="single"/>
          <w:lang w:val="en-US"/>
        </w:rPr>
      </w:pPr>
      <w:bookmarkStart w:id="3" w:name="_Toc216146013"/>
      <w:bookmarkEnd w:id="2"/>
      <w:r w:rsidRPr="00A367DC">
        <w:rPr>
          <w:u w:val="single"/>
          <w:lang w:val="en-US"/>
        </w:rPr>
        <w:lastRenderedPageBreak/>
        <w:t>In-block EIRP limit</w:t>
      </w:r>
      <w:bookmarkEnd w:id="3"/>
    </w:p>
    <w:p w:rsidR="00892E72" w:rsidRDefault="00892E72" w:rsidP="00A367DC">
      <w:pPr>
        <w:spacing w:before="60" w:after="60"/>
        <w:ind w:left="-357" w:right="78"/>
        <w:jc w:val="both"/>
        <w:rPr>
          <w:lang w:val="en-US"/>
        </w:rPr>
      </w:pPr>
      <w:r>
        <w:rPr>
          <w:lang w:val="en-US"/>
        </w:rPr>
        <w:t>I</w:t>
      </w:r>
      <w:r w:rsidRPr="00A367DC">
        <w:rPr>
          <w:lang w:val="en-US"/>
        </w:rPr>
        <w:t xml:space="preserve">t </w:t>
      </w:r>
      <w:r>
        <w:rPr>
          <w:lang w:val="en-US"/>
        </w:rPr>
        <w:t>may be</w:t>
      </w:r>
      <w:r w:rsidRPr="00A367DC">
        <w:rPr>
          <w:lang w:val="en-US"/>
        </w:rPr>
        <w:t xml:space="preserve"> not desirable to restrict </w:t>
      </w:r>
      <w:r>
        <w:rPr>
          <w:lang w:val="en-US"/>
        </w:rPr>
        <w:t>the in-block EIRP limit,</w:t>
      </w:r>
      <w:r w:rsidRPr="00A367DC">
        <w:rPr>
          <w:lang w:val="en-US"/>
        </w:rPr>
        <w:t xml:space="preserve"> as the 1452-1492 MHz band could be aggregated with FDD coverage bands in lower frequencies and thus higher in-block EIRP for a base station allows benefiting of the SDL capacity across the base station cell. Furthermore, the 1452-1479.5 MHz band has been previously </w:t>
      </w:r>
      <w:proofErr w:type="spellStart"/>
      <w:r w:rsidRPr="00A367DC">
        <w:rPr>
          <w:lang w:val="en-US"/>
        </w:rPr>
        <w:t>harmonised</w:t>
      </w:r>
      <w:proofErr w:type="spellEnd"/>
      <w:r w:rsidRPr="00A367DC">
        <w:rPr>
          <w:lang w:val="en-US"/>
        </w:rPr>
        <w:t xml:space="preserve"> for terrestrial digi</w:t>
      </w:r>
      <w:r>
        <w:rPr>
          <w:lang w:val="en-US"/>
        </w:rPr>
        <w:t>tal radio using very high power</w:t>
      </w:r>
      <w:r w:rsidRPr="00A367DC">
        <w:rPr>
          <w:lang w:val="en-US"/>
        </w:rPr>
        <w:t xml:space="preserve"> highlighting the fact that, from a coexistence point of view with services in adjacent bands, it </w:t>
      </w:r>
      <w:r>
        <w:rPr>
          <w:lang w:val="en-US"/>
        </w:rPr>
        <w:t>may be</w:t>
      </w:r>
      <w:r w:rsidRPr="00A367DC">
        <w:rPr>
          <w:lang w:val="en-US"/>
        </w:rPr>
        <w:t xml:space="preserve"> not required to restrict the in-block EIRP.</w:t>
      </w:r>
      <w:r>
        <w:rPr>
          <w:lang w:val="en-US"/>
        </w:rPr>
        <w:t xml:space="preserve"> However, further studies may be needed on that issue. </w:t>
      </w:r>
    </w:p>
    <w:p w:rsidR="00892E72" w:rsidRPr="00A367DC" w:rsidRDefault="00892E72" w:rsidP="00A367DC">
      <w:pPr>
        <w:spacing w:before="60" w:after="60"/>
        <w:ind w:left="-357" w:right="78"/>
        <w:jc w:val="both"/>
        <w:rPr>
          <w:lang w:val="en-US"/>
        </w:rPr>
      </w:pPr>
      <w:r w:rsidRPr="00A367DC">
        <w:rPr>
          <w:lang w:val="en-US"/>
        </w:rPr>
        <w:t xml:space="preserve">It should be noted that administrations may consider restricting the in-block EIRPs in specific circumstances, in which case the value </w:t>
      </w:r>
      <w:proofErr w:type="gramStart"/>
      <w:r w:rsidRPr="003E14AD">
        <w:rPr>
          <w:lang w:val="en-US"/>
        </w:rPr>
        <w:t>of 68 dBm/5MHz</w:t>
      </w:r>
      <w:proofErr w:type="gramEnd"/>
      <w:r w:rsidRPr="00A367DC">
        <w:rPr>
          <w:lang w:val="en-US"/>
        </w:rPr>
        <w:t xml:space="preserve"> should be considered.</w:t>
      </w:r>
    </w:p>
    <w:p w:rsidR="00892E72" w:rsidRPr="004C0C35" w:rsidRDefault="00892E72" w:rsidP="003E1E01"/>
    <w:p w:rsidR="00892E72" w:rsidRDefault="00892E72" w:rsidP="00A367DC">
      <w:pPr>
        <w:spacing w:before="60" w:after="60"/>
        <w:ind w:left="-357" w:right="78"/>
        <w:jc w:val="both"/>
        <w:rPr>
          <w:u w:val="single"/>
          <w:lang w:val="en-US"/>
        </w:rPr>
      </w:pPr>
      <w:bookmarkStart w:id="4" w:name="_Toc216146014"/>
      <w:r w:rsidRPr="00A367DC">
        <w:rPr>
          <w:u w:val="single"/>
          <w:lang w:val="en-US"/>
        </w:rPr>
        <w:t xml:space="preserve">Out </w:t>
      </w:r>
      <w:proofErr w:type="gramStart"/>
      <w:r w:rsidRPr="00A367DC">
        <w:rPr>
          <w:u w:val="single"/>
          <w:lang w:val="en-US"/>
        </w:rPr>
        <w:t>of  block</w:t>
      </w:r>
      <w:proofErr w:type="gramEnd"/>
      <w:r w:rsidRPr="00A367DC">
        <w:rPr>
          <w:u w:val="single"/>
          <w:lang w:val="en-US"/>
        </w:rPr>
        <w:t xml:space="preserve"> EIRP limit</w:t>
      </w:r>
      <w:bookmarkEnd w:id="4"/>
    </w:p>
    <w:p w:rsidR="00892E72" w:rsidRPr="00A367DC" w:rsidRDefault="00892E72" w:rsidP="00A367DC">
      <w:pPr>
        <w:spacing w:before="60" w:after="60"/>
        <w:ind w:left="-357" w:right="78"/>
        <w:jc w:val="both"/>
        <w:rPr>
          <w:lang w:val="en-US"/>
        </w:rPr>
      </w:pPr>
      <w:r w:rsidRPr="000551A7">
        <w:rPr>
          <w:lang w:val="en-US"/>
        </w:rPr>
        <w:t>The proposed out-of-block BEM also corresponds to Multi Standard Radio (MSR) specifications ensuring applicability of already studied interference scenarios as well as technology neutrality.</w:t>
      </w:r>
      <w:r>
        <w:rPr>
          <w:lang w:val="en-US"/>
        </w:rPr>
        <w:t xml:space="preserve"> However, there may be the need to confirm the proposed Maximum mean out-of-block EIRP limits for the </w:t>
      </w:r>
      <w:r w:rsidRPr="00A367DC">
        <w:rPr>
          <w:lang w:val="en-US"/>
        </w:rPr>
        <w:t xml:space="preserve">1452-1492 MHz </w:t>
      </w:r>
      <w:r>
        <w:rPr>
          <w:lang w:val="en-US"/>
        </w:rPr>
        <w:t>band.</w:t>
      </w:r>
    </w:p>
    <w:p w:rsidR="00892E72" w:rsidRPr="00A367DC" w:rsidRDefault="00892E72" w:rsidP="00A367DC">
      <w:pPr>
        <w:spacing w:before="60" w:after="60"/>
        <w:ind w:left="-357" w:right="78"/>
        <w:jc w:val="both"/>
        <w:rPr>
          <w:u w:val="single"/>
          <w:lang w:val="en-US"/>
        </w:rPr>
      </w:pPr>
    </w:p>
    <w:p w:rsidR="00892E72" w:rsidRPr="004C0C35" w:rsidRDefault="00892E72" w:rsidP="003E1E01"/>
    <w:tbl>
      <w:tblPr>
        <w:tblW w:w="8593" w:type="dxa"/>
        <w:jc w:val="center"/>
        <w:tblInd w:w="9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400"/>
        <w:gridCol w:w="2411"/>
        <w:gridCol w:w="1782"/>
      </w:tblGrid>
      <w:tr w:rsidR="00892E72">
        <w:trPr>
          <w:trHeight w:val="324"/>
          <w:jc w:val="center"/>
        </w:trPr>
        <w:tc>
          <w:tcPr>
            <w:tcW w:w="2560" w:type="pct"/>
            <w:tcBorders>
              <w:top w:val="single" w:sz="12" w:space="0" w:color="auto"/>
              <w:bottom w:val="nil"/>
            </w:tcBorders>
          </w:tcPr>
          <w:p w:rsidR="00892E72" w:rsidRDefault="00892E72" w:rsidP="00A367DC">
            <w:pPr>
              <w:keepNext/>
              <w:keepLines/>
              <w:jc w:val="center"/>
              <w:rPr>
                <w:b/>
              </w:rPr>
            </w:pPr>
            <w:r>
              <w:rPr>
                <w:b/>
              </w:rPr>
              <w:t xml:space="preserve">Frequency range of </w:t>
            </w:r>
          </w:p>
          <w:p w:rsidR="00892E72" w:rsidRDefault="00892E72" w:rsidP="00A367DC">
            <w:pPr>
              <w:keepNext/>
              <w:keepLines/>
              <w:jc w:val="center"/>
              <w:rPr>
                <w:b/>
              </w:rPr>
            </w:pPr>
            <w:r>
              <w:rPr>
                <w:b/>
              </w:rPr>
              <w:t>out-of-block emissions</w:t>
            </w:r>
          </w:p>
        </w:tc>
        <w:tc>
          <w:tcPr>
            <w:tcW w:w="1403" w:type="pct"/>
            <w:tcBorders>
              <w:top w:val="single" w:sz="12" w:space="0" w:color="auto"/>
              <w:bottom w:val="nil"/>
            </w:tcBorders>
          </w:tcPr>
          <w:p w:rsidR="00892E72" w:rsidRDefault="00892E72" w:rsidP="00A367DC">
            <w:pPr>
              <w:keepNext/>
              <w:keepLines/>
              <w:jc w:val="center"/>
              <w:rPr>
                <w:b/>
              </w:rPr>
            </w:pPr>
            <w:r>
              <w:rPr>
                <w:b/>
              </w:rPr>
              <w:t xml:space="preserve">Maximum mean </w:t>
            </w:r>
          </w:p>
          <w:p w:rsidR="00892E72" w:rsidRDefault="00892E72" w:rsidP="00A367DC">
            <w:pPr>
              <w:keepNext/>
              <w:keepLines/>
              <w:jc w:val="center"/>
              <w:rPr>
                <w:b/>
              </w:rPr>
            </w:pPr>
            <w:r>
              <w:rPr>
                <w:b/>
              </w:rPr>
              <w:t>out-of-block EIRP</w:t>
            </w:r>
          </w:p>
          <w:p w:rsidR="00892E72" w:rsidRDefault="00892E72" w:rsidP="00A367DC">
            <w:pPr>
              <w:keepNext/>
              <w:keepLines/>
              <w:jc w:val="center"/>
              <w:rPr>
                <w:b/>
              </w:rPr>
            </w:pPr>
            <w:r>
              <w:rPr>
                <w:b/>
              </w:rPr>
              <w:t>[</w:t>
            </w:r>
            <w:proofErr w:type="spellStart"/>
            <w:r>
              <w:rPr>
                <w:b/>
              </w:rPr>
              <w:t>dBm</w:t>
            </w:r>
            <w:proofErr w:type="spellEnd"/>
            <w:r>
              <w:rPr>
                <w:b/>
              </w:rPr>
              <w:t>]</w:t>
            </w:r>
          </w:p>
        </w:tc>
        <w:tc>
          <w:tcPr>
            <w:tcW w:w="1037" w:type="pct"/>
            <w:tcBorders>
              <w:top w:val="single" w:sz="12" w:space="0" w:color="auto"/>
              <w:bottom w:val="nil"/>
            </w:tcBorders>
          </w:tcPr>
          <w:p w:rsidR="00892E72" w:rsidRDefault="00892E72" w:rsidP="00A367DC">
            <w:pPr>
              <w:keepNext/>
              <w:keepLines/>
              <w:jc w:val="center"/>
              <w:rPr>
                <w:b/>
              </w:rPr>
            </w:pPr>
            <w:r>
              <w:rPr>
                <w:b/>
              </w:rPr>
              <w:t xml:space="preserve">Measurement </w:t>
            </w:r>
          </w:p>
          <w:p w:rsidR="00892E72" w:rsidRDefault="00892E72" w:rsidP="00A367DC">
            <w:pPr>
              <w:keepNext/>
              <w:keepLines/>
              <w:jc w:val="center"/>
              <w:rPr>
                <w:b/>
              </w:rPr>
            </w:pPr>
            <w:r>
              <w:rPr>
                <w:b/>
              </w:rPr>
              <w:t>Bandwidth</w:t>
            </w:r>
          </w:p>
          <w:p w:rsidR="00892E72" w:rsidRDefault="00892E72" w:rsidP="00A367DC">
            <w:pPr>
              <w:keepNext/>
              <w:keepLines/>
              <w:jc w:val="center"/>
              <w:rPr>
                <w:b/>
              </w:rPr>
            </w:pPr>
            <w:r>
              <w:rPr>
                <w:b/>
              </w:rPr>
              <w:t>[MHz]</w:t>
            </w:r>
          </w:p>
        </w:tc>
      </w:tr>
      <w:tr w:rsidR="00892E72">
        <w:trPr>
          <w:trHeight w:val="324"/>
          <w:jc w:val="center"/>
        </w:trPr>
        <w:tc>
          <w:tcPr>
            <w:tcW w:w="2560" w:type="pct"/>
            <w:tcBorders>
              <w:top w:val="single" w:sz="12" w:space="0" w:color="auto"/>
            </w:tcBorders>
            <w:vAlign w:val="center"/>
          </w:tcPr>
          <w:p w:rsidR="00892E72" w:rsidRDefault="00892E72" w:rsidP="00A367DC">
            <w:pPr>
              <w:keepNext/>
              <w:keepLines/>
              <w:jc w:val="right"/>
            </w:pPr>
            <w:r>
              <w:t>–10 to –5 MHz from lower block edge</w:t>
            </w:r>
          </w:p>
        </w:tc>
        <w:tc>
          <w:tcPr>
            <w:tcW w:w="1403" w:type="pct"/>
            <w:tcBorders>
              <w:top w:val="single" w:sz="12" w:space="0" w:color="auto"/>
            </w:tcBorders>
            <w:vAlign w:val="center"/>
          </w:tcPr>
          <w:p w:rsidR="00892E72" w:rsidRDefault="00892E72" w:rsidP="00A367DC">
            <w:pPr>
              <w:keepNext/>
              <w:keepLines/>
              <w:jc w:val="center"/>
            </w:pPr>
            <w:r>
              <w:t xml:space="preserve">11 </w:t>
            </w:r>
            <w:proofErr w:type="spellStart"/>
            <w:r>
              <w:t>dBm</w:t>
            </w:r>
            <w:proofErr w:type="spellEnd"/>
            <w:r>
              <w:t xml:space="preserve"> </w:t>
            </w:r>
          </w:p>
        </w:tc>
        <w:tc>
          <w:tcPr>
            <w:tcW w:w="1037" w:type="pct"/>
            <w:tcBorders>
              <w:top w:val="single" w:sz="12" w:space="0" w:color="auto"/>
            </w:tcBorders>
            <w:vAlign w:val="center"/>
          </w:tcPr>
          <w:p w:rsidR="00892E72" w:rsidRDefault="00892E72" w:rsidP="00A367DC">
            <w:pPr>
              <w:keepNext/>
              <w:keepLines/>
              <w:jc w:val="center"/>
            </w:pPr>
            <w:r>
              <w:t>5 MHz</w:t>
            </w:r>
          </w:p>
        </w:tc>
      </w:tr>
      <w:tr w:rsidR="00892E72">
        <w:trPr>
          <w:trHeight w:val="324"/>
          <w:jc w:val="center"/>
        </w:trPr>
        <w:tc>
          <w:tcPr>
            <w:tcW w:w="2560" w:type="pct"/>
            <w:vAlign w:val="center"/>
          </w:tcPr>
          <w:p w:rsidR="00892E72" w:rsidRDefault="00892E72" w:rsidP="00A367DC">
            <w:pPr>
              <w:keepNext/>
              <w:keepLines/>
              <w:jc w:val="right"/>
            </w:pPr>
            <w:r>
              <w:t>–5 to 0 MHz from lower block edge</w:t>
            </w:r>
          </w:p>
        </w:tc>
        <w:tc>
          <w:tcPr>
            <w:tcW w:w="1403" w:type="pct"/>
            <w:vAlign w:val="center"/>
          </w:tcPr>
          <w:p w:rsidR="00892E72" w:rsidRDefault="00892E72" w:rsidP="00A367DC">
            <w:pPr>
              <w:keepNext/>
              <w:keepLines/>
              <w:jc w:val="center"/>
            </w:pPr>
            <w:r>
              <w:t xml:space="preserve">16.3 </w:t>
            </w:r>
            <w:proofErr w:type="spellStart"/>
            <w:r>
              <w:t>dBm</w:t>
            </w:r>
            <w:proofErr w:type="spellEnd"/>
            <w:r>
              <w:t xml:space="preserve"> </w:t>
            </w:r>
          </w:p>
        </w:tc>
        <w:tc>
          <w:tcPr>
            <w:tcW w:w="1037" w:type="pct"/>
            <w:vAlign w:val="center"/>
          </w:tcPr>
          <w:p w:rsidR="00892E72" w:rsidRDefault="00892E72" w:rsidP="00A367DC">
            <w:pPr>
              <w:keepNext/>
              <w:keepLines/>
              <w:jc w:val="center"/>
            </w:pPr>
            <w:r>
              <w:t>5 MHz</w:t>
            </w:r>
          </w:p>
        </w:tc>
      </w:tr>
      <w:tr w:rsidR="00892E72">
        <w:trPr>
          <w:trHeight w:val="324"/>
          <w:jc w:val="center"/>
        </w:trPr>
        <w:tc>
          <w:tcPr>
            <w:tcW w:w="2560" w:type="pct"/>
            <w:vAlign w:val="center"/>
          </w:tcPr>
          <w:p w:rsidR="00892E72" w:rsidRDefault="00892E72" w:rsidP="00A367DC">
            <w:pPr>
              <w:keepNext/>
              <w:keepLines/>
              <w:jc w:val="right"/>
            </w:pPr>
            <w:r>
              <w:t>0 to +5 MHz from upper block edge</w:t>
            </w:r>
          </w:p>
        </w:tc>
        <w:tc>
          <w:tcPr>
            <w:tcW w:w="1403" w:type="pct"/>
            <w:vAlign w:val="center"/>
          </w:tcPr>
          <w:p w:rsidR="00892E72" w:rsidRDefault="00892E72" w:rsidP="00A367DC">
            <w:pPr>
              <w:keepNext/>
              <w:keepLines/>
              <w:jc w:val="center"/>
            </w:pPr>
            <w:r>
              <w:t xml:space="preserve">16.3 </w:t>
            </w:r>
            <w:proofErr w:type="spellStart"/>
            <w:r>
              <w:t>dBm</w:t>
            </w:r>
            <w:proofErr w:type="spellEnd"/>
            <w:r>
              <w:t xml:space="preserve"> </w:t>
            </w:r>
          </w:p>
        </w:tc>
        <w:tc>
          <w:tcPr>
            <w:tcW w:w="1037" w:type="pct"/>
            <w:vAlign w:val="center"/>
          </w:tcPr>
          <w:p w:rsidR="00892E72" w:rsidRDefault="00892E72" w:rsidP="00A367DC">
            <w:pPr>
              <w:keepNext/>
              <w:keepLines/>
              <w:jc w:val="center"/>
            </w:pPr>
            <w:r>
              <w:t>5 MHz</w:t>
            </w:r>
          </w:p>
        </w:tc>
      </w:tr>
      <w:tr w:rsidR="00892E72">
        <w:trPr>
          <w:trHeight w:val="324"/>
          <w:jc w:val="center"/>
        </w:trPr>
        <w:tc>
          <w:tcPr>
            <w:tcW w:w="2560" w:type="pct"/>
            <w:vAlign w:val="center"/>
          </w:tcPr>
          <w:p w:rsidR="00892E72" w:rsidRDefault="00892E72" w:rsidP="00A367DC">
            <w:pPr>
              <w:keepNext/>
              <w:keepLines/>
              <w:jc w:val="right"/>
            </w:pPr>
            <w:r>
              <w:t>+5 to +10 MHz from upper block edge</w:t>
            </w:r>
          </w:p>
        </w:tc>
        <w:tc>
          <w:tcPr>
            <w:tcW w:w="1403" w:type="pct"/>
            <w:vAlign w:val="center"/>
          </w:tcPr>
          <w:p w:rsidR="00892E72" w:rsidRDefault="00892E72" w:rsidP="00A367DC">
            <w:pPr>
              <w:keepNext/>
              <w:keepLines/>
              <w:jc w:val="center"/>
            </w:pPr>
            <w:r>
              <w:t xml:space="preserve">11 </w:t>
            </w:r>
            <w:proofErr w:type="spellStart"/>
            <w:r>
              <w:t>dBm</w:t>
            </w:r>
            <w:proofErr w:type="spellEnd"/>
            <w:r>
              <w:t xml:space="preserve"> </w:t>
            </w:r>
          </w:p>
        </w:tc>
        <w:tc>
          <w:tcPr>
            <w:tcW w:w="1037" w:type="pct"/>
            <w:vAlign w:val="center"/>
          </w:tcPr>
          <w:p w:rsidR="00892E72" w:rsidRDefault="00892E72" w:rsidP="00A367DC">
            <w:pPr>
              <w:keepNext/>
              <w:keepLines/>
              <w:jc w:val="center"/>
            </w:pPr>
            <w:r>
              <w:t>5 MHz</w:t>
            </w:r>
          </w:p>
        </w:tc>
      </w:tr>
      <w:tr w:rsidR="00892E72">
        <w:trPr>
          <w:trHeight w:val="324"/>
          <w:jc w:val="center"/>
        </w:trPr>
        <w:tc>
          <w:tcPr>
            <w:tcW w:w="2560" w:type="pct"/>
            <w:tcBorders>
              <w:bottom w:val="single" w:sz="12" w:space="0" w:color="auto"/>
            </w:tcBorders>
            <w:vAlign w:val="center"/>
          </w:tcPr>
          <w:p w:rsidR="00892E72" w:rsidRDefault="00892E72" w:rsidP="00A367DC">
            <w:pPr>
              <w:keepNext/>
              <w:keepLines/>
              <w:jc w:val="right"/>
            </w:pPr>
            <w:r>
              <w:t>Remaining MFCN SDL frequencies</w:t>
            </w:r>
          </w:p>
        </w:tc>
        <w:tc>
          <w:tcPr>
            <w:tcW w:w="1403" w:type="pct"/>
            <w:tcBorders>
              <w:bottom w:val="single" w:sz="12" w:space="0" w:color="auto"/>
            </w:tcBorders>
            <w:vAlign w:val="center"/>
          </w:tcPr>
          <w:p w:rsidR="00892E72" w:rsidRDefault="00892E72" w:rsidP="00A367DC">
            <w:pPr>
              <w:keepNext/>
              <w:keepLines/>
              <w:jc w:val="center"/>
            </w:pPr>
            <w:r>
              <w:t xml:space="preserve">9 </w:t>
            </w:r>
            <w:proofErr w:type="spellStart"/>
            <w:r>
              <w:t>dBm</w:t>
            </w:r>
            <w:proofErr w:type="spellEnd"/>
            <w:r>
              <w:t xml:space="preserve"> </w:t>
            </w:r>
          </w:p>
        </w:tc>
        <w:tc>
          <w:tcPr>
            <w:tcW w:w="1037" w:type="pct"/>
            <w:tcBorders>
              <w:bottom w:val="single" w:sz="12" w:space="0" w:color="auto"/>
            </w:tcBorders>
            <w:vAlign w:val="center"/>
          </w:tcPr>
          <w:p w:rsidR="00892E72" w:rsidRDefault="00892E72" w:rsidP="00A367DC">
            <w:pPr>
              <w:keepNext/>
              <w:keepLines/>
              <w:jc w:val="center"/>
            </w:pPr>
            <w:r>
              <w:t>5 MHz</w:t>
            </w:r>
          </w:p>
        </w:tc>
      </w:tr>
    </w:tbl>
    <w:p w:rsidR="00892E72" w:rsidRPr="00A52669" w:rsidRDefault="00892E72" w:rsidP="003E1E01">
      <w:pPr>
        <w:rPr>
          <w:highlight w:val="yellow"/>
        </w:rPr>
      </w:pPr>
    </w:p>
    <w:p w:rsidR="00892E72" w:rsidRPr="00C84208" w:rsidRDefault="00892E72" w:rsidP="00A93113">
      <w:pPr>
        <w:spacing w:before="60" w:after="60"/>
        <w:ind w:left="-357"/>
        <w:jc w:val="both"/>
        <w:rPr>
          <w:b/>
          <w:lang w:val="en-US"/>
        </w:rPr>
      </w:pPr>
      <w:r>
        <w:rPr>
          <w:b/>
          <w:lang w:val="en-US"/>
        </w:rPr>
        <w:t>Liaison Statement</w:t>
      </w:r>
    </w:p>
    <w:p w:rsidR="00892E72" w:rsidRDefault="00871230" w:rsidP="00A93113">
      <w:pPr>
        <w:spacing w:before="60" w:after="60"/>
        <w:ind w:left="-357" w:right="78"/>
        <w:jc w:val="both"/>
      </w:pPr>
      <w:r>
        <w:rPr>
          <w:lang w:val="en-US"/>
        </w:rPr>
        <w:t>In line with the CG mandate, t</w:t>
      </w:r>
      <w:r w:rsidR="00892E72">
        <w:rPr>
          <w:lang w:val="en-US"/>
        </w:rPr>
        <w:t xml:space="preserve">he CG </w:t>
      </w:r>
      <w:r w:rsidR="00597E39">
        <w:rPr>
          <w:lang w:val="en-US"/>
        </w:rPr>
        <w:t xml:space="preserve">convener </w:t>
      </w:r>
      <w:r w:rsidR="00892E72">
        <w:rPr>
          <w:lang w:val="en-US"/>
        </w:rPr>
        <w:t>has developed</w:t>
      </w:r>
      <w:r w:rsidR="00892E72">
        <w:t xml:space="preserve"> LSs to WG FM and FM50 with BEM values and justification</w:t>
      </w:r>
      <w:r>
        <w:t xml:space="preserve"> for consideration by ECC PT1</w:t>
      </w:r>
      <w:r w:rsidR="00892E72">
        <w:t>.</w:t>
      </w:r>
    </w:p>
    <w:p w:rsidR="00892E72" w:rsidRDefault="00524232" w:rsidP="00A93113">
      <w:pPr>
        <w:spacing w:before="60" w:after="60"/>
        <w:ind w:left="-357"/>
        <w:jc w:val="both"/>
        <w:rPr>
          <w:lang w:val="en-US"/>
        </w:rPr>
      </w:pPr>
      <w:r>
        <w:object w:dxaOrig="2240" w:dyaOrig="1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55.55pt" o:ole="">
            <v:imagedata r:id="rId6" o:title=""/>
          </v:shape>
          <o:OLEObject Type="Embed" ProgID="Word.Document.8" ShapeID="_x0000_i1025" DrawAspect="Icon" ObjectID="_1418053354" r:id="rId7">
            <o:FieldCodes>\s</o:FieldCodes>
          </o:OLEObject>
        </w:object>
      </w:r>
    </w:p>
    <w:p w:rsidR="001819B9" w:rsidRDefault="001819B9" w:rsidP="009140FE">
      <w:pPr>
        <w:spacing w:before="60" w:after="60"/>
        <w:ind w:left="-357"/>
        <w:jc w:val="both"/>
        <w:rPr>
          <w:b/>
          <w:lang w:val="en-US"/>
        </w:rPr>
      </w:pPr>
    </w:p>
    <w:p w:rsidR="00892E72" w:rsidRPr="00C84208" w:rsidRDefault="00892E72" w:rsidP="009140FE">
      <w:pPr>
        <w:spacing w:before="60" w:after="60"/>
        <w:ind w:left="-357"/>
        <w:jc w:val="both"/>
        <w:rPr>
          <w:b/>
          <w:lang w:val="en-US"/>
        </w:rPr>
      </w:pPr>
      <w:r>
        <w:rPr>
          <w:b/>
          <w:lang w:val="en-US"/>
        </w:rPr>
        <w:t>Proposal</w:t>
      </w:r>
    </w:p>
    <w:p w:rsidR="00892E72" w:rsidRDefault="00892E72" w:rsidP="009140FE">
      <w:pPr>
        <w:spacing w:before="60" w:after="60"/>
        <w:ind w:left="-357" w:right="78"/>
        <w:jc w:val="both"/>
      </w:pPr>
      <w:r>
        <w:rPr>
          <w:lang w:val="en-US"/>
        </w:rPr>
        <w:t>This document is submitted to ECC PT1 for consideration and approval.</w:t>
      </w:r>
    </w:p>
    <w:p w:rsidR="00892E72" w:rsidRPr="008F3680" w:rsidRDefault="00892E72" w:rsidP="00A93113">
      <w:pPr>
        <w:spacing w:before="60" w:after="60"/>
        <w:ind w:left="-357"/>
        <w:jc w:val="both"/>
        <w:rPr>
          <w:lang w:val="en-US"/>
        </w:rPr>
      </w:pPr>
    </w:p>
    <w:sectPr w:rsidR="00892E72" w:rsidRPr="008F3680" w:rsidSect="008F3680">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E375A"/>
    <w:multiLevelType w:val="hybridMultilevel"/>
    <w:tmpl w:val="863C1E12"/>
    <w:lvl w:ilvl="0" w:tplc="0407000F">
      <w:start w:val="1"/>
      <w:numFmt w:val="decimal"/>
      <w:lvlText w:val="%1."/>
      <w:lvlJc w:val="left"/>
      <w:pPr>
        <w:ind w:left="720" w:hanging="360"/>
      </w:pPr>
      <w:rPr>
        <w:rFonts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A3621F6"/>
    <w:multiLevelType w:val="hybridMultilevel"/>
    <w:tmpl w:val="14986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BA60BE"/>
    <w:multiLevelType w:val="multilevel"/>
    <w:tmpl w:val="1D8028A2"/>
    <w:lvl w:ilvl="0">
      <w:numFmt w:val="decimal"/>
      <w:pStyle w:val="StyleHeading1TimesNewRoman10pt"/>
      <w:lvlText w:val="%1"/>
      <w:lvlJc w:val="left"/>
      <w:pPr>
        <w:tabs>
          <w:tab w:val="num" w:pos="432"/>
        </w:tabs>
        <w:ind w:left="432" w:hanging="432"/>
      </w:pPr>
      <w:rPr>
        <w:rFonts w:cs="Times New Roman" w:hint="default"/>
      </w:rPr>
    </w:lvl>
    <w:lvl w:ilvl="1">
      <w:start w:val="1"/>
      <w:numFmt w:val="decimal"/>
      <w:pStyle w:val="Titre2"/>
      <w:lvlText w:val="%1.%2"/>
      <w:lvlJc w:val="left"/>
      <w:pPr>
        <w:tabs>
          <w:tab w:val="num" w:pos="576"/>
        </w:tabs>
        <w:ind w:left="576" w:hanging="576"/>
      </w:pPr>
      <w:rPr>
        <w:rFonts w:cs="Times New Roman" w:hint="default"/>
        <w:i w:val="0"/>
        <w:caps w:val="0"/>
        <w:smallCaps w:val="0"/>
        <w:strike w:val="0"/>
        <w:dstrike w:val="0"/>
        <w:outline w:val="0"/>
        <w:shadow w:val="0"/>
        <w:emboss w:val="0"/>
        <w:imprint w:val="0"/>
        <w:vanish w:val="0"/>
        <w:spacing w:val="0"/>
        <w:kern w:val="0"/>
        <w:position w:val="0"/>
        <w:u w:val="none"/>
        <w:vertAlign w:val="baseline"/>
      </w:rPr>
    </w:lvl>
    <w:lvl w:ilvl="2">
      <w:start w:val="1"/>
      <w:numFmt w:val="decimal"/>
      <w:pStyle w:val="Titre3"/>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Titre5"/>
      <w:lvlText w:val="%1.%2.%3.%4.%5"/>
      <w:lvlJc w:val="left"/>
      <w:pPr>
        <w:tabs>
          <w:tab w:val="num" w:pos="1008"/>
        </w:tabs>
        <w:ind w:left="1008" w:hanging="1008"/>
      </w:pPr>
      <w:rPr>
        <w:rFonts w:cs="Times New Roman" w:hint="default"/>
      </w:rPr>
    </w:lvl>
    <w:lvl w:ilvl="5">
      <w:start w:val="1"/>
      <w:numFmt w:val="decimal"/>
      <w:pStyle w:val="Titre6"/>
      <w:lvlText w:val="%1.%2.%3.%4.%5.%6"/>
      <w:lvlJc w:val="left"/>
      <w:pPr>
        <w:tabs>
          <w:tab w:val="num" w:pos="1152"/>
        </w:tabs>
        <w:ind w:left="1152" w:hanging="1152"/>
      </w:pPr>
      <w:rPr>
        <w:rFonts w:cs="Times New Roman" w:hint="default"/>
      </w:rPr>
    </w:lvl>
    <w:lvl w:ilvl="6">
      <w:start w:val="1"/>
      <w:numFmt w:val="decimal"/>
      <w:pStyle w:val="Titre7"/>
      <w:lvlText w:val="%1.%2.%3.%4.%5.%6.%7"/>
      <w:lvlJc w:val="left"/>
      <w:pPr>
        <w:tabs>
          <w:tab w:val="num" w:pos="1296"/>
        </w:tabs>
        <w:ind w:left="1296" w:hanging="1296"/>
      </w:pPr>
      <w:rPr>
        <w:rFonts w:cs="Times New Roman" w:hint="default"/>
      </w:rPr>
    </w:lvl>
    <w:lvl w:ilvl="7">
      <w:start w:val="1"/>
      <w:numFmt w:val="decimal"/>
      <w:pStyle w:val="Titre8"/>
      <w:lvlText w:val="%1.%2.%3.%4.%5.%6.%7.%8"/>
      <w:lvlJc w:val="left"/>
      <w:pPr>
        <w:tabs>
          <w:tab w:val="num" w:pos="1440"/>
        </w:tabs>
        <w:ind w:left="1440" w:hanging="1440"/>
      </w:pPr>
      <w:rPr>
        <w:rFonts w:cs="Times New Roman" w:hint="default"/>
      </w:rPr>
    </w:lvl>
    <w:lvl w:ilvl="8">
      <w:start w:val="1"/>
      <w:numFmt w:val="decimal"/>
      <w:pStyle w:val="Titre9"/>
      <w:lvlText w:val="%1.%2.%3.%4.%5.%6.%7.%8.%9"/>
      <w:lvlJc w:val="left"/>
      <w:pPr>
        <w:tabs>
          <w:tab w:val="num" w:pos="1584"/>
        </w:tabs>
        <w:ind w:left="1584" w:hanging="1584"/>
      </w:pPr>
      <w:rPr>
        <w:rFonts w:cs="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5"/>
  <w:embedSystemFonts/>
  <w:proofState w:spelling="clean" w:grammar="clean"/>
  <w:doNotTrackMoves/>
  <w:defaultTabStop w:val="720"/>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w:rsids>
    <w:rsidRoot w:val="008F3680"/>
    <w:rsid w:val="000551A7"/>
    <w:rsid w:val="00113AF0"/>
    <w:rsid w:val="00134011"/>
    <w:rsid w:val="001819B9"/>
    <w:rsid w:val="001E4483"/>
    <w:rsid w:val="002A3E59"/>
    <w:rsid w:val="002F1417"/>
    <w:rsid w:val="00317252"/>
    <w:rsid w:val="00355EFF"/>
    <w:rsid w:val="00363B60"/>
    <w:rsid w:val="003E14AD"/>
    <w:rsid w:val="003E1E01"/>
    <w:rsid w:val="00421075"/>
    <w:rsid w:val="004726FB"/>
    <w:rsid w:val="004C0C35"/>
    <w:rsid w:val="004F654D"/>
    <w:rsid w:val="00510E37"/>
    <w:rsid w:val="00514357"/>
    <w:rsid w:val="00524232"/>
    <w:rsid w:val="00542D23"/>
    <w:rsid w:val="00565F9E"/>
    <w:rsid w:val="00597E39"/>
    <w:rsid w:val="00605202"/>
    <w:rsid w:val="00606B56"/>
    <w:rsid w:val="00674228"/>
    <w:rsid w:val="00871230"/>
    <w:rsid w:val="00892352"/>
    <w:rsid w:val="00892E72"/>
    <w:rsid w:val="008F3680"/>
    <w:rsid w:val="009140FE"/>
    <w:rsid w:val="00946190"/>
    <w:rsid w:val="009628F0"/>
    <w:rsid w:val="00987866"/>
    <w:rsid w:val="009A09AD"/>
    <w:rsid w:val="00A12B22"/>
    <w:rsid w:val="00A16D56"/>
    <w:rsid w:val="00A367DC"/>
    <w:rsid w:val="00A52669"/>
    <w:rsid w:val="00A61437"/>
    <w:rsid w:val="00A92291"/>
    <w:rsid w:val="00A93113"/>
    <w:rsid w:val="00AA2132"/>
    <w:rsid w:val="00AB4D39"/>
    <w:rsid w:val="00B35AF7"/>
    <w:rsid w:val="00B52431"/>
    <w:rsid w:val="00BA215B"/>
    <w:rsid w:val="00C63707"/>
    <w:rsid w:val="00C702AC"/>
    <w:rsid w:val="00C84208"/>
    <w:rsid w:val="00C9062E"/>
    <w:rsid w:val="00CC06AB"/>
    <w:rsid w:val="00CC6CF9"/>
    <w:rsid w:val="00CD07C3"/>
    <w:rsid w:val="00CD3024"/>
    <w:rsid w:val="00D0791E"/>
    <w:rsid w:val="00DC6CEA"/>
    <w:rsid w:val="00E0332D"/>
    <w:rsid w:val="00E43459"/>
    <w:rsid w:val="00EB4BBE"/>
    <w:rsid w:val="00F21EB9"/>
    <w:rsid w:val="00F53CD9"/>
    <w:rsid w:val="00F75EE8"/>
    <w:rsid w:val="00FE0287"/>
    <w:rsid w:val="00FF51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de-DE" w:eastAsia="de-DE"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3680"/>
    <w:rPr>
      <w:rFonts w:ascii="Times New Roman" w:eastAsia="Times New Roman" w:hAnsi="Times New Roman"/>
      <w:sz w:val="24"/>
      <w:szCs w:val="24"/>
      <w:lang w:val="en-GB" w:eastAsia="en-US"/>
    </w:rPr>
  </w:style>
  <w:style w:type="paragraph" w:styleId="Titre1">
    <w:name w:val="heading 1"/>
    <w:basedOn w:val="Normal"/>
    <w:next w:val="Normal"/>
    <w:link w:val="Titre1Car"/>
    <w:uiPriority w:val="99"/>
    <w:qFormat/>
    <w:rsid w:val="003E1E01"/>
    <w:pPr>
      <w:keepNext/>
      <w:keepLines/>
      <w:spacing w:before="480"/>
      <w:outlineLvl w:val="0"/>
    </w:pPr>
    <w:rPr>
      <w:rFonts w:ascii="Calibri" w:hAnsi="Calibri"/>
      <w:b/>
      <w:bCs/>
      <w:color w:val="345A8A"/>
      <w:sz w:val="32"/>
      <w:szCs w:val="32"/>
    </w:rPr>
  </w:style>
  <w:style w:type="paragraph" w:styleId="Titre2">
    <w:name w:val="heading 2"/>
    <w:basedOn w:val="Normal"/>
    <w:next w:val="Normal"/>
    <w:link w:val="Titre2Car"/>
    <w:uiPriority w:val="99"/>
    <w:qFormat/>
    <w:rsid w:val="003E1E01"/>
    <w:pPr>
      <w:keepNext/>
      <w:numPr>
        <w:ilvl w:val="1"/>
        <w:numId w:val="2"/>
      </w:numPr>
      <w:spacing w:before="240" w:after="60"/>
      <w:outlineLvl w:val="1"/>
    </w:pPr>
    <w:rPr>
      <w:rFonts w:ascii="Arial" w:hAnsi="Arial" w:cs="Arial"/>
      <w:b/>
      <w:bCs/>
      <w:i/>
      <w:iCs/>
      <w:sz w:val="28"/>
      <w:szCs w:val="28"/>
      <w:lang w:eastAsia="en-GB"/>
    </w:rPr>
  </w:style>
  <w:style w:type="paragraph" w:styleId="Titre3">
    <w:name w:val="heading 3"/>
    <w:basedOn w:val="Normal"/>
    <w:next w:val="Corpsdetexte"/>
    <w:link w:val="Titre3Car"/>
    <w:uiPriority w:val="99"/>
    <w:qFormat/>
    <w:rsid w:val="003E1E01"/>
    <w:pPr>
      <w:keepNext/>
      <w:keepLines/>
      <w:numPr>
        <w:ilvl w:val="2"/>
        <w:numId w:val="2"/>
      </w:numPr>
      <w:overflowPunct w:val="0"/>
      <w:autoSpaceDE w:val="0"/>
      <w:autoSpaceDN w:val="0"/>
      <w:adjustRightInd w:val="0"/>
      <w:spacing w:before="240" w:after="240"/>
      <w:textAlignment w:val="baseline"/>
      <w:outlineLvl w:val="2"/>
    </w:pPr>
    <w:rPr>
      <w:rFonts w:ascii="Arial" w:hAnsi="Arial"/>
      <w:b/>
      <w:szCs w:val="20"/>
      <w:lang w:eastAsia="nl-NL"/>
    </w:rPr>
  </w:style>
  <w:style w:type="paragraph" w:styleId="Titre4">
    <w:name w:val="heading 4"/>
    <w:basedOn w:val="Normal"/>
    <w:next w:val="Normal"/>
    <w:link w:val="Titre4Car"/>
    <w:uiPriority w:val="99"/>
    <w:qFormat/>
    <w:rsid w:val="008F3680"/>
    <w:pPr>
      <w:keepNext/>
      <w:keepLines/>
      <w:spacing w:before="200"/>
      <w:outlineLvl w:val="3"/>
    </w:pPr>
    <w:rPr>
      <w:rFonts w:ascii="Calibri" w:hAnsi="Calibri"/>
      <w:b/>
      <w:bCs/>
      <w:i/>
      <w:iCs/>
      <w:color w:val="4F81BD"/>
    </w:rPr>
  </w:style>
  <w:style w:type="paragraph" w:styleId="Titre5">
    <w:name w:val="heading 5"/>
    <w:basedOn w:val="Normal"/>
    <w:next w:val="Normal"/>
    <w:link w:val="Titre5Car"/>
    <w:uiPriority w:val="99"/>
    <w:qFormat/>
    <w:rsid w:val="003E1E01"/>
    <w:pPr>
      <w:numPr>
        <w:ilvl w:val="4"/>
        <w:numId w:val="2"/>
      </w:numPr>
      <w:spacing w:before="240" w:after="60"/>
      <w:outlineLvl w:val="4"/>
    </w:pPr>
    <w:rPr>
      <w:b/>
      <w:bCs/>
      <w:i/>
      <w:iCs/>
      <w:sz w:val="26"/>
      <w:szCs w:val="26"/>
      <w:lang w:eastAsia="en-GB"/>
    </w:rPr>
  </w:style>
  <w:style w:type="paragraph" w:styleId="Titre6">
    <w:name w:val="heading 6"/>
    <w:basedOn w:val="Normal"/>
    <w:next w:val="Normal"/>
    <w:link w:val="Titre6Car"/>
    <w:uiPriority w:val="99"/>
    <w:qFormat/>
    <w:rsid w:val="003E1E01"/>
    <w:pPr>
      <w:numPr>
        <w:ilvl w:val="5"/>
        <w:numId w:val="2"/>
      </w:numPr>
      <w:spacing w:before="240" w:after="60"/>
      <w:outlineLvl w:val="5"/>
    </w:pPr>
    <w:rPr>
      <w:b/>
      <w:bCs/>
      <w:sz w:val="22"/>
      <w:szCs w:val="22"/>
      <w:lang w:eastAsia="en-GB"/>
    </w:rPr>
  </w:style>
  <w:style w:type="paragraph" w:styleId="Titre7">
    <w:name w:val="heading 7"/>
    <w:basedOn w:val="Normal"/>
    <w:next w:val="Normal"/>
    <w:link w:val="Titre7Car"/>
    <w:uiPriority w:val="99"/>
    <w:qFormat/>
    <w:rsid w:val="003E1E01"/>
    <w:pPr>
      <w:numPr>
        <w:ilvl w:val="6"/>
        <w:numId w:val="2"/>
      </w:numPr>
      <w:spacing w:before="240" w:after="60"/>
      <w:outlineLvl w:val="6"/>
    </w:pPr>
    <w:rPr>
      <w:lang w:eastAsia="en-GB"/>
    </w:rPr>
  </w:style>
  <w:style w:type="paragraph" w:styleId="Titre8">
    <w:name w:val="heading 8"/>
    <w:basedOn w:val="Normal"/>
    <w:next w:val="Normal"/>
    <w:link w:val="Titre8Car"/>
    <w:uiPriority w:val="99"/>
    <w:qFormat/>
    <w:rsid w:val="003E1E01"/>
    <w:pPr>
      <w:numPr>
        <w:ilvl w:val="7"/>
        <w:numId w:val="2"/>
      </w:numPr>
      <w:spacing w:before="240" w:after="60"/>
      <w:outlineLvl w:val="7"/>
    </w:pPr>
    <w:rPr>
      <w:i/>
      <w:iCs/>
      <w:lang w:eastAsia="en-GB"/>
    </w:rPr>
  </w:style>
  <w:style w:type="paragraph" w:styleId="Titre9">
    <w:name w:val="heading 9"/>
    <w:basedOn w:val="Normal"/>
    <w:next w:val="Normal"/>
    <w:link w:val="Titre9Car"/>
    <w:uiPriority w:val="99"/>
    <w:qFormat/>
    <w:rsid w:val="003E1E01"/>
    <w:pPr>
      <w:numPr>
        <w:ilvl w:val="8"/>
        <w:numId w:val="2"/>
      </w:numPr>
      <w:spacing w:before="240" w:after="60"/>
      <w:outlineLvl w:val="8"/>
    </w:pPr>
    <w:rPr>
      <w:rFonts w:ascii="Arial" w:hAnsi="Arial" w:cs="Arial"/>
      <w:sz w:val="22"/>
      <w:szCs w:val="22"/>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3E1E01"/>
    <w:rPr>
      <w:rFonts w:ascii="Calibri" w:hAnsi="Calibri" w:cs="Times New Roman"/>
      <w:b/>
      <w:bCs/>
      <w:color w:val="345A8A"/>
      <w:sz w:val="32"/>
      <w:szCs w:val="32"/>
      <w:lang w:val="en-GB"/>
    </w:rPr>
  </w:style>
  <w:style w:type="character" w:customStyle="1" w:styleId="Titre2Car">
    <w:name w:val="Titre 2 Car"/>
    <w:basedOn w:val="Policepardfaut"/>
    <w:link w:val="Titre2"/>
    <w:uiPriority w:val="99"/>
    <w:locked/>
    <w:rsid w:val="003E1E01"/>
    <w:rPr>
      <w:rFonts w:ascii="Arial" w:hAnsi="Arial" w:cs="Arial"/>
      <w:b/>
      <w:bCs/>
      <w:i/>
      <w:iCs/>
      <w:sz w:val="28"/>
      <w:szCs w:val="28"/>
      <w:lang w:val="en-GB" w:eastAsia="en-GB"/>
    </w:rPr>
  </w:style>
  <w:style w:type="character" w:customStyle="1" w:styleId="Titre3Car">
    <w:name w:val="Titre 3 Car"/>
    <w:basedOn w:val="Policepardfaut"/>
    <w:link w:val="Titre3"/>
    <w:uiPriority w:val="99"/>
    <w:locked/>
    <w:rsid w:val="003E1E01"/>
    <w:rPr>
      <w:rFonts w:ascii="Arial" w:hAnsi="Arial" w:cs="Times New Roman"/>
      <w:b/>
      <w:sz w:val="20"/>
      <w:szCs w:val="20"/>
      <w:lang w:val="en-GB" w:eastAsia="nl-NL"/>
    </w:rPr>
  </w:style>
  <w:style w:type="character" w:customStyle="1" w:styleId="Titre4Car">
    <w:name w:val="Titre 4 Car"/>
    <w:basedOn w:val="Policepardfaut"/>
    <w:link w:val="Titre4"/>
    <w:uiPriority w:val="99"/>
    <w:semiHidden/>
    <w:locked/>
    <w:rsid w:val="008F3680"/>
    <w:rPr>
      <w:rFonts w:ascii="Calibri" w:hAnsi="Calibri" w:cs="Times New Roman"/>
      <w:b/>
      <w:bCs/>
      <w:i/>
      <w:iCs/>
      <w:color w:val="4F81BD"/>
      <w:lang w:val="en-GB"/>
    </w:rPr>
  </w:style>
  <w:style w:type="character" w:customStyle="1" w:styleId="Titre5Car">
    <w:name w:val="Titre 5 Car"/>
    <w:basedOn w:val="Policepardfaut"/>
    <w:link w:val="Titre5"/>
    <w:uiPriority w:val="99"/>
    <w:locked/>
    <w:rsid w:val="003E1E01"/>
    <w:rPr>
      <w:rFonts w:ascii="Times New Roman" w:hAnsi="Times New Roman" w:cs="Times New Roman"/>
      <w:b/>
      <w:bCs/>
      <w:i/>
      <w:iCs/>
      <w:sz w:val="26"/>
      <w:szCs w:val="26"/>
      <w:lang w:val="en-GB" w:eastAsia="en-GB"/>
    </w:rPr>
  </w:style>
  <w:style w:type="character" w:customStyle="1" w:styleId="Titre6Car">
    <w:name w:val="Titre 6 Car"/>
    <w:basedOn w:val="Policepardfaut"/>
    <w:link w:val="Titre6"/>
    <w:uiPriority w:val="99"/>
    <w:locked/>
    <w:rsid w:val="003E1E01"/>
    <w:rPr>
      <w:rFonts w:ascii="Times New Roman" w:hAnsi="Times New Roman" w:cs="Times New Roman"/>
      <w:b/>
      <w:bCs/>
      <w:sz w:val="22"/>
      <w:szCs w:val="22"/>
      <w:lang w:val="en-GB" w:eastAsia="en-GB"/>
    </w:rPr>
  </w:style>
  <w:style w:type="character" w:customStyle="1" w:styleId="Titre7Car">
    <w:name w:val="Titre 7 Car"/>
    <w:basedOn w:val="Policepardfaut"/>
    <w:link w:val="Titre7"/>
    <w:uiPriority w:val="99"/>
    <w:locked/>
    <w:rsid w:val="003E1E01"/>
    <w:rPr>
      <w:rFonts w:ascii="Times New Roman" w:hAnsi="Times New Roman" w:cs="Times New Roman"/>
      <w:lang w:val="en-GB" w:eastAsia="en-GB"/>
    </w:rPr>
  </w:style>
  <w:style w:type="character" w:customStyle="1" w:styleId="Titre8Car">
    <w:name w:val="Titre 8 Car"/>
    <w:basedOn w:val="Policepardfaut"/>
    <w:link w:val="Titre8"/>
    <w:uiPriority w:val="99"/>
    <w:locked/>
    <w:rsid w:val="003E1E01"/>
    <w:rPr>
      <w:rFonts w:ascii="Times New Roman" w:hAnsi="Times New Roman" w:cs="Times New Roman"/>
      <w:i/>
      <w:iCs/>
      <w:lang w:val="en-GB" w:eastAsia="en-GB"/>
    </w:rPr>
  </w:style>
  <w:style w:type="character" w:customStyle="1" w:styleId="Titre9Car">
    <w:name w:val="Titre 9 Car"/>
    <w:basedOn w:val="Policepardfaut"/>
    <w:link w:val="Titre9"/>
    <w:uiPriority w:val="99"/>
    <w:locked/>
    <w:rsid w:val="003E1E01"/>
    <w:rPr>
      <w:rFonts w:ascii="Arial" w:hAnsi="Arial" w:cs="Arial"/>
      <w:sz w:val="22"/>
      <w:szCs w:val="22"/>
      <w:lang w:val="en-GB" w:eastAsia="en-GB"/>
    </w:rPr>
  </w:style>
  <w:style w:type="character" w:styleId="Numrodepage">
    <w:name w:val="page number"/>
    <w:basedOn w:val="Policepardfaut"/>
    <w:uiPriority w:val="99"/>
    <w:rsid w:val="008F3680"/>
    <w:rPr>
      <w:rFonts w:cs="Times New Roman"/>
    </w:rPr>
  </w:style>
  <w:style w:type="paragraph" w:customStyle="1" w:styleId="PT1Head">
    <w:name w:val="PT1_Head"/>
    <w:basedOn w:val="Titre4"/>
    <w:next w:val="Normal"/>
    <w:uiPriority w:val="99"/>
    <w:rsid w:val="008F3680"/>
    <w:pPr>
      <w:keepLines w:val="0"/>
      <w:spacing w:before="0"/>
    </w:pPr>
    <w:rPr>
      <w:rFonts w:ascii="Arial" w:hAnsi="Arial"/>
      <w:bCs w:val="0"/>
      <w:i w:val="0"/>
      <w:iCs w:val="0"/>
      <w:color w:val="auto"/>
      <w:szCs w:val="20"/>
      <w:lang w:eastAsia="en-IE"/>
    </w:rPr>
  </w:style>
  <w:style w:type="paragraph" w:customStyle="1" w:styleId="PT1Headrechts">
    <w:name w:val="PT1_Head_rechts"/>
    <w:basedOn w:val="PT1Head"/>
    <w:next w:val="PT1Head"/>
    <w:uiPriority w:val="99"/>
    <w:rsid w:val="008F3680"/>
  </w:style>
  <w:style w:type="paragraph" w:customStyle="1" w:styleId="Header2">
    <w:name w:val="Header2"/>
    <w:basedOn w:val="En-tte"/>
    <w:uiPriority w:val="99"/>
    <w:rsid w:val="008F3680"/>
    <w:pPr>
      <w:tabs>
        <w:tab w:val="clear" w:pos="4320"/>
        <w:tab w:val="clear" w:pos="8640"/>
        <w:tab w:val="center" w:pos="4536"/>
        <w:tab w:val="right" w:pos="9072"/>
      </w:tabs>
    </w:pPr>
    <w:rPr>
      <w:rFonts w:ascii="Arial" w:hAnsi="Arial"/>
      <w:b/>
      <w:sz w:val="22"/>
      <w:szCs w:val="20"/>
      <w:lang w:val="nb-NO" w:eastAsia="de-DE"/>
    </w:rPr>
  </w:style>
  <w:style w:type="paragraph" w:styleId="En-tte">
    <w:name w:val="header"/>
    <w:basedOn w:val="Normal"/>
    <w:link w:val="En-tteCar"/>
    <w:uiPriority w:val="99"/>
    <w:semiHidden/>
    <w:rsid w:val="008F3680"/>
    <w:pPr>
      <w:tabs>
        <w:tab w:val="center" w:pos="4320"/>
        <w:tab w:val="right" w:pos="8640"/>
      </w:tabs>
    </w:pPr>
  </w:style>
  <w:style w:type="character" w:customStyle="1" w:styleId="En-tteCar">
    <w:name w:val="En-tête Car"/>
    <w:basedOn w:val="Policepardfaut"/>
    <w:link w:val="En-tte"/>
    <w:uiPriority w:val="99"/>
    <w:semiHidden/>
    <w:locked/>
    <w:rsid w:val="008F3680"/>
    <w:rPr>
      <w:rFonts w:ascii="Times New Roman" w:hAnsi="Times New Roman" w:cs="Times New Roman"/>
      <w:lang w:val="en-GB"/>
    </w:rPr>
  </w:style>
  <w:style w:type="paragraph" w:customStyle="1" w:styleId="Header1">
    <w:name w:val="Header1"/>
    <w:basedOn w:val="En-tte"/>
    <w:link w:val="HeaderZchnZchn"/>
    <w:uiPriority w:val="99"/>
    <w:rsid w:val="008F3680"/>
    <w:pPr>
      <w:tabs>
        <w:tab w:val="clear" w:pos="4320"/>
        <w:tab w:val="clear" w:pos="8640"/>
        <w:tab w:val="center" w:pos="4536"/>
        <w:tab w:val="right" w:pos="9072"/>
      </w:tabs>
      <w:spacing w:before="60"/>
    </w:pPr>
    <w:rPr>
      <w:rFonts w:ascii="Arial" w:eastAsia="Cambria" w:hAnsi="Arial"/>
      <w:b/>
      <w:sz w:val="20"/>
      <w:szCs w:val="20"/>
      <w:lang w:val="nb-NO" w:eastAsia="de-DE"/>
    </w:rPr>
  </w:style>
  <w:style w:type="character" w:customStyle="1" w:styleId="HeaderZchnZchn">
    <w:name w:val="Header Zchn Zchn"/>
    <w:link w:val="Header1"/>
    <w:uiPriority w:val="99"/>
    <w:locked/>
    <w:rsid w:val="008F3680"/>
    <w:rPr>
      <w:rFonts w:ascii="Arial" w:hAnsi="Arial"/>
      <w:b/>
      <w:sz w:val="20"/>
      <w:lang w:val="nb-NO" w:eastAsia="de-DE"/>
    </w:rPr>
  </w:style>
  <w:style w:type="paragraph" w:styleId="Paragraphedeliste">
    <w:name w:val="List Paragraph"/>
    <w:basedOn w:val="Normal"/>
    <w:uiPriority w:val="99"/>
    <w:qFormat/>
    <w:rsid w:val="008F3680"/>
    <w:pPr>
      <w:ind w:left="720"/>
      <w:contextualSpacing/>
    </w:pPr>
  </w:style>
  <w:style w:type="paragraph" w:customStyle="1" w:styleId="StyleHeading1TimesNewRoman10pt">
    <w:name w:val="Style Heading 1 + Times New Roman 10 pt"/>
    <w:basedOn w:val="Titre1"/>
    <w:autoRedefine/>
    <w:uiPriority w:val="99"/>
    <w:rsid w:val="003E1E01"/>
    <w:pPr>
      <w:keepLines w:val="0"/>
      <w:numPr>
        <w:numId w:val="2"/>
      </w:numPr>
      <w:tabs>
        <w:tab w:val="left" w:pos="540"/>
      </w:tabs>
      <w:spacing w:after="240"/>
      <w:ind w:left="0" w:firstLine="0"/>
    </w:pPr>
    <w:rPr>
      <w:rFonts w:ascii="Times New Roman Bold" w:hAnsi="Times New Roman Bold" w:cs="Arial"/>
      <w:caps/>
      <w:color w:val="auto"/>
      <w:kern w:val="32"/>
      <w:sz w:val="20"/>
      <w:lang w:eastAsia="en-GB"/>
    </w:rPr>
  </w:style>
  <w:style w:type="paragraph" w:customStyle="1" w:styleId="StyleHeading2TimesNewRoman10ptNotItalicJustifiedBe">
    <w:name w:val="Style Heading 2 + Times New Roman 10 pt Not Italic Justified Be..."/>
    <w:basedOn w:val="Titre2"/>
    <w:autoRedefine/>
    <w:uiPriority w:val="99"/>
    <w:rsid w:val="003E1E01"/>
    <w:pPr>
      <w:spacing w:before="360" w:after="240"/>
      <w:ind w:left="578" w:hanging="578"/>
      <w:jc w:val="both"/>
    </w:pPr>
    <w:rPr>
      <w:rFonts w:ascii="Times New Roman" w:hAnsi="Times New Roman" w:cs="Times New Roman"/>
      <w:i w:val="0"/>
      <w:iCs w:val="0"/>
      <w:sz w:val="20"/>
      <w:szCs w:val="20"/>
    </w:rPr>
  </w:style>
  <w:style w:type="paragraph" w:customStyle="1" w:styleId="StyleHeading1TimesNewRoman10ptGauche0cm">
    <w:name w:val="Style Heading 1 + Times New Roman 10 pt + Gauche :  0 cm"/>
    <w:aliases w:val="Première ligne : 0 ..."/>
    <w:basedOn w:val="Normal"/>
    <w:uiPriority w:val="99"/>
    <w:rsid w:val="003E1E01"/>
    <w:pPr>
      <w:autoSpaceDE w:val="0"/>
      <w:autoSpaceDN w:val="0"/>
      <w:adjustRightInd w:val="0"/>
      <w:spacing w:before="120"/>
    </w:pPr>
    <w:rPr>
      <w:b/>
      <w:caps/>
      <w:sz w:val="20"/>
      <w:szCs w:val="20"/>
      <w:lang w:eastAsia="en-GB"/>
    </w:rPr>
  </w:style>
  <w:style w:type="paragraph" w:styleId="Corpsdetexte">
    <w:name w:val="Body Text"/>
    <w:basedOn w:val="Normal"/>
    <w:link w:val="CorpsdetexteCar"/>
    <w:uiPriority w:val="99"/>
    <w:rsid w:val="003E1E01"/>
    <w:pPr>
      <w:spacing w:after="120"/>
    </w:pPr>
  </w:style>
  <w:style w:type="character" w:customStyle="1" w:styleId="CorpsdetexteCar">
    <w:name w:val="Corps de texte Car"/>
    <w:basedOn w:val="Policepardfaut"/>
    <w:link w:val="Corpsdetexte"/>
    <w:uiPriority w:val="99"/>
    <w:locked/>
    <w:rsid w:val="003E1E01"/>
    <w:rPr>
      <w:rFonts w:ascii="Times New Roman" w:hAnsi="Times New Roman" w:cs="Times New Roman"/>
      <w:lang w:val="en-GB"/>
    </w:rPr>
  </w:style>
  <w:style w:type="character" w:styleId="Lienhypertexte">
    <w:name w:val="Hyperlink"/>
    <w:basedOn w:val="Policepardfaut"/>
    <w:uiPriority w:val="99"/>
    <w:rsid w:val="00514357"/>
    <w:rPr>
      <w:rFonts w:cs="Times New Roman"/>
      <w:color w:val="0000FF"/>
      <w:u w:val="single"/>
    </w:rPr>
  </w:style>
  <w:style w:type="character" w:customStyle="1" w:styleId="LgendeCar">
    <w:name w:val="Légende Car"/>
    <w:aliases w:val="Ca Car"/>
    <w:link w:val="Lgende"/>
    <w:uiPriority w:val="99"/>
    <w:locked/>
    <w:rsid w:val="00514357"/>
    <w:rPr>
      <w:rFonts w:ascii="Arial" w:hAnsi="Arial"/>
      <w:b/>
      <w:lang w:val="nb-NO" w:eastAsia="de-DE"/>
    </w:rPr>
  </w:style>
  <w:style w:type="paragraph" w:styleId="Lgende">
    <w:name w:val="caption"/>
    <w:aliases w:val="Ca"/>
    <w:basedOn w:val="Normal"/>
    <w:next w:val="Normal"/>
    <w:link w:val="LgendeCar"/>
    <w:uiPriority w:val="99"/>
    <w:qFormat/>
    <w:rsid w:val="00514357"/>
    <w:pPr>
      <w:spacing w:after="120"/>
      <w:jc w:val="both"/>
    </w:pPr>
    <w:rPr>
      <w:rFonts w:ascii="Arial" w:eastAsia="Cambria" w:hAnsi="Arial"/>
      <w:b/>
      <w:sz w:val="20"/>
      <w:szCs w:val="20"/>
      <w:lang w:val="nb-NO" w:eastAsia="de-DE"/>
    </w:rPr>
  </w:style>
  <w:style w:type="paragraph" w:styleId="PrformatHTML">
    <w:name w:val="HTML Preformatted"/>
    <w:basedOn w:val="Normal"/>
    <w:link w:val="PrformatHTMLCar"/>
    <w:uiPriority w:val="99"/>
    <w:rsid w:val="00606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mbria" w:hAnsi="Courier" w:cs="Courier"/>
      <w:sz w:val="20"/>
      <w:szCs w:val="20"/>
      <w:lang w:val="it-IT"/>
    </w:rPr>
  </w:style>
  <w:style w:type="character" w:customStyle="1" w:styleId="PrformatHTMLCar">
    <w:name w:val="Préformaté HTML Car"/>
    <w:basedOn w:val="Policepardfaut"/>
    <w:link w:val="PrformatHTML"/>
    <w:uiPriority w:val="99"/>
    <w:locked/>
    <w:rsid w:val="00606B56"/>
    <w:rPr>
      <w:rFonts w:ascii="Courier" w:hAnsi="Courier" w:cs="Courier"/>
      <w:sz w:val="20"/>
      <w:szCs w:val="20"/>
    </w:rPr>
  </w:style>
  <w:style w:type="paragraph" w:styleId="Textedebulles">
    <w:name w:val="Balloon Text"/>
    <w:basedOn w:val="Normal"/>
    <w:link w:val="TextedebullesCar"/>
    <w:uiPriority w:val="99"/>
    <w:semiHidden/>
    <w:rsid w:val="00A61437"/>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F75EE8"/>
    <w:rPr>
      <w:rFonts w:ascii="Times New Roman" w:hAnsi="Times New Roman" w:cs="Times New Roman"/>
      <w:sz w:val="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7275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Document_Microsoft_Word_97_-_20031.doc"/><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1072</Words>
  <Characters>5897</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ECC PT1 #42</vt:lpstr>
    </vt:vector>
  </TitlesOfParts>
  <Company>Fondazione Ugo Bordoni</Company>
  <LinksUpToDate>false</LinksUpToDate>
  <CharactersWithSpaces>6956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PT1 #42</dc:title>
  <dc:creator>Doriana Guiducci</dc:creator>
  <cp:lastModifiedBy>auteur</cp:lastModifiedBy>
  <cp:revision>3</cp:revision>
  <dcterms:created xsi:type="dcterms:W3CDTF">2012-12-26T17:56:00Z</dcterms:created>
  <dcterms:modified xsi:type="dcterms:W3CDTF">2012-12-26T17:56:00Z</dcterms:modified>
</cp:coreProperties>
</file>