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346C62" w:rsidRPr="00EB4BBE">
        <w:trPr>
          <w:cantSplit/>
        </w:trPr>
        <w:tc>
          <w:tcPr>
            <w:tcW w:w="6071" w:type="dxa"/>
            <w:gridSpan w:val="3"/>
            <w:tcBorders>
              <w:top w:val="nil"/>
              <w:left w:val="nil"/>
              <w:bottom w:val="nil"/>
              <w:right w:val="nil"/>
            </w:tcBorders>
          </w:tcPr>
          <w:p w:rsidR="00346C62" w:rsidRPr="00EB4BBE" w:rsidRDefault="00F4580D" w:rsidP="00215746">
            <w:pPr>
              <w:pStyle w:val="En-tte1"/>
              <w:rPr>
                <w:lang w:val="en-GB"/>
              </w:rPr>
            </w:pPr>
            <w:r>
              <w:rPr>
                <w:noProof/>
                <w:lang w:val="fr-FR" w:eastAsia="fr-FR"/>
              </w:rPr>
              <w:drawing>
                <wp:inline distT="0" distB="0" distL="0" distR="0">
                  <wp:extent cx="1628140" cy="83185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140" cy="831850"/>
                          </a:xfrm>
                          <a:prstGeom prst="rect">
                            <a:avLst/>
                          </a:prstGeom>
                          <a:noFill/>
                          <a:ln>
                            <a:noFill/>
                          </a:ln>
                        </pic:spPr>
                      </pic:pic>
                    </a:graphicData>
                  </a:graphic>
                </wp:inline>
              </w:drawing>
            </w:r>
            <w:r w:rsidR="00D17288">
              <w:rPr>
                <w:lang w:val="en-GB"/>
              </w:rPr>
              <w:t>ECC PT1</w:t>
            </w:r>
          </w:p>
          <w:p w:rsidR="00346C62" w:rsidRPr="00EB4BBE" w:rsidRDefault="00346C62" w:rsidP="00215746">
            <w:pPr>
              <w:pStyle w:val="En-tte1"/>
              <w:rPr>
                <w:rFonts w:cs="Arial"/>
                <w:color w:val="000000"/>
                <w:lang w:val="en-GB"/>
              </w:rPr>
            </w:pPr>
          </w:p>
        </w:tc>
        <w:tc>
          <w:tcPr>
            <w:tcW w:w="3569" w:type="dxa"/>
            <w:tcBorders>
              <w:top w:val="nil"/>
              <w:left w:val="nil"/>
              <w:bottom w:val="nil"/>
              <w:right w:val="nil"/>
            </w:tcBorders>
          </w:tcPr>
          <w:p w:rsidR="00346C62" w:rsidRPr="00EB4BBE" w:rsidRDefault="00865877" w:rsidP="00533846">
            <w:pPr>
              <w:pStyle w:val="En-tte1"/>
              <w:tabs>
                <w:tab w:val="clear" w:pos="4536"/>
                <w:tab w:val="right" w:pos="3357"/>
              </w:tabs>
              <w:rPr>
                <w:lang w:val="en-GB"/>
              </w:rPr>
            </w:pPr>
            <w:r>
              <w:rPr>
                <w:lang w:val="en-GB"/>
              </w:rPr>
              <w:t>ECC PT1(13</w:t>
            </w:r>
            <w:r w:rsidR="00D17288">
              <w:rPr>
                <w:lang w:val="en-GB"/>
              </w:rPr>
              <w:t>)</w:t>
            </w:r>
            <w:r w:rsidR="00CB7112">
              <w:rPr>
                <w:lang w:val="en-GB"/>
              </w:rPr>
              <w:t>018</w:t>
            </w:r>
          </w:p>
        </w:tc>
      </w:tr>
      <w:tr w:rsidR="00346C62" w:rsidRPr="00EB4BB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EB4BBE" w:rsidRDefault="002B31A6" w:rsidP="00215746">
            <w:pPr>
              <w:pStyle w:val="En-tte1"/>
              <w:rPr>
                <w:lang w:val="en-GB"/>
              </w:rPr>
            </w:pPr>
            <w:r>
              <w:rPr>
                <w:lang w:val="en-GB"/>
              </w:rPr>
              <w:t>ECC PT1 #4</w:t>
            </w:r>
            <w:r w:rsidR="00865877">
              <w:rPr>
                <w:lang w:val="en-GB"/>
              </w:rPr>
              <w:t>2</w:t>
            </w:r>
          </w:p>
        </w:tc>
        <w:tc>
          <w:tcPr>
            <w:tcW w:w="5300" w:type="dxa"/>
            <w:gridSpan w:val="2"/>
            <w:tcBorders>
              <w:top w:val="nil"/>
              <w:left w:val="nil"/>
              <w:bottom w:val="nil"/>
              <w:right w:val="nil"/>
            </w:tcBorders>
            <w:vAlign w:val="center"/>
          </w:tcPr>
          <w:p w:rsidR="00346C62" w:rsidRPr="00EB4BBE" w:rsidRDefault="00346C62" w:rsidP="00215746">
            <w:pPr>
              <w:pStyle w:val="En-tte1"/>
              <w:rPr>
                <w:lang w:val="en-GB"/>
              </w:rPr>
            </w:pPr>
          </w:p>
        </w:tc>
      </w:tr>
      <w:tr w:rsidR="00346C62" w:rsidRPr="00EB4BB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EB4BBE" w:rsidRDefault="000378CE" w:rsidP="0097335F">
            <w:pPr>
              <w:pStyle w:val="En-tte1"/>
              <w:rPr>
                <w:lang w:val="en-GB"/>
              </w:rPr>
            </w:pPr>
            <w:r>
              <w:rPr>
                <w:lang w:val="en-GB"/>
              </w:rPr>
              <w:t>Marseille</w:t>
            </w:r>
            <w:r w:rsidR="001E0E49" w:rsidRPr="00EB4BBE">
              <w:rPr>
                <w:lang w:val="en-GB"/>
              </w:rPr>
              <w:t xml:space="preserve">, </w:t>
            </w:r>
            <w:r w:rsidR="00D05052">
              <w:rPr>
                <w:lang w:val="en-GB"/>
              </w:rPr>
              <w:t>14-18</w:t>
            </w:r>
            <w:r w:rsidR="00470AE8">
              <w:rPr>
                <w:lang w:val="en-GB"/>
              </w:rPr>
              <w:t xml:space="preserve"> </w:t>
            </w:r>
            <w:r w:rsidR="0097335F">
              <w:rPr>
                <w:lang w:val="en-GB"/>
              </w:rPr>
              <w:t>January</w:t>
            </w:r>
            <w:r w:rsidR="004E4334">
              <w:rPr>
                <w:lang w:val="en-GB"/>
              </w:rPr>
              <w:t xml:space="preserve"> 201</w:t>
            </w:r>
            <w:r w:rsidR="0097335F">
              <w:rPr>
                <w:lang w:val="en-GB"/>
              </w:rPr>
              <w:t>3</w:t>
            </w:r>
          </w:p>
        </w:tc>
        <w:tc>
          <w:tcPr>
            <w:tcW w:w="5300" w:type="dxa"/>
            <w:gridSpan w:val="2"/>
            <w:tcBorders>
              <w:top w:val="nil"/>
              <w:left w:val="nil"/>
              <w:bottom w:val="nil"/>
              <w:right w:val="nil"/>
            </w:tcBorders>
            <w:vAlign w:val="center"/>
          </w:tcPr>
          <w:p w:rsidR="00346C62" w:rsidRPr="00EB4BBE" w:rsidRDefault="00346C62" w:rsidP="00215746">
            <w:pPr>
              <w:pStyle w:val="En-tte1"/>
              <w:rPr>
                <w:lang w:val="en-GB"/>
              </w:rPr>
            </w:pPr>
          </w:p>
        </w:tc>
      </w:tr>
      <w:tr w:rsidR="00F05B26" w:rsidRPr="00EB4BBE">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F05B26" w:rsidRPr="00EB4BBE" w:rsidRDefault="00F05B26" w:rsidP="00215746">
            <w:pPr>
              <w:pStyle w:val="En-tte1"/>
              <w:rPr>
                <w:sz w:val="8"/>
                <w:lang w:val="en-GB"/>
              </w:rPr>
            </w:pPr>
          </w:p>
        </w:tc>
        <w:tc>
          <w:tcPr>
            <w:tcW w:w="5300" w:type="dxa"/>
            <w:gridSpan w:val="2"/>
            <w:tcBorders>
              <w:top w:val="nil"/>
              <w:left w:val="nil"/>
              <w:bottom w:val="nil"/>
              <w:right w:val="nil"/>
            </w:tcBorders>
            <w:vAlign w:val="center"/>
          </w:tcPr>
          <w:p w:rsidR="00F05B26" w:rsidRPr="00EB4BBE" w:rsidRDefault="00F05B26" w:rsidP="00215746">
            <w:pPr>
              <w:pStyle w:val="En-tte1"/>
              <w:rPr>
                <w:sz w:val="8"/>
                <w:lang w:val="en-GB"/>
              </w:rPr>
            </w:pPr>
          </w:p>
        </w:tc>
      </w:tr>
      <w:tr w:rsidR="00F05B26" w:rsidRPr="00EB4BBE">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EB4BBE" w:rsidRDefault="00F05B26" w:rsidP="00215746">
            <w:pPr>
              <w:pStyle w:val="En-tte1"/>
              <w:rPr>
                <w:lang w:val="en-GB"/>
              </w:rPr>
            </w:pPr>
            <w:r w:rsidRPr="00EB4BBE">
              <w:rPr>
                <w:lang w:val="en-GB"/>
              </w:rPr>
              <w:t>Date issued:</w:t>
            </w:r>
            <w:r w:rsidR="005269EA" w:rsidRPr="00EB4BBE">
              <w:rPr>
                <w:lang w:val="en-GB"/>
              </w:rPr>
              <w:t xml:space="preserve"> </w:t>
            </w:r>
          </w:p>
        </w:tc>
        <w:tc>
          <w:tcPr>
            <w:tcW w:w="7797" w:type="dxa"/>
            <w:gridSpan w:val="3"/>
            <w:tcBorders>
              <w:top w:val="nil"/>
              <w:left w:val="nil"/>
              <w:bottom w:val="nil"/>
              <w:right w:val="nil"/>
            </w:tcBorders>
            <w:vAlign w:val="center"/>
          </w:tcPr>
          <w:p w:rsidR="00F05B26" w:rsidRPr="00EB4BBE" w:rsidRDefault="000F636A" w:rsidP="00215746">
            <w:pPr>
              <w:pStyle w:val="En-tte1"/>
              <w:rPr>
                <w:lang w:val="en-GB"/>
              </w:rPr>
            </w:pPr>
            <w:r>
              <w:rPr>
                <w:lang w:val="en-GB"/>
              </w:rPr>
              <w:t>8 January</w:t>
            </w:r>
            <w:bookmarkStart w:id="0" w:name="_GoBack"/>
            <w:bookmarkEnd w:id="0"/>
            <w:r w:rsidR="004A4047">
              <w:rPr>
                <w:lang w:val="en-GB"/>
              </w:rPr>
              <w:t xml:space="preserve"> 2013</w:t>
            </w:r>
          </w:p>
        </w:tc>
      </w:tr>
      <w:tr w:rsidR="00F05B26" w:rsidRPr="00EB4BBE">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EB4BBE" w:rsidRDefault="00F05B26" w:rsidP="00215746">
            <w:pPr>
              <w:pStyle w:val="En-tte1"/>
              <w:rPr>
                <w:lang w:val="en-GB"/>
              </w:rPr>
            </w:pPr>
            <w:r w:rsidRPr="00EB4BBE">
              <w:rPr>
                <w:lang w:val="en-GB"/>
              </w:rPr>
              <w:t>Source:</w:t>
            </w:r>
          </w:p>
        </w:tc>
        <w:tc>
          <w:tcPr>
            <w:tcW w:w="7797" w:type="dxa"/>
            <w:gridSpan w:val="3"/>
            <w:tcBorders>
              <w:top w:val="nil"/>
              <w:left w:val="nil"/>
              <w:bottom w:val="nil"/>
              <w:right w:val="nil"/>
            </w:tcBorders>
            <w:vAlign w:val="center"/>
          </w:tcPr>
          <w:p w:rsidR="00F05B26" w:rsidRPr="00EB4BBE" w:rsidRDefault="004A4047" w:rsidP="00215746">
            <w:pPr>
              <w:pStyle w:val="En-tte1"/>
              <w:rPr>
                <w:lang w:val="en-GB"/>
              </w:rPr>
            </w:pPr>
            <w:r>
              <w:rPr>
                <w:lang w:val="en-GB"/>
              </w:rPr>
              <w:t>France</w:t>
            </w:r>
          </w:p>
        </w:tc>
      </w:tr>
      <w:tr w:rsidR="00F05B26" w:rsidRPr="00EB4BBE">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EB4BBE" w:rsidRDefault="00F05B26" w:rsidP="00215746">
            <w:pPr>
              <w:pStyle w:val="En-tte1"/>
              <w:rPr>
                <w:lang w:val="en-GB"/>
              </w:rPr>
            </w:pPr>
            <w:r w:rsidRPr="00EB4BBE">
              <w:rPr>
                <w:lang w:val="en-GB"/>
              </w:rPr>
              <w:t>Subject:</w:t>
            </w:r>
            <w:r w:rsidR="005269EA" w:rsidRPr="00EB4BBE">
              <w:rPr>
                <w:lang w:val="en-GB"/>
              </w:rPr>
              <w:t xml:space="preserve">   </w:t>
            </w:r>
          </w:p>
        </w:tc>
        <w:tc>
          <w:tcPr>
            <w:tcW w:w="7797" w:type="dxa"/>
            <w:gridSpan w:val="3"/>
            <w:tcBorders>
              <w:top w:val="nil"/>
              <w:left w:val="nil"/>
              <w:bottom w:val="nil"/>
              <w:right w:val="nil"/>
            </w:tcBorders>
            <w:vAlign w:val="center"/>
          </w:tcPr>
          <w:p w:rsidR="00F05B26" w:rsidRPr="00EB4BBE" w:rsidRDefault="00D35CD6" w:rsidP="00FB561B">
            <w:pPr>
              <w:pStyle w:val="En-tte1"/>
              <w:rPr>
                <w:lang w:val="en-GB"/>
              </w:rPr>
            </w:pPr>
            <w:r>
              <w:rPr>
                <w:lang w:val="en-GB"/>
              </w:rPr>
              <w:t>Co</w:t>
            </w:r>
            <w:r w:rsidR="00FB561B">
              <w:rPr>
                <w:lang w:val="en-GB"/>
              </w:rPr>
              <w:t xml:space="preserve">mpatibility </w:t>
            </w:r>
            <w:r>
              <w:rPr>
                <w:lang w:val="en-GB"/>
              </w:rPr>
              <w:t xml:space="preserve">study between </w:t>
            </w:r>
            <w:r w:rsidR="002357A3">
              <w:rPr>
                <w:lang w:val="en-GB"/>
              </w:rPr>
              <w:t>IMT and FSS</w:t>
            </w:r>
          </w:p>
        </w:tc>
      </w:tr>
      <w:tr w:rsidR="00493F86" w:rsidRPr="00EB4BBE"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493F86" w:rsidRPr="00EB4BBE" w:rsidRDefault="00F4580D" w:rsidP="00FF320E">
            <w:pPr>
              <w:rPr>
                <w:rFonts w:cs="Arial"/>
                <w:szCs w:val="24"/>
                <w:lang w:val="en-GB"/>
              </w:rPr>
            </w:pPr>
            <w:r>
              <w:rPr>
                <w:noProof/>
                <w:lang w:val="fr-FR" w:eastAsia="fr-FR"/>
              </w:rPr>
              <mc:AlternateContent>
                <mc:Choice Requires="wps">
                  <w:drawing>
                    <wp:anchor distT="0" distB="0" distL="114300" distR="114300" simplePos="0" relativeHeight="251657728" behindDoc="1" locked="0" layoutInCell="1" allowOverlap="1">
                      <wp:simplePos x="0" y="0"/>
                      <wp:positionH relativeFrom="column">
                        <wp:posOffset>2454910</wp:posOffset>
                      </wp:positionH>
                      <wp:positionV relativeFrom="paragraph">
                        <wp:posOffset>192405</wp:posOffset>
                      </wp:positionV>
                      <wp:extent cx="457200" cy="271145"/>
                      <wp:effectExtent l="0" t="0" r="0" b="0"/>
                      <wp:wrapTight wrapText="bothSides">
                        <wp:wrapPolygon edited="0">
                          <wp:start x="-450" y="0"/>
                          <wp:lineTo x="-450" y="21600"/>
                          <wp:lineTo x="22050" y="21600"/>
                          <wp:lineTo x="22050" y="0"/>
                          <wp:lineTo x="-45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5269EA" w:rsidRPr="00254FD9" w:rsidRDefault="005269EA" w:rsidP="005348B2">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3.3pt;margin-top:15.15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">
                      <v:textbox>
                        <w:txbxContent>
                          <w:p w:rsidR="005269EA" w:rsidRPr="00254FD9" w:rsidRDefault="005269EA" w:rsidP="005348B2">
                            <w:pPr>
                              <w:spacing w:after="0"/>
                              <w:jc w:val="center"/>
                              <w:rPr>
                                <w:rFonts w:cs="Arial"/>
                                <w:szCs w:val="24"/>
                                <w:lang w:val="de-DE"/>
                              </w:rPr>
                            </w:pPr>
                            <w:r>
                              <w:rPr>
                                <w:rFonts w:cs="Arial"/>
                                <w:szCs w:val="24"/>
                                <w:lang w:val="de-DE"/>
                              </w:rPr>
                              <w:t>N</w:t>
                            </w:r>
                          </w:p>
                        </w:txbxContent>
                      </v:textbox>
                      <w10:wrap type="tight"/>
                    </v:shape>
                  </w:pict>
                </mc:Fallback>
              </mc:AlternateContent>
            </w:r>
          </w:p>
          <w:p w:rsidR="00493F86" w:rsidRPr="00EB4BBE" w:rsidRDefault="00493F86" w:rsidP="00FF320E">
            <w:pPr>
              <w:rPr>
                <w:lang w:val="en-GB"/>
              </w:rPr>
            </w:pPr>
            <w:r w:rsidRPr="00EB4BBE">
              <w:rPr>
                <w:lang w:val="en-GB"/>
              </w:rPr>
              <w:t xml:space="preserve">Password protection required? (Y/N) </w:t>
            </w:r>
          </w:p>
          <w:p w:rsidR="00493F86" w:rsidRPr="00EB4BBE" w:rsidRDefault="00493F86" w:rsidP="00FF320E">
            <w:pPr>
              <w:pStyle w:val="Header1"/>
              <w:rPr>
                <w:lang w:val="en-GB"/>
              </w:rPr>
            </w:pPr>
          </w:p>
        </w:tc>
      </w:tr>
      <w:tr w:rsidR="00493F86" w:rsidRPr="00EB4BBE" w:rsidTr="00FF320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493F86" w:rsidRPr="00EB4BBE" w:rsidRDefault="00493F86" w:rsidP="00FF320E">
            <w:pPr>
              <w:pStyle w:val="Header1"/>
              <w:rPr>
                <w:lang w:val="en-GB"/>
              </w:rPr>
            </w:pPr>
          </w:p>
          <w:p w:rsidR="00493F86" w:rsidRPr="00EB4BBE" w:rsidRDefault="00493F86" w:rsidP="00FF320E">
            <w:pPr>
              <w:pStyle w:val="Header1"/>
              <w:rPr>
                <w:sz w:val="8"/>
                <w:lang w:val="en-GB"/>
              </w:rPr>
            </w:pPr>
          </w:p>
        </w:tc>
      </w:tr>
      <w:tr w:rsidR="001E0E49" w:rsidRPr="00EB4BB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1E0E49" w:rsidRPr="00EB4BBE" w:rsidRDefault="001E0E49" w:rsidP="001E0E49">
            <w:pPr>
              <w:pStyle w:val="En-tte1"/>
              <w:rPr>
                <w:lang w:val="en-GB"/>
              </w:rPr>
            </w:pPr>
            <w:r w:rsidRPr="00EB4BBE">
              <w:rPr>
                <w:lang w:val="en-GB"/>
              </w:rPr>
              <w:t xml:space="preserve">Summary: </w:t>
            </w:r>
          </w:p>
        </w:tc>
      </w:tr>
      <w:tr w:rsidR="001E0E49" w:rsidRPr="00EB4BB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bottom w:val="single" w:sz="4" w:space="0" w:color="auto"/>
            </w:tcBorders>
          </w:tcPr>
          <w:p w:rsidR="001E0E49" w:rsidRPr="00EB4BBE" w:rsidRDefault="00280B90" w:rsidP="00280B90">
            <w:pPr>
              <w:rPr>
                <w:lang w:val="en-GB"/>
              </w:rPr>
            </w:pPr>
            <w:r>
              <w:rPr>
                <w:lang w:val="en-GB"/>
              </w:rPr>
              <w:t>In t</w:t>
            </w:r>
            <w:r w:rsidR="006E683A">
              <w:rPr>
                <w:lang w:val="en-GB"/>
              </w:rPr>
              <w:t>his</w:t>
            </w:r>
            <w:r>
              <w:rPr>
                <w:lang w:val="en-GB"/>
              </w:rPr>
              <w:t xml:space="preserve"> contribution, the related information on IMT base station classification from 3GPP and IMT/LTE deployment base station classes are summarised, it proposes to include all of the 4 IMT deployment base station types in the compatibility study between IMT and FSS in 3 400 – 3 600 MHz band. Based on the compatibility study results, for each type of FSS station, IMT base station Tx power reduction can be derived as function of frequency offset and separation distance, as one of the interference mitigation solution. </w:t>
            </w:r>
          </w:p>
        </w:tc>
      </w:tr>
      <w:tr w:rsidR="001E0E49" w:rsidRPr="00EB4BB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1E0E49" w:rsidRPr="00EB4BBE" w:rsidRDefault="001E0E49" w:rsidP="001E0E49">
            <w:pPr>
              <w:pStyle w:val="En-tte1"/>
              <w:rPr>
                <w:lang w:val="en-GB"/>
              </w:rPr>
            </w:pPr>
            <w:r w:rsidRPr="00EB4BBE">
              <w:rPr>
                <w:lang w:val="en-GB"/>
              </w:rPr>
              <w:t xml:space="preserve">Proposal: </w:t>
            </w:r>
          </w:p>
        </w:tc>
      </w:tr>
      <w:tr w:rsidR="001E0E49" w:rsidRPr="00EB4BB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bottom w:val="single" w:sz="4" w:space="0" w:color="auto"/>
            </w:tcBorders>
          </w:tcPr>
          <w:p w:rsidR="001E0E49" w:rsidRPr="00EB4BBE" w:rsidRDefault="00280B90" w:rsidP="001E0E49">
            <w:pPr>
              <w:rPr>
                <w:lang w:val="en-GB"/>
              </w:rPr>
            </w:pPr>
            <w:r>
              <w:rPr>
                <w:lang w:val="en-GB"/>
              </w:rPr>
              <w:t>It is proposed f</w:t>
            </w:r>
            <w:r w:rsidR="006E683A">
              <w:rPr>
                <w:lang w:val="en-GB"/>
              </w:rPr>
              <w:t>or ECC-PT1 to review this</w:t>
            </w:r>
            <w:r>
              <w:rPr>
                <w:lang w:val="en-GB"/>
              </w:rPr>
              <w:t xml:space="preserve"> contribution and send it as CEPT contribution to the coming ITU-R WP5D meeting in January 2013.</w:t>
            </w:r>
          </w:p>
          <w:p w:rsidR="001E0E49" w:rsidRPr="00EB4BBE" w:rsidRDefault="001E0E49" w:rsidP="001E0E49">
            <w:pPr>
              <w:rPr>
                <w:lang w:val="en-GB"/>
              </w:rPr>
            </w:pPr>
          </w:p>
        </w:tc>
      </w:tr>
      <w:tr w:rsidR="001E0E49" w:rsidRPr="00EB4BB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1E0E49" w:rsidRPr="00EB4BBE" w:rsidRDefault="001E0E49" w:rsidP="001E0E49">
            <w:pPr>
              <w:pStyle w:val="En-tte1"/>
              <w:rPr>
                <w:lang w:val="en-GB"/>
              </w:rPr>
            </w:pPr>
            <w:r w:rsidRPr="00EB4BBE">
              <w:rPr>
                <w:lang w:val="en-GB"/>
              </w:rPr>
              <w:t>Background:</w:t>
            </w:r>
            <w:r w:rsidRPr="00EB4BBE">
              <w:rPr>
                <w:lang w:val="en-GB"/>
              </w:rPr>
              <w:tab/>
            </w:r>
          </w:p>
        </w:tc>
      </w:tr>
      <w:tr w:rsidR="001E0E49" w:rsidRPr="00EB4BBE"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bottom w:val="single" w:sz="4" w:space="0" w:color="auto"/>
            </w:tcBorders>
          </w:tcPr>
          <w:p w:rsidR="001E0E49" w:rsidRPr="00EB4BBE" w:rsidRDefault="00B3492B" w:rsidP="004002F7">
            <w:pPr>
              <w:rPr>
                <w:bCs/>
                <w:szCs w:val="24"/>
                <w:lang w:val="en-GB"/>
              </w:rPr>
            </w:pPr>
            <w:r>
              <w:rPr>
                <w:bCs/>
                <w:szCs w:val="24"/>
                <w:lang w:val="en-GB"/>
              </w:rPr>
              <w:t xml:space="preserve">At ITU-R WP5D meeting in October 2012, a working </w:t>
            </w:r>
            <w:r w:rsidR="00CC0F32">
              <w:rPr>
                <w:bCs/>
                <w:szCs w:val="24"/>
                <w:lang w:val="en-GB"/>
              </w:rPr>
              <w:t xml:space="preserve">document towards a PDNR on the compatibility between low power IMT system and FSS in 3 400 -3 600 MHz band was created and discussed. Questions were raised how to define low power IMT ? and what will be the scope of this PDNR. </w:t>
            </w:r>
            <w:r>
              <w:rPr>
                <w:bCs/>
                <w:szCs w:val="24"/>
                <w:lang w:val="en-GB"/>
              </w:rPr>
              <w:t xml:space="preserve"> </w:t>
            </w:r>
          </w:p>
        </w:tc>
      </w:tr>
    </w:tbl>
    <w:p w:rsidR="00DE5E01" w:rsidRDefault="00DE5E01" w:rsidP="00DE5E01">
      <w:pPr>
        <w:rPr>
          <w:lang w:val="en-GB"/>
        </w:rPr>
      </w:pPr>
    </w:p>
    <w:p w:rsidR="00875FEA" w:rsidRDefault="00875FEA" w:rsidP="00DE5E01">
      <w:pPr>
        <w:rPr>
          <w:lang w:val="en-GB"/>
        </w:rPr>
      </w:pPr>
    </w:p>
    <w:p w:rsidR="00875FEA" w:rsidRDefault="00875FEA" w:rsidP="00DE5E01">
      <w:pPr>
        <w:rPr>
          <w:lang w:val="en-GB"/>
        </w:rPr>
      </w:pPr>
    </w:p>
    <w:p w:rsidR="00875FEA" w:rsidRPr="00222DD5" w:rsidRDefault="00875FEA" w:rsidP="00921DED">
      <w:pPr>
        <w:pStyle w:val="Paragraphedeliste"/>
        <w:numPr>
          <w:ilvl w:val="0"/>
          <w:numId w:val="15"/>
        </w:numPr>
        <w:rPr>
          <w:b/>
          <w:sz w:val="28"/>
          <w:szCs w:val="28"/>
          <w:lang w:val="en-GB"/>
        </w:rPr>
      </w:pPr>
      <w:r w:rsidRPr="00222DD5">
        <w:rPr>
          <w:b/>
          <w:sz w:val="28"/>
          <w:szCs w:val="28"/>
          <w:lang w:val="en-GB"/>
        </w:rPr>
        <w:t>Introduction</w:t>
      </w:r>
    </w:p>
    <w:p w:rsidR="00EC1791" w:rsidRDefault="00F02B6D" w:rsidP="00EC1791">
      <w:pPr>
        <w:spacing w:line="276" w:lineRule="auto"/>
        <w:rPr>
          <w:bCs/>
          <w:szCs w:val="24"/>
          <w:lang w:val="en-GB"/>
        </w:rPr>
      </w:pPr>
      <w:r>
        <w:rPr>
          <w:bCs/>
          <w:szCs w:val="24"/>
          <w:lang w:val="en-GB"/>
        </w:rPr>
        <w:t xml:space="preserve">At ITU-R WP5D meeting in October 2012, a working document towards a PDNR on the compatibility between low power IMT system and FSS in 3 400 -3 600 MHz band was created and discussed. Questions were raised </w:t>
      </w:r>
      <w:r w:rsidR="00EC1791">
        <w:rPr>
          <w:bCs/>
          <w:szCs w:val="24"/>
          <w:lang w:val="en-GB"/>
        </w:rPr>
        <w:t>at October meeting :</w:t>
      </w:r>
    </w:p>
    <w:p w:rsidR="00EC1791" w:rsidRDefault="00F02B6D" w:rsidP="00EC1791">
      <w:pPr>
        <w:pStyle w:val="Paragraphedeliste"/>
        <w:numPr>
          <w:ilvl w:val="0"/>
          <w:numId w:val="16"/>
        </w:numPr>
        <w:spacing w:line="276" w:lineRule="auto"/>
        <w:rPr>
          <w:bCs/>
          <w:szCs w:val="24"/>
          <w:lang w:val="en-GB"/>
        </w:rPr>
      </w:pPr>
      <w:r w:rsidRPr="00EC1791">
        <w:rPr>
          <w:bCs/>
          <w:szCs w:val="24"/>
          <w:lang w:val="en-GB"/>
        </w:rPr>
        <w:t xml:space="preserve">how to define low power IMT ? </w:t>
      </w:r>
    </w:p>
    <w:p w:rsidR="00CB7E15" w:rsidRDefault="00F02B6D" w:rsidP="00EC1791">
      <w:pPr>
        <w:pStyle w:val="Paragraphedeliste"/>
        <w:numPr>
          <w:ilvl w:val="0"/>
          <w:numId w:val="16"/>
        </w:numPr>
        <w:spacing w:line="276" w:lineRule="auto"/>
        <w:rPr>
          <w:bCs/>
          <w:szCs w:val="24"/>
          <w:lang w:val="en-GB"/>
        </w:rPr>
      </w:pPr>
      <w:r w:rsidRPr="00EC1791">
        <w:rPr>
          <w:bCs/>
          <w:szCs w:val="24"/>
          <w:lang w:val="en-GB"/>
        </w:rPr>
        <w:t>what</w:t>
      </w:r>
      <w:r w:rsidR="00EC1791">
        <w:rPr>
          <w:bCs/>
          <w:szCs w:val="24"/>
          <w:lang w:val="en-GB"/>
        </w:rPr>
        <w:t xml:space="preserve"> will be the scope of this PDNR ?</w:t>
      </w:r>
    </w:p>
    <w:p w:rsidR="00875FEA" w:rsidRPr="00875FEA" w:rsidRDefault="00875FEA" w:rsidP="00875FEA">
      <w:pPr>
        <w:rPr>
          <w:lang w:val="en-GB"/>
        </w:rPr>
      </w:pPr>
    </w:p>
    <w:p w:rsidR="00875FEA" w:rsidRPr="00222DD5" w:rsidRDefault="00875FEA" w:rsidP="00875FEA">
      <w:pPr>
        <w:pStyle w:val="Paragraphedeliste"/>
        <w:numPr>
          <w:ilvl w:val="0"/>
          <w:numId w:val="15"/>
        </w:numPr>
        <w:rPr>
          <w:b/>
          <w:sz w:val="28"/>
          <w:szCs w:val="28"/>
          <w:lang w:val="en-GB"/>
        </w:rPr>
      </w:pPr>
      <w:r w:rsidRPr="00222DD5">
        <w:rPr>
          <w:b/>
          <w:sz w:val="28"/>
          <w:szCs w:val="28"/>
          <w:lang w:val="en-GB"/>
        </w:rPr>
        <w:t>Discussion</w:t>
      </w:r>
    </w:p>
    <w:p w:rsidR="00222DD5" w:rsidRDefault="00222DD5" w:rsidP="00875FEA">
      <w:pPr>
        <w:rPr>
          <w:lang w:val="en-GB"/>
        </w:rPr>
      </w:pPr>
      <w:r>
        <w:rPr>
          <w:lang w:val="en-GB"/>
        </w:rPr>
        <w:t>There has not been a clear regulatory definition on low power IMT.</w:t>
      </w:r>
    </w:p>
    <w:p w:rsidR="00222DD5" w:rsidRDefault="00222DD5" w:rsidP="00875FEA">
      <w:pPr>
        <w:rPr>
          <w:lang w:val="en-GB"/>
        </w:rPr>
      </w:pPr>
      <w:r>
        <w:rPr>
          <w:lang w:val="en-GB"/>
        </w:rPr>
        <w:lastRenderedPageBreak/>
        <w:t>In 3GPP</w:t>
      </w:r>
      <w:r w:rsidR="00B85AC8">
        <w:rPr>
          <w:lang w:val="en-GB"/>
        </w:rPr>
        <w:t xml:space="preserve"> LTE</w:t>
      </w:r>
      <w:r>
        <w:rPr>
          <w:lang w:val="en-GB"/>
        </w:rPr>
        <w:t xml:space="preserve"> technical specifications, three classes of base stations are spe</w:t>
      </w:r>
      <w:r w:rsidR="00B85AC8">
        <w:rPr>
          <w:lang w:val="en-GB"/>
        </w:rPr>
        <w:t>cifi</w:t>
      </w:r>
      <w:r>
        <w:rPr>
          <w:lang w:val="en-GB"/>
        </w:rPr>
        <w:t>ed:</w:t>
      </w:r>
    </w:p>
    <w:p w:rsidR="00222DD5" w:rsidRPr="00D46018" w:rsidRDefault="00222DD5" w:rsidP="00D46018">
      <w:pPr>
        <w:pStyle w:val="Paragraphedeliste"/>
        <w:numPr>
          <w:ilvl w:val="0"/>
          <w:numId w:val="23"/>
        </w:numPr>
        <w:rPr>
          <w:lang w:val="en-GB"/>
        </w:rPr>
      </w:pPr>
      <w:r w:rsidRPr="00D46018">
        <w:rPr>
          <w:lang w:val="en-GB"/>
        </w:rPr>
        <w:t>Wide Area BS without specification of maximum transmit power</w:t>
      </w:r>
    </w:p>
    <w:p w:rsidR="00222DD5" w:rsidRPr="00D46018" w:rsidRDefault="0079127B" w:rsidP="00D46018">
      <w:pPr>
        <w:pStyle w:val="Paragraphedeliste"/>
        <w:numPr>
          <w:ilvl w:val="0"/>
          <w:numId w:val="23"/>
        </w:numPr>
        <w:rPr>
          <w:lang w:val="en-GB"/>
        </w:rPr>
      </w:pPr>
      <w:r w:rsidRPr="00D46018">
        <w:rPr>
          <w:lang w:val="en-GB"/>
        </w:rPr>
        <w:t>Local area BS with Tx Power &lt;= 24 dBm</w:t>
      </w:r>
    </w:p>
    <w:p w:rsidR="0079127B" w:rsidRPr="00D46018" w:rsidRDefault="0079127B" w:rsidP="00D46018">
      <w:pPr>
        <w:pStyle w:val="Paragraphedeliste"/>
        <w:numPr>
          <w:ilvl w:val="0"/>
          <w:numId w:val="23"/>
        </w:numPr>
        <w:rPr>
          <w:lang w:val="en-GB"/>
        </w:rPr>
      </w:pPr>
      <w:r w:rsidRPr="00D46018">
        <w:rPr>
          <w:lang w:val="en-GB"/>
        </w:rPr>
        <w:t>Home BS with Tx Power &lt;= 20 dBm</w:t>
      </w:r>
    </w:p>
    <w:p w:rsidR="00630A8A" w:rsidRDefault="00630A8A" w:rsidP="0079127B">
      <w:pPr>
        <w:rPr>
          <w:lang w:val="en-GB"/>
        </w:rPr>
      </w:pPr>
      <w:r>
        <w:rPr>
          <w:lang w:val="en-GB"/>
        </w:rPr>
        <w:t>3GPP has a on-going small cell study item,</w:t>
      </w:r>
      <w:r w:rsidR="003A2E5C">
        <w:rPr>
          <w:lang w:val="en-GB"/>
        </w:rPr>
        <w:t xml:space="preserve"> 3GPP TR36.932 is under development,</w:t>
      </w:r>
      <w:r>
        <w:rPr>
          <w:lang w:val="en-GB"/>
        </w:rPr>
        <w:t xml:space="preserve"> </w:t>
      </w:r>
      <w:r w:rsidR="00EA481A">
        <w:rPr>
          <w:lang w:val="en-GB"/>
        </w:rPr>
        <w:t>This technical report covers the small cell deployment scenarios and capacity/performance requirements. The defined deployment scenarios cover both outdoor microcells and indoor picocells and femtocells without defining the Tx power limitation for small cell.</w:t>
      </w:r>
    </w:p>
    <w:p w:rsidR="00875FEA" w:rsidRDefault="00F73BA3" w:rsidP="00875FEA">
      <w:pPr>
        <w:rPr>
          <w:lang w:val="en-GB"/>
        </w:rPr>
      </w:pPr>
      <w:r>
        <w:rPr>
          <w:lang w:val="en-GB"/>
        </w:rPr>
        <w:t xml:space="preserve">In </w:t>
      </w:r>
      <w:r w:rsidR="00FF3FE6">
        <w:rPr>
          <w:lang w:val="en-GB"/>
        </w:rPr>
        <w:t>the ECC</w:t>
      </w:r>
      <w:r>
        <w:rPr>
          <w:lang w:val="en-GB"/>
        </w:rPr>
        <w:t xml:space="preserve"> report &lt;</w:t>
      </w:r>
      <w:r w:rsidR="00FF3FE6">
        <w:rPr>
          <w:lang w:val="en-GB"/>
        </w:rPr>
        <w:t>Least Restrictive Technical Conditions suitable for MFCN, including IMT, for the frequency range 3.4-3.8 GHz</w:t>
      </w:r>
      <w:r>
        <w:rPr>
          <w:lang w:val="en-GB"/>
        </w:rPr>
        <w:t>&gt; under development, 4 types of IMT</w:t>
      </w:r>
      <w:r w:rsidR="008206E0">
        <w:rPr>
          <w:lang w:val="en-GB"/>
        </w:rPr>
        <w:t>/LTE</w:t>
      </w:r>
      <w:r>
        <w:rPr>
          <w:lang w:val="en-GB"/>
        </w:rPr>
        <w:t xml:space="preserve"> base stations</w:t>
      </w:r>
      <w:r w:rsidR="008206E0">
        <w:rPr>
          <w:lang w:val="en-GB"/>
        </w:rPr>
        <w:t xml:space="preserve"> from network deployment point of view</w:t>
      </w:r>
      <w:r>
        <w:rPr>
          <w:lang w:val="en-GB"/>
        </w:rPr>
        <w:t xml:space="preserve"> are defined:</w:t>
      </w:r>
    </w:p>
    <w:p w:rsidR="00F73BA3" w:rsidRPr="00036A5D" w:rsidRDefault="008206E0" w:rsidP="00036A5D">
      <w:pPr>
        <w:pStyle w:val="Paragraphedeliste"/>
        <w:numPr>
          <w:ilvl w:val="0"/>
          <w:numId w:val="20"/>
        </w:numPr>
        <w:rPr>
          <w:lang w:val="en-GB"/>
        </w:rPr>
      </w:pPr>
      <w:r w:rsidRPr="00036A5D">
        <w:rPr>
          <w:lang w:val="en-GB"/>
        </w:rPr>
        <w:t xml:space="preserve">Macrocell BS (Wide Area BS) with Tx Power &lt;= </w:t>
      </w:r>
      <w:r w:rsidR="00036A5D" w:rsidRPr="00036A5D">
        <w:rPr>
          <w:lang w:val="en-GB"/>
        </w:rPr>
        <w:t xml:space="preserve">46 dBm/10 MHz, 20 MHz, 40 MHz </w:t>
      </w:r>
      <w:r w:rsidR="00036A5D">
        <w:t>(for one transmit antenna port)</w:t>
      </w:r>
    </w:p>
    <w:p w:rsidR="00036A5D" w:rsidRPr="00036A5D" w:rsidRDefault="00036A5D" w:rsidP="00036A5D">
      <w:pPr>
        <w:pStyle w:val="Paragraphedeliste"/>
        <w:numPr>
          <w:ilvl w:val="0"/>
          <w:numId w:val="20"/>
        </w:numPr>
        <w:rPr>
          <w:lang w:val="en-GB"/>
        </w:rPr>
      </w:pPr>
      <w:r>
        <w:rPr>
          <w:lang w:val="en-GB"/>
        </w:rPr>
        <w:t>Mi</w:t>
      </w:r>
      <w:r w:rsidRPr="00036A5D">
        <w:rPr>
          <w:lang w:val="en-GB"/>
        </w:rPr>
        <w:t xml:space="preserve">crocell BS (Wide Area BS) with Tx Power &lt;= </w:t>
      </w:r>
      <w:r>
        <w:rPr>
          <w:lang w:val="en-GB"/>
        </w:rPr>
        <w:t>35</w:t>
      </w:r>
      <w:r w:rsidRPr="00036A5D">
        <w:rPr>
          <w:lang w:val="en-GB"/>
        </w:rPr>
        <w:t xml:space="preserve"> dBm/10 MHz, 20 MHz, 40 MHz </w:t>
      </w:r>
      <w:r>
        <w:t>(for one transmit antenna port)</w:t>
      </w:r>
    </w:p>
    <w:p w:rsidR="00036A5D" w:rsidRPr="00036A5D" w:rsidRDefault="00036A5D" w:rsidP="00036A5D">
      <w:pPr>
        <w:pStyle w:val="Paragraphedeliste"/>
        <w:numPr>
          <w:ilvl w:val="0"/>
          <w:numId w:val="20"/>
        </w:numPr>
        <w:rPr>
          <w:lang w:val="en-GB"/>
        </w:rPr>
      </w:pPr>
      <w:r>
        <w:t xml:space="preserve">Picocell BS (Local Area BS) </w:t>
      </w:r>
      <w:r w:rsidRPr="00036A5D">
        <w:rPr>
          <w:lang w:val="en-GB"/>
        </w:rPr>
        <w:t xml:space="preserve">with Tx Power &lt;= </w:t>
      </w:r>
      <w:r w:rsidR="004309D5">
        <w:rPr>
          <w:lang w:val="en-GB"/>
        </w:rPr>
        <w:t>24</w:t>
      </w:r>
      <w:r w:rsidRPr="00036A5D">
        <w:rPr>
          <w:lang w:val="en-GB"/>
        </w:rPr>
        <w:t xml:space="preserve"> dBm/10 MHz, 20 MHz, 40 MHz </w:t>
      </w:r>
      <w:r>
        <w:t>(for one transmit antenna port)</w:t>
      </w:r>
    </w:p>
    <w:p w:rsidR="004309D5" w:rsidRPr="00036A5D" w:rsidRDefault="004309D5" w:rsidP="004309D5">
      <w:pPr>
        <w:pStyle w:val="Paragraphedeliste"/>
        <w:numPr>
          <w:ilvl w:val="0"/>
          <w:numId w:val="20"/>
        </w:numPr>
        <w:rPr>
          <w:lang w:val="en-GB"/>
        </w:rPr>
      </w:pPr>
      <w:r>
        <w:t xml:space="preserve">Femtocell BS (Home BS) </w:t>
      </w:r>
      <w:r w:rsidRPr="00036A5D">
        <w:rPr>
          <w:lang w:val="en-GB"/>
        </w:rPr>
        <w:t xml:space="preserve">with Tx Power &lt;= </w:t>
      </w:r>
      <w:r>
        <w:rPr>
          <w:lang w:val="en-GB"/>
        </w:rPr>
        <w:t>20</w:t>
      </w:r>
      <w:r w:rsidRPr="00036A5D">
        <w:rPr>
          <w:lang w:val="en-GB"/>
        </w:rPr>
        <w:t xml:space="preserve"> dBm/10 MHz, 20 MHz, 40 MHz </w:t>
      </w:r>
      <w:r>
        <w:t>(for one transmit antenna port)</w:t>
      </w:r>
    </w:p>
    <w:p w:rsidR="00036A5D" w:rsidRDefault="00036A5D" w:rsidP="004309D5">
      <w:pPr>
        <w:pStyle w:val="Paragraphedeliste"/>
        <w:ind w:left="1287"/>
        <w:rPr>
          <w:lang w:val="en-GB"/>
        </w:rPr>
      </w:pPr>
    </w:p>
    <w:p w:rsidR="00827FD8" w:rsidRDefault="00827FD8" w:rsidP="00CE4758">
      <w:pPr>
        <w:pStyle w:val="Paragraphedeliste"/>
        <w:spacing w:before="240" w:after="0" w:line="276" w:lineRule="auto"/>
        <w:ind w:left="0"/>
        <w:rPr>
          <w:lang w:val="en-GB"/>
        </w:rPr>
      </w:pPr>
      <w:r>
        <w:rPr>
          <w:lang w:val="en-GB"/>
        </w:rPr>
        <w:t xml:space="preserve">By considering that there is not a regulatory definition of low power IMT, the frequency band 3 400 – 3 600 MHz is allocated as IMT band, the IMT deployment should not be limited to femtocells/picocells/microcells only. </w:t>
      </w:r>
      <w:r w:rsidR="00F768DA">
        <w:rPr>
          <w:lang w:val="en-GB"/>
        </w:rPr>
        <w:t>Macrocellular network deployment in this frequency band should also be covered in  the ITU-R compatibility study report.</w:t>
      </w:r>
    </w:p>
    <w:p w:rsidR="00CE4758" w:rsidRDefault="00CE4758" w:rsidP="00CE4758">
      <w:pPr>
        <w:pStyle w:val="Paragraphedeliste"/>
        <w:spacing w:before="240" w:after="0"/>
        <w:ind w:left="0"/>
        <w:rPr>
          <w:lang w:val="en-GB"/>
        </w:rPr>
      </w:pPr>
    </w:p>
    <w:p w:rsidR="00FC69DB" w:rsidRDefault="00CE4758" w:rsidP="00CE4758">
      <w:pPr>
        <w:pStyle w:val="Paragraphedeliste"/>
        <w:spacing w:before="240" w:after="0"/>
        <w:ind w:left="0"/>
        <w:rPr>
          <w:lang w:val="en-GB"/>
        </w:rPr>
      </w:pPr>
      <w:r>
        <w:rPr>
          <w:lang w:val="en-GB"/>
        </w:rPr>
        <w:t>In order to protect FSS stations, the IMT base station power may need to be reduced, the reduction depend the type, characteristics, protection ratio of the FSS stations.</w:t>
      </w:r>
      <w:r w:rsidR="00C00EDB">
        <w:rPr>
          <w:lang w:val="en-GB"/>
        </w:rPr>
        <w:t xml:space="preserve"> </w:t>
      </w:r>
    </w:p>
    <w:p w:rsidR="00390F07" w:rsidRDefault="00390F07" w:rsidP="00CE4758">
      <w:pPr>
        <w:pStyle w:val="Paragraphedeliste"/>
        <w:spacing w:before="240" w:after="0"/>
        <w:ind w:left="0"/>
        <w:rPr>
          <w:lang w:val="en-GB"/>
        </w:rPr>
      </w:pPr>
    </w:p>
    <w:p w:rsidR="00CD02ED" w:rsidRPr="00D46018" w:rsidRDefault="00CD02ED" w:rsidP="00875FEA">
      <w:pPr>
        <w:rPr>
          <w:u w:val="single"/>
          <w:lang w:val="en-GB"/>
        </w:rPr>
      </w:pPr>
    </w:p>
    <w:p w:rsidR="00F02B6D" w:rsidRPr="00222DD5" w:rsidRDefault="00F02B6D" w:rsidP="00F02B6D">
      <w:pPr>
        <w:pStyle w:val="Paragraphedeliste"/>
        <w:numPr>
          <w:ilvl w:val="0"/>
          <w:numId w:val="15"/>
        </w:numPr>
        <w:rPr>
          <w:b/>
          <w:sz w:val="28"/>
          <w:szCs w:val="28"/>
          <w:lang w:val="en-GB"/>
        </w:rPr>
      </w:pPr>
      <w:r w:rsidRPr="00222DD5">
        <w:rPr>
          <w:b/>
          <w:sz w:val="28"/>
          <w:szCs w:val="28"/>
          <w:lang w:val="en-GB"/>
        </w:rPr>
        <w:t>Proposal</w:t>
      </w:r>
    </w:p>
    <w:p w:rsidR="00875FEA" w:rsidRDefault="001A1251" w:rsidP="00875FEA">
      <w:pPr>
        <w:rPr>
          <w:lang w:val="en-GB"/>
        </w:rPr>
      </w:pPr>
      <w:r>
        <w:rPr>
          <w:lang w:val="en-GB"/>
        </w:rPr>
        <w:t>It is proposed to include all of the 4 IMT deployment base station types in the study and several typical FSS stations in the compatibility study, for each type of FSS station, the required IMT base station Tx power reduction</w:t>
      </w:r>
      <w:r w:rsidR="00EA74DB">
        <w:rPr>
          <w:lang w:val="en-GB"/>
        </w:rPr>
        <w:t>/limitation</w:t>
      </w:r>
      <w:r>
        <w:rPr>
          <w:lang w:val="en-GB"/>
        </w:rPr>
        <w:t xml:space="preserve"> can be derived as function of frequency offsets and separation distance.  </w:t>
      </w:r>
    </w:p>
    <w:p w:rsidR="002953AE" w:rsidRDefault="002953AE" w:rsidP="00875FEA">
      <w:pPr>
        <w:rPr>
          <w:lang w:val="en-GB"/>
        </w:rPr>
      </w:pPr>
      <w:r>
        <w:rPr>
          <w:lang w:val="en-GB"/>
        </w:rPr>
        <w:t xml:space="preserve">The </w:t>
      </w:r>
      <w:r w:rsidR="000634FF">
        <w:rPr>
          <w:lang w:val="en-GB"/>
        </w:rPr>
        <w:t xml:space="preserve">contribution to ITU-R WP5D </w:t>
      </w:r>
      <w:r>
        <w:rPr>
          <w:lang w:val="en-GB"/>
        </w:rPr>
        <w:t>is attached.</w:t>
      </w:r>
    </w:p>
    <w:p w:rsidR="000D225A" w:rsidRDefault="000D225A" w:rsidP="00875FEA">
      <w:pPr>
        <w:rPr>
          <w:lang w:val="en-GB"/>
        </w:rPr>
      </w:pPr>
    </w:p>
    <w:p w:rsidR="000D225A" w:rsidRPr="00875FEA" w:rsidRDefault="000D225A" w:rsidP="00875FEA">
      <w:pPr>
        <w:rPr>
          <w:lang w:val="en-GB"/>
        </w:rPr>
      </w:pPr>
    </w:p>
    <w:bookmarkStart w:id="1" w:name="_MON_1418826551"/>
    <w:bookmarkEnd w:id="1"/>
    <w:p w:rsidR="00875FEA" w:rsidRPr="00875FEA" w:rsidRDefault="00275E51" w:rsidP="00875FEA">
      <w:pPr>
        <w:pStyle w:val="Paragraphedeliste"/>
        <w:rPr>
          <w:lang w:val="en-GB"/>
        </w:rPr>
      </w:pPr>
      <w:r>
        <w:rPr>
          <w:lang w:val="en-GB"/>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49.35pt" o:ole="">
            <v:imagedata r:id="rId9" o:title=""/>
          </v:shape>
          <o:OLEObject Type="Embed" ProgID="Word.Document.12" ShapeID="_x0000_i1025" DrawAspect="Icon" ObjectID="_1419164357" r:id="rId10">
            <o:FieldCodes>\s</o:FieldCodes>
          </o:OLEObject>
        </w:object>
      </w:r>
    </w:p>
    <w:sectPr w:rsidR="00875FEA" w:rsidRPr="00875FEA" w:rsidSect="008F677F">
      <w:footerReference w:type="even" r:id="rId11"/>
      <w:footerReference w:type="default" r:id="rId12"/>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182" w:rsidRDefault="00487182">
      <w:r>
        <w:separator/>
      </w:r>
    </w:p>
  </w:endnote>
  <w:endnote w:type="continuationSeparator" w:id="0">
    <w:p w:rsidR="00487182" w:rsidRDefault="0048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269EA" w:rsidRDefault="005269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0F636A">
      <w:rPr>
        <w:rStyle w:val="Numrodepage"/>
        <w:noProof/>
        <w:sz w:val="20"/>
      </w:rPr>
      <w:t>2</w:t>
    </w:r>
    <w:r>
      <w:rPr>
        <w:rStyle w:val="Numrodepage"/>
        <w:sz w:val="20"/>
      </w:rPr>
      <w:fldChar w:fldCharType="end"/>
    </w:r>
  </w:p>
  <w:p w:rsidR="005269EA" w:rsidRDefault="005269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182" w:rsidRDefault="00487182">
      <w:r>
        <w:separator/>
      </w:r>
    </w:p>
  </w:footnote>
  <w:footnote w:type="continuationSeparator" w:id="0">
    <w:p w:rsidR="00487182" w:rsidRDefault="00487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5BF03A9"/>
    <w:multiLevelType w:val="hybridMultilevel"/>
    <w:tmpl w:val="1BE8F22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1905060A"/>
    <w:multiLevelType w:val="hybridMultilevel"/>
    <w:tmpl w:val="47BC53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B6E0A6A"/>
    <w:multiLevelType w:val="hybridMultilevel"/>
    <w:tmpl w:val="9084A2EC"/>
    <w:lvl w:ilvl="0" w:tplc="C33ED9C2">
      <w:start w:val="1"/>
      <w:numFmt w:val="lowerLetter"/>
      <w:lvlText w:val="%1)"/>
      <w:lvlJc w:val="left"/>
      <w:pPr>
        <w:ind w:left="1287"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6">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8">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9">
    <w:nsid w:val="4CA04C2D"/>
    <w:multiLevelType w:val="hybridMultilevel"/>
    <w:tmpl w:val="8E7CC8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229393B"/>
    <w:multiLevelType w:val="hybridMultilevel"/>
    <w:tmpl w:val="223253E8"/>
    <w:lvl w:ilvl="0" w:tplc="75AE248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59101306"/>
    <w:multiLevelType w:val="hybridMultilevel"/>
    <w:tmpl w:val="1A7433A4"/>
    <w:lvl w:ilvl="0" w:tplc="040C001B">
      <w:start w:val="1"/>
      <w:numFmt w:val="lowerRoman"/>
      <w:lvlText w:val="%1."/>
      <w:lvlJc w:val="right"/>
      <w:pPr>
        <w:ind w:left="1287"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667A25AB"/>
    <w:multiLevelType w:val="hybridMultilevel"/>
    <w:tmpl w:val="6FA2F384"/>
    <w:lvl w:ilvl="0" w:tplc="75AE2484">
      <w:start w:val="1"/>
      <w:numFmt w:val="lowerRoman"/>
      <w:lvlText w:val="%1)"/>
      <w:lvlJc w:val="left"/>
      <w:pPr>
        <w:ind w:left="1287"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6BD80940"/>
    <w:multiLevelType w:val="hybridMultilevel"/>
    <w:tmpl w:val="77C087D0"/>
    <w:lvl w:ilvl="0" w:tplc="C33ED9C2">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nsid w:val="6CE2560C"/>
    <w:multiLevelType w:val="hybridMultilevel"/>
    <w:tmpl w:val="ABC8BCFE"/>
    <w:lvl w:ilvl="0" w:tplc="C33ED9C2">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nsid w:val="707767BF"/>
    <w:multiLevelType w:val="multilevel"/>
    <w:tmpl w:val="7060B3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abstractNumId w:val="13"/>
  </w:num>
  <w:num w:numId="2">
    <w:abstractNumId w:val="0"/>
  </w:num>
  <w:num w:numId="3">
    <w:abstractNumId w:val="18"/>
  </w:num>
  <w:num w:numId="4">
    <w:abstractNumId w:val="18"/>
  </w:num>
  <w:num w:numId="5">
    <w:abstractNumId w:val="18"/>
  </w:num>
  <w:num w:numId="6">
    <w:abstractNumId w:val="14"/>
  </w:num>
  <w:num w:numId="7">
    <w:abstractNumId w:val="18"/>
  </w:num>
  <w:num w:numId="8">
    <w:abstractNumId w:val="18"/>
  </w:num>
  <w:num w:numId="9">
    <w:abstractNumId w:val="5"/>
  </w:num>
  <w:num w:numId="10">
    <w:abstractNumId w:val="8"/>
  </w:num>
  <w:num w:numId="11">
    <w:abstractNumId w:val="7"/>
  </w:num>
  <w:num w:numId="12">
    <w:abstractNumId w:val="11"/>
  </w:num>
  <w:num w:numId="13">
    <w:abstractNumId w:val="6"/>
  </w:num>
  <w:num w:numId="14">
    <w:abstractNumId w:val="4"/>
  </w:num>
  <w:num w:numId="15">
    <w:abstractNumId w:val="9"/>
  </w:num>
  <w:num w:numId="16">
    <w:abstractNumId w:val="2"/>
  </w:num>
  <w:num w:numId="17">
    <w:abstractNumId w:val="10"/>
  </w:num>
  <w:num w:numId="18">
    <w:abstractNumId w:val="1"/>
  </w:num>
  <w:num w:numId="19">
    <w:abstractNumId w:val="16"/>
  </w:num>
  <w:num w:numId="20">
    <w:abstractNumId w:val="17"/>
  </w:num>
  <w:num w:numId="21">
    <w:abstractNumId w:val="3"/>
  </w:num>
  <w:num w:numId="22">
    <w:abstractNumId w:val="12"/>
  </w:num>
  <w:num w:numId="2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941"/>
    <w:rsid w:val="00014972"/>
    <w:rsid w:val="000233C6"/>
    <w:rsid w:val="00033112"/>
    <w:rsid w:val="000364E2"/>
    <w:rsid w:val="00036A5D"/>
    <w:rsid w:val="000378CE"/>
    <w:rsid w:val="00042E6D"/>
    <w:rsid w:val="000634FF"/>
    <w:rsid w:val="000641A7"/>
    <w:rsid w:val="00086867"/>
    <w:rsid w:val="00095D52"/>
    <w:rsid w:val="00097E34"/>
    <w:rsid w:val="000B0905"/>
    <w:rsid w:val="000D0F3C"/>
    <w:rsid w:val="000D225A"/>
    <w:rsid w:val="000E346F"/>
    <w:rsid w:val="000E62AD"/>
    <w:rsid w:val="000F1373"/>
    <w:rsid w:val="000F636A"/>
    <w:rsid w:val="00106047"/>
    <w:rsid w:val="00113B49"/>
    <w:rsid w:val="00135FE7"/>
    <w:rsid w:val="00161D26"/>
    <w:rsid w:val="00162CBB"/>
    <w:rsid w:val="0016435A"/>
    <w:rsid w:val="001942FF"/>
    <w:rsid w:val="001A1251"/>
    <w:rsid w:val="001D6D90"/>
    <w:rsid w:val="001E0E49"/>
    <w:rsid w:val="001E6D76"/>
    <w:rsid w:val="001F2614"/>
    <w:rsid w:val="00206B04"/>
    <w:rsid w:val="00215746"/>
    <w:rsid w:val="00222DD5"/>
    <w:rsid w:val="00222F7B"/>
    <w:rsid w:val="002357A3"/>
    <w:rsid w:val="00260D98"/>
    <w:rsid w:val="00262046"/>
    <w:rsid w:val="0026766F"/>
    <w:rsid w:val="00275E51"/>
    <w:rsid w:val="00277BC1"/>
    <w:rsid w:val="0028051D"/>
    <w:rsid w:val="00280B90"/>
    <w:rsid w:val="00290197"/>
    <w:rsid w:val="00294331"/>
    <w:rsid w:val="002953AE"/>
    <w:rsid w:val="002A02A3"/>
    <w:rsid w:val="002A30A5"/>
    <w:rsid w:val="002B169D"/>
    <w:rsid w:val="002B31A6"/>
    <w:rsid w:val="002B47FC"/>
    <w:rsid w:val="002B683F"/>
    <w:rsid w:val="002C1CE8"/>
    <w:rsid w:val="00314E5E"/>
    <w:rsid w:val="00346C62"/>
    <w:rsid w:val="00357A5F"/>
    <w:rsid w:val="0039030E"/>
    <w:rsid w:val="00390F07"/>
    <w:rsid w:val="003A2E5C"/>
    <w:rsid w:val="003A57CC"/>
    <w:rsid w:val="003A7C21"/>
    <w:rsid w:val="003A7F09"/>
    <w:rsid w:val="003B1654"/>
    <w:rsid w:val="003C2268"/>
    <w:rsid w:val="003C4848"/>
    <w:rsid w:val="003C53D0"/>
    <w:rsid w:val="003E76E9"/>
    <w:rsid w:val="003F73E2"/>
    <w:rsid w:val="004002F7"/>
    <w:rsid w:val="00430369"/>
    <w:rsid w:val="004309D5"/>
    <w:rsid w:val="00431D12"/>
    <w:rsid w:val="004346A6"/>
    <w:rsid w:val="004369DC"/>
    <w:rsid w:val="00443C40"/>
    <w:rsid w:val="004648A4"/>
    <w:rsid w:val="004662F9"/>
    <w:rsid w:val="00470AE8"/>
    <w:rsid w:val="004746D5"/>
    <w:rsid w:val="00486369"/>
    <w:rsid w:val="00487182"/>
    <w:rsid w:val="00493F86"/>
    <w:rsid w:val="004A099D"/>
    <w:rsid w:val="004A4047"/>
    <w:rsid w:val="004A47FF"/>
    <w:rsid w:val="004B23D3"/>
    <w:rsid w:val="004E4334"/>
    <w:rsid w:val="004E55D6"/>
    <w:rsid w:val="004F061E"/>
    <w:rsid w:val="004F2824"/>
    <w:rsid w:val="004F2E89"/>
    <w:rsid w:val="004F73EB"/>
    <w:rsid w:val="004F7F2F"/>
    <w:rsid w:val="005269EA"/>
    <w:rsid w:val="0053015C"/>
    <w:rsid w:val="00533846"/>
    <w:rsid w:val="005348B2"/>
    <w:rsid w:val="00540148"/>
    <w:rsid w:val="005434C4"/>
    <w:rsid w:val="00554550"/>
    <w:rsid w:val="005549FF"/>
    <w:rsid w:val="00562E1E"/>
    <w:rsid w:val="005761BB"/>
    <w:rsid w:val="00584B1E"/>
    <w:rsid w:val="005B5E38"/>
    <w:rsid w:val="005F1C1F"/>
    <w:rsid w:val="00616265"/>
    <w:rsid w:val="00630A8A"/>
    <w:rsid w:val="0063524D"/>
    <w:rsid w:val="00645A20"/>
    <w:rsid w:val="006542C3"/>
    <w:rsid w:val="00655446"/>
    <w:rsid w:val="0065588F"/>
    <w:rsid w:val="00664805"/>
    <w:rsid w:val="00672264"/>
    <w:rsid w:val="00684589"/>
    <w:rsid w:val="006845C9"/>
    <w:rsid w:val="006902F9"/>
    <w:rsid w:val="00690B4B"/>
    <w:rsid w:val="0069180A"/>
    <w:rsid w:val="006C4BCC"/>
    <w:rsid w:val="006D1EAC"/>
    <w:rsid w:val="006E00BD"/>
    <w:rsid w:val="006E1FA9"/>
    <w:rsid w:val="006E683A"/>
    <w:rsid w:val="00701A56"/>
    <w:rsid w:val="0070740D"/>
    <w:rsid w:val="00731524"/>
    <w:rsid w:val="007538DB"/>
    <w:rsid w:val="0075560F"/>
    <w:rsid w:val="00782F34"/>
    <w:rsid w:val="0079127B"/>
    <w:rsid w:val="007925CA"/>
    <w:rsid w:val="00793843"/>
    <w:rsid w:val="007A1831"/>
    <w:rsid w:val="007A49AD"/>
    <w:rsid w:val="007C4F9D"/>
    <w:rsid w:val="00802521"/>
    <w:rsid w:val="00807AA2"/>
    <w:rsid w:val="00807F54"/>
    <w:rsid w:val="00820168"/>
    <w:rsid w:val="008206E0"/>
    <w:rsid w:val="00827FD8"/>
    <w:rsid w:val="00850F0A"/>
    <w:rsid w:val="00865877"/>
    <w:rsid w:val="008739B0"/>
    <w:rsid w:val="00875FEA"/>
    <w:rsid w:val="00884205"/>
    <w:rsid w:val="008A37BA"/>
    <w:rsid w:val="008D2718"/>
    <w:rsid w:val="008D763E"/>
    <w:rsid w:val="008F33D5"/>
    <w:rsid w:val="008F5596"/>
    <w:rsid w:val="008F5ECB"/>
    <w:rsid w:val="008F677F"/>
    <w:rsid w:val="00920F49"/>
    <w:rsid w:val="00921DED"/>
    <w:rsid w:val="009675E1"/>
    <w:rsid w:val="0097335F"/>
    <w:rsid w:val="009852E6"/>
    <w:rsid w:val="0098621D"/>
    <w:rsid w:val="00997A4D"/>
    <w:rsid w:val="009B3CB6"/>
    <w:rsid w:val="009C2F3B"/>
    <w:rsid w:val="009D242F"/>
    <w:rsid w:val="009D2AB5"/>
    <w:rsid w:val="00A024A8"/>
    <w:rsid w:val="00A477F3"/>
    <w:rsid w:val="00A77E89"/>
    <w:rsid w:val="00A86941"/>
    <w:rsid w:val="00A87C8C"/>
    <w:rsid w:val="00A95309"/>
    <w:rsid w:val="00AA26E7"/>
    <w:rsid w:val="00AA3CFD"/>
    <w:rsid w:val="00AA59E8"/>
    <w:rsid w:val="00AC0304"/>
    <w:rsid w:val="00AC345D"/>
    <w:rsid w:val="00AD241F"/>
    <w:rsid w:val="00AE7906"/>
    <w:rsid w:val="00AF05F5"/>
    <w:rsid w:val="00B0161E"/>
    <w:rsid w:val="00B1073A"/>
    <w:rsid w:val="00B1660B"/>
    <w:rsid w:val="00B3492B"/>
    <w:rsid w:val="00B6512A"/>
    <w:rsid w:val="00B70CD3"/>
    <w:rsid w:val="00B85AC8"/>
    <w:rsid w:val="00B90507"/>
    <w:rsid w:val="00BC2918"/>
    <w:rsid w:val="00BD4ACA"/>
    <w:rsid w:val="00BE4CC9"/>
    <w:rsid w:val="00BF2999"/>
    <w:rsid w:val="00C00EDB"/>
    <w:rsid w:val="00C0382A"/>
    <w:rsid w:val="00C154C2"/>
    <w:rsid w:val="00C169D5"/>
    <w:rsid w:val="00C309B1"/>
    <w:rsid w:val="00C43796"/>
    <w:rsid w:val="00C47BE9"/>
    <w:rsid w:val="00C5418E"/>
    <w:rsid w:val="00C60D46"/>
    <w:rsid w:val="00C62218"/>
    <w:rsid w:val="00C75E0E"/>
    <w:rsid w:val="00C82BC5"/>
    <w:rsid w:val="00CB0BBB"/>
    <w:rsid w:val="00CB7112"/>
    <w:rsid w:val="00CB7E15"/>
    <w:rsid w:val="00CC0F32"/>
    <w:rsid w:val="00CD02ED"/>
    <w:rsid w:val="00CD4FA2"/>
    <w:rsid w:val="00CD51FD"/>
    <w:rsid w:val="00CE1F93"/>
    <w:rsid w:val="00CE40EE"/>
    <w:rsid w:val="00CE4758"/>
    <w:rsid w:val="00CE6591"/>
    <w:rsid w:val="00D004D0"/>
    <w:rsid w:val="00D00B4F"/>
    <w:rsid w:val="00D05052"/>
    <w:rsid w:val="00D14191"/>
    <w:rsid w:val="00D17288"/>
    <w:rsid w:val="00D34708"/>
    <w:rsid w:val="00D35CD6"/>
    <w:rsid w:val="00D44B1F"/>
    <w:rsid w:val="00D46018"/>
    <w:rsid w:val="00D53B5D"/>
    <w:rsid w:val="00D671A5"/>
    <w:rsid w:val="00D73997"/>
    <w:rsid w:val="00DD08BA"/>
    <w:rsid w:val="00DE43E9"/>
    <w:rsid w:val="00DE5E01"/>
    <w:rsid w:val="00DF2A80"/>
    <w:rsid w:val="00E232D3"/>
    <w:rsid w:val="00E2796D"/>
    <w:rsid w:val="00E27C6A"/>
    <w:rsid w:val="00E40873"/>
    <w:rsid w:val="00E561B8"/>
    <w:rsid w:val="00E577A4"/>
    <w:rsid w:val="00E87AEF"/>
    <w:rsid w:val="00E93323"/>
    <w:rsid w:val="00E95CFE"/>
    <w:rsid w:val="00EA302E"/>
    <w:rsid w:val="00EA481A"/>
    <w:rsid w:val="00EA74DB"/>
    <w:rsid w:val="00EB4BBE"/>
    <w:rsid w:val="00EC1791"/>
    <w:rsid w:val="00EE07DC"/>
    <w:rsid w:val="00EE6D93"/>
    <w:rsid w:val="00EF1568"/>
    <w:rsid w:val="00F02B6D"/>
    <w:rsid w:val="00F05B26"/>
    <w:rsid w:val="00F108AE"/>
    <w:rsid w:val="00F22950"/>
    <w:rsid w:val="00F311FB"/>
    <w:rsid w:val="00F31377"/>
    <w:rsid w:val="00F37A73"/>
    <w:rsid w:val="00F43BE8"/>
    <w:rsid w:val="00F4580D"/>
    <w:rsid w:val="00F53012"/>
    <w:rsid w:val="00F73BA3"/>
    <w:rsid w:val="00F768DA"/>
    <w:rsid w:val="00FA15BA"/>
    <w:rsid w:val="00FA6EBF"/>
    <w:rsid w:val="00FA7FC5"/>
    <w:rsid w:val="00FB561B"/>
    <w:rsid w:val="00FC69DB"/>
    <w:rsid w:val="00FD0B6D"/>
    <w:rsid w:val="00FD7E46"/>
    <w:rsid w:val="00FE1DCB"/>
    <w:rsid w:val="00FE61C8"/>
    <w:rsid w:val="00FF07E6"/>
    <w:rsid w:val="00FF320E"/>
    <w:rsid w:val="00FF377F"/>
    <w:rsid w:val="00FF3F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En-tte1">
    <w:name w:val="En-tête1"/>
    <w:basedOn w:val="En-tte"/>
    <w:rsid w:val="00215746"/>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Textedebulles">
    <w:name w:val="Balloon Text"/>
    <w:basedOn w:val="Normal"/>
    <w:link w:val="TextedebullesCar"/>
    <w:rsid w:val="004A4047"/>
    <w:pPr>
      <w:spacing w:after="0"/>
    </w:pPr>
    <w:rPr>
      <w:rFonts w:ascii="Tahoma" w:hAnsi="Tahoma" w:cs="Tahoma"/>
      <w:sz w:val="16"/>
      <w:szCs w:val="16"/>
    </w:rPr>
  </w:style>
  <w:style w:type="character" w:customStyle="1" w:styleId="TextedebullesCar">
    <w:name w:val="Texte de bulles Car"/>
    <w:basedOn w:val="Policepardfaut"/>
    <w:link w:val="Textedebulles"/>
    <w:rsid w:val="004A4047"/>
    <w:rPr>
      <w:rFonts w:ascii="Tahoma" w:hAnsi="Tahoma" w:cs="Tahoma"/>
      <w:sz w:val="16"/>
      <w:szCs w:val="16"/>
      <w:lang w:val="nb-NO" w:eastAsia="de-DE"/>
    </w:rPr>
  </w:style>
  <w:style w:type="paragraph" w:styleId="Paragraphedeliste">
    <w:name w:val="List Paragraph"/>
    <w:basedOn w:val="Normal"/>
    <w:uiPriority w:val="34"/>
    <w:qFormat/>
    <w:rsid w:val="00875FEA"/>
    <w:pPr>
      <w:ind w:left="720"/>
      <w:contextualSpacing/>
    </w:pPr>
  </w:style>
  <w:style w:type="paragraph" w:customStyle="1" w:styleId="Reporttitledescription">
    <w:name w:val="Report title/description"/>
    <w:basedOn w:val="Normal"/>
    <w:uiPriority w:val="99"/>
    <w:rsid w:val="00FF3FE6"/>
    <w:pPr>
      <w:spacing w:before="600" w:after="0" w:line="288" w:lineRule="auto"/>
      <w:ind w:left="3402"/>
      <w:jc w:val="left"/>
    </w:pPr>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En-tte1">
    <w:name w:val="En-tête1"/>
    <w:basedOn w:val="En-tte"/>
    <w:rsid w:val="00215746"/>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Textedebulles">
    <w:name w:val="Balloon Text"/>
    <w:basedOn w:val="Normal"/>
    <w:link w:val="TextedebullesCar"/>
    <w:rsid w:val="004A4047"/>
    <w:pPr>
      <w:spacing w:after="0"/>
    </w:pPr>
    <w:rPr>
      <w:rFonts w:ascii="Tahoma" w:hAnsi="Tahoma" w:cs="Tahoma"/>
      <w:sz w:val="16"/>
      <w:szCs w:val="16"/>
    </w:rPr>
  </w:style>
  <w:style w:type="character" w:customStyle="1" w:styleId="TextedebullesCar">
    <w:name w:val="Texte de bulles Car"/>
    <w:basedOn w:val="Policepardfaut"/>
    <w:link w:val="Textedebulles"/>
    <w:rsid w:val="004A4047"/>
    <w:rPr>
      <w:rFonts w:ascii="Tahoma" w:hAnsi="Tahoma" w:cs="Tahoma"/>
      <w:sz w:val="16"/>
      <w:szCs w:val="16"/>
      <w:lang w:val="nb-NO" w:eastAsia="de-DE"/>
    </w:rPr>
  </w:style>
  <w:style w:type="paragraph" w:styleId="Paragraphedeliste">
    <w:name w:val="List Paragraph"/>
    <w:basedOn w:val="Normal"/>
    <w:uiPriority w:val="34"/>
    <w:qFormat/>
    <w:rsid w:val="00875FEA"/>
    <w:pPr>
      <w:ind w:left="720"/>
      <w:contextualSpacing/>
    </w:pPr>
  </w:style>
  <w:style w:type="paragraph" w:customStyle="1" w:styleId="Reporttitledescription">
    <w:name w:val="Report title/description"/>
    <w:basedOn w:val="Normal"/>
    <w:uiPriority w:val="99"/>
    <w:rsid w:val="00FF3FE6"/>
    <w:pPr>
      <w:spacing w:before="600" w:after="0" w:line="288" w:lineRule="auto"/>
      <w:ind w:left="3402"/>
      <w:jc w:val="left"/>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021355">
      <w:bodyDiv w:val="1"/>
      <w:marLeft w:val="0"/>
      <w:marRight w:val="0"/>
      <w:marTop w:val="0"/>
      <w:marBottom w:val="0"/>
      <w:divBdr>
        <w:top w:val="none" w:sz="0" w:space="0" w:color="auto"/>
        <w:left w:val="none" w:sz="0" w:space="0" w:color="auto"/>
        <w:bottom w:val="none" w:sz="0" w:space="0" w:color="auto"/>
        <w:right w:val="none" w:sz="0" w:space="0" w:color="auto"/>
      </w:divBdr>
    </w:div>
    <w:div w:id="145131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Document_Microsoft_Word1.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08-2011\CEPT\PT1\responsabilit&#233;s%20secretariat\template\ECC%20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ECC Template</Template>
  <TotalTime>65</TotalTime>
  <Pages>2</Pages>
  <Words>571</Words>
  <Characters>3143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Cover page</vt:lpstr>
    </vt:vector>
  </TitlesOfParts>
  <Company>BNetzA</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ANFR</dc:creator>
  <cp:keywords>ECC, CEPT, Template</cp:keywords>
  <cp:lastModifiedBy>auteur</cp:lastModifiedBy>
  <cp:revision>60</cp:revision>
  <cp:lastPrinted>1999-09-27T13:20:00Z</cp:lastPrinted>
  <dcterms:created xsi:type="dcterms:W3CDTF">2013-01-04T15:15:00Z</dcterms:created>
  <dcterms:modified xsi:type="dcterms:W3CDTF">2013-01-08T14:32:00Z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