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A42D1D">
        <w:trPr>
          <w:cantSplit/>
        </w:trPr>
        <w:tc>
          <w:tcPr>
            <w:tcW w:w="6071" w:type="dxa"/>
            <w:gridSpan w:val="3"/>
            <w:tcBorders>
              <w:top w:val="nil"/>
              <w:left w:val="nil"/>
              <w:bottom w:val="nil"/>
              <w:right w:val="nil"/>
            </w:tcBorders>
          </w:tcPr>
          <w:p w:rsidR="00A42D1D" w:rsidRDefault="00F8218E">
            <w:pPr>
              <w:pStyle w:val="Kopfzeile1"/>
              <w:rPr>
                <w:lang w:val="en-GB"/>
              </w:rPr>
            </w:pPr>
            <w:r>
              <w:rPr>
                <w:noProof/>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style="width:127.6pt;height:63.2pt;visibility:visible">
                  <v:imagedata r:id="rId8" o:title=""/>
                </v:shape>
              </w:pict>
            </w:r>
            <w:r w:rsidR="00A42D1D">
              <w:rPr>
                <w:lang w:val="en-GB"/>
              </w:rPr>
              <w:t>ECC PT1</w:t>
            </w:r>
          </w:p>
          <w:p w:rsidR="00A42D1D" w:rsidRDefault="00A42D1D">
            <w:pPr>
              <w:pStyle w:val="Kopfzeile1"/>
              <w:rPr>
                <w:rFonts w:cs="Arial"/>
                <w:color w:val="000000"/>
                <w:lang w:val="en-GB"/>
              </w:rPr>
            </w:pPr>
          </w:p>
        </w:tc>
        <w:tc>
          <w:tcPr>
            <w:tcW w:w="3569" w:type="dxa"/>
            <w:tcBorders>
              <w:top w:val="nil"/>
              <w:left w:val="nil"/>
              <w:bottom w:val="nil"/>
              <w:right w:val="nil"/>
            </w:tcBorders>
          </w:tcPr>
          <w:p w:rsidR="00A42D1D" w:rsidRDefault="00A42D1D">
            <w:pPr>
              <w:pStyle w:val="Kopfzeile1"/>
              <w:tabs>
                <w:tab w:val="clear" w:pos="4536"/>
                <w:tab w:val="right" w:pos="3357"/>
              </w:tabs>
              <w:rPr>
                <w:lang w:val="en-GB"/>
              </w:rPr>
            </w:pPr>
            <w:r>
              <w:rPr>
                <w:lang w:val="en-GB"/>
              </w:rPr>
              <w:t>ECC PT1(13)</w:t>
            </w:r>
            <w:r w:rsidR="005C3E45">
              <w:rPr>
                <w:lang w:val="en-GB"/>
              </w:rPr>
              <w:t>023</w:t>
            </w:r>
            <w:bookmarkStart w:id="0" w:name="_GoBack"/>
            <w:bookmarkEnd w:id="0"/>
          </w:p>
        </w:tc>
      </w:tr>
      <w:tr w:rsidR="00A42D1D">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A42D1D" w:rsidRDefault="00A42D1D">
            <w:pPr>
              <w:pStyle w:val="Kopfzeile1"/>
              <w:rPr>
                <w:lang w:val="en-GB"/>
              </w:rPr>
            </w:pPr>
            <w:r>
              <w:rPr>
                <w:lang w:val="en-GB"/>
              </w:rPr>
              <w:t>ECC PT1 #42</w:t>
            </w:r>
          </w:p>
        </w:tc>
        <w:tc>
          <w:tcPr>
            <w:tcW w:w="5300" w:type="dxa"/>
            <w:gridSpan w:val="2"/>
            <w:tcBorders>
              <w:top w:val="nil"/>
              <w:left w:val="nil"/>
              <w:bottom w:val="nil"/>
              <w:right w:val="nil"/>
            </w:tcBorders>
            <w:vAlign w:val="center"/>
          </w:tcPr>
          <w:p w:rsidR="00A42D1D" w:rsidRDefault="00A42D1D">
            <w:pPr>
              <w:pStyle w:val="Kopfzeile1"/>
              <w:rPr>
                <w:lang w:val="en-GB"/>
              </w:rPr>
            </w:pPr>
          </w:p>
        </w:tc>
      </w:tr>
      <w:tr w:rsidR="00A42D1D">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A42D1D" w:rsidRDefault="00A42D1D">
            <w:pPr>
              <w:pStyle w:val="Kopfzeile1"/>
              <w:rPr>
                <w:lang w:val="en-GB"/>
              </w:rPr>
            </w:pPr>
            <w:r>
              <w:rPr>
                <w:lang w:val="en-GB"/>
              </w:rPr>
              <w:t>Marseille, 14-18 January 2013</w:t>
            </w:r>
          </w:p>
        </w:tc>
        <w:tc>
          <w:tcPr>
            <w:tcW w:w="5300" w:type="dxa"/>
            <w:gridSpan w:val="2"/>
            <w:tcBorders>
              <w:top w:val="nil"/>
              <w:left w:val="nil"/>
              <w:bottom w:val="nil"/>
              <w:right w:val="nil"/>
            </w:tcBorders>
            <w:vAlign w:val="center"/>
          </w:tcPr>
          <w:p w:rsidR="00A42D1D" w:rsidRDefault="00A42D1D">
            <w:pPr>
              <w:pStyle w:val="Kopfzeile1"/>
              <w:rPr>
                <w:lang w:val="en-GB"/>
              </w:rPr>
            </w:pPr>
          </w:p>
        </w:tc>
      </w:tr>
      <w:tr w:rsidR="00A42D1D">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A42D1D" w:rsidRDefault="00A42D1D">
            <w:pPr>
              <w:pStyle w:val="Kopfzeile1"/>
              <w:rPr>
                <w:sz w:val="8"/>
                <w:lang w:val="en-GB"/>
              </w:rPr>
            </w:pPr>
          </w:p>
        </w:tc>
        <w:tc>
          <w:tcPr>
            <w:tcW w:w="5300" w:type="dxa"/>
            <w:gridSpan w:val="2"/>
            <w:tcBorders>
              <w:top w:val="nil"/>
              <w:left w:val="nil"/>
              <w:bottom w:val="nil"/>
              <w:right w:val="nil"/>
            </w:tcBorders>
            <w:vAlign w:val="center"/>
          </w:tcPr>
          <w:p w:rsidR="00A42D1D" w:rsidRDefault="00A42D1D">
            <w:pPr>
              <w:pStyle w:val="Kopfzeile1"/>
              <w:rPr>
                <w:sz w:val="8"/>
                <w:lang w:val="en-GB"/>
              </w:rPr>
            </w:pPr>
          </w:p>
        </w:tc>
      </w:tr>
      <w:tr w:rsidR="00A42D1D">
        <w:tblPrEx>
          <w:tblCellMar>
            <w:left w:w="108" w:type="dxa"/>
            <w:right w:w="108" w:type="dxa"/>
          </w:tblCellMar>
        </w:tblPrEx>
        <w:trPr>
          <w:cantSplit/>
          <w:trHeight w:val="405"/>
        </w:trPr>
        <w:tc>
          <w:tcPr>
            <w:tcW w:w="1843" w:type="dxa"/>
            <w:tcBorders>
              <w:top w:val="nil"/>
              <w:left w:val="nil"/>
              <w:bottom w:val="nil"/>
              <w:right w:val="nil"/>
            </w:tcBorders>
            <w:vAlign w:val="center"/>
          </w:tcPr>
          <w:p w:rsidR="00A42D1D" w:rsidRDefault="00A42D1D">
            <w:pPr>
              <w:pStyle w:val="Kopfzeile1"/>
              <w:rPr>
                <w:lang w:val="en-GB"/>
              </w:rPr>
            </w:pPr>
            <w:r>
              <w:rPr>
                <w:lang w:val="en-GB"/>
              </w:rPr>
              <w:t xml:space="preserve">Date issued: </w:t>
            </w:r>
          </w:p>
        </w:tc>
        <w:tc>
          <w:tcPr>
            <w:tcW w:w="7797" w:type="dxa"/>
            <w:gridSpan w:val="3"/>
            <w:tcBorders>
              <w:top w:val="nil"/>
              <w:left w:val="nil"/>
              <w:bottom w:val="nil"/>
              <w:right w:val="nil"/>
            </w:tcBorders>
            <w:vAlign w:val="center"/>
          </w:tcPr>
          <w:p w:rsidR="00A42D1D" w:rsidRDefault="005C3E45">
            <w:pPr>
              <w:pStyle w:val="Kopfzeile1"/>
              <w:rPr>
                <w:lang w:val="en-GB"/>
              </w:rPr>
            </w:pPr>
            <w:r>
              <w:rPr>
                <w:lang w:val="en-GB"/>
              </w:rPr>
              <w:t>9 January 2013</w:t>
            </w:r>
          </w:p>
        </w:tc>
      </w:tr>
      <w:tr w:rsidR="00A42D1D">
        <w:tblPrEx>
          <w:tblCellMar>
            <w:left w:w="108" w:type="dxa"/>
            <w:right w:w="108" w:type="dxa"/>
          </w:tblCellMar>
        </w:tblPrEx>
        <w:trPr>
          <w:cantSplit/>
          <w:trHeight w:val="405"/>
        </w:trPr>
        <w:tc>
          <w:tcPr>
            <w:tcW w:w="1843" w:type="dxa"/>
            <w:tcBorders>
              <w:top w:val="nil"/>
              <w:left w:val="nil"/>
              <w:bottom w:val="nil"/>
              <w:right w:val="nil"/>
            </w:tcBorders>
            <w:vAlign w:val="center"/>
          </w:tcPr>
          <w:p w:rsidR="00A42D1D" w:rsidRDefault="00A42D1D">
            <w:pPr>
              <w:pStyle w:val="Kopfzeile1"/>
              <w:rPr>
                <w:lang w:val="en-GB"/>
              </w:rPr>
            </w:pPr>
            <w:r>
              <w:rPr>
                <w:lang w:val="en-GB"/>
              </w:rPr>
              <w:t>Source:</w:t>
            </w:r>
          </w:p>
        </w:tc>
        <w:tc>
          <w:tcPr>
            <w:tcW w:w="7797" w:type="dxa"/>
            <w:gridSpan w:val="3"/>
            <w:tcBorders>
              <w:top w:val="nil"/>
              <w:left w:val="nil"/>
              <w:bottom w:val="nil"/>
              <w:right w:val="nil"/>
            </w:tcBorders>
            <w:vAlign w:val="center"/>
          </w:tcPr>
          <w:p w:rsidR="00A42D1D" w:rsidRDefault="00A42D1D">
            <w:pPr>
              <w:pStyle w:val="Kopfzeile1"/>
              <w:rPr>
                <w:lang w:val="en-GB"/>
              </w:rPr>
            </w:pPr>
            <w:r>
              <w:rPr>
                <w:rFonts w:cs="Arial"/>
                <w:lang w:val="en-IE"/>
              </w:rPr>
              <w:t>Germany</w:t>
            </w:r>
          </w:p>
        </w:tc>
      </w:tr>
      <w:tr w:rsidR="00A42D1D">
        <w:tblPrEx>
          <w:tblCellMar>
            <w:left w:w="108" w:type="dxa"/>
            <w:right w:w="108" w:type="dxa"/>
          </w:tblCellMar>
        </w:tblPrEx>
        <w:trPr>
          <w:cantSplit/>
          <w:trHeight w:val="405"/>
        </w:trPr>
        <w:tc>
          <w:tcPr>
            <w:tcW w:w="1843" w:type="dxa"/>
            <w:tcBorders>
              <w:top w:val="nil"/>
              <w:left w:val="nil"/>
              <w:bottom w:val="nil"/>
              <w:right w:val="nil"/>
            </w:tcBorders>
            <w:vAlign w:val="center"/>
          </w:tcPr>
          <w:p w:rsidR="00A42D1D" w:rsidRDefault="00A42D1D">
            <w:pPr>
              <w:pStyle w:val="Kopfzeile1"/>
              <w:rPr>
                <w:lang w:val="en-GB"/>
              </w:rPr>
            </w:pPr>
            <w:r>
              <w:rPr>
                <w:lang w:val="en-GB"/>
              </w:rPr>
              <w:t xml:space="preserve">Subject:   </w:t>
            </w:r>
          </w:p>
        </w:tc>
        <w:tc>
          <w:tcPr>
            <w:tcW w:w="7797" w:type="dxa"/>
            <w:gridSpan w:val="3"/>
            <w:tcBorders>
              <w:top w:val="nil"/>
              <w:left w:val="nil"/>
              <w:bottom w:val="nil"/>
              <w:right w:val="nil"/>
            </w:tcBorders>
            <w:vAlign w:val="center"/>
          </w:tcPr>
          <w:p w:rsidR="00A42D1D" w:rsidRDefault="00A42D1D">
            <w:pPr>
              <w:pStyle w:val="Kopfzeile1"/>
              <w:rPr>
                <w:rFonts w:cs="Arial"/>
              </w:rPr>
            </w:pPr>
            <w:r>
              <w:rPr>
                <w:rFonts w:cs="Arial"/>
              </w:rPr>
              <w:t>Preferred frequency arrangement for the 3400-3600 MHz band in ECC Decision (11)06</w:t>
            </w:r>
          </w:p>
        </w:tc>
      </w:tr>
      <w:tr w:rsidR="00A42D1D">
        <w:tblPrEx>
          <w:tblCellMar>
            <w:left w:w="108" w:type="dxa"/>
            <w:right w:w="108" w:type="dxa"/>
          </w:tblCellMar>
        </w:tblPrEx>
        <w:trPr>
          <w:cantSplit/>
          <w:trHeight w:val="1040"/>
        </w:trPr>
        <w:tc>
          <w:tcPr>
            <w:tcW w:w="9640" w:type="dxa"/>
            <w:gridSpan w:val="4"/>
            <w:tcBorders>
              <w:top w:val="nil"/>
              <w:left w:val="nil"/>
              <w:bottom w:val="nil"/>
              <w:right w:val="nil"/>
            </w:tcBorders>
            <w:vAlign w:val="center"/>
          </w:tcPr>
          <w:p w:rsidR="00A42D1D" w:rsidRDefault="00F8218E">
            <w:pPr>
              <w:rPr>
                <w:rFonts w:cs="Arial"/>
                <w:szCs w:val="24"/>
                <w:lang w:val="en-GB"/>
              </w:rPr>
            </w:pPr>
            <w:r>
              <w:rPr>
                <w:noProof/>
                <w:lang w:val="de-DE"/>
              </w:rPr>
              <w:pict>
                <v:shapetype id="_x0000_t202" coordsize="21600,21600" o:spt="202" path="m,l,21600r21600,l21600,xe">
                  <v:stroke joinstyle="miter"/>
                  <v:path gradientshapeok="t" o:connecttype="rect"/>
                </v:shapetype>
                <v:shape id="Text Box 2" o:spid="_x0000_s1026" type="#_x0000_t202" style="position:absolute;left:0;text-align:left;margin-left:193.3pt;margin-top:15.15pt;width:36pt;height:21.35pt;z-index:-1;visibility:visible;mso-position-horizontal-relative:text;mso-position-vertical-relative:text" wrapcoords="-450 -771 -450 20829 22050 20829 22050 -771 -450 -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">
                  <v:textbox>
                    <w:txbxContent>
                      <w:p w:rsidR="00A42D1D" w:rsidRDefault="00A42D1D">
                        <w:pPr>
                          <w:spacing w:after="0"/>
                          <w:jc w:val="center"/>
                          <w:rPr>
                            <w:rFonts w:cs="Arial"/>
                            <w:szCs w:val="24"/>
                            <w:lang w:val="de-DE"/>
                          </w:rPr>
                        </w:pPr>
                        <w:r>
                          <w:rPr>
                            <w:rFonts w:cs="Arial"/>
                            <w:szCs w:val="24"/>
                            <w:lang w:val="de-DE"/>
                          </w:rPr>
                          <w:t>N</w:t>
                        </w:r>
                      </w:p>
                    </w:txbxContent>
                  </v:textbox>
                  <w10:wrap type="tight"/>
                </v:shape>
              </w:pict>
            </w:r>
          </w:p>
          <w:p w:rsidR="00A42D1D" w:rsidRDefault="00A42D1D">
            <w:pPr>
              <w:rPr>
                <w:lang w:val="en-GB"/>
              </w:rPr>
            </w:pPr>
            <w:r>
              <w:rPr>
                <w:lang w:val="en-GB"/>
              </w:rPr>
              <w:t xml:space="preserve">Password protection required? (Y/N) </w:t>
            </w:r>
          </w:p>
          <w:p w:rsidR="00A42D1D" w:rsidRDefault="00A42D1D">
            <w:pPr>
              <w:pStyle w:val="Header1"/>
              <w:rPr>
                <w:lang w:val="en-GB" w:eastAsia="de-DE"/>
              </w:rPr>
            </w:pPr>
          </w:p>
        </w:tc>
      </w:tr>
      <w:tr w:rsidR="00A42D1D">
        <w:tblPrEx>
          <w:tblCellMar>
            <w:left w:w="108" w:type="dxa"/>
            <w:right w:w="108" w:type="dxa"/>
          </w:tblCellMar>
        </w:tblPrEx>
        <w:trPr>
          <w:cantSplit/>
          <w:trHeight w:hRule="exact" w:val="74"/>
        </w:trPr>
        <w:tc>
          <w:tcPr>
            <w:tcW w:w="9640" w:type="dxa"/>
            <w:gridSpan w:val="4"/>
            <w:tcBorders>
              <w:top w:val="nil"/>
              <w:left w:val="nil"/>
              <w:bottom w:val="nil"/>
              <w:right w:val="nil"/>
            </w:tcBorders>
            <w:vAlign w:val="center"/>
          </w:tcPr>
          <w:p w:rsidR="00A42D1D" w:rsidRDefault="00A42D1D">
            <w:pPr>
              <w:pStyle w:val="Header1"/>
              <w:rPr>
                <w:lang w:val="en-GB" w:eastAsia="de-DE"/>
              </w:rPr>
            </w:pPr>
          </w:p>
          <w:p w:rsidR="00A42D1D" w:rsidRDefault="00A42D1D">
            <w:pPr>
              <w:pStyle w:val="Header1"/>
              <w:rPr>
                <w:sz w:val="8"/>
                <w:lang w:val="en-GB" w:eastAsia="de-DE"/>
              </w:rPr>
            </w:pPr>
          </w:p>
        </w:tc>
      </w:tr>
      <w:tr w:rsidR="00A42D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640" w:type="dxa"/>
            <w:gridSpan w:val="4"/>
            <w:tcBorders>
              <w:bottom w:val="nil"/>
            </w:tcBorders>
          </w:tcPr>
          <w:p w:rsidR="00A42D1D" w:rsidRDefault="00A42D1D">
            <w:pPr>
              <w:pStyle w:val="Kopfzeile1"/>
              <w:rPr>
                <w:lang w:val="en-GB"/>
              </w:rPr>
            </w:pPr>
            <w:r>
              <w:rPr>
                <w:lang w:val="en-GB"/>
              </w:rPr>
              <w:t xml:space="preserve">Summary: </w:t>
            </w:r>
          </w:p>
        </w:tc>
      </w:tr>
      <w:tr w:rsidR="00A42D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640" w:type="dxa"/>
            <w:gridSpan w:val="4"/>
            <w:tcBorders>
              <w:top w:val="nil"/>
            </w:tcBorders>
          </w:tcPr>
          <w:p w:rsidR="00A42D1D" w:rsidRDefault="00A42D1D">
            <w:pPr>
              <w:rPr>
                <w:lang w:val="en-GB"/>
              </w:rPr>
            </w:pPr>
            <w:r>
              <w:rPr>
                <w:lang w:val="en-GB"/>
              </w:rPr>
              <w:t>When ECC Decision (11)06 was originally developed in 2011, it was not possible to agree on a preferred frequency arrangement for the lower sub-band 3400-3600 MHz and thus both a FDD and a TDD frequency arrangement are currently included in the Decision for this sub-band without any preference. For the upper sub-band 3600-3800 MHz only a TDD frequency arrangement is included in the Decision.</w:t>
            </w:r>
          </w:p>
          <w:p w:rsidR="00A42D1D" w:rsidRDefault="00A42D1D">
            <w:pPr>
              <w:rPr>
                <w:lang w:val="en-GB"/>
              </w:rPr>
            </w:pPr>
            <w:r>
              <w:rPr>
                <w:lang w:val="en-GB"/>
              </w:rPr>
              <w:t>Decides 3 of ECC Decision (11)06 states: “that the frequency arrangement in the 3.4 - 3.6 GHz should be subject to review no later than end 2013 with the aim to identify a preferred frequency arrangement”.</w:t>
            </w:r>
          </w:p>
          <w:p w:rsidR="00A42D1D" w:rsidRDefault="00A42D1D">
            <w:pPr>
              <w:rPr>
                <w:lang w:val="en-GB"/>
              </w:rPr>
            </w:pPr>
            <w:r>
              <w:rPr>
                <w:lang w:val="en-GB"/>
              </w:rPr>
              <w:t>During the discussions in 2011 Germany expressed its preference for a TDD frequency arrangement for the 3400-3600 MHz band (see document ECC PT1(11)087). Germany believes that most of the arguments for a preferred TDD frequency arrangement as presented in 2011 are still valid and could be further supported by the recent market developments for TDD-LTE in the 3.5 GHz band during the last 2 years.</w:t>
            </w:r>
          </w:p>
          <w:p w:rsidR="00A42D1D" w:rsidRDefault="00A42D1D">
            <w:pPr>
              <w:rPr>
                <w:lang w:val="en-GB"/>
              </w:rPr>
            </w:pPr>
            <w:r>
              <w:rPr>
                <w:lang w:val="en-GB"/>
              </w:rPr>
              <w:t>Therefore Germany reiterates its views that the TDD frequency arrangement for the 3400-3600 MHz as currently contained in ECC Decision (11)06 should be identified as the preferred frequency arrangement in the review of the Decision that is requested by the end of 2013 based on Decides 3 of the Decision.</w:t>
            </w:r>
          </w:p>
          <w:p w:rsidR="00A42D1D" w:rsidRDefault="00A42D1D">
            <w:pPr>
              <w:rPr>
                <w:lang w:val="en-GB"/>
              </w:rPr>
            </w:pPr>
          </w:p>
        </w:tc>
      </w:tr>
      <w:tr w:rsidR="00A42D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640" w:type="dxa"/>
            <w:gridSpan w:val="4"/>
            <w:tcBorders>
              <w:bottom w:val="nil"/>
            </w:tcBorders>
          </w:tcPr>
          <w:p w:rsidR="00A42D1D" w:rsidRDefault="00A42D1D">
            <w:pPr>
              <w:pStyle w:val="Kopfzeile1"/>
              <w:rPr>
                <w:lang w:val="en-GB"/>
              </w:rPr>
            </w:pPr>
            <w:r>
              <w:rPr>
                <w:lang w:val="en-GB"/>
              </w:rPr>
              <w:t xml:space="preserve">Proposal: </w:t>
            </w:r>
          </w:p>
        </w:tc>
      </w:tr>
      <w:tr w:rsidR="00A42D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5"/>
        </w:trPr>
        <w:tc>
          <w:tcPr>
            <w:tcW w:w="9640" w:type="dxa"/>
            <w:gridSpan w:val="4"/>
            <w:tcBorders>
              <w:top w:val="nil"/>
            </w:tcBorders>
          </w:tcPr>
          <w:p w:rsidR="00A42D1D" w:rsidRDefault="00A42D1D">
            <w:pPr>
              <w:rPr>
                <w:lang w:val="en-GB"/>
              </w:rPr>
            </w:pPr>
            <w:r>
              <w:rPr>
                <w:lang w:val="en-GB"/>
              </w:rPr>
              <w:t>Germany supports the TDD frequency arrangement for the band 3400 – 3600 MHz as currently contained in ECC Decision (11)06 as the preferred frequency arrangement.</w:t>
            </w:r>
          </w:p>
          <w:p w:rsidR="00A42D1D" w:rsidRDefault="00A42D1D">
            <w:pPr>
              <w:rPr>
                <w:lang w:val="en-GB"/>
              </w:rPr>
            </w:pPr>
          </w:p>
        </w:tc>
      </w:tr>
      <w:tr w:rsidR="00A42D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1"/>
        </w:trPr>
        <w:tc>
          <w:tcPr>
            <w:tcW w:w="9640" w:type="dxa"/>
            <w:gridSpan w:val="4"/>
            <w:tcBorders>
              <w:bottom w:val="nil"/>
            </w:tcBorders>
          </w:tcPr>
          <w:p w:rsidR="00A42D1D" w:rsidRDefault="00A42D1D">
            <w:pPr>
              <w:pStyle w:val="Kopfzeile1"/>
              <w:rPr>
                <w:lang w:val="en-GB"/>
              </w:rPr>
            </w:pPr>
            <w:r>
              <w:rPr>
                <w:lang w:val="en-GB"/>
              </w:rPr>
              <w:t>Background:</w:t>
            </w:r>
          </w:p>
        </w:tc>
      </w:tr>
      <w:tr w:rsidR="00A42D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4"/>
        </w:trPr>
        <w:tc>
          <w:tcPr>
            <w:tcW w:w="9640" w:type="dxa"/>
            <w:gridSpan w:val="4"/>
            <w:tcBorders>
              <w:top w:val="nil"/>
            </w:tcBorders>
          </w:tcPr>
          <w:p w:rsidR="00A42D1D" w:rsidRDefault="00A42D1D">
            <w:pPr>
              <w:overflowPunct w:val="0"/>
              <w:autoSpaceDE w:val="0"/>
              <w:autoSpaceDN w:val="0"/>
              <w:adjustRightInd w:val="0"/>
              <w:spacing w:after="0"/>
              <w:jc w:val="left"/>
              <w:textAlignment w:val="baseline"/>
              <w:rPr>
                <w:b/>
                <w:lang w:val="en-GB"/>
              </w:rPr>
            </w:pPr>
            <w:r>
              <w:rPr>
                <w:lang w:val="en-GB"/>
              </w:rPr>
              <w:lastRenderedPageBreak/>
              <w:t>When ECC Decision (11)06 was originally developed in 2011, Germany already provided a number of  arguments in support of a TDD frequency arrangement as the preferred frequency arrangement for the 3400-3600 MHz band (see document ECC PT1(11)06).</w:t>
            </w:r>
          </w:p>
          <w:p w:rsidR="00A42D1D" w:rsidRDefault="00A42D1D">
            <w:pPr>
              <w:pStyle w:val="ZchnZchnZchnZchnCharZchnZchn"/>
              <w:numPr>
                <w:ilvl w:val="0"/>
                <w:numId w:val="0"/>
              </w:numPr>
              <w:spacing w:line="240" w:lineRule="auto"/>
              <w:rPr>
                <w:rFonts w:ascii="Arial" w:hAnsi="Arial"/>
                <w:sz w:val="22"/>
                <w:lang w:val="en-GB" w:eastAsia="de-DE"/>
              </w:rPr>
            </w:pPr>
            <w:r>
              <w:rPr>
                <w:rFonts w:ascii="Arial" w:hAnsi="Arial"/>
                <w:sz w:val="22"/>
                <w:lang w:val="en-GB" w:eastAsia="de-DE"/>
              </w:rPr>
              <w:t>Germany faces the difficulty that the 3400 – 3600 / 3600 – 3800 MHz bands are already licenced for BWA and FSS systems which means that Germany is not able to start from scratch with the introduction of new IMT services in these bands. New services will have to cope with those services already licensed in these bands. Further the BWA Services are granted on a regional basis what makes the situation even more complex.</w:t>
            </w:r>
          </w:p>
          <w:p w:rsidR="00A42D1D" w:rsidRDefault="00A42D1D">
            <w:pPr>
              <w:pStyle w:val="ZchnZchnZchnZchnCharZchnZchn"/>
              <w:numPr>
                <w:ilvl w:val="0"/>
                <w:numId w:val="0"/>
              </w:numPr>
              <w:spacing w:line="240" w:lineRule="auto"/>
              <w:rPr>
                <w:rFonts w:ascii="Arial" w:hAnsi="Arial"/>
                <w:sz w:val="22"/>
                <w:lang w:val="en-GB" w:eastAsia="de-DE"/>
              </w:rPr>
            </w:pPr>
            <w:r>
              <w:rPr>
                <w:rFonts w:ascii="Arial" w:hAnsi="Arial"/>
                <w:sz w:val="22"/>
                <w:lang w:val="en-GB" w:eastAsia="de-DE"/>
              </w:rPr>
              <w:t>Therefore Germany is of the view that a TDD frequency arrangement in the 3400 – 3600 MHz band as the preferred band plan holds a number of advantages like:</w:t>
            </w:r>
          </w:p>
          <w:p w:rsidR="00A42D1D" w:rsidRDefault="00A42D1D">
            <w:pPr>
              <w:pStyle w:val="ZchnZchnZchnZchnCharZchnZchn"/>
              <w:numPr>
                <w:ilvl w:val="0"/>
                <w:numId w:val="17"/>
              </w:numPr>
              <w:tabs>
                <w:tab w:val="clear" w:pos="540"/>
                <w:tab w:val="clear" w:pos="1260"/>
                <w:tab w:val="clear" w:pos="1800"/>
              </w:tabs>
              <w:spacing w:before="0" w:after="0" w:line="240" w:lineRule="auto"/>
              <w:rPr>
                <w:rFonts w:ascii="Arial" w:hAnsi="Arial"/>
                <w:sz w:val="22"/>
                <w:lang w:val="en-GB" w:eastAsia="de-DE"/>
              </w:rPr>
            </w:pPr>
            <w:r>
              <w:rPr>
                <w:rFonts w:ascii="Arial" w:hAnsi="Arial"/>
                <w:sz w:val="22"/>
                <w:lang w:val="en-GB" w:eastAsia="de-DE"/>
              </w:rPr>
              <w:t>facilitating coexistence with existing services in the band (both BWA and FSS),</w:t>
            </w:r>
          </w:p>
          <w:p w:rsidR="00A42D1D" w:rsidRDefault="00A42D1D">
            <w:pPr>
              <w:pStyle w:val="ZchnZchnZchnZchnCharZchnZchn"/>
              <w:numPr>
                <w:ilvl w:val="0"/>
                <w:numId w:val="17"/>
              </w:numPr>
              <w:tabs>
                <w:tab w:val="clear" w:pos="540"/>
                <w:tab w:val="clear" w:pos="1260"/>
                <w:tab w:val="clear" w:pos="1800"/>
              </w:tabs>
              <w:spacing w:before="0" w:after="0" w:line="240" w:lineRule="auto"/>
              <w:rPr>
                <w:rFonts w:ascii="Arial" w:hAnsi="Arial"/>
                <w:sz w:val="22"/>
                <w:lang w:val="en-GB" w:eastAsia="de-DE"/>
              </w:rPr>
            </w:pPr>
            <w:r>
              <w:rPr>
                <w:rFonts w:ascii="Arial" w:hAnsi="Arial"/>
                <w:sz w:val="22"/>
                <w:lang w:val="en-GB" w:eastAsia="de-DE"/>
              </w:rPr>
              <w:t>reducing complexity in UE’s, since there are no duplex filters required,</w:t>
            </w:r>
          </w:p>
          <w:p w:rsidR="00A42D1D" w:rsidRDefault="00A42D1D">
            <w:pPr>
              <w:pStyle w:val="ZchnZchnZchnZchnCharZchnZchn"/>
              <w:numPr>
                <w:ilvl w:val="0"/>
                <w:numId w:val="17"/>
              </w:numPr>
              <w:tabs>
                <w:tab w:val="clear" w:pos="540"/>
                <w:tab w:val="clear" w:pos="1260"/>
                <w:tab w:val="clear" w:pos="1800"/>
              </w:tabs>
              <w:spacing w:before="0" w:after="0" w:line="240" w:lineRule="auto"/>
              <w:rPr>
                <w:rFonts w:ascii="Arial" w:hAnsi="Arial"/>
                <w:sz w:val="22"/>
                <w:lang w:val="en-GB" w:eastAsia="de-DE"/>
              </w:rPr>
            </w:pPr>
            <w:r>
              <w:rPr>
                <w:rFonts w:ascii="Arial" w:hAnsi="Arial"/>
                <w:sz w:val="22"/>
                <w:lang w:val="en-GB" w:eastAsia="de-DE"/>
              </w:rPr>
              <w:t>in the case of synchronized TDD operation in adjacent channels and the same region, practically no terminal-to-terminal interference,</w:t>
            </w:r>
          </w:p>
          <w:p w:rsidR="00A42D1D" w:rsidRDefault="00A42D1D">
            <w:pPr>
              <w:pStyle w:val="ZchnZchnZchnZchnCharZchnZchn"/>
              <w:numPr>
                <w:ilvl w:val="0"/>
                <w:numId w:val="17"/>
              </w:numPr>
              <w:tabs>
                <w:tab w:val="clear" w:pos="540"/>
                <w:tab w:val="clear" w:pos="1260"/>
                <w:tab w:val="clear" w:pos="1800"/>
              </w:tabs>
              <w:spacing w:before="0" w:after="0" w:line="240" w:lineRule="auto"/>
              <w:rPr>
                <w:rFonts w:ascii="Arial" w:hAnsi="Arial"/>
                <w:sz w:val="22"/>
                <w:lang w:val="en-GB" w:eastAsia="de-DE"/>
              </w:rPr>
            </w:pPr>
            <w:r>
              <w:rPr>
                <w:rFonts w:ascii="Arial" w:hAnsi="Arial"/>
                <w:sz w:val="22"/>
                <w:lang w:val="en-GB" w:eastAsia="de-DE"/>
              </w:rPr>
              <w:t>facilitating harmonisation with other ITU-R Regions where only parts of this frequency range are available for mobile broadband services (e.g. in the US but also parts of the Asia-Pacific region which relies more heavily on this band for FSS use)</w:t>
            </w:r>
          </w:p>
          <w:p w:rsidR="00A42D1D" w:rsidRDefault="00A42D1D">
            <w:pPr>
              <w:pStyle w:val="ZchnZchnZchnZchnCharZchnZchn"/>
              <w:numPr>
                <w:ilvl w:val="0"/>
                <w:numId w:val="0"/>
              </w:numPr>
              <w:spacing w:line="240" w:lineRule="auto"/>
              <w:rPr>
                <w:rFonts w:ascii="Arial" w:hAnsi="Arial"/>
                <w:sz w:val="22"/>
                <w:lang w:val="en-GB" w:eastAsia="de-DE"/>
              </w:rPr>
            </w:pPr>
            <w:r>
              <w:rPr>
                <w:rFonts w:ascii="Arial" w:hAnsi="Arial"/>
                <w:sz w:val="22"/>
                <w:lang w:val="en-GB" w:eastAsia="de-DE"/>
              </w:rPr>
              <w:t>Germany also believes that the band will be used mainly for hotspot high capacity data coverage in the first place resulting in a great asymmetry of the uplink/downlink usage. A TDD band plan allows the split between DL and UL to be adjusted by software to enable operators to cope with the tendency of asymmetric traffic.</w:t>
            </w:r>
          </w:p>
          <w:p w:rsidR="00A42D1D" w:rsidRPr="00D406A6" w:rsidRDefault="00A42D1D">
            <w:pPr>
              <w:pStyle w:val="ZchnZchnZchnZchnCharZchnZchn"/>
              <w:numPr>
                <w:ilvl w:val="0"/>
                <w:numId w:val="0"/>
              </w:numPr>
              <w:spacing w:line="240" w:lineRule="auto"/>
              <w:rPr>
                <w:rFonts w:ascii="Arial" w:hAnsi="Arial"/>
                <w:sz w:val="22"/>
                <w:lang w:val="en-GB" w:eastAsia="de-DE"/>
              </w:rPr>
            </w:pPr>
            <w:r>
              <w:rPr>
                <w:rFonts w:ascii="Arial" w:hAnsi="Arial"/>
                <w:sz w:val="22"/>
                <w:lang w:val="en-GB" w:eastAsia="de-DE"/>
              </w:rPr>
              <w:t xml:space="preserve">In this respect </w:t>
            </w:r>
            <w:r w:rsidRPr="00D406A6">
              <w:rPr>
                <w:rFonts w:ascii="Arial" w:hAnsi="Arial"/>
                <w:sz w:val="22"/>
                <w:lang w:val="en-GB" w:eastAsia="de-DE"/>
              </w:rPr>
              <w:t>Germany propose</w:t>
            </w:r>
            <w:r>
              <w:rPr>
                <w:rFonts w:ascii="Arial" w:hAnsi="Arial"/>
                <w:sz w:val="22"/>
                <w:lang w:val="en-GB" w:eastAsia="de-DE"/>
              </w:rPr>
              <w:t>s (a) to query existing 3.5 GHz licencees (e.g. as listed in ECO Report 03) about their current and future usage and (b)</w:t>
            </w:r>
            <w:r w:rsidRPr="00D406A6">
              <w:rPr>
                <w:rFonts w:ascii="Arial" w:hAnsi="Arial"/>
                <w:sz w:val="22"/>
                <w:lang w:val="en-GB" w:eastAsia="de-DE"/>
              </w:rPr>
              <w:t xml:space="preserve"> to investigate the </w:t>
            </w:r>
            <w:r>
              <w:rPr>
                <w:rFonts w:ascii="Arial" w:hAnsi="Arial"/>
                <w:sz w:val="22"/>
                <w:lang w:val="en-GB" w:eastAsia="de-DE"/>
              </w:rPr>
              <w:t xml:space="preserve">recent </w:t>
            </w:r>
            <w:r w:rsidRPr="00D406A6">
              <w:rPr>
                <w:rFonts w:ascii="Arial" w:hAnsi="Arial"/>
                <w:sz w:val="22"/>
                <w:lang w:val="en-GB" w:eastAsia="de-DE"/>
              </w:rPr>
              <w:t xml:space="preserve">market </w:t>
            </w:r>
            <w:r>
              <w:rPr>
                <w:rFonts w:ascii="Arial" w:hAnsi="Arial"/>
                <w:sz w:val="22"/>
                <w:lang w:val="en-GB" w:eastAsia="de-DE"/>
              </w:rPr>
              <w:t xml:space="preserve">and technology </w:t>
            </w:r>
            <w:r w:rsidRPr="00D406A6">
              <w:rPr>
                <w:rFonts w:ascii="Arial" w:hAnsi="Arial"/>
                <w:sz w:val="22"/>
                <w:lang w:val="en-GB" w:eastAsia="de-DE"/>
              </w:rPr>
              <w:t xml:space="preserve">developments </w:t>
            </w:r>
            <w:r w:rsidRPr="00567D6B">
              <w:rPr>
                <w:rFonts w:ascii="Arial" w:hAnsi="Arial"/>
                <w:sz w:val="22"/>
                <w:lang w:val="en-GB" w:eastAsia="de-DE"/>
              </w:rPr>
              <w:t>for</w:t>
            </w:r>
            <w:r>
              <w:rPr>
                <w:lang w:val="en-GB"/>
              </w:rPr>
              <w:t xml:space="preserve"> </w:t>
            </w:r>
            <w:r w:rsidRPr="00567D6B">
              <w:rPr>
                <w:rFonts w:ascii="Arial" w:hAnsi="Arial"/>
                <w:sz w:val="22"/>
                <w:lang w:val="en-GB" w:eastAsia="de-DE"/>
              </w:rPr>
              <w:t xml:space="preserve">TD-LTE in the 3.5 </w:t>
            </w:r>
            <w:r w:rsidRPr="00326A33">
              <w:rPr>
                <w:rFonts w:ascii="Arial" w:hAnsi="Arial"/>
                <w:sz w:val="22"/>
                <w:lang w:val="en-GB" w:eastAsia="de-DE"/>
              </w:rPr>
              <w:t>G</w:t>
            </w:r>
            <w:r w:rsidRPr="00567D6B">
              <w:rPr>
                <w:rFonts w:ascii="Arial" w:hAnsi="Arial"/>
                <w:sz w:val="22"/>
                <w:lang w:val="en-GB" w:eastAsia="de-DE"/>
              </w:rPr>
              <w:t>Hz band</w:t>
            </w:r>
            <w:r>
              <w:rPr>
                <w:rFonts w:ascii="Arial" w:hAnsi="Arial"/>
                <w:sz w:val="22"/>
                <w:lang w:val="en-GB" w:eastAsia="de-DE"/>
              </w:rPr>
              <w:t xml:space="preserve"> since the development of the Decision in 2011. </w:t>
            </w:r>
          </w:p>
          <w:p w:rsidR="00A42D1D" w:rsidRDefault="00A42D1D">
            <w:pPr>
              <w:pStyle w:val="ZchnZchnZchnZchnCharZchnZchn"/>
              <w:numPr>
                <w:ilvl w:val="0"/>
                <w:numId w:val="0"/>
              </w:numPr>
              <w:spacing w:line="240" w:lineRule="auto"/>
              <w:rPr>
                <w:rFonts w:ascii="Arial" w:hAnsi="Arial"/>
                <w:sz w:val="22"/>
                <w:lang w:val="en-GB" w:eastAsia="de-DE"/>
              </w:rPr>
            </w:pPr>
            <w:r>
              <w:rPr>
                <w:rFonts w:ascii="Arial" w:hAnsi="Arial"/>
                <w:sz w:val="22"/>
                <w:lang w:val="en-GB" w:eastAsia="de-DE"/>
              </w:rPr>
              <w:t>Due to the above mentioned aspects Germany supports a TDD arrangement as the preferential harmonised frequency arrangement for the band 3400 – 3600 MHz.</w:t>
            </w:r>
          </w:p>
          <w:p w:rsidR="00A42D1D" w:rsidRDefault="00A42D1D" w:rsidP="00D406A6">
            <w:pPr>
              <w:pStyle w:val="ZchnZchnZchnZchnCharZchnZchn"/>
              <w:numPr>
                <w:ilvl w:val="0"/>
                <w:numId w:val="0"/>
              </w:numPr>
              <w:spacing w:line="240" w:lineRule="auto"/>
              <w:rPr>
                <w:bCs/>
                <w:szCs w:val="24"/>
                <w:lang w:val="en-GB"/>
              </w:rPr>
            </w:pPr>
          </w:p>
        </w:tc>
      </w:tr>
    </w:tbl>
    <w:p w:rsidR="00A42D1D" w:rsidRDefault="00A42D1D">
      <w:pPr>
        <w:rPr>
          <w:lang w:val="en-GB"/>
        </w:rPr>
      </w:pPr>
    </w:p>
    <w:sectPr w:rsidR="00A42D1D" w:rsidSect="00F048B7">
      <w:footerReference w:type="even" r:id="rId9"/>
      <w:footerReference w:type="default" r:id="rId10"/>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18E" w:rsidRDefault="00F8218E">
      <w:r>
        <w:separator/>
      </w:r>
    </w:p>
  </w:endnote>
  <w:endnote w:type="continuationSeparator" w:id="0">
    <w:p w:rsidR="00F8218E" w:rsidRDefault="00F82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D1D" w:rsidRDefault="00A42D1D">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A42D1D" w:rsidRDefault="00A42D1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D1D" w:rsidRDefault="00A42D1D">
    <w:pPr>
      <w:framePr w:wrap="around" w:vAnchor="text" w:hAnchor="margin" w:xAlign="center" w:y="1"/>
      <w:rPr>
        <w:rStyle w:val="Numrodepage"/>
        <w:sz w:val="20"/>
      </w:rPr>
    </w:pPr>
    <w:r>
      <w:rPr>
        <w:rStyle w:val="Numrodepage"/>
        <w:sz w:val="20"/>
      </w:rPr>
      <w:fldChar w:fldCharType="begin"/>
    </w:r>
    <w:r>
      <w:rPr>
        <w:rStyle w:val="Numrodepage"/>
        <w:sz w:val="20"/>
      </w:rPr>
      <w:instrText xml:space="preserve">PAGE  </w:instrText>
    </w:r>
    <w:r>
      <w:rPr>
        <w:rStyle w:val="Numrodepage"/>
        <w:sz w:val="20"/>
      </w:rPr>
      <w:fldChar w:fldCharType="separate"/>
    </w:r>
    <w:r w:rsidR="005C3E45">
      <w:rPr>
        <w:rStyle w:val="Numrodepage"/>
        <w:noProof/>
        <w:sz w:val="20"/>
      </w:rPr>
      <w:t>2</w:t>
    </w:r>
    <w:r>
      <w:rPr>
        <w:rStyle w:val="Numrodepage"/>
        <w:sz w:val="20"/>
      </w:rPr>
      <w:fldChar w:fldCharType="end"/>
    </w:r>
  </w:p>
  <w:p w:rsidR="00A42D1D" w:rsidRDefault="00A42D1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18E" w:rsidRDefault="00F8218E">
      <w:r>
        <w:separator/>
      </w:r>
    </w:p>
  </w:footnote>
  <w:footnote w:type="continuationSeparator" w:id="0">
    <w:p w:rsidR="00F8218E" w:rsidRDefault="00F821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nsid w:val="1B6F2B0B"/>
    <w:multiLevelType w:val="multilevel"/>
    <w:tmpl w:val="C0A04156"/>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
    <w:nsid w:val="1D3B27F9"/>
    <w:multiLevelType w:val="hybridMultilevel"/>
    <w:tmpl w:val="9A9E378A"/>
    <w:lvl w:ilvl="0" w:tplc="0816000F">
      <w:start w:val="1"/>
      <w:numFmt w:val="decimal"/>
      <w:lvlText w:val="%1."/>
      <w:lvlJc w:val="left"/>
      <w:pPr>
        <w:ind w:left="720" w:hanging="360"/>
      </w:pPr>
      <w:rPr>
        <w:rFonts w:cs="Times New Roman"/>
      </w:rPr>
    </w:lvl>
    <w:lvl w:ilvl="1" w:tplc="040C0001">
      <w:start w:val="1"/>
      <w:numFmt w:val="bullet"/>
      <w:lvlText w:val=""/>
      <w:lvlJc w:val="left"/>
      <w:pPr>
        <w:tabs>
          <w:tab w:val="num" w:pos="1440"/>
        </w:tabs>
        <w:ind w:left="1440" w:hanging="360"/>
      </w:pPr>
      <w:rPr>
        <w:rFonts w:ascii="Symbol" w:hAnsi="Symbol" w:hint="default"/>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3">
    <w:nsid w:val="1E8F0C21"/>
    <w:multiLevelType w:val="hybridMultilevel"/>
    <w:tmpl w:val="DF009EC0"/>
    <w:lvl w:ilvl="0" w:tplc="0407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D0D17E7"/>
    <w:multiLevelType w:val="multilevel"/>
    <w:tmpl w:val="14F2EEB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6">
    <w:nsid w:val="35CC17F7"/>
    <w:multiLevelType w:val="multilevel"/>
    <w:tmpl w:val="0440665E"/>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7">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8">
    <w:nsid w:val="401A7096"/>
    <w:multiLevelType w:val="multilevel"/>
    <w:tmpl w:val="13B45D4C"/>
    <w:lvl w:ilvl="0">
      <w:start w:val="1"/>
      <w:numFmt w:val="decimal"/>
      <w:pStyle w:val="ZchnZchnZchnZchnCharZchnZchn"/>
      <w:lvlText w:val="%1."/>
      <w:lvlJc w:val="left"/>
      <w:pPr>
        <w:tabs>
          <w:tab w:val="num" w:pos="360"/>
        </w:tabs>
        <w:ind w:left="360" w:hanging="360"/>
      </w:pPr>
      <w:rPr>
        <w:rFonts w:cs="Times New Roman" w:hint="default"/>
        <w:sz w:val="28"/>
        <w:szCs w:val="28"/>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260"/>
        </w:tabs>
        <w:ind w:left="118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10">
    <w:nsid w:val="54A576F7"/>
    <w:multiLevelType w:val="hybridMultilevel"/>
    <w:tmpl w:val="E74273F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nsid w:val="5D29287F"/>
    <w:multiLevelType w:val="hybridMultilevel"/>
    <w:tmpl w:val="73C00256"/>
    <w:lvl w:ilvl="0" w:tplc="2382B4D2">
      <w:start w:val="4"/>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nsid w:val="61567838"/>
    <w:multiLevelType w:val="hybridMultilevel"/>
    <w:tmpl w:val="BC4E8E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nsid w:val="707767BF"/>
    <w:multiLevelType w:val="multilevel"/>
    <w:tmpl w:val="7060B39E"/>
    <w:lvl w:ilvl="0">
      <w:start w:val="1"/>
      <w:numFmt w:val="decimal"/>
      <w:pStyle w:val="Titre1"/>
      <w:lvlText w:val="%1"/>
      <w:lvlJc w:val="left"/>
      <w:pPr>
        <w:tabs>
          <w:tab w:val="num" w:pos="432"/>
        </w:tabs>
        <w:ind w:left="432" w:hanging="432"/>
      </w:pPr>
      <w:rPr>
        <w:rFonts w:cs="Times New Roman"/>
      </w:rPr>
    </w:lvl>
    <w:lvl w:ilvl="1">
      <w:start w:val="1"/>
      <w:numFmt w:val="decimal"/>
      <w:pStyle w:val="Titre2"/>
      <w:lvlText w:val="%1.%2"/>
      <w:lvlJc w:val="left"/>
      <w:pPr>
        <w:tabs>
          <w:tab w:val="num" w:pos="576"/>
        </w:tabs>
        <w:ind w:left="576" w:hanging="576"/>
      </w:pPr>
      <w:rPr>
        <w:rFonts w:cs="Times New Roman"/>
      </w:rPr>
    </w:lvl>
    <w:lvl w:ilvl="2">
      <w:start w:val="1"/>
      <w:numFmt w:val="decimal"/>
      <w:pStyle w:val="Titre3"/>
      <w:lvlText w:val="%1.%2.%3"/>
      <w:lvlJc w:val="left"/>
      <w:pPr>
        <w:tabs>
          <w:tab w:val="num" w:pos="720"/>
        </w:tabs>
        <w:ind w:left="720" w:hanging="720"/>
      </w:pPr>
      <w:rPr>
        <w:rFonts w:cs="Times New Roman"/>
      </w:rPr>
    </w:lvl>
    <w:lvl w:ilvl="3">
      <w:start w:val="1"/>
      <w:numFmt w:val="decimal"/>
      <w:pStyle w:val="Titre4"/>
      <w:lvlText w:val="%1.%2.%3.%4"/>
      <w:lvlJc w:val="left"/>
      <w:pPr>
        <w:tabs>
          <w:tab w:val="num" w:pos="864"/>
        </w:tabs>
        <w:ind w:left="864" w:hanging="864"/>
      </w:pPr>
      <w:rPr>
        <w:rFonts w:cs="Times New Roman"/>
      </w:rPr>
    </w:lvl>
    <w:lvl w:ilvl="4">
      <w:start w:val="1"/>
      <w:numFmt w:val="decimal"/>
      <w:pStyle w:val="Titre5"/>
      <w:lvlText w:val="%1.%2.%3.%4.%5"/>
      <w:lvlJc w:val="left"/>
      <w:pPr>
        <w:tabs>
          <w:tab w:val="num" w:pos="1008"/>
        </w:tabs>
        <w:ind w:left="1008" w:hanging="1008"/>
      </w:pPr>
      <w:rPr>
        <w:rFonts w:cs="Times New Roman"/>
      </w:rPr>
    </w:lvl>
    <w:lvl w:ilvl="5">
      <w:start w:val="1"/>
      <w:numFmt w:val="decimal"/>
      <w:pStyle w:val="Titre6"/>
      <w:lvlText w:val="%1.%2.%3.%4.%5.%6"/>
      <w:lvlJc w:val="left"/>
      <w:pPr>
        <w:tabs>
          <w:tab w:val="num" w:pos="1152"/>
        </w:tabs>
        <w:ind w:left="1152" w:hanging="1152"/>
      </w:pPr>
      <w:rPr>
        <w:rFonts w:cs="Times New Roman"/>
      </w:rPr>
    </w:lvl>
    <w:lvl w:ilvl="6">
      <w:start w:val="1"/>
      <w:numFmt w:val="decimal"/>
      <w:pStyle w:val="Titre7"/>
      <w:lvlText w:val="%1.%2.%3.%4.%5.%6.%7"/>
      <w:lvlJc w:val="left"/>
      <w:pPr>
        <w:tabs>
          <w:tab w:val="num" w:pos="1296"/>
        </w:tabs>
        <w:ind w:left="1296" w:hanging="1296"/>
      </w:pPr>
      <w:rPr>
        <w:rFonts w:cs="Times New Roman"/>
      </w:rPr>
    </w:lvl>
    <w:lvl w:ilvl="7">
      <w:start w:val="1"/>
      <w:numFmt w:val="decimal"/>
      <w:pStyle w:val="Titre8"/>
      <w:lvlText w:val="%1.%2.%3.%4.%5.%6.%7.%8"/>
      <w:lvlJc w:val="left"/>
      <w:pPr>
        <w:tabs>
          <w:tab w:val="num" w:pos="1440"/>
        </w:tabs>
        <w:ind w:left="1440" w:hanging="1440"/>
      </w:pPr>
      <w:rPr>
        <w:rFonts w:cs="Times New Roman"/>
      </w:rPr>
    </w:lvl>
    <w:lvl w:ilvl="8">
      <w:start w:val="1"/>
      <w:numFmt w:val="decimal"/>
      <w:pStyle w:val="Titre9"/>
      <w:lvlText w:val="%1.%2.%3.%4.%5.%6.%7.%8.%9"/>
      <w:lvlJc w:val="left"/>
      <w:pPr>
        <w:tabs>
          <w:tab w:val="num" w:pos="1584"/>
        </w:tabs>
        <w:ind w:left="1584" w:hanging="1584"/>
      </w:pPr>
      <w:rPr>
        <w:rFonts w:cs="Times New Roman"/>
      </w:rPr>
    </w:lvl>
  </w:abstractNum>
  <w:num w:numId="1">
    <w:abstractNumId w:val="11"/>
  </w:num>
  <w:num w:numId="2">
    <w:abstractNumId w:val="0"/>
  </w:num>
  <w:num w:numId="3">
    <w:abstractNumId w:val="13"/>
  </w:num>
  <w:num w:numId="4">
    <w:abstractNumId w:val="13"/>
  </w:num>
  <w:num w:numId="5">
    <w:abstractNumId w:val="13"/>
  </w:num>
  <w:num w:numId="6">
    <w:abstractNumId w:val="12"/>
  </w:num>
  <w:num w:numId="7">
    <w:abstractNumId w:val="13"/>
  </w:num>
  <w:num w:numId="8">
    <w:abstractNumId w:val="13"/>
  </w:num>
  <w:num w:numId="9">
    <w:abstractNumId w:val="5"/>
  </w:num>
  <w:num w:numId="10">
    <w:abstractNumId w:val="9"/>
  </w:num>
  <w:num w:numId="11">
    <w:abstractNumId w:val="7"/>
  </w:num>
  <w:num w:numId="12">
    <w:abstractNumId w:val="10"/>
  </w:num>
  <w:num w:numId="13">
    <w:abstractNumId w:val="6"/>
  </w:num>
  <w:num w:numId="14">
    <w:abstractNumId w:val="4"/>
  </w:num>
  <w:num w:numId="15">
    <w:abstractNumId w:val="1"/>
  </w:num>
  <w:num w:numId="16">
    <w:abstractNumId w:val="8"/>
  </w:num>
  <w:num w:numId="17">
    <w:abstractNumId w:val="3"/>
  </w:num>
  <w:num w:numId="18">
    <w:abstractNumId w:val="2"/>
  </w:num>
  <w:num w:numId="1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30C4"/>
    <w:rsid w:val="00300750"/>
    <w:rsid w:val="00326A33"/>
    <w:rsid w:val="003F111C"/>
    <w:rsid w:val="0041682C"/>
    <w:rsid w:val="00567D6B"/>
    <w:rsid w:val="005C3E45"/>
    <w:rsid w:val="006431CF"/>
    <w:rsid w:val="00663787"/>
    <w:rsid w:val="006D2921"/>
    <w:rsid w:val="009A1C50"/>
    <w:rsid w:val="00A04573"/>
    <w:rsid w:val="00A230C4"/>
    <w:rsid w:val="00A42D1D"/>
    <w:rsid w:val="00AE2C0B"/>
    <w:rsid w:val="00B94134"/>
    <w:rsid w:val="00D406A6"/>
    <w:rsid w:val="00DE0E04"/>
    <w:rsid w:val="00EA30A1"/>
    <w:rsid w:val="00F01E60"/>
    <w:rsid w:val="00F048B7"/>
    <w:rsid w:val="00F821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048B7"/>
    <w:pPr>
      <w:spacing w:after="120"/>
      <w:jc w:val="both"/>
    </w:pPr>
    <w:rPr>
      <w:rFonts w:ascii="Arial" w:hAnsi="Arial"/>
      <w:sz w:val="22"/>
      <w:lang w:val="nb-NO" w:eastAsia="de-DE"/>
    </w:rPr>
  </w:style>
  <w:style w:type="paragraph" w:styleId="Titre1">
    <w:name w:val="heading 1"/>
    <w:basedOn w:val="Normal"/>
    <w:next w:val="Normal"/>
    <w:link w:val="Titre1Car"/>
    <w:uiPriority w:val="99"/>
    <w:qFormat/>
    <w:rsid w:val="00F048B7"/>
    <w:pPr>
      <w:numPr>
        <w:numId w:val="3"/>
      </w:numPr>
      <w:tabs>
        <w:tab w:val="clear" w:pos="432"/>
        <w:tab w:val="left" w:pos="851"/>
      </w:tabs>
      <w:spacing w:before="360"/>
      <w:ind w:left="851" w:hanging="851"/>
      <w:jc w:val="left"/>
      <w:outlineLvl w:val="0"/>
    </w:pPr>
    <w:rPr>
      <w:rFonts w:cs="Arial"/>
      <w:b/>
      <w:sz w:val="28"/>
      <w:szCs w:val="28"/>
      <w:lang w:val="en-GB"/>
    </w:rPr>
  </w:style>
  <w:style w:type="paragraph" w:styleId="Titre2">
    <w:name w:val="heading 2"/>
    <w:basedOn w:val="Titre1"/>
    <w:next w:val="Normal"/>
    <w:link w:val="Titre2Car"/>
    <w:uiPriority w:val="99"/>
    <w:qFormat/>
    <w:rsid w:val="00F048B7"/>
    <w:pPr>
      <w:numPr>
        <w:ilvl w:val="1"/>
      </w:numPr>
      <w:tabs>
        <w:tab w:val="clear" w:pos="576"/>
      </w:tabs>
      <w:spacing w:before="120"/>
      <w:ind w:left="851" w:hanging="851"/>
      <w:outlineLvl w:val="1"/>
    </w:pPr>
    <w:rPr>
      <w:sz w:val="24"/>
    </w:rPr>
  </w:style>
  <w:style w:type="paragraph" w:styleId="Titre3">
    <w:name w:val="heading 3"/>
    <w:basedOn w:val="Titre2"/>
    <w:next w:val="Normal"/>
    <w:link w:val="Titre3Car"/>
    <w:uiPriority w:val="99"/>
    <w:qFormat/>
    <w:rsid w:val="00F048B7"/>
    <w:pPr>
      <w:numPr>
        <w:ilvl w:val="2"/>
      </w:numPr>
      <w:tabs>
        <w:tab w:val="clear" w:pos="720"/>
      </w:tabs>
      <w:ind w:left="851" w:hanging="851"/>
      <w:outlineLvl w:val="2"/>
    </w:pPr>
    <w:rPr>
      <w:i/>
      <w:sz w:val="22"/>
    </w:rPr>
  </w:style>
  <w:style w:type="paragraph" w:styleId="Titre4">
    <w:name w:val="heading 4"/>
    <w:basedOn w:val="Normal"/>
    <w:next w:val="Normal"/>
    <w:link w:val="Titre4Car"/>
    <w:uiPriority w:val="99"/>
    <w:qFormat/>
    <w:rsid w:val="00F048B7"/>
    <w:pPr>
      <w:numPr>
        <w:ilvl w:val="3"/>
        <w:numId w:val="3"/>
      </w:numPr>
      <w:outlineLvl w:val="3"/>
    </w:pPr>
    <w:rPr>
      <w:u w:val="single"/>
    </w:rPr>
  </w:style>
  <w:style w:type="paragraph" w:styleId="Titre5">
    <w:name w:val="heading 5"/>
    <w:basedOn w:val="Normal"/>
    <w:next w:val="Normal"/>
    <w:link w:val="Titre5Car"/>
    <w:uiPriority w:val="99"/>
    <w:qFormat/>
    <w:rsid w:val="00F048B7"/>
    <w:pPr>
      <w:numPr>
        <w:ilvl w:val="4"/>
        <w:numId w:val="3"/>
      </w:numPr>
      <w:outlineLvl w:val="4"/>
    </w:pPr>
    <w:rPr>
      <w:b/>
      <w:sz w:val="20"/>
    </w:rPr>
  </w:style>
  <w:style w:type="paragraph" w:styleId="Titre6">
    <w:name w:val="heading 6"/>
    <w:basedOn w:val="Normal"/>
    <w:next w:val="Normal"/>
    <w:link w:val="Titre6Car"/>
    <w:uiPriority w:val="99"/>
    <w:qFormat/>
    <w:rsid w:val="00F048B7"/>
    <w:pPr>
      <w:numPr>
        <w:ilvl w:val="5"/>
        <w:numId w:val="3"/>
      </w:numPr>
      <w:outlineLvl w:val="5"/>
    </w:pPr>
    <w:rPr>
      <w:sz w:val="20"/>
      <w:u w:val="single"/>
    </w:rPr>
  </w:style>
  <w:style w:type="paragraph" w:styleId="Titre7">
    <w:name w:val="heading 7"/>
    <w:basedOn w:val="Normal"/>
    <w:next w:val="Normal"/>
    <w:link w:val="Titre7Car"/>
    <w:uiPriority w:val="99"/>
    <w:qFormat/>
    <w:rsid w:val="00F048B7"/>
    <w:pPr>
      <w:numPr>
        <w:ilvl w:val="6"/>
        <w:numId w:val="3"/>
      </w:numPr>
      <w:outlineLvl w:val="6"/>
    </w:pPr>
    <w:rPr>
      <w:i/>
      <w:sz w:val="20"/>
    </w:rPr>
  </w:style>
  <w:style w:type="paragraph" w:styleId="Titre8">
    <w:name w:val="heading 8"/>
    <w:basedOn w:val="Normal"/>
    <w:next w:val="Normal"/>
    <w:link w:val="Titre8Car"/>
    <w:uiPriority w:val="99"/>
    <w:qFormat/>
    <w:rsid w:val="00F048B7"/>
    <w:pPr>
      <w:numPr>
        <w:ilvl w:val="7"/>
        <w:numId w:val="3"/>
      </w:numPr>
      <w:outlineLvl w:val="7"/>
    </w:pPr>
    <w:rPr>
      <w:i/>
      <w:sz w:val="20"/>
    </w:rPr>
  </w:style>
  <w:style w:type="paragraph" w:styleId="Titre9">
    <w:name w:val="heading 9"/>
    <w:basedOn w:val="Normal"/>
    <w:next w:val="Normal"/>
    <w:link w:val="Titre9Car"/>
    <w:uiPriority w:val="99"/>
    <w:qFormat/>
    <w:rsid w:val="00F048B7"/>
    <w:pPr>
      <w:numPr>
        <w:ilvl w:val="8"/>
        <w:numId w:val="3"/>
      </w:num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Pr>
      <w:rFonts w:ascii="Cambria" w:hAnsi="Cambria" w:cs="Times New Roman"/>
      <w:b/>
      <w:bCs/>
      <w:kern w:val="32"/>
      <w:sz w:val="32"/>
      <w:szCs w:val="32"/>
      <w:lang w:val="nb-NO"/>
    </w:rPr>
  </w:style>
  <w:style w:type="character" w:customStyle="1" w:styleId="Titre2Car">
    <w:name w:val="Titre 2 Car"/>
    <w:link w:val="Titre2"/>
    <w:uiPriority w:val="99"/>
    <w:semiHidden/>
    <w:locked/>
    <w:rPr>
      <w:rFonts w:ascii="Cambria" w:hAnsi="Cambria" w:cs="Times New Roman"/>
      <w:b/>
      <w:bCs/>
      <w:i/>
      <w:iCs/>
      <w:sz w:val="28"/>
      <w:szCs w:val="28"/>
      <w:lang w:val="nb-NO"/>
    </w:rPr>
  </w:style>
  <w:style w:type="character" w:customStyle="1" w:styleId="Titre3Car">
    <w:name w:val="Titre 3 Car"/>
    <w:link w:val="Titre3"/>
    <w:uiPriority w:val="99"/>
    <w:semiHidden/>
    <w:locked/>
    <w:rPr>
      <w:rFonts w:ascii="Cambria" w:hAnsi="Cambria" w:cs="Times New Roman"/>
      <w:b/>
      <w:bCs/>
      <w:sz w:val="26"/>
      <w:szCs w:val="26"/>
      <w:lang w:val="nb-NO"/>
    </w:rPr>
  </w:style>
  <w:style w:type="character" w:customStyle="1" w:styleId="Titre4Car">
    <w:name w:val="Titre 4 Car"/>
    <w:link w:val="Titre4"/>
    <w:uiPriority w:val="99"/>
    <w:semiHidden/>
    <w:locked/>
    <w:rPr>
      <w:rFonts w:ascii="Calibri" w:hAnsi="Calibri" w:cs="Times New Roman"/>
      <w:b/>
      <w:bCs/>
      <w:sz w:val="28"/>
      <w:szCs w:val="28"/>
      <w:lang w:val="nb-NO"/>
    </w:rPr>
  </w:style>
  <w:style w:type="character" w:customStyle="1" w:styleId="Titre5Car">
    <w:name w:val="Titre 5 Car"/>
    <w:link w:val="Titre5"/>
    <w:uiPriority w:val="99"/>
    <w:semiHidden/>
    <w:locked/>
    <w:rPr>
      <w:rFonts w:ascii="Calibri" w:hAnsi="Calibri" w:cs="Times New Roman"/>
      <w:b/>
      <w:bCs/>
      <w:i/>
      <w:iCs/>
      <w:sz w:val="26"/>
      <w:szCs w:val="26"/>
      <w:lang w:val="nb-NO"/>
    </w:rPr>
  </w:style>
  <w:style w:type="character" w:customStyle="1" w:styleId="Titre6Car">
    <w:name w:val="Titre 6 Car"/>
    <w:link w:val="Titre6"/>
    <w:uiPriority w:val="99"/>
    <w:semiHidden/>
    <w:locked/>
    <w:rPr>
      <w:rFonts w:ascii="Calibri" w:hAnsi="Calibri" w:cs="Times New Roman"/>
      <w:b/>
      <w:bCs/>
      <w:lang w:val="nb-NO"/>
    </w:rPr>
  </w:style>
  <w:style w:type="character" w:customStyle="1" w:styleId="Titre7Car">
    <w:name w:val="Titre 7 Car"/>
    <w:link w:val="Titre7"/>
    <w:uiPriority w:val="99"/>
    <w:semiHidden/>
    <w:locked/>
    <w:rPr>
      <w:rFonts w:ascii="Calibri" w:hAnsi="Calibri" w:cs="Times New Roman"/>
      <w:sz w:val="24"/>
      <w:szCs w:val="24"/>
      <w:lang w:val="nb-NO"/>
    </w:rPr>
  </w:style>
  <w:style w:type="character" w:customStyle="1" w:styleId="Titre8Car">
    <w:name w:val="Titre 8 Car"/>
    <w:link w:val="Titre8"/>
    <w:uiPriority w:val="99"/>
    <w:semiHidden/>
    <w:locked/>
    <w:rPr>
      <w:rFonts w:ascii="Calibri" w:hAnsi="Calibri" w:cs="Times New Roman"/>
      <w:i/>
      <w:iCs/>
      <w:sz w:val="24"/>
      <w:szCs w:val="24"/>
      <w:lang w:val="nb-NO"/>
    </w:rPr>
  </w:style>
  <w:style w:type="character" w:customStyle="1" w:styleId="Titre9Car">
    <w:name w:val="Titre 9 Car"/>
    <w:link w:val="Titre9"/>
    <w:uiPriority w:val="99"/>
    <w:semiHidden/>
    <w:locked/>
    <w:rPr>
      <w:rFonts w:ascii="Cambria" w:hAnsi="Cambria" w:cs="Times New Roman"/>
      <w:lang w:val="nb-NO"/>
    </w:rPr>
  </w:style>
  <w:style w:type="paragraph" w:styleId="En-tte">
    <w:name w:val="header"/>
    <w:basedOn w:val="Normal"/>
    <w:link w:val="En-tteCar"/>
    <w:uiPriority w:val="99"/>
    <w:rsid w:val="00F048B7"/>
    <w:pPr>
      <w:tabs>
        <w:tab w:val="center" w:pos="4536"/>
        <w:tab w:val="right" w:pos="9072"/>
      </w:tabs>
      <w:spacing w:after="0"/>
      <w:jc w:val="left"/>
    </w:pPr>
    <w:rPr>
      <w:b/>
    </w:rPr>
  </w:style>
  <w:style w:type="character" w:customStyle="1" w:styleId="En-tteCar">
    <w:name w:val="En-tête Car"/>
    <w:link w:val="En-tte"/>
    <w:uiPriority w:val="99"/>
    <w:semiHidden/>
    <w:locked/>
    <w:rPr>
      <w:rFonts w:ascii="Arial" w:hAnsi="Arial" w:cs="Times New Roman"/>
      <w:sz w:val="20"/>
      <w:szCs w:val="20"/>
      <w:lang w:val="nb-NO"/>
    </w:rPr>
  </w:style>
  <w:style w:type="paragraph" w:styleId="Liste">
    <w:name w:val="List"/>
    <w:basedOn w:val="Normal"/>
    <w:uiPriority w:val="99"/>
    <w:rsid w:val="00F048B7"/>
    <w:pPr>
      <w:tabs>
        <w:tab w:val="left" w:pos="1418"/>
      </w:tabs>
      <w:ind w:left="1418" w:hanging="567"/>
    </w:pPr>
  </w:style>
  <w:style w:type="paragraph" w:customStyle="1" w:styleId="Kopfzeile1">
    <w:name w:val="Kopfzeile1"/>
    <w:basedOn w:val="En-tte"/>
    <w:uiPriority w:val="99"/>
    <w:rsid w:val="00F048B7"/>
  </w:style>
  <w:style w:type="character" w:styleId="Appelnotedebasdep">
    <w:name w:val="footnote reference"/>
    <w:uiPriority w:val="99"/>
    <w:semiHidden/>
    <w:rsid w:val="00F048B7"/>
    <w:rPr>
      <w:rFonts w:cs="Times New Roman"/>
      <w:position w:val="6"/>
      <w:sz w:val="16"/>
    </w:rPr>
  </w:style>
  <w:style w:type="paragraph" w:styleId="Notedebasdepage">
    <w:name w:val="footnote text"/>
    <w:basedOn w:val="Normal"/>
    <w:link w:val="NotedebasdepageCar"/>
    <w:uiPriority w:val="99"/>
    <w:semiHidden/>
    <w:rsid w:val="00F048B7"/>
    <w:rPr>
      <w:sz w:val="20"/>
    </w:rPr>
  </w:style>
  <w:style w:type="character" w:customStyle="1" w:styleId="NotedebasdepageCar">
    <w:name w:val="Note de bas de page Car"/>
    <w:link w:val="Notedebasdepage"/>
    <w:uiPriority w:val="99"/>
    <w:semiHidden/>
    <w:locked/>
    <w:rPr>
      <w:rFonts w:ascii="Arial" w:hAnsi="Arial" w:cs="Times New Roman"/>
      <w:sz w:val="20"/>
      <w:szCs w:val="20"/>
      <w:lang w:val="nb-NO"/>
    </w:rPr>
  </w:style>
  <w:style w:type="character" w:styleId="Numrodepage">
    <w:name w:val="page number"/>
    <w:uiPriority w:val="99"/>
    <w:rsid w:val="00F048B7"/>
    <w:rPr>
      <w:rFonts w:cs="Times New Roman"/>
    </w:rPr>
  </w:style>
  <w:style w:type="paragraph" w:styleId="Explorateurdedocuments">
    <w:name w:val="Document Map"/>
    <w:basedOn w:val="Normal"/>
    <w:link w:val="ExplorateurdedocumentsCar"/>
    <w:uiPriority w:val="99"/>
    <w:semiHidden/>
    <w:rsid w:val="00F048B7"/>
    <w:pPr>
      <w:shd w:val="clear" w:color="auto" w:fill="000080"/>
    </w:pPr>
    <w:rPr>
      <w:rFonts w:ascii="Tahoma" w:hAnsi="Tahoma"/>
    </w:rPr>
  </w:style>
  <w:style w:type="character" w:customStyle="1" w:styleId="ExplorateurdedocumentsCar">
    <w:name w:val="Explorateur de documents Car"/>
    <w:link w:val="Explorateurdedocuments"/>
    <w:uiPriority w:val="99"/>
    <w:semiHidden/>
    <w:locked/>
    <w:rPr>
      <w:rFonts w:cs="Times New Roman"/>
      <w:sz w:val="2"/>
      <w:lang w:val="nb-NO"/>
    </w:rPr>
  </w:style>
  <w:style w:type="paragraph" w:styleId="Tabledesillustrations">
    <w:name w:val="table of figures"/>
    <w:basedOn w:val="Normal"/>
    <w:next w:val="Normal"/>
    <w:uiPriority w:val="99"/>
    <w:semiHidden/>
    <w:rsid w:val="00F048B7"/>
    <w:pPr>
      <w:ind w:left="400" w:hanging="400"/>
    </w:pPr>
    <w:rPr>
      <w:sz w:val="20"/>
      <w:lang w:val="de-DE"/>
    </w:rPr>
  </w:style>
  <w:style w:type="paragraph" w:styleId="Titre">
    <w:name w:val="Title"/>
    <w:basedOn w:val="Normal"/>
    <w:link w:val="TitreCar"/>
    <w:uiPriority w:val="99"/>
    <w:qFormat/>
    <w:rsid w:val="00F048B7"/>
    <w:pPr>
      <w:jc w:val="center"/>
    </w:pPr>
    <w:rPr>
      <w:b/>
      <w:sz w:val="28"/>
      <w:lang w:val="de-DE"/>
    </w:rPr>
  </w:style>
  <w:style w:type="character" w:customStyle="1" w:styleId="TitreCar">
    <w:name w:val="Titre Car"/>
    <w:link w:val="Titre"/>
    <w:uiPriority w:val="99"/>
    <w:locked/>
    <w:rPr>
      <w:rFonts w:ascii="Cambria" w:hAnsi="Cambria" w:cs="Times New Roman"/>
      <w:b/>
      <w:bCs/>
      <w:kern w:val="28"/>
      <w:sz w:val="32"/>
      <w:szCs w:val="32"/>
      <w:lang w:val="nb-NO"/>
    </w:rPr>
  </w:style>
  <w:style w:type="paragraph" w:customStyle="1" w:styleId="Kasten">
    <w:name w:val="Kasten"/>
    <w:basedOn w:val="Normal"/>
    <w:uiPriority w:val="99"/>
    <w:rsid w:val="00F048B7"/>
    <w:pPr>
      <w:pBdr>
        <w:top w:val="single" w:sz="12" w:space="1" w:color="auto"/>
        <w:left w:val="single" w:sz="12" w:space="4" w:color="auto"/>
        <w:bottom w:val="single" w:sz="12" w:space="1" w:color="auto"/>
        <w:right w:val="single" w:sz="12" w:space="4" w:color="auto"/>
      </w:pBdr>
    </w:pPr>
  </w:style>
  <w:style w:type="character" w:styleId="Lienhypertexte">
    <w:name w:val="Hyperlink"/>
    <w:uiPriority w:val="99"/>
    <w:rsid w:val="00F048B7"/>
    <w:rPr>
      <w:rFonts w:cs="Times New Roman"/>
      <w:color w:val="0000FF"/>
      <w:u w:val="single"/>
    </w:rPr>
  </w:style>
  <w:style w:type="paragraph" w:customStyle="1" w:styleId="Note">
    <w:name w:val="Note"/>
    <w:basedOn w:val="Normal"/>
    <w:next w:val="Normal"/>
    <w:uiPriority w:val="99"/>
    <w:rsid w:val="00F048B7"/>
    <w:pPr>
      <w:tabs>
        <w:tab w:val="left" w:pos="851"/>
      </w:tabs>
      <w:ind w:left="851" w:hanging="851"/>
    </w:pPr>
    <w:rPr>
      <w:b/>
      <w:lang w:val="en-GB"/>
    </w:rPr>
  </w:style>
  <w:style w:type="paragraph" w:customStyle="1" w:styleId="Header1">
    <w:name w:val="Header1"/>
    <w:basedOn w:val="En-tte"/>
    <w:link w:val="HeaderZchnZchn"/>
    <w:uiPriority w:val="99"/>
    <w:rsid w:val="00F048B7"/>
    <w:pPr>
      <w:spacing w:before="60"/>
    </w:pPr>
    <w:rPr>
      <w:lang w:eastAsia="ja-JP"/>
    </w:rPr>
  </w:style>
  <w:style w:type="character" w:customStyle="1" w:styleId="HeaderZchnZchn">
    <w:name w:val="Header Zchn Zchn"/>
    <w:link w:val="Header1"/>
    <w:uiPriority w:val="99"/>
    <w:locked/>
    <w:rsid w:val="00F048B7"/>
    <w:rPr>
      <w:rFonts w:ascii="Arial" w:hAnsi="Arial"/>
      <w:b/>
      <w:sz w:val="22"/>
      <w:lang w:val="nb-NO"/>
    </w:rPr>
  </w:style>
  <w:style w:type="paragraph" w:customStyle="1" w:styleId="ZchnZchnZchnZchnCharZchnZchn">
    <w:name w:val="Zchn Zchn Zchn Zchn Char Zchn Zchn"/>
    <w:basedOn w:val="Normal"/>
    <w:uiPriority w:val="99"/>
    <w:rsid w:val="00F048B7"/>
    <w:pPr>
      <w:numPr>
        <w:numId w:val="16"/>
      </w:numPr>
      <w:tabs>
        <w:tab w:val="left" w:pos="540"/>
        <w:tab w:val="left" w:pos="1260"/>
        <w:tab w:val="left" w:pos="1800"/>
      </w:tabs>
      <w:spacing w:before="240" w:after="160" w:line="240" w:lineRule="exact"/>
      <w:jc w:val="left"/>
    </w:pPr>
    <w:rPr>
      <w:rFonts w:ascii="Verdana" w:hAnsi="Verdana"/>
      <w:sz w:val="24"/>
      <w:lang w:val="en-US" w:eastAsia="en-US"/>
    </w:rPr>
  </w:style>
  <w:style w:type="paragraph" w:styleId="Textedebulles">
    <w:name w:val="Balloon Text"/>
    <w:basedOn w:val="Normal"/>
    <w:link w:val="TextedebullesCar"/>
    <w:uiPriority w:val="99"/>
    <w:rsid w:val="00567D6B"/>
    <w:pPr>
      <w:spacing w:after="0"/>
    </w:pPr>
    <w:rPr>
      <w:rFonts w:ascii="Tahoma" w:hAnsi="Tahoma" w:cs="Tahoma"/>
      <w:sz w:val="16"/>
      <w:szCs w:val="16"/>
    </w:rPr>
  </w:style>
  <w:style w:type="character" w:customStyle="1" w:styleId="TextedebullesCar">
    <w:name w:val="Texte de bulles Car"/>
    <w:link w:val="Textedebulles"/>
    <w:uiPriority w:val="99"/>
    <w:locked/>
    <w:rsid w:val="00567D6B"/>
    <w:rPr>
      <w:rFonts w:ascii="Tahoma" w:hAnsi="Tahoma" w:cs="Tahoma"/>
      <w:sz w:val="16"/>
      <w:szCs w:val="16"/>
      <w:lang w:val="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08-2011\CEPT\PT1\responsabilit&#233;s%20secretariat\template\ECC%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ECC Template</Template>
  <TotalTime>1</TotalTime>
  <Pages>2</Pages>
  <Words>599</Words>
  <Characters>3295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Cover page</vt:lpstr>
    </vt:vector>
  </TitlesOfParts>
  <Company>BNetzA</Company>
  <LinksUpToDate>false</LinksUpToDate>
  <CharactersWithSpaces>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ANFR</dc:creator>
  <cp:keywords>ECC, CEPT, Template</cp:keywords>
  <cp:lastModifiedBy>auteur</cp:lastModifiedBy>
  <cp:revision>3</cp:revision>
  <cp:lastPrinted>1999-09-27T13:20:00Z</cp:lastPrinted>
  <dcterms:created xsi:type="dcterms:W3CDTF">2013-01-09T13:15:00Z</dcterms:created>
  <dcterms:modified xsi:type="dcterms:W3CDTF">2013-01-09T13:16:00Z</dcterms:modified>
</cp:coreProperties>
</file>