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346C62" w:rsidRPr="0098621D">
        <w:trPr>
          <w:cantSplit/>
        </w:trPr>
        <w:tc>
          <w:tcPr>
            <w:tcW w:w="6071" w:type="dxa"/>
            <w:gridSpan w:val="3"/>
            <w:tcBorders>
              <w:top w:val="nil"/>
              <w:left w:val="nil"/>
              <w:bottom w:val="nil"/>
              <w:right w:val="nil"/>
            </w:tcBorders>
          </w:tcPr>
          <w:p w:rsidR="00346C62" w:rsidRPr="0098621D" w:rsidRDefault="001E7921" w:rsidP="00215746">
            <w:pPr>
              <w:pStyle w:val="Kopfzeile1"/>
            </w:pPr>
            <w:r>
              <w:rPr>
                <w:noProof/>
                <w:lang w:val="de-DE"/>
              </w:rPr>
              <w:drawing>
                <wp:inline distT="0" distB="0" distL="0" distR="0">
                  <wp:extent cx="1619250" cy="82613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826135"/>
                          </a:xfrm>
                          <a:prstGeom prst="rect">
                            <a:avLst/>
                          </a:prstGeom>
                          <a:noFill/>
                          <a:ln>
                            <a:noFill/>
                          </a:ln>
                        </pic:spPr>
                      </pic:pic>
                    </a:graphicData>
                  </a:graphic>
                </wp:inline>
              </w:drawing>
            </w:r>
            <w:r w:rsidR="00ED7AEC">
              <w:t>Plenary</w:t>
            </w:r>
          </w:p>
          <w:p w:rsidR="00346C62" w:rsidRPr="0098621D" w:rsidRDefault="00346C62" w:rsidP="00215746">
            <w:pPr>
              <w:pStyle w:val="Kopfzeile1"/>
              <w:rPr>
                <w:rFonts w:cs="Arial"/>
                <w:color w:val="000000"/>
                <w:lang w:val="en-GB"/>
              </w:rPr>
            </w:pPr>
          </w:p>
        </w:tc>
        <w:tc>
          <w:tcPr>
            <w:tcW w:w="3569" w:type="dxa"/>
            <w:tcBorders>
              <w:top w:val="nil"/>
              <w:left w:val="nil"/>
              <w:bottom w:val="nil"/>
              <w:right w:val="nil"/>
            </w:tcBorders>
          </w:tcPr>
          <w:p w:rsidR="00346C62" w:rsidRPr="00346C62" w:rsidRDefault="0098621D" w:rsidP="0095360D">
            <w:pPr>
              <w:pStyle w:val="Kopfzeile1"/>
              <w:tabs>
                <w:tab w:val="clear" w:pos="4536"/>
                <w:tab w:val="right" w:pos="3357"/>
              </w:tabs>
            </w:pPr>
            <w:r>
              <w:tab/>
            </w:r>
            <w:r w:rsidR="00533846">
              <w:t>Doc</w:t>
            </w:r>
            <w:r w:rsidR="00ED7AEC">
              <w:t>. ECC(12)</w:t>
            </w:r>
            <w:r w:rsidR="00551819">
              <w:t>0</w:t>
            </w:r>
            <w:r w:rsidR="0095360D">
              <w:t>48</w:t>
            </w: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98621D" w:rsidRDefault="00ED7AEC" w:rsidP="00A944A1">
            <w:pPr>
              <w:pStyle w:val="Kopfzeile1"/>
            </w:pPr>
            <w:r>
              <w:t>3</w:t>
            </w:r>
            <w:r w:rsidR="00A944A1">
              <w:t>2</w:t>
            </w:r>
            <w:r w:rsidR="00A944A1">
              <w:rPr>
                <w:vertAlign w:val="superscript"/>
              </w:rPr>
              <w:t>nd</w:t>
            </w:r>
            <w:r>
              <w:t xml:space="preserve"> </w:t>
            </w:r>
            <w:r w:rsidR="001E0E49">
              <w:t>Meeting</w:t>
            </w:r>
          </w:p>
        </w:tc>
        <w:tc>
          <w:tcPr>
            <w:tcW w:w="5300" w:type="dxa"/>
            <w:gridSpan w:val="2"/>
            <w:tcBorders>
              <w:top w:val="nil"/>
              <w:left w:val="nil"/>
              <w:bottom w:val="nil"/>
              <w:right w:val="nil"/>
            </w:tcBorders>
            <w:vAlign w:val="center"/>
          </w:tcPr>
          <w:p w:rsidR="00346C62" w:rsidRPr="0098621D" w:rsidRDefault="00346C62" w:rsidP="00215746">
            <w:pPr>
              <w:pStyle w:val="Kopfzeile1"/>
              <w:rPr>
                <w:lang w:val="en-GB"/>
              </w:rPr>
            </w:pP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98621D" w:rsidRDefault="00A944A1" w:rsidP="005233B4">
            <w:pPr>
              <w:pStyle w:val="Kopfzeile1"/>
            </w:pPr>
            <w:r>
              <w:t>Vilnius</w:t>
            </w:r>
            <w:r w:rsidR="001E0E49">
              <w:t xml:space="preserve">, </w:t>
            </w:r>
            <w:r w:rsidR="005233B4">
              <w:t>30</w:t>
            </w:r>
            <w:r w:rsidR="00ED7AEC" w:rsidRPr="00ED7AEC">
              <w:rPr>
                <w:vertAlign w:val="superscript"/>
              </w:rPr>
              <w:t>th</w:t>
            </w:r>
            <w:r w:rsidR="00ED7AEC">
              <w:t xml:space="preserve"> </w:t>
            </w:r>
            <w:r w:rsidR="005233B4">
              <w:t>Oct</w:t>
            </w:r>
            <w:r w:rsidR="00ED7AEC">
              <w:t xml:space="preserve"> – </w:t>
            </w:r>
            <w:r>
              <w:t>2</w:t>
            </w:r>
            <w:r>
              <w:rPr>
                <w:vertAlign w:val="superscript"/>
              </w:rPr>
              <w:t>nd</w:t>
            </w:r>
            <w:r w:rsidR="00ED7AEC">
              <w:t xml:space="preserve"> </w:t>
            </w:r>
            <w:r w:rsidR="005233B4">
              <w:t>Nov</w:t>
            </w:r>
            <w:r w:rsidR="00ED7AEC">
              <w:t xml:space="preserve"> 2012</w:t>
            </w:r>
          </w:p>
        </w:tc>
        <w:tc>
          <w:tcPr>
            <w:tcW w:w="5300" w:type="dxa"/>
            <w:gridSpan w:val="2"/>
            <w:tcBorders>
              <w:top w:val="nil"/>
              <w:left w:val="nil"/>
              <w:bottom w:val="nil"/>
              <w:right w:val="nil"/>
            </w:tcBorders>
            <w:vAlign w:val="center"/>
          </w:tcPr>
          <w:p w:rsidR="00346C62" w:rsidRPr="00A944A1" w:rsidRDefault="00346C62" w:rsidP="00215746">
            <w:pPr>
              <w:pStyle w:val="Kopfzeile1"/>
            </w:pPr>
          </w:p>
        </w:tc>
      </w:tr>
      <w:tr w:rsidR="00F05B26" w:rsidRPr="0098621D">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F05B26" w:rsidRPr="0098621D" w:rsidRDefault="00F05B26" w:rsidP="00215746">
            <w:pPr>
              <w:pStyle w:val="Kopfzeile1"/>
              <w:rPr>
                <w:sz w:val="8"/>
              </w:rPr>
            </w:pPr>
          </w:p>
        </w:tc>
        <w:tc>
          <w:tcPr>
            <w:tcW w:w="5300" w:type="dxa"/>
            <w:gridSpan w:val="2"/>
            <w:tcBorders>
              <w:top w:val="nil"/>
              <w:left w:val="nil"/>
              <w:bottom w:val="nil"/>
              <w:right w:val="nil"/>
            </w:tcBorders>
            <w:vAlign w:val="center"/>
          </w:tcPr>
          <w:p w:rsidR="00F05B26" w:rsidRPr="0098621D" w:rsidRDefault="00F05B26" w:rsidP="00215746">
            <w:pPr>
              <w:pStyle w:val="Kopfzeile1"/>
              <w:rPr>
                <w:sz w:val="8"/>
                <w:lang w:val="en-GB"/>
              </w:rPr>
            </w:pP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98621D" w:rsidRDefault="00F05B26" w:rsidP="00215746">
            <w:pPr>
              <w:pStyle w:val="Kopfzeile1"/>
            </w:pPr>
            <w:r w:rsidRPr="0098621D">
              <w:t>Date issued:</w:t>
            </w:r>
            <w:r w:rsidR="005269EA">
              <w:t xml:space="preserve"> </w:t>
            </w:r>
          </w:p>
        </w:tc>
        <w:tc>
          <w:tcPr>
            <w:tcW w:w="7797" w:type="dxa"/>
            <w:gridSpan w:val="3"/>
            <w:tcBorders>
              <w:top w:val="nil"/>
              <w:left w:val="nil"/>
              <w:bottom w:val="nil"/>
              <w:right w:val="nil"/>
            </w:tcBorders>
            <w:vAlign w:val="center"/>
          </w:tcPr>
          <w:p w:rsidR="00F05B26" w:rsidRPr="0098621D" w:rsidRDefault="00A944A1" w:rsidP="00A944A1">
            <w:pPr>
              <w:pStyle w:val="Kopfzeile1"/>
              <w:rPr>
                <w:lang w:val="en-GB"/>
              </w:rPr>
            </w:pPr>
            <w:r>
              <w:rPr>
                <w:lang w:val="en-GB"/>
              </w:rPr>
              <w:t>24</w:t>
            </w:r>
            <w:r w:rsidR="008108A3" w:rsidRPr="008108A3">
              <w:rPr>
                <w:vertAlign w:val="superscript"/>
                <w:lang w:val="en-GB"/>
              </w:rPr>
              <w:t>th</w:t>
            </w:r>
            <w:r w:rsidR="008108A3">
              <w:rPr>
                <w:lang w:val="en-GB"/>
              </w:rPr>
              <w:t xml:space="preserve"> </w:t>
            </w:r>
            <w:r>
              <w:rPr>
                <w:lang w:val="en-GB"/>
              </w:rPr>
              <w:t>October</w:t>
            </w:r>
            <w:r w:rsidR="00551819">
              <w:rPr>
                <w:lang w:val="en-GB"/>
              </w:rPr>
              <w:t xml:space="preserve"> 2012</w:t>
            </w:r>
            <w:bookmarkStart w:id="0" w:name="_GoBack"/>
            <w:bookmarkEnd w:id="0"/>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98621D" w:rsidRDefault="00F05B26" w:rsidP="00215746">
            <w:pPr>
              <w:pStyle w:val="Kopfzeile1"/>
            </w:pPr>
            <w:r w:rsidRPr="0098621D">
              <w:t>Source:</w:t>
            </w:r>
            <w:r w:rsidR="00ED7AEC">
              <w:t xml:space="preserve"> </w:t>
            </w:r>
          </w:p>
        </w:tc>
        <w:tc>
          <w:tcPr>
            <w:tcW w:w="7797" w:type="dxa"/>
            <w:gridSpan w:val="3"/>
            <w:tcBorders>
              <w:top w:val="nil"/>
              <w:left w:val="nil"/>
              <w:bottom w:val="nil"/>
              <w:right w:val="nil"/>
            </w:tcBorders>
            <w:vAlign w:val="center"/>
          </w:tcPr>
          <w:p w:rsidR="00F05B26" w:rsidRPr="0098621D" w:rsidRDefault="00551819" w:rsidP="00215746">
            <w:pPr>
              <w:pStyle w:val="Kopfzeile1"/>
              <w:rPr>
                <w:lang w:val="en-GB"/>
              </w:rPr>
            </w:pPr>
            <w:r>
              <w:rPr>
                <w:lang w:val="en-GB"/>
              </w:rPr>
              <w:t xml:space="preserve">ECO </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98621D" w:rsidRDefault="00F05B26" w:rsidP="00215746">
            <w:pPr>
              <w:pStyle w:val="Kopfzeile1"/>
            </w:pPr>
            <w:r w:rsidRPr="0098621D">
              <w:rPr>
                <w:lang w:val="en-GB"/>
              </w:rPr>
              <w:t>Subject:</w:t>
            </w:r>
            <w:r w:rsidR="005269EA">
              <w:rPr>
                <w:lang w:val="en-GB"/>
              </w:rPr>
              <w:t xml:space="preserve"> </w:t>
            </w:r>
          </w:p>
        </w:tc>
        <w:tc>
          <w:tcPr>
            <w:tcW w:w="7797" w:type="dxa"/>
            <w:gridSpan w:val="3"/>
            <w:tcBorders>
              <w:top w:val="nil"/>
              <w:left w:val="nil"/>
              <w:bottom w:val="nil"/>
              <w:right w:val="nil"/>
            </w:tcBorders>
            <w:vAlign w:val="center"/>
          </w:tcPr>
          <w:p w:rsidR="00F05B26" w:rsidRPr="001E0E49" w:rsidRDefault="00551819" w:rsidP="001E0E49">
            <w:pPr>
              <w:pStyle w:val="Kopfzeile1"/>
              <w:rPr>
                <w:lang w:val="en-GB"/>
              </w:rPr>
            </w:pPr>
            <w:r>
              <w:rPr>
                <w:lang w:val="en-GB"/>
              </w:rPr>
              <w:t xml:space="preserve">ECO Bulletin on </w:t>
            </w:r>
            <w:proofErr w:type="spellStart"/>
            <w:r>
              <w:rPr>
                <w:lang w:val="en-GB"/>
              </w:rPr>
              <w:t>ongoing</w:t>
            </w:r>
            <w:proofErr w:type="spellEnd"/>
            <w:r>
              <w:rPr>
                <w:lang w:val="en-GB"/>
              </w:rPr>
              <w:t>/new issues in other regions or organisations</w:t>
            </w:r>
          </w:p>
        </w:tc>
      </w:tr>
      <w:tr w:rsidR="00493F86" w:rsidRPr="0098621D"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493F86" w:rsidRPr="006D7413" w:rsidRDefault="001E7921" w:rsidP="00FF320E">
            <w:pPr>
              <w:rPr>
                <w:rFonts w:cs="Arial"/>
                <w:szCs w:val="24"/>
                <w:lang w:val="en-GB"/>
              </w:rPr>
            </w:pPr>
            <w:r>
              <w:rPr>
                <w:noProof/>
                <w:lang w:val="de-DE"/>
              </w:rPr>
              <mc:AlternateContent>
                <mc:Choice Requires="wps">
                  <w:drawing>
                    <wp:anchor distT="0" distB="0" distL="114300" distR="114300" simplePos="0" relativeHeight="251657728" behindDoc="1" locked="0" layoutInCell="1" allowOverlap="1">
                      <wp:simplePos x="0" y="0"/>
                      <wp:positionH relativeFrom="column">
                        <wp:posOffset>2454910</wp:posOffset>
                      </wp:positionH>
                      <wp:positionV relativeFrom="paragraph">
                        <wp:posOffset>192405</wp:posOffset>
                      </wp:positionV>
                      <wp:extent cx="457200" cy="271145"/>
                      <wp:effectExtent l="0" t="0" r="19050" b="14605"/>
                      <wp:wrapTight wrapText="bothSides">
                        <wp:wrapPolygon edited="0">
                          <wp:start x="0" y="0"/>
                          <wp:lineTo x="0" y="21246"/>
                          <wp:lineTo x="21600" y="2124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1C151E" w:rsidRPr="00254FD9" w:rsidRDefault="001C151E"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3pt;margin-top:15.1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">
                      <v:textbox>
                        <w:txbxContent>
                          <w:p w:rsidR="001C151E" w:rsidRPr="00254FD9" w:rsidRDefault="001C151E"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Default="00493F86" w:rsidP="00FF320E">
            <w:pPr>
              <w:rPr>
                <w:lang w:val="en-GB"/>
              </w:rPr>
            </w:pPr>
            <w:r w:rsidRPr="0016435A">
              <w:rPr>
                <w:lang w:val="en-GB"/>
              </w:rPr>
              <w:t xml:space="preserve">Password protection required? (Y/N) </w:t>
            </w:r>
          </w:p>
          <w:p w:rsidR="00493F86" w:rsidRPr="00DD103C" w:rsidRDefault="00493F86" w:rsidP="00FF320E">
            <w:pPr>
              <w:pStyle w:val="Header1"/>
              <w:rPr>
                <w:lang w:val="en-GB"/>
              </w:rPr>
            </w:pPr>
          </w:p>
        </w:tc>
      </w:tr>
      <w:tr w:rsidR="00493F86" w:rsidRPr="0098621D"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493F86" w:rsidRPr="003D778B" w:rsidRDefault="00493F86" w:rsidP="00FF320E">
            <w:pPr>
              <w:pStyle w:val="Header1"/>
            </w:pPr>
          </w:p>
          <w:p w:rsidR="00493F86" w:rsidRPr="0098621D" w:rsidRDefault="00493F86" w:rsidP="00FF320E">
            <w:pPr>
              <w:pStyle w:val="Header1"/>
              <w:rPr>
                <w:sz w:val="8"/>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551819" w:rsidRDefault="001E0E49" w:rsidP="00B373C6">
            <w:pPr>
              <w:pStyle w:val="Kopfzeile1"/>
              <w:rPr>
                <w:lang w:val="en-US"/>
              </w:rPr>
            </w:pPr>
            <w:r w:rsidRPr="001E0E49">
              <w:rPr>
                <w:lang w:val="en-US"/>
              </w:rPr>
              <w:t>Summary:</w:t>
            </w:r>
            <w:r>
              <w:rPr>
                <w:lang w:val="en-US"/>
              </w:rPr>
              <w:t xml:space="preserve"> </w:t>
            </w:r>
          </w:p>
        </w:tc>
      </w:tr>
      <w:tr w:rsidR="001E0E49" w:rsidRPr="00D4406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bottom w:val="single" w:sz="4" w:space="0" w:color="auto"/>
            </w:tcBorders>
          </w:tcPr>
          <w:p w:rsidR="00551819" w:rsidRDefault="00551819" w:rsidP="00551819">
            <w:r>
              <w:t>This bulletin provides a summary update on aspects of the progress in the USA</w:t>
            </w:r>
            <w:r w:rsidR="003C0687">
              <w:t xml:space="preserve">, Canada, </w:t>
            </w:r>
            <w:r w:rsidR="009753CD">
              <w:t xml:space="preserve">China, </w:t>
            </w:r>
            <w:r>
              <w:t>the Asia Pacific Region</w:t>
            </w:r>
            <w:r w:rsidR="003C0687">
              <w:t xml:space="preserve"> and progress in 3GPP</w:t>
            </w:r>
            <w:r w:rsidR="003519DD">
              <w:t xml:space="preserve"> as well as one item from ETSI </w:t>
            </w:r>
            <w:r>
              <w:t>of several issues already familiar to the ECC. These are inter-alia:</w:t>
            </w:r>
          </w:p>
          <w:p w:rsidR="00551819" w:rsidRDefault="009753CD" w:rsidP="009753CD">
            <w:pPr>
              <w:numPr>
                <w:ilvl w:val="0"/>
                <w:numId w:val="26"/>
              </w:numPr>
            </w:pPr>
            <w:r>
              <w:t>Canada: F</w:t>
            </w:r>
            <w:r w:rsidRPr="009753CD">
              <w:t>ixed Service Decisions on the Frequency Bands 71-76 GHz, 81-86 GHz and 92-95 GHz</w:t>
            </w:r>
            <w:r>
              <w:t>;</w:t>
            </w:r>
          </w:p>
          <w:p w:rsidR="009753CD" w:rsidRPr="009753CD" w:rsidRDefault="009753CD" w:rsidP="009753CD">
            <w:pPr>
              <w:numPr>
                <w:ilvl w:val="0"/>
                <w:numId w:val="26"/>
              </w:numPr>
            </w:pPr>
            <w:r>
              <w:t xml:space="preserve">FCC: </w:t>
            </w:r>
            <w:r w:rsidRPr="009753CD">
              <w:t>Fixed Service in the 41.0-42.5 GHz Band</w:t>
            </w:r>
            <w:r>
              <w:t>;</w:t>
            </w:r>
          </w:p>
          <w:p w:rsidR="009753CD" w:rsidRDefault="009753CD" w:rsidP="009753CD">
            <w:pPr>
              <w:numPr>
                <w:ilvl w:val="0"/>
                <w:numId w:val="26"/>
              </w:numPr>
            </w:pPr>
            <w:r>
              <w:t xml:space="preserve">FCC: </w:t>
            </w:r>
            <w:r w:rsidRPr="009753CD">
              <w:t>MBANS (Medical Body Area Networks)</w:t>
            </w:r>
            <w:r>
              <w:t>;</w:t>
            </w:r>
          </w:p>
          <w:p w:rsidR="009753CD" w:rsidRPr="009753CD" w:rsidRDefault="009753CD" w:rsidP="009753CD">
            <w:pPr>
              <w:numPr>
                <w:ilvl w:val="0"/>
                <w:numId w:val="26"/>
              </w:numPr>
            </w:pPr>
            <w:r>
              <w:t xml:space="preserve">FCC: </w:t>
            </w:r>
            <w:r w:rsidRPr="009753CD">
              <w:t>SRD applications</w:t>
            </w:r>
            <w:r>
              <w:t>;</w:t>
            </w:r>
          </w:p>
          <w:p w:rsidR="009753CD" w:rsidRPr="009753CD" w:rsidRDefault="009753CD" w:rsidP="009753CD">
            <w:pPr>
              <w:numPr>
                <w:ilvl w:val="0"/>
                <w:numId w:val="26"/>
              </w:numPr>
            </w:pPr>
            <w:r>
              <w:t xml:space="preserve">China: </w:t>
            </w:r>
            <w:r w:rsidRPr="009753CD">
              <w:t>Direct Air To Ground Communications</w:t>
            </w:r>
            <w:r>
              <w:t>;</w:t>
            </w:r>
          </w:p>
          <w:p w:rsidR="009753CD" w:rsidRPr="009753CD" w:rsidRDefault="009753CD" w:rsidP="009753CD">
            <w:pPr>
              <w:numPr>
                <w:ilvl w:val="0"/>
                <w:numId w:val="26"/>
              </w:numPr>
            </w:pPr>
            <w:r w:rsidRPr="009753CD">
              <w:t>FCC Launches Incentive Auction Proceeding to Free Spectrum for Mobile Broadband and Data</w:t>
            </w:r>
            <w:r>
              <w:t>;</w:t>
            </w:r>
          </w:p>
          <w:p w:rsidR="009753CD" w:rsidRDefault="009753CD" w:rsidP="009753CD">
            <w:pPr>
              <w:numPr>
                <w:ilvl w:val="0"/>
                <w:numId w:val="26"/>
              </w:numPr>
            </w:pPr>
            <w:r>
              <w:t xml:space="preserve">3GPP: </w:t>
            </w:r>
            <w:r w:rsidRPr="009753CD">
              <w:t>GSM-R (here: GSM-R extension in 873-876/918-921 MHz)</w:t>
            </w:r>
            <w:r>
              <w:t>;</w:t>
            </w:r>
          </w:p>
          <w:p w:rsidR="009753CD" w:rsidRPr="009753CD" w:rsidRDefault="009753CD" w:rsidP="009753CD">
            <w:pPr>
              <w:numPr>
                <w:ilvl w:val="0"/>
                <w:numId w:val="26"/>
              </w:numPr>
            </w:pPr>
            <w:r w:rsidRPr="009753CD">
              <w:t>FCC recent actions against operating devices that caused interference to Weather Radars maintained by the Federal Aviation Administration (FAA) operating in the 5600-5650 MHz band</w:t>
            </w:r>
            <w:r>
              <w:t>;</w:t>
            </w:r>
          </w:p>
          <w:p w:rsidR="009753CD" w:rsidRPr="009753CD" w:rsidRDefault="009753CD" w:rsidP="009753CD">
            <w:pPr>
              <w:numPr>
                <w:ilvl w:val="0"/>
                <w:numId w:val="26"/>
              </w:numPr>
            </w:pPr>
            <w:r w:rsidRPr="009753CD">
              <w:t>APT Wireless Group Workplan and the Draft Report of the AWG-13 Meeting</w:t>
            </w:r>
            <w:r>
              <w:t xml:space="preserve"> (most notably work on WRC-15 a.i. 1.1, 2.3 GHz, PPDR, SRD, UWB);</w:t>
            </w:r>
          </w:p>
          <w:p w:rsidR="007E66F0" w:rsidRDefault="009753CD" w:rsidP="009753CD">
            <w:pPr>
              <w:numPr>
                <w:ilvl w:val="0"/>
                <w:numId w:val="26"/>
              </w:numPr>
            </w:pPr>
            <w:r>
              <w:t xml:space="preserve">3GPP SA1: </w:t>
            </w:r>
            <w:r w:rsidRPr="009753CD">
              <w:t>PPDR standardisation</w:t>
            </w:r>
            <w:r w:rsidR="007E66F0">
              <w:t>;</w:t>
            </w:r>
          </w:p>
          <w:p w:rsidR="009753CD" w:rsidRDefault="007E66F0" w:rsidP="009753CD">
            <w:pPr>
              <w:numPr>
                <w:ilvl w:val="0"/>
                <w:numId w:val="26"/>
              </w:numPr>
            </w:pPr>
            <w:r>
              <w:t>ETSI TC ITS (overview on ITS standardisation)</w:t>
            </w:r>
            <w:r w:rsidR="003519DD">
              <w:t>, included here since it’s a development of a radio system also relevant for other regions and with a EU-US harmonisation task force in place.</w:t>
            </w:r>
          </w:p>
          <w:p w:rsidR="00551819" w:rsidRDefault="00551819" w:rsidP="00551819">
            <w:r>
              <w:t xml:space="preserve">The more general review of activities in other regions has not identified developments which suggest new items of work to be considered (indeed, most of the items are already under progress in the ECC as well). </w:t>
            </w:r>
          </w:p>
          <w:p w:rsidR="001E0E49" w:rsidRDefault="00551819" w:rsidP="00551819">
            <w:r>
              <w:t>This bulletin summarises the issues reported, with some original documents embedded electronically for reference.</w:t>
            </w:r>
          </w:p>
          <w:p w:rsidR="003519DD" w:rsidRDefault="003519DD" w:rsidP="00551819"/>
          <w:p w:rsidR="003519DD" w:rsidRPr="001E0E49" w:rsidRDefault="003519DD" w:rsidP="00551819"/>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1E0E49" w:rsidRDefault="001E0E49" w:rsidP="001E0E49">
            <w:pPr>
              <w:pStyle w:val="Kopfzeile1"/>
              <w:rPr>
                <w:lang w:val="en-US"/>
              </w:rPr>
            </w:pPr>
            <w:r>
              <w:rPr>
                <w:lang w:val="en-US"/>
              </w:rPr>
              <w:lastRenderedPageBreak/>
              <w:t xml:space="preserve">Proposal: </w:t>
            </w: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bottom w:val="single" w:sz="4" w:space="0" w:color="auto"/>
            </w:tcBorders>
          </w:tcPr>
          <w:p w:rsidR="001E0E49" w:rsidRDefault="00551819" w:rsidP="00CE361B">
            <w:pPr>
              <w:rPr>
                <w:lang w:val="en-US"/>
              </w:rPr>
            </w:pPr>
            <w:r w:rsidRPr="00551819">
              <w:rPr>
                <w:lang w:val="en-US"/>
              </w:rPr>
              <w:t>This bulletin is to note by the ECC. More detailed input on some of the subjects covered is being input to the groups dealing with the respective subject</w:t>
            </w:r>
            <w:r w:rsidR="00CE361B">
              <w:rPr>
                <w:lang w:val="en-US"/>
              </w:rPr>
              <w:t>.</w:t>
            </w: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4"/>
            <w:tcBorders>
              <w:bottom w:val="nil"/>
            </w:tcBorders>
          </w:tcPr>
          <w:p w:rsidR="001E0E49" w:rsidRDefault="001E0E49" w:rsidP="001E0E49">
            <w:pPr>
              <w:pStyle w:val="Kopfzeile1"/>
              <w:rPr>
                <w:lang w:val="en-US"/>
              </w:rPr>
            </w:pPr>
            <w:r>
              <w:rPr>
                <w:lang w:val="en-US"/>
              </w:rPr>
              <w:t>Background:</w:t>
            </w:r>
            <w:r w:rsidR="00ED7AEC">
              <w:rPr>
                <w:lang w:val="en-US"/>
              </w:rPr>
              <w:t xml:space="preserve"> </w:t>
            </w:r>
          </w:p>
        </w:tc>
      </w:tr>
      <w:tr w:rsidR="001E0E49" w:rsidRPr="00E305F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4"/>
            <w:tcBorders>
              <w:top w:val="nil"/>
              <w:bottom w:val="single" w:sz="4" w:space="0" w:color="auto"/>
            </w:tcBorders>
          </w:tcPr>
          <w:p w:rsidR="001E0E49" w:rsidRPr="00E305FF" w:rsidRDefault="00551819" w:rsidP="004002F7">
            <w:pPr>
              <w:rPr>
                <w:bCs/>
                <w:szCs w:val="24"/>
                <w:lang w:val="en-GB"/>
              </w:rPr>
            </w:pPr>
            <w:r w:rsidRPr="00551819">
              <w:rPr>
                <w:bCs/>
                <w:szCs w:val="24"/>
                <w:lang w:val="en-GB"/>
              </w:rPr>
              <w:t>The Office brings to each ECC meeting a bulletin on activities in radio communications in other world regions, where a regulatory dimension is raised (e.g. by innovative services or technology). 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DE5E01" w:rsidRDefault="00DE5E01" w:rsidP="00551819">
      <w:pPr>
        <w:rPr>
          <w:lang w:val="en-GB"/>
        </w:rPr>
      </w:pPr>
    </w:p>
    <w:p w:rsidR="00551819" w:rsidRPr="00A944A1" w:rsidRDefault="00A944A1" w:rsidP="00A944A1">
      <w:pPr>
        <w:pStyle w:val="berschrift1"/>
      </w:pPr>
      <w:r>
        <w:t xml:space="preserve">Fixed Service - </w:t>
      </w:r>
      <w:r w:rsidRPr="00A944A1">
        <w:t>Decisions on the Frequency Bands 71-76 GHz, 81-86 GHz and 92-95 GHz</w:t>
      </w:r>
    </w:p>
    <w:p w:rsidR="00A944A1" w:rsidRDefault="00A944A1" w:rsidP="00551819">
      <w:pPr>
        <w:rPr>
          <w:rFonts w:cs="Arial"/>
          <w:szCs w:val="22"/>
        </w:rPr>
      </w:pPr>
      <w:r w:rsidRPr="00A944A1">
        <w:rPr>
          <w:rFonts w:cs="Arial"/>
          <w:szCs w:val="22"/>
          <w:u w:val="single"/>
        </w:rPr>
        <w:t>Industry Canada</w:t>
      </w:r>
      <w:r>
        <w:rPr>
          <w:rFonts w:cs="Arial"/>
          <w:szCs w:val="22"/>
        </w:rPr>
        <w:t>: A</w:t>
      </w:r>
      <w:r w:rsidRPr="00A944A1">
        <w:rPr>
          <w:rFonts w:cs="Arial"/>
          <w:szCs w:val="22"/>
        </w:rPr>
        <w:t xml:space="preserve"> spectrum utili</w:t>
      </w:r>
      <w:r>
        <w:rPr>
          <w:rFonts w:cs="Arial"/>
          <w:szCs w:val="22"/>
        </w:rPr>
        <w:t>s</w:t>
      </w:r>
      <w:r w:rsidRPr="00A944A1">
        <w:rPr>
          <w:rFonts w:cs="Arial"/>
          <w:szCs w:val="22"/>
        </w:rPr>
        <w:t>ation policy, announced in Canada Gazette notice SMSE-008-12</w:t>
      </w:r>
      <w:r>
        <w:rPr>
          <w:rFonts w:cs="Arial"/>
          <w:szCs w:val="22"/>
        </w:rPr>
        <w:t xml:space="preserve"> in June 2012</w:t>
      </w:r>
      <w:r w:rsidRPr="00A944A1">
        <w:rPr>
          <w:rFonts w:cs="Arial"/>
          <w:szCs w:val="22"/>
        </w:rPr>
        <w:t>, addresses the introduction of fixed radio systems into the frequency bands 71-76 GHz, 81-86 GHz and 92-95 GHz, including the band plan, technical specifications and licensing framework.</w:t>
      </w:r>
      <w:r>
        <w:rPr>
          <w:rFonts w:cs="Arial"/>
          <w:szCs w:val="22"/>
        </w:rPr>
        <w:t xml:space="preserve"> It seems to </w:t>
      </w:r>
      <w:r w:rsidRPr="00A944A1">
        <w:rPr>
          <w:rFonts w:cs="Arial"/>
          <w:szCs w:val="22"/>
        </w:rPr>
        <w:t xml:space="preserve">aligns well with the </w:t>
      </w:r>
      <w:r>
        <w:rPr>
          <w:rFonts w:cs="Arial"/>
          <w:szCs w:val="22"/>
        </w:rPr>
        <w:t xml:space="preserve">respective </w:t>
      </w:r>
      <w:r w:rsidRPr="00A944A1">
        <w:rPr>
          <w:rFonts w:cs="Arial"/>
          <w:szCs w:val="22"/>
        </w:rPr>
        <w:t>ECC Recommendation</w:t>
      </w:r>
      <w:r w:rsidR="00E026ED">
        <w:rPr>
          <w:rFonts w:cs="Arial"/>
          <w:szCs w:val="22"/>
        </w:rPr>
        <w:t xml:space="preserve"> (05)07</w:t>
      </w:r>
      <w:r w:rsidRPr="00A944A1">
        <w:rPr>
          <w:rFonts w:cs="Arial"/>
          <w:szCs w:val="22"/>
        </w:rPr>
        <w:t xml:space="preserve"> at 70 and 80GHz</w:t>
      </w:r>
      <w:r>
        <w:rPr>
          <w:rFonts w:cs="Arial"/>
          <w:szCs w:val="22"/>
        </w:rPr>
        <w:t xml:space="preserve">. </w:t>
      </w:r>
      <w:hyperlink r:id="rId10" w:history="1">
        <w:r w:rsidRPr="00A944A1">
          <w:rPr>
            <w:rStyle w:val="Hyperlink"/>
            <w:rFonts w:cs="Arial"/>
            <w:szCs w:val="22"/>
          </w:rPr>
          <w:t>Link</w:t>
        </w:r>
      </w:hyperlink>
    </w:p>
    <w:p w:rsidR="00A944A1" w:rsidRDefault="00651CE9" w:rsidP="00551819">
      <w:pPr>
        <w:rPr>
          <w:rFonts w:cs="Arial"/>
          <w:szCs w:val="22"/>
        </w:rPr>
      </w:pPr>
      <w:r>
        <w:rPr>
          <w:rFonts w:cs="Arial"/>
          <w:szCs w:val="22"/>
        </w:rPr>
        <w:t xml:space="preserve">(relevant to </w:t>
      </w:r>
      <w:r w:rsidR="00E026ED">
        <w:rPr>
          <w:rFonts w:cs="Arial"/>
          <w:szCs w:val="22"/>
        </w:rPr>
        <w:t xml:space="preserve">WGSE / PT </w:t>
      </w:r>
      <w:r>
        <w:rPr>
          <w:rFonts w:cs="Arial"/>
          <w:szCs w:val="22"/>
        </w:rPr>
        <w:t>SE19)</w:t>
      </w:r>
    </w:p>
    <w:p w:rsidR="00A944A1" w:rsidRPr="00A944A1" w:rsidRDefault="00A944A1" w:rsidP="00A944A1">
      <w:pPr>
        <w:pStyle w:val="berschrift1"/>
      </w:pPr>
      <w:r>
        <w:t>Fixed Service - Fixed Service in the 41.0-42.5 GHz Band</w:t>
      </w:r>
    </w:p>
    <w:p w:rsidR="00A944A1" w:rsidRPr="00A944A1" w:rsidRDefault="00651CE9" w:rsidP="00651CE9">
      <w:pPr>
        <w:rPr>
          <w:rFonts w:cs="Arial"/>
          <w:szCs w:val="22"/>
          <w:lang w:val="en-GB"/>
        </w:rPr>
      </w:pPr>
      <w:r>
        <w:rPr>
          <w:rFonts w:cs="Arial"/>
          <w:szCs w:val="22"/>
          <w:lang w:val="en-GB"/>
        </w:rPr>
        <w:t>FCC: A Petition for Rulemaking (May 2012). T</w:t>
      </w:r>
      <w:r w:rsidRPr="00651CE9">
        <w:rPr>
          <w:rFonts w:cs="Arial"/>
          <w:szCs w:val="22"/>
          <w:lang w:val="en-GB"/>
        </w:rPr>
        <w:t>he Fixed Wireless</w:t>
      </w:r>
      <w:r>
        <w:rPr>
          <w:rFonts w:cs="Arial"/>
          <w:szCs w:val="22"/>
          <w:lang w:val="en-GB"/>
        </w:rPr>
        <w:t xml:space="preserve"> </w:t>
      </w:r>
      <w:r w:rsidRPr="00651CE9">
        <w:rPr>
          <w:rFonts w:cs="Arial"/>
          <w:szCs w:val="22"/>
          <w:lang w:val="en-GB"/>
        </w:rPr>
        <w:t xml:space="preserve">Communications Coalition (FWCC) seeks to restart the </w:t>
      </w:r>
      <w:r w:rsidR="00CC1253">
        <w:rPr>
          <w:rFonts w:cs="Arial"/>
          <w:szCs w:val="22"/>
          <w:lang w:val="en-GB"/>
        </w:rPr>
        <w:t>FCC</w:t>
      </w:r>
      <w:r w:rsidRPr="00651CE9">
        <w:rPr>
          <w:rFonts w:cs="Arial"/>
          <w:szCs w:val="22"/>
          <w:lang w:val="en-GB"/>
        </w:rPr>
        <w:t>'s pending proceeding to</w:t>
      </w:r>
      <w:r>
        <w:rPr>
          <w:rFonts w:cs="Arial"/>
          <w:szCs w:val="22"/>
          <w:lang w:val="en-GB"/>
        </w:rPr>
        <w:t xml:space="preserve"> </w:t>
      </w:r>
      <w:r w:rsidRPr="00651CE9">
        <w:rPr>
          <w:rFonts w:cs="Arial"/>
          <w:szCs w:val="22"/>
          <w:lang w:val="en-GB"/>
        </w:rPr>
        <w:t>establish service rules for Fixed Service operations at 41-42.5 GHz</w:t>
      </w:r>
      <w:r w:rsidR="00E026ED">
        <w:rPr>
          <w:rFonts w:cs="Arial"/>
          <w:szCs w:val="22"/>
          <w:lang w:val="en-GB"/>
        </w:rPr>
        <w:t xml:space="preserve"> (in Europe, this is covered by ECC/REC (01)04)</w:t>
      </w:r>
      <w:r w:rsidRPr="00651CE9">
        <w:rPr>
          <w:rFonts w:cs="Arial"/>
          <w:szCs w:val="22"/>
          <w:lang w:val="en-GB"/>
        </w:rPr>
        <w:t>.</w:t>
      </w:r>
      <w:r>
        <w:rPr>
          <w:rFonts w:cs="Arial"/>
          <w:szCs w:val="22"/>
          <w:lang w:val="en-GB"/>
        </w:rPr>
        <w:t xml:space="preserve"> </w:t>
      </w:r>
      <w:hyperlink r:id="rId11" w:history="1">
        <w:r w:rsidRPr="00651CE9">
          <w:rPr>
            <w:rStyle w:val="Hyperlink"/>
            <w:rFonts w:cs="Arial"/>
            <w:szCs w:val="22"/>
            <w:lang w:val="en-GB"/>
          </w:rPr>
          <w:t>Link</w:t>
        </w:r>
      </w:hyperlink>
    </w:p>
    <w:p w:rsidR="00A944A1" w:rsidRDefault="00651CE9" w:rsidP="00A944A1">
      <w:pPr>
        <w:rPr>
          <w:rFonts w:cs="Arial"/>
          <w:szCs w:val="22"/>
        </w:rPr>
      </w:pPr>
      <w:r>
        <w:rPr>
          <w:rFonts w:cs="Arial"/>
          <w:szCs w:val="22"/>
        </w:rPr>
        <w:t xml:space="preserve">(relevant to </w:t>
      </w:r>
      <w:r w:rsidR="00E026ED">
        <w:rPr>
          <w:rFonts w:cs="Arial"/>
          <w:szCs w:val="22"/>
        </w:rPr>
        <w:t xml:space="preserve">WGSE / PT </w:t>
      </w:r>
      <w:r>
        <w:rPr>
          <w:rFonts w:cs="Arial"/>
          <w:szCs w:val="22"/>
        </w:rPr>
        <w:t>SE19)</w:t>
      </w:r>
    </w:p>
    <w:p w:rsidR="00651CE9" w:rsidRPr="00A944A1" w:rsidRDefault="00651CE9" w:rsidP="00651CE9">
      <w:pPr>
        <w:pStyle w:val="berschrift1"/>
      </w:pPr>
      <w:r>
        <w:t>MBANS (Medical Body Area Networks)</w:t>
      </w:r>
    </w:p>
    <w:p w:rsidR="00651CE9" w:rsidRPr="00651CE9" w:rsidRDefault="00651CE9" w:rsidP="00651CE9">
      <w:pPr>
        <w:rPr>
          <w:rFonts w:cs="Arial"/>
          <w:szCs w:val="22"/>
        </w:rPr>
      </w:pPr>
      <w:r w:rsidRPr="00D51444">
        <w:rPr>
          <w:rFonts w:cs="Arial"/>
          <w:szCs w:val="22"/>
          <w:u w:val="single"/>
          <w:lang w:val="en-GB"/>
        </w:rPr>
        <w:t>FCC</w:t>
      </w:r>
      <w:r>
        <w:rPr>
          <w:rFonts w:cs="Arial"/>
          <w:szCs w:val="22"/>
          <w:lang w:val="en-GB"/>
        </w:rPr>
        <w:t>: T</w:t>
      </w:r>
      <w:r w:rsidRPr="00651CE9">
        <w:rPr>
          <w:rFonts w:cs="Arial"/>
          <w:szCs w:val="22"/>
        </w:rPr>
        <w:t xml:space="preserve">he recent FCC ruling on MBANS. The FCC has </w:t>
      </w:r>
      <w:r w:rsidRPr="00651CE9">
        <w:rPr>
          <w:rFonts w:cs="Arial"/>
          <w:szCs w:val="22"/>
          <w:u w:val="single"/>
        </w:rPr>
        <w:t>licensed-by-rule</w:t>
      </w:r>
      <w:r w:rsidRPr="00651CE9">
        <w:rPr>
          <w:rFonts w:cs="Arial"/>
          <w:szCs w:val="22"/>
        </w:rPr>
        <w:t xml:space="preserve"> (equivalent of light licensing</w:t>
      </w:r>
      <w:r w:rsidR="00E33B59">
        <w:rPr>
          <w:rFonts w:cs="Arial"/>
          <w:szCs w:val="22"/>
        </w:rPr>
        <w:t>, incl. s</w:t>
      </w:r>
      <w:r w:rsidR="00E33B59" w:rsidRPr="00E33B59">
        <w:rPr>
          <w:rFonts w:cs="Arial"/>
          <w:szCs w:val="22"/>
        </w:rPr>
        <w:t>econdary status - must not cause harmful interference to and must accept interference from devices authori</w:t>
      </w:r>
      <w:r w:rsidR="00E33B59">
        <w:rPr>
          <w:rFonts w:cs="Arial"/>
          <w:szCs w:val="22"/>
        </w:rPr>
        <w:t>s</w:t>
      </w:r>
      <w:r w:rsidR="00E33B59" w:rsidRPr="00E33B59">
        <w:rPr>
          <w:rFonts w:cs="Arial"/>
          <w:szCs w:val="22"/>
        </w:rPr>
        <w:t>ed on a primary basis</w:t>
      </w:r>
      <w:r w:rsidRPr="00651CE9">
        <w:rPr>
          <w:rFonts w:cs="Arial"/>
          <w:szCs w:val="22"/>
        </w:rPr>
        <w:t xml:space="preserve">) in part 95 MBANS in May 2012 for use in hospitals by professional medical personal. The Federal Register published the MBAN Report and Order on 12 September 2012. The rules go into effect on October 11, 2012. That also is the deadline for the petition for reconsideration. The Federal Register document is at: </w:t>
      </w:r>
      <w:r w:rsidR="0095360D">
        <w:fldChar w:fldCharType="begin"/>
      </w:r>
      <w:r w:rsidR="0095360D">
        <w:instrText xml:space="preserve"> HYPERLINK "https://federalregister.gov/a/2012-21984%20" </w:instrText>
      </w:r>
      <w:r w:rsidR="0095360D">
        <w:fldChar w:fldCharType="separate"/>
      </w:r>
      <w:r w:rsidRPr="00651CE9">
        <w:rPr>
          <w:rStyle w:val="Hyperlink"/>
          <w:rFonts w:cs="Arial"/>
          <w:szCs w:val="22"/>
        </w:rPr>
        <w:t>Link</w:t>
      </w:r>
      <w:r w:rsidR="0095360D">
        <w:rPr>
          <w:rStyle w:val="Hyperlink"/>
          <w:rFonts w:cs="Arial"/>
          <w:szCs w:val="22"/>
        </w:rPr>
        <w:fldChar w:fldCharType="end"/>
      </w:r>
    </w:p>
    <w:p w:rsidR="00651CE9" w:rsidRDefault="00651CE9" w:rsidP="00651CE9">
      <w:pPr>
        <w:rPr>
          <w:rFonts w:cs="Arial"/>
          <w:szCs w:val="22"/>
        </w:rPr>
      </w:pPr>
      <w:r w:rsidRPr="00651CE9">
        <w:rPr>
          <w:rFonts w:cs="Arial"/>
          <w:szCs w:val="22"/>
        </w:rPr>
        <w:t xml:space="preserve">The FCC will limit operations to medical professionals in hospitals in the band 2360-2390 MHz and a notification and coordination duty is to be followed. This is an automatic process and includes that all MBANS master equipment </w:t>
      </w:r>
      <w:r w:rsidR="00CC1253">
        <w:rPr>
          <w:rFonts w:cs="Arial"/>
          <w:szCs w:val="22"/>
        </w:rPr>
        <w:t xml:space="preserve">is </w:t>
      </w:r>
      <w:r w:rsidRPr="00651CE9">
        <w:rPr>
          <w:rFonts w:cs="Arial"/>
          <w:szCs w:val="22"/>
        </w:rPr>
        <w:t xml:space="preserve">required to </w:t>
      </w:r>
      <w:r w:rsidR="00CC1253">
        <w:rPr>
          <w:rFonts w:cs="Arial"/>
          <w:szCs w:val="22"/>
        </w:rPr>
        <w:t xml:space="preserve">be </w:t>
      </w:r>
      <w:r w:rsidRPr="00651CE9">
        <w:rPr>
          <w:rFonts w:cs="Arial"/>
          <w:szCs w:val="22"/>
        </w:rPr>
        <w:t>notif</w:t>
      </w:r>
      <w:r w:rsidR="00CC1253">
        <w:rPr>
          <w:rFonts w:cs="Arial"/>
          <w:szCs w:val="22"/>
        </w:rPr>
        <w:t>ied</w:t>
      </w:r>
      <w:r w:rsidRPr="00651CE9">
        <w:rPr>
          <w:rFonts w:cs="Arial"/>
          <w:szCs w:val="22"/>
        </w:rPr>
        <w:t xml:space="preserve"> </w:t>
      </w:r>
      <w:r w:rsidR="00CC1253">
        <w:rPr>
          <w:rFonts w:cs="Arial"/>
          <w:szCs w:val="22"/>
        </w:rPr>
        <w:t>i</w:t>
      </w:r>
      <w:r w:rsidRPr="00651CE9">
        <w:rPr>
          <w:rFonts w:cs="Arial"/>
          <w:szCs w:val="22"/>
        </w:rPr>
        <w:t>n a national database. MBANS masters again will provide electronic keys to all MBANS client equipment within the operating distance (thus ensuring the location and radius of operation) and making MBANS in hospitals de-facto an indoor only application and with maximum e.i.r.p. of 1 mW and maximum channel bandwidth of 5 MHz.</w:t>
      </w:r>
    </w:p>
    <w:p w:rsidR="00651CE9" w:rsidRDefault="00651CE9" w:rsidP="00551819">
      <w:pPr>
        <w:rPr>
          <w:rFonts w:cs="Arial"/>
          <w:szCs w:val="22"/>
        </w:rPr>
      </w:pPr>
      <w:r>
        <w:rPr>
          <w:rFonts w:cs="Arial"/>
          <w:szCs w:val="22"/>
        </w:rPr>
        <w:t>(relevant to WGFM, SRD/MG)</w:t>
      </w:r>
    </w:p>
    <w:p w:rsidR="00D51444" w:rsidRDefault="00D51444" w:rsidP="00D51444">
      <w:pPr>
        <w:pStyle w:val="berschrift1"/>
        <w:rPr>
          <w:szCs w:val="22"/>
        </w:rPr>
      </w:pPr>
      <w:r>
        <w:rPr>
          <w:szCs w:val="22"/>
        </w:rPr>
        <w:t>SRD applications</w:t>
      </w:r>
    </w:p>
    <w:p w:rsidR="00D51444" w:rsidRDefault="00D51444" w:rsidP="00551819">
      <w:pPr>
        <w:rPr>
          <w:rFonts w:cs="Arial"/>
          <w:szCs w:val="22"/>
        </w:rPr>
      </w:pPr>
      <w:r w:rsidRPr="00D51444">
        <w:rPr>
          <w:rFonts w:cs="Arial"/>
          <w:szCs w:val="22"/>
        </w:rPr>
        <w:t xml:space="preserve">It is worth to note that the 76 - 77 GHz regulations of the FCC are restricted to automotive radars only and that a consultation in 2011-2012 did not materialise so far in a widening of the scope of the ruling to also include all types of fixed installed applications except for installations at airports </w:t>
      </w:r>
      <w:r>
        <w:rPr>
          <w:rFonts w:cs="Arial"/>
          <w:szCs w:val="22"/>
        </w:rPr>
        <w:t xml:space="preserve">(the </w:t>
      </w:r>
      <w:r w:rsidRPr="00D51444">
        <w:rPr>
          <w:rFonts w:cs="Arial"/>
          <w:szCs w:val="22"/>
        </w:rPr>
        <w:t>ref</w:t>
      </w:r>
      <w:r>
        <w:rPr>
          <w:rFonts w:cs="Arial"/>
          <w:szCs w:val="22"/>
        </w:rPr>
        <w:t xml:space="preserve">erence is </w:t>
      </w:r>
      <w:r w:rsidRPr="00D51444">
        <w:rPr>
          <w:rFonts w:cs="Arial"/>
          <w:szCs w:val="22"/>
          <w:u w:val="single"/>
        </w:rPr>
        <w:t>FCC 12-72</w:t>
      </w:r>
      <w:r>
        <w:rPr>
          <w:rFonts w:cs="Arial"/>
          <w:szCs w:val="22"/>
        </w:rPr>
        <w:t>)</w:t>
      </w:r>
      <w:r w:rsidRPr="00D51444">
        <w:rPr>
          <w:rFonts w:cs="Arial"/>
          <w:szCs w:val="22"/>
        </w:rPr>
        <w:t>.</w:t>
      </w:r>
      <w:r>
        <w:rPr>
          <w:rFonts w:cs="Arial"/>
          <w:szCs w:val="22"/>
        </w:rPr>
        <w:t xml:space="preserve"> Note: EC Decision for SRD allows fixed installed applications</w:t>
      </w:r>
      <w:r w:rsidR="00CC1253">
        <w:rPr>
          <w:rFonts w:cs="Arial"/>
          <w:szCs w:val="22"/>
        </w:rPr>
        <w:t xml:space="preserve">; </w:t>
      </w:r>
      <w:r>
        <w:rPr>
          <w:rFonts w:cs="Arial"/>
          <w:szCs w:val="22"/>
        </w:rPr>
        <w:t>ongoing discussions in WGFM / SRD/MG with regard to 76-77 GHz fixed applications and application at low heights above ground (onboard helicopters).</w:t>
      </w:r>
    </w:p>
    <w:p w:rsidR="00D51444" w:rsidRDefault="00D51444" w:rsidP="00551819">
      <w:pPr>
        <w:rPr>
          <w:rFonts w:cs="Arial"/>
          <w:szCs w:val="22"/>
        </w:rPr>
      </w:pPr>
    </w:p>
    <w:p w:rsidR="00A944A1" w:rsidRDefault="00D51444" w:rsidP="00551819">
      <w:pPr>
        <w:rPr>
          <w:rFonts w:cs="Arial"/>
          <w:szCs w:val="22"/>
        </w:rPr>
      </w:pPr>
      <w:r w:rsidRPr="00D51444">
        <w:rPr>
          <w:rFonts w:cs="Arial"/>
          <w:szCs w:val="22"/>
        </w:rPr>
        <w:t xml:space="preserve">The FCC </w:t>
      </w:r>
      <w:r w:rsidR="009753CD">
        <w:rPr>
          <w:rFonts w:cs="Arial"/>
          <w:szCs w:val="22"/>
        </w:rPr>
        <w:t xml:space="preserve">also </w:t>
      </w:r>
      <w:r w:rsidRPr="00D51444">
        <w:rPr>
          <w:rFonts w:cs="Arial"/>
          <w:szCs w:val="22"/>
        </w:rPr>
        <w:t xml:space="preserve">indicated to handle the TLPR and LPR application </w:t>
      </w:r>
      <w:r>
        <w:rPr>
          <w:rFonts w:cs="Arial"/>
          <w:szCs w:val="22"/>
        </w:rPr>
        <w:t xml:space="preserve">( Tank Level Probing Radars / Level Probing Radars) </w:t>
      </w:r>
      <w:r w:rsidRPr="00D51444">
        <w:rPr>
          <w:rFonts w:cs="Arial"/>
          <w:szCs w:val="22"/>
        </w:rPr>
        <w:t>regulation precisely the same way as has been agreed in Europe so far.</w:t>
      </w:r>
    </w:p>
    <w:p w:rsidR="008F04B4" w:rsidRDefault="008F04B4" w:rsidP="00551819">
      <w:pPr>
        <w:rPr>
          <w:rFonts w:cs="Arial"/>
          <w:szCs w:val="22"/>
        </w:rPr>
      </w:pPr>
      <w:r>
        <w:rPr>
          <w:rFonts w:cs="Arial"/>
          <w:szCs w:val="22"/>
        </w:rPr>
        <w:t>(relevant for SRD/MG)</w:t>
      </w:r>
    </w:p>
    <w:p w:rsidR="00D51444" w:rsidRPr="00D51444" w:rsidRDefault="00D51444" w:rsidP="00D51444">
      <w:pPr>
        <w:pStyle w:val="berschrift1"/>
        <w:rPr>
          <w:szCs w:val="22"/>
        </w:rPr>
      </w:pPr>
      <w:r>
        <w:rPr>
          <w:szCs w:val="22"/>
        </w:rPr>
        <w:t>Direct Air To Ground Communications</w:t>
      </w:r>
    </w:p>
    <w:p w:rsidR="00D51444" w:rsidRPr="00D51444" w:rsidRDefault="00D51444" w:rsidP="00D51444">
      <w:pPr>
        <w:rPr>
          <w:rFonts w:cs="Arial"/>
          <w:szCs w:val="22"/>
        </w:rPr>
      </w:pPr>
      <w:r>
        <w:rPr>
          <w:rFonts w:cs="Arial"/>
          <w:szCs w:val="22"/>
        </w:rPr>
        <w:t xml:space="preserve">China: (anounced on 16 October 2012) The </w:t>
      </w:r>
      <w:r w:rsidRPr="00D51444">
        <w:rPr>
          <w:rFonts w:cs="Arial"/>
          <w:szCs w:val="22"/>
        </w:rPr>
        <w:t xml:space="preserve">Civil Aviation Administration of China (CAAC) said that </w:t>
      </w:r>
      <w:r>
        <w:rPr>
          <w:rFonts w:cs="Arial"/>
          <w:szCs w:val="22"/>
        </w:rPr>
        <w:t xml:space="preserve">the </w:t>
      </w:r>
      <w:r w:rsidRPr="00D51444">
        <w:rPr>
          <w:rFonts w:cs="Arial"/>
          <w:szCs w:val="22"/>
          <w:u w:val="single"/>
        </w:rPr>
        <w:t>China's Civil Aviation Air-ground Broadband Communications System</w:t>
      </w:r>
      <w:r w:rsidRPr="00D51444">
        <w:rPr>
          <w:rFonts w:cs="Arial"/>
          <w:szCs w:val="22"/>
        </w:rPr>
        <w:t xml:space="preserve"> project will be able to provide individuali</w:t>
      </w:r>
      <w:r>
        <w:rPr>
          <w:rFonts w:cs="Arial"/>
          <w:szCs w:val="22"/>
        </w:rPr>
        <w:t>s</w:t>
      </w:r>
      <w:r w:rsidRPr="00D51444">
        <w:rPr>
          <w:rFonts w:cs="Arial"/>
          <w:szCs w:val="22"/>
        </w:rPr>
        <w:t>ed communications services to more than 300 million travel</w:t>
      </w:r>
      <w:r w:rsidR="00CC1253">
        <w:rPr>
          <w:rFonts w:cs="Arial"/>
          <w:szCs w:val="22"/>
        </w:rPr>
        <w:t>l</w:t>
      </w:r>
      <w:r w:rsidRPr="00D51444">
        <w:rPr>
          <w:rFonts w:cs="Arial"/>
          <w:szCs w:val="22"/>
        </w:rPr>
        <w:t>ers per year.</w:t>
      </w:r>
      <w:r>
        <w:rPr>
          <w:rFonts w:cs="Arial"/>
          <w:szCs w:val="22"/>
        </w:rPr>
        <w:t xml:space="preserve"> It was stressed that </w:t>
      </w:r>
      <w:r w:rsidRPr="00D51444">
        <w:rPr>
          <w:rFonts w:cs="Arial"/>
          <w:szCs w:val="22"/>
        </w:rPr>
        <w:t>the connection of satellite links and terrestrial communications networks can be employed, and ground-based dedicated base stations can be used to cover the sky, directly achieving mobile communications between base stations and aircraft. Currently, the satellite communications method is more mature, but bandwidth is severely limited and communication costs are high.</w:t>
      </w:r>
      <w:r>
        <w:rPr>
          <w:rFonts w:cs="Arial"/>
          <w:szCs w:val="22"/>
        </w:rPr>
        <w:t xml:space="preserve"> </w:t>
      </w:r>
      <w:r w:rsidR="00CC1253">
        <w:rPr>
          <w:rFonts w:cs="Arial"/>
          <w:szCs w:val="22"/>
        </w:rPr>
        <w:t xml:space="preserve">The announcement </w:t>
      </w:r>
      <w:r w:rsidRPr="00D51444">
        <w:rPr>
          <w:rFonts w:cs="Arial"/>
          <w:szCs w:val="22"/>
        </w:rPr>
        <w:t>said that using the surface-to-air base station method requires constructing a network of base stations covering each flight route, which can better ensure communications bandwidth and lower communication costs. It also can solve problems with the simultaneous use of multiple systems (GSM, CDMA, TD-SCDMA, WCDMA, etc.) on the same plane.</w:t>
      </w:r>
    </w:p>
    <w:p w:rsidR="00A944A1" w:rsidRDefault="00D51444" w:rsidP="00551819">
      <w:pPr>
        <w:rPr>
          <w:rFonts w:cs="Arial"/>
          <w:szCs w:val="22"/>
        </w:rPr>
      </w:pPr>
      <w:r w:rsidRPr="00D51444">
        <w:rPr>
          <w:rFonts w:cs="Arial"/>
          <w:szCs w:val="22"/>
        </w:rPr>
        <w:t xml:space="preserve">China is currently testing CDMA EV-DO to cover all of China's air routes. The industry is also studying the use of the fourth-generation mobile communications standard LTE, which provides higher download speeds, for route coverage. </w:t>
      </w:r>
      <w:r w:rsidR="008F04B4" w:rsidRPr="008F04B4">
        <w:rPr>
          <w:rFonts w:cs="Arial"/>
          <w:szCs w:val="22"/>
        </w:rPr>
        <w:t xml:space="preserve">Trials for DA2G communications are underway under the direction of CAA China and other Chinese Government entities to operate in 1785-1805 MHz band (20 MHz total bandwidth for DA2GC) and using TD-LTE technology. </w:t>
      </w:r>
      <w:r w:rsidRPr="00D51444">
        <w:rPr>
          <w:rFonts w:cs="Arial"/>
          <w:szCs w:val="22"/>
        </w:rPr>
        <w:t xml:space="preserve">At present, China Telecom has constructed four surface-to-air base stations on the Beijing-Chengdu route, and has a total of 17 base stations completed as of early 2012. Under the plan, China will construct </w:t>
      </w:r>
      <w:r w:rsidR="00E33B59">
        <w:rPr>
          <w:rFonts w:cs="Arial"/>
          <w:szCs w:val="22"/>
          <w:u w:val="single"/>
        </w:rPr>
        <w:t xml:space="preserve">up to </w:t>
      </w:r>
      <w:r w:rsidRPr="00D51444">
        <w:rPr>
          <w:rFonts w:cs="Arial"/>
          <w:szCs w:val="22"/>
          <w:u w:val="single"/>
        </w:rPr>
        <w:t>a thousand surface-to-air base stations</w:t>
      </w:r>
      <w:r w:rsidRPr="00D51444">
        <w:rPr>
          <w:rFonts w:cs="Arial"/>
          <w:szCs w:val="22"/>
        </w:rPr>
        <w:t xml:space="preserve"> in the next few years. China's Civil Aviation Air-Ground Broadband Communications System will cover all routes of the major domestic airlines.</w:t>
      </w:r>
    </w:p>
    <w:p w:rsidR="008F04B4" w:rsidRDefault="008F04B4" w:rsidP="00551819">
      <w:pPr>
        <w:rPr>
          <w:rFonts w:cs="Arial"/>
          <w:szCs w:val="22"/>
        </w:rPr>
      </w:pPr>
      <w:r>
        <w:rPr>
          <w:rFonts w:cs="Arial"/>
          <w:szCs w:val="22"/>
        </w:rPr>
        <w:t>(relevant for FM48 / SE44)</w:t>
      </w:r>
    </w:p>
    <w:p w:rsidR="008F04B4" w:rsidRDefault="008F04B4" w:rsidP="00551819">
      <w:pPr>
        <w:rPr>
          <w:rFonts w:cs="Arial"/>
          <w:szCs w:val="22"/>
        </w:rPr>
      </w:pPr>
    </w:p>
    <w:p w:rsidR="004B2418" w:rsidRDefault="004B2418" w:rsidP="004B2418">
      <w:pPr>
        <w:pStyle w:val="berschrift1"/>
        <w:rPr>
          <w:szCs w:val="22"/>
        </w:rPr>
      </w:pPr>
      <w:r w:rsidRPr="004B2418">
        <w:rPr>
          <w:szCs w:val="22"/>
        </w:rPr>
        <w:t>FCC Launches Incentive Auction Proceeding to Free Spectrum for Mobile Broadband and Data</w:t>
      </w:r>
    </w:p>
    <w:p w:rsidR="00F22A00" w:rsidRDefault="00F22A00" w:rsidP="00F22A00">
      <w:pPr>
        <w:rPr>
          <w:lang w:val="en-GB"/>
        </w:rPr>
      </w:pPr>
    </w:p>
    <w:p w:rsidR="00F22A00" w:rsidRPr="00F22A00" w:rsidRDefault="00F22A00" w:rsidP="00F22A00">
      <w:pPr>
        <w:rPr>
          <w:lang w:val="en-GB"/>
        </w:rPr>
      </w:pPr>
      <w:r w:rsidRPr="00F22A00">
        <w:rPr>
          <w:lang w:val="en-GB"/>
        </w:rPr>
        <w:t xml:space="preserve">The Notice of Proposed Rulemaking </w:t>
      </w:r>
      <w:r w:rsidR="00CC1253">
        <w:rPr>
          <w:lang w:val="en-GB"/>
        </w:rPr>
        <w:t xml:space="preserve">(NPRM) </w:t>
      </w:r>
      <w:r w:rsidRPr="00F22A00">
        <w:rPr>
          <w:lang w:val="en-GB"/>
        </w:rPr>
        <w:t xml:space="preserve">adopted on Sept. 28, 2012 outlines the agency’s plans to </w:t>
      </w:r>
      <w:r w:rsidR="00CC1253">
        <w:rPr>
          <w:lang w:val="en-GB"/>
        </w:rPr>
        <w:t>reallocate b</w:t>
      </w:r>
      <w:r w:rsidRPr="00F22A00">
        <w:rPr>
          <w:lang w:val="en-GB"/>
        </w:rPr>
        <w:t>roadcast spectrum to meet growing demand for spectrum used to support services driven by data-consuming mobile devices like smartphones and tablets</w:t>
      </w:r>
      <w:r w:rsidR="00CC1253">
        <w:rPr>
          <w:lang w:val="en-GB"/>
        </w:rPr>
        <w:t xml:space="preserve"> (i.e. wireless broadband)</w:t>
      </w:r>
      <w:r w:rsidRPr="00F22A00">
        <w:rPr>
          <w:lang w:val="en-GB"/>
        </w:rPr>
        <w:t>.</w:t>
      </w:r>
    </w:p>
    <w:p w:rsidR="00F22A00" w:rsidRDefault="00CC1253" w:rsidP="00F22A00">
      <w:pPr>
        <w:rPr>
          <w:lang w:val="en-GB"/>
        </w:rPr>
      </w:pPr>
      <w:r>
        <w:rPr>
          <w:lang w:val="en-GB"/>
        </w:rPr>
        <w:t xml:space="preserve">The possibility of using an incentive auction process was first noted </w:t>
      </w:r>
      <w:r w:rsidR="00F22A00" w:rsidRPr="00F22A00">
        <w:rPr>
          <w:lang w:val="en-GB"/>
        </w:rPr>
        <w:t>in the National Broadband Plan, and later mandated by Congress in the Spectrum Act of 2012</w:t>
      </w:r>
      <w:r>
        <w:rPr>
          <w:lang w:val="en-GB"/>
        </w:rPr>
        <w:t>.  T</w:t>
      </w:r>
      <w:r w:rsidR="00F22A00" w:rsidRPr="00F22A00">
        <w:rPr>
          <w:lang w:val="en-GB"/>
        </w:rPr>
        <w:t>he incentive auction process will develop with at least three discrete steps over the next several years.</w:t>
      </w:r>
    </w:p>
    <w:p w:rsidR="00081EE5" w:rsidRDefault="00E47B72" w:rsidP="00F22A00">
      <w:pPr>
        <w:rPr>
          <w:lang w:val="en-GB"/>
        </w:rPr>
      </w:pPr>
      <w:r>
        <w:rPr>
          <w:lang w:val="en-GB"/>
        </w:rPr>
        <w:t xml:space="preserve">This approach seeks to balance certainty and flexibility. </w:t>
      </w:r>
      <w:r w:rsidR="00081EE5">
        <w:rPr>
          <w:lang w:val="en-GB"/>
        </w:rPr>
        <w:t>There is a basic plan, for example a 6 MHz guard band between TV (in the lower frequencies) and mobile (in the higher ones), which in principle would be available for unlicensed use, but the extent of mobile service’s migration downwards in frequency towards the new lower limit would depend upon the extent of take up of the incentive scheme by broadcasters.</w:t>
      </w:r>
    </w:p>
    <w:p w:rsidR="001C151E" w:rsidRDefault="001C151E" w:rsidP="00F22A00">
      <w:pPr>
        <w:rPr>
          <w:lang w:val="en-GB"/>
        </w:rPr>
      </w:pPr>
      <w:r>
        <w:rPr>
          <w:lang w:val="en-GB"/>
        </w:rPr>
        <w:t xml:space="preserve">Interestingly, the plans recognise some possible degree of asymmetry between downlink and uplink. </w:t>
      </w:r>
    </w:p>
    <w:p w:rsidR="00E47B72" w:rsidRPr="00F22A00" w:rsidRDefault="00081EE5" w:rsidP="00F22A00">
      <w:pPr>
        <w:rPr>
          <w:lang w:val="en-GB"/>
        </w:rPr>
      </w:pPr>
      <w:r>
        <w:rPr>
          <w:lang w:val="en-GB"/>
        </w:rPr>
        <w:t>The consultation extends to some important aspects of the technical basis of the whole scheme, especially in areas such as the options for the channelling plan, auction design options, geographic granularity etc.</w:t>
      </w:r>
    </w:p>
    <w:p w:rsidR="0075402D" w:rsidRDefault="00081EE5" w:rsidP="00551819">
      <w:pPr>
        <w:rPr>
          <w:rFonts w:cs="Arial"/>
          <w:szCs w:val="22"/>
        </w:rPr>
      </w:pPr>
      <w:r>
        <w:rPr>
          <w:rFonts w:cs="Arial"/>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75pt" o:ole="">
            <v:imagedata r:id="rId12" o:title=""/>
          </v:shape>
          <o:OLEObject Type="Embed" ProgID="AcroExch.Document.7" ShapeID="_x0000_i1025" DrawAspect="Icon" ObjectID="_1412583463" r:id="rId13"/>
        </w:object>
      </w:r>
      <w:r w:rsidR="004B2418">
        <w:rPr>
          <w:rFonts w:cs="Arial"/>
          <w:szCs w:val="22"/>
        </w:rPr>
        <w:t>(dated 2 October 2012)</w:t>
      </w:r>
    </w:p>
    <w:p w:rsidR="00F22A00" w:rsidRDefault="00F22A00" w:rsidP="0075402D">
      <w:pPr>
        <w:rPr>
          <w:rFonts w:cs="Arial"/>
          <w:szCs w:val="22"/>
        </w:rPr>
      </w:pPr>
    </w:p>
    <w:p w:rsidR="0075402D" w:rsidRPr="0075402D" w:rsidRDefault="0075402D" w:rsidP="00F22A00">
      <w:pPr>
        <w:numPr>
          <w:ilvl w:val="0"/>
          <w:numId w:val="20"/>
        </w:numPr>
        <w:ind w:left="567" w:hanging="207"/>
        <w:rPr>
          <w:rFonts w:cs="Arial"/>
          <w:szCs w:val="22"/>
        </w:rPr>
      </w:pPr>
      <w:r w:rsidRPr="0075402D">
        <w:rPr>
          <w:rFonts w:cs="Arial"/>
          <w:szCs w:val="22"/>
        </w:rPr>
        <w:t>First, the FCC will hold a “reverse” auction to reclaim spectrum held by broadcasters</w:t>
      </w:r>
      <w:r w:rsidR="00F22A00">
        <w:rPr>
          <w:rFonts w:cs="Arial"/>
          <w:szCs w:val="22"/>
        </w:rPr>
        <w:t>;</w:t>
      </w:r>
      <w:r w:rsidRPr="0075402D">
        <w:rPr>
          <w:rFonts w:cs="Arial"/>
          <w:szCs w:val="22"/>
        </w:rPr>
        <w:t xml:space="preserve"> </w:t>
      </w:r>
    </w:p>
    <w:p w:rsidR="0075402D" w:rsidRPr="0075402D" w:rsidRDefault="0075402D" w:rsidP="00F22A00">
      <w:pPr>
        <w:numPr>
          <w:ilvl w:val="0"/>
          <w:numId w:val="20"/>
        </w:numPr>
        <w:ind w:left="567" w:hanging="207"/>
        <w:rPr>
          <w:rFonts w:cs="Arial"/>
          <w:szCs w:val="22"/>
        </w:rPr>
      </w:pPr>
      <w:r w:rsidRPr="0075402D">
        <w:rPr>
          <w:rFonts w:cs="Arial"/>
          <w:szCs w:val="22"/>
        </w:rPr>
        <w:t>Second, the agency will then “repack” and reorgani</w:t>
      </w:r>
      <w:r w:rsidR="004B2418">
        <w:rPr>
          <w:rFonts w:cs="Arial"/>
          <w:szCs w:val="22"/>
        </w:rPr>
        <w:t>s</w:t>
      </w:r>
      <w:r w:rsidRPr="0075402D">
        <w:rPr>
          <w:rFonts w:cs="Arial"/>
          <w:szCs w:val="22"/>
        </w:rPr>
        <w:t>e reclaimed spectrum into new spectrum bands</w:t>
      </w:r>
      <w:r w:rsidR="00F22A00">
        <w:rPr>
          <w:rFonts w:cs="Arial"/>
          <w:szCs w:val="22"/>
        </w:rPr>
        <w:t>;</w:t>
      </w:r>
    </w:p>
    <w:p w:rsidR="0075402D" w:rsidRPr="0075402D" w:rsidRDefault="0075402D" w:rsidP="00F22A00">
      <w:pPr>
        <w:numPr>
          <w:ilvl w:val="0"/>
          <w:numId w:val="20"/>
        </w:numPr>
        <w:ind w:left="567" w:hanging="207"/>
        <w:rPr>
          <w:rFonts w:cs="Arial"/>
          <w:szCs w:val="22"/>
        </w:rPr>
      </w:pPr>
      <w:r w:rsidRPr="0075402D">
        <w:rPr>
          <w:rFonts w:cs="Arial"/>
          <w:szCs w:val="22"/>
        </w:rPr>
        <w:t>Third, the FCC will then initiate a “forward” auction to license the reclaimed and reorgani</w:t>
      </w:r>
      <w:r w:rsidR="004B2418">
        <w:rPr>
          <w:rFonts w:cs="Arial"/>
          <w:szCs w:val="22"/>
        </w:rPr>
        <w:t>s</w:t>
      </w:r>
      <w:r w:rsidRPr="0075402D">
        <w:rPr>
          <w:rFonts w:cs="Arial"/>
          <w:szCs w:val="22"/>
        </w:rPr>
        <w:t>ed spectrum. In addition, the NPRM contemplates that some of the reclaimed spectrum will be reserved for unlicensed uses.</w:t>
      </w:r>
    </w:p>
    <w:p w:rsidR="0075402D" w:rsidRPr="0075402D" w:rsidRDefault="00E47B72" w:rsidP="0075402D">
      <w:pPr>
        <w:rPr>
          <w:rFonts w:cs="Arial"/>
          <w:szCs w:val="22"/>
        </w:rPr>
      </w:pPr>
      <w:r>
        <w:rPr>
          <w:rFonts w:cs="Arial"/>
          <w:szCs w:val="22"/>
        </w:rPr>
        <w:t>At this stage t</w:t>
      </w:r>
      <w:r w:rsidR="0075402D" w:rsidRPr="0075402D">
        <w:rPr>
          <w:rFonts w:cs="Arial"/>
          <w:szCs w:val="22"/>
        </w:rPr>
        <w:t xml:space="preserve">here are </w:t>
      </w:r>
      <w:r>
        <w:rPr>
          <w:rFonts w:cs="Arial"/>
          <w:szCs w:val="22"/>
        </w:rPr>
        <w:t xml:space="preserve">outstanding </w:t>
      </w:r>
      <w:r w:rsidR="0075402D" w:rsidRPr="0075402D">
        <w:rPr>
          <w:rFonts w:cs="Arial"/>
          <w:szCs w:val="22"/>
        </w:rPr>
        <w:t xml:space="preserve">questions surrounding the mechanics of the reverse auction and spectrum repacking process. The </w:t>
      </w:r>
      <w:r w:rsidR="004B2418">
        <w:rPr>
          <w:rFonts w:cs="Arial"/>
          <w:szCs w:val="22"/>
        </w:rPr>
        <w:t>FCC</w:t>
      </w:r>
      <w:r w:rsidR="0075402D" w:rsidRPr="0075402D">
        <w:rPr>
          <w:rFonts w:cs="Arial"/>
          <w:szCs w:val="22"/>
        </w:rPr>
        <w:t xml:space="preserve"> hopes to answer those questions and issue an order detailing the auction rules by June 2013, and then hold the reverse auction in 2014.</w:t>
      </w:r>
    </w:p>
    <w:p w:rsidR="0075402D" w:rsidRPr="0075402D" w:rsidRDefault="0075402D" w:rsidP="0075402D">
      <w:pPr>
        <w:rPr>
          <w:rFonts w:cs="Arial"/>
          <w:szCs w:val="22"/>
        </w:rPr>
      </w:pPr>
      <w:r w:rsidRPr="0075402D">
        <w:rPr>
          <w:rFonts w:cs="Arial"/>
          <w:szCs w:val="22"/>
        </w:rPr>
        <w:t>Details of the process by which broadcasters will participate in the reverse auction will be developed during the next phase of this proceeding. The FCC is trying to make the incentive auction process as attractive to broadcasters as possible, and will be conducting a series of outreach and training programs for broadcasters in the months ahead.</w:t>
      </w:r>
    </w:p>
    <w:p w:rsidR="00E47B72" w:rsidRDefault="00E47B72" w:rsidP="0075402D">
      <w:pPr>
        <w:rPr>
          <w:rFonts w:cs="Arial"/>
          <w:szCs w:val="22"/>
        </w:rPr>
      </w:pPr>
      <w:r>
        <w:rPr>
          <w:rFonts w:cs="Arial"/>
          <w:szCs w:val="22"/>
        </w:rPr>
        <w:t xml:space="preserve">This ECO bulletin summarises below some of the man features of the three steps of the incentive auction process:  </w:t>
      </w:r>
    </w:p>
    <w:p w:rsidR="0075402D" w:rsidRPr="00E47B72" w:rsidRDefault="0075402D" w:rsidP="0075402D">
      <w:pPr>
        <w:rPr>
          <w:rFonts w:cs="Arial"/>
          <w:szCs w:val="22"/>
          <w:u w:val="single"/>
        </w:rPr>
      </w:pPr>
      <w:r w:rsidRPr="00E47B72">
        <w:rPr>
          <w:rFonts w:cs="Arial"/>
          <w:szCs w:val="22"/>
          <w:u w:val="single"/>
        </w:rPr>
        <w:t>Step 1: Conduct “reverse” auction to reclaim spectrum held by broadcasters</w:t>
      </w:r>
    </w:p>
    <w:p w:rsidR="00081EE5" w:rsidRDefault="00081EE5" w:rsidP="0075402D">
      <w:pPr>
        <w:rPr>
          <w:rFonts w:cs="Arial"/>
          <w:szCs w:val="22"/>
        </w:rPr>
      </w:pPr>
      <w:r>
        <w:rPr>
          <w:rFonts w:cs="Arial"/>
          <w:szCs w:val="22"/>
        </w:rPr>
        <w:t>M</w:t>
      </w:r>
      <w:r w:rsidR="0075402D" w:rsidRPr="0075402D">
        <w:rPr>
          <w:rFonts w:cs="Arial"/>
          <w:szCs w:val="22"/>
        </w:rPr>
        <w:t>arket-based incentives to encourage broadcast licensees to voluntarily relinquish spectrum in exchange for a share of the proceeds from an auction of the new licenses to use the repurposed spectrum.</w:t>
      </w:r>
    </w:p>
    <w:p w:rsidR="00081EE5" w:rsidRDefault="00081EE5" w:rsidP="0075402D">
      <w:pPr>
        <w:rPr>
          <w:rFonts w:cs="Arial"/>
          <w:szCs w:val="22"/>
        </w:rPr>
      </w:pPr>
      <w:r>
        <w:rPr>
          <w:rFonts w:cs="Arial"/>
          <w:szCs w:val="22"/>
        </w:rPr>
        <w:t>Co</w:t>
      </w:r>
      <w:r w:rsidR="0075402D" w:rsidRPr="0075402D">
        <w:rPr>
          <w:rFonts w:cs="Arial"/>
          <w:szCs w:val="22"/>
        </w:rPr>
        <w:t>llect information about the price(s) at which broadcast television spectrum can be cleared</w:t>
      </w:r>
    </w:p>
    <w:p w:rsidR="00081EE5" w:rsidRDefault="00081EE5" w:rsidP="0075402D">
      <w:pPr>
        <w:rPr>
          <w:rFonts w:cs="Arial"/>
          <w:szCs w:val="22"/>
        </w:rPr>
      </w:pPr>
      <w:r>
        <w:rPr>
          <w:rFonts w:cs="Arial"/>
          <w:szCs w:val="22"/>
        </w:rPr>
        <w:t>I</w:t>
      </w:r>
      <w:r w:rsidR="0075402D" w:rsidRPr="0075402D">
        <w:rPr>
          <w:rFonts w:cs="Arial"/>
          <w:szCs w:val="22"/>
        </w:rPr>
        <w:t>dentify a set of bidders that would voluntarily relinquish spectrum.</w:t>
      </w:r>
    </w:p>
    <w:p w:rsidR="0075402D" w:rsidRPr="0075402D" w:rsidRDefault="00081EE5" w:rsidP="0075402D">
      <w:pPr>
        <w:rPr>
          <w:rFonts w:cs="Arial"/>
          <w:szCs w:val="22"/>
        </w:rPr>
      </w:pPr>
      <w:r>
        <w:rPr>
          <w:rFonts w:cs="Arial"/>
          <w:szCs w:val="22"/>
        </w:rPr>
        <w:t>Co</w:t>
      </w:r>
      <w:r w:rsidR="0075402D" w:rsidRPr="0075402D">
        <w:rPr>
          <w:rFonts w:cs="Arial"/>
          <w:szCs w:val="22"/>
        </w:rPr>
        <w:t xml:space="preserve">mpensate winning reverse auction bidders from the proceeds generated from the forward auction. </w:t>
      </w:r>
    </w:p>
    <w:p w:rsidR="0075402D" w:rsidRPr="0075402D" w:rsidRDefault="0075402D" w:rsidP="0075402D">
      <w:pPr>
        <w:rPr>
          <w:rFonts w:cs="Arial"/>
          <w:szCs w:val="22"/>
        </w:rPr>
      </w:pPr>
      <w:r w:rsidRPr="0075402D">
        <w:rPr>
          <w:rFonts w:cs="Arial"/>
          <w:szCs w:val="22"/>
        </w:rPr>
        <w:t xml:space="preserve">The precise auction methodology to be employed remains open to comment on a variety of issues. </w:t>
      </w:r>
      <w:r w:rsidR="001C151E">
        <w:rPr>
          <w:rFonts w:cs="Arial"/>
          <w:szCs w:val="22"/>
        </w:rPr>
        <w:t xml:space="preserve">But it </w:t>
      </w:r>
      <w:r w:rsidRPr="0075402D">
        <w:rPr>
          <w:rFonts w:cs="Arial"/>
          <w:szCs w:val="22"/>
        </w:rPr>
        <w:t>will include three basic auction elements:</w:t>
      </w:r>
      <w:r w:rsidR="001C151E">
        <w:rPr>
          <w:rFonts w:cs="Arial"/>
          <w:szCs w:val="22"/>
        </w:rPr>
        <w:t xml:space="preserve"> </w:t>
      </w:r>
      <w:r w:rsidRPr="0075402D">
        <w:rPr>
          <w:rFonts w:cs="Arial"/>
          <w:szCs w:val="22"/>
        </w:rPr>
        <w:t>the FCC will collect bids, determine which bids are accepted as winning bids, and determine the eventual payments made for those winning bids. The success of the reverse auction will likely dictate the success of the later stages of this process. For example, the amount of spectrum available in the subsequent “forward” auction will depend upon how much spectrum is reclaimed in the reverse auction.</w:t>
      </w:r>
    </w:p>
    <w:p w:rsidR="0075402D" w:rsidRPr="00E47B72" w:rsidRDefault="0075402D" w:rsidP="0075402D">
      <w:pPr>
        <w:rPr>
          <w:rFonts w:cs="Arial"/>
          <w:szCs w:val="22"/>
          <w:u w:val="single"/>
        </w:rPr>
      </w:pPr>
      <w:r w:rsidRPr="00E47B72">
        <w:rPr>
          <w:rFonts w:cs="Arial"/>
          <w:szCs w:val="22"/>
          <w:u w:val="single"/>
        </w:rPr>
        <w:t>Step 2: Repack and reorgani</w:t>
      </w:r>
      <w:r w:rsidR="004B2418" w:rsidRPr="00E47B72">
        <w:rPr>
          <w:rFonts w:cs="Arial"/>
          <w:szCs w:val="22"/>
          <w:u w:val="single"/>
        </w:rPr>
        <w:t>s</w:t>
      </w:r>
      <w:r w:rsidRPr="00E47B72">
        <w:rPr>
          <w:rFonts w:cs="Arial"/>
          <w:szCs w:val="22"/>
          <w:u w:val="single"/>
        </w:rPr>
        <w:t>e reclaimed spectrum into new band plans</w:t>
      </w:r>
    </w:p>
    <w:p w:rsidR="0075402D" w:rsidRPr="0075402D" w:rsidRDefault="0075402D" w:rsidP="0075402D">
      <w:pPr>
        <w:rPr>
          <w:rFonts w:cs="Arial"/>
          <w:szCs w:val="22"/>
        </w:rPr>
      </w:pPr>
      <w:r w:rsidRPr="0075402D">
        <w:rPr>
          <w:rFonts w:cs="Arial"/>
          <w:szCs w:val="22"/>
        </w:rPr>
        <w:t xml:space="preserve">Through a process known as “repacking,” the </w:t>
      </w:r>
      <w:r w:rsidR="001C151E">
        <w:rPr>
          <w:rFonts w:cs="Arial"/>
          <w:szCs w:val="22"/>
        </w:rPr>
        <w:t>FCC</w:t>
      </w:r>
      <w:r w:rsidRPr="0075402D">
        <w:rPr>
          <w:rFonts w:cs="Arial"/>
          <w:szCs w:val="22"/>
        </w:rPr>
        <w:t xml:space="preserve"> proposes to move the winning bidders in the reverse auction to other locations of the television broadcast spectrum so that television stations that remain on the air will occupy a smaller portion of the UHF band. The reclaimed spectrum will then be “reorganized” to accommodate flexible use of the spectrum to include mobile broadband and unlicensed use. </w:t>
      </w:r>
    </w:p>
    <w:p w:rsidR="0075402D" w:rsidRDefault="0075402D" w:rsidP="0075402D">
      <w:pPr>
        <w:rPr>
          <w:rFonts w:cs="Arial"/>
          <w:szCs w:val="22"/>
        </w:rPr>
      </w:pPr>
      <w:r w:rsidRPr="0075402D">
        <w:rPr>
          <w:rFonts w:cs="Arial"/>
          <w:szCs w:val="22"/>
        </w:rPr>
        <w:t xml:space="preserve">Specifically, the </w:t>
      </w:r>
      <w:r w:rsidR="001C151E">
        <w:rPr>
          <w:rFonts w:cs="Arial"/>
          <w:szCs w:val="22"/>
        </w:rPr>
        <w:t>FCC</w:t>
      </w:r>
      <w:r w:rsidRPr="0075402D">
        <w:rPr>
          <w:rFonts w:cs="Arial"/>
          <w:szCs w:val="22"/>
        </w:rPr>
        <w:t xml:space="preserve"> proposes to create a downlink spectrum band that will be consistent nationwide and start at channel 36 (608 MHz) and expand downward. Keeping the downlink spectrum consistent nationwide will permit mobile devices to operate nationwide. The uplink spectrum band will start at channel 51 (698 MHz) and expand downward toward channel 37 (608 -614 MHz) and will vary in the amount of uplink spectrum available in any geographic area. The Commission’s proposal would establish 6 MHz guard bands between the broadcast spectrum and the new uplink and downlink bands. These guard bands will be available for unlicensed use. Lastly, the Commission proposes to relocate users of channel 37 (radio astronomy and wireless medical telemetry</w:t>
      </w:r>
      <w:r w:rsidR="001E7921">
        <w:rPr>
          <w:rFonts w:cs="Arial"/>
          <w:szCs w:val="22"/>
        </w:rPr>
        <w:t xml:space="preserve"> (WMTS -&gt; more than 100 000 registered devices</w:t>
      </w:r>
      <w:r w:rsidRPr="0075402D">
        <w:rPr>
          <w:rFonts w:cs="Arial"/>
          <w:szCs w:val="22"/>
        </w:rPr>
        <w:t>) and to make that spectrum available for unlicensed use</w:t>
      </w:r>
      <w:r w:rsidR="001E7921">
        <w:rPr>
          <w:rFonts w:cs="Arial"/>
          <w:szCs w:val="22"/>
        </w:rPr>
        <w:t xml:space="preserve"> based on geolocation approach for WMTS protection in Ch 37.</w:t>
      </w:r>
    </w:p>
    <w:p w:rsidR="001E7921" w:rsidRDefault="001E7921" w:rsidP="0075402D">
      <w:pPr>
        <w:rPr>
          <w:rFonts w:cs="Arial"/>
          <w:szCs w:val="22"/>
        </w:rPr>
      </w:pPr>
    </w:p>
    <w:tbl>
      <w:tblPr>
        <w:tblStyle w:val="Tabellenraster"/>
        <w:tblW w:w="10031" w:type="dxa"/>
        <w:tblLayout w:type="fixed"/>
        <w:tblLook w:val="04A0" w:firstRow="1" w:lastRow="0" w:firstColumn="1" w:lastColumn="0" w:noHBand="0" w:noVBand="1"/>
      </w:tblPr>
      <w:tblGrid>
        <w:gridCol w:w="948"/>
        <w:gridCol w:w="1712"/>
        <w:gridCol w:w="850"/>
        <w:gridCol w:w="1276"/>
        <w:gridCol w:w="567"/>
        <w:gridCol w:w="1559"/>
        <w:gridCol w:w="851"/>
        <w:gridCol w:w="1134"/>
        <w:gridCol w:w="1134"/>
      </w:tblGrid>
      <w:tr w:rsidR="001E7921" w:rsidTr="001E7921">
        <w:tc>
          <w:tcPr>
            <w:tcW w:w="948" w:type="dxa"/>
          </w:tcPr>
          <w:p w:rsidR="001E7921" w:rsidRDefault="001E7921" w:rsidP="0075402D">
            <w:pPr>
              <w:rPr>
                <w:rFonts w:cs="Arial"/>
                <w:szCs w:val="22"/>
              </w:rPr>
            </w:pPr>
            <w:r>
              <w:rPr>
                <w:rFonts w:cs="Arial"/>
                <w:szCs w:val="22"/>
              </w:rPr>
              <w:t>LMR (PMR)</w:t>
            </w:r>
          </w:p>
        </w:tc>
        <w:tc>
          <w:tcPr>
            <w:tcW w:w="1712" w:type="dxa"/>
          </w:tcPr>
          <w:p w:rsidR="001E7921" w:rsidRDefault="001E7921" w:rsidP="0075402D">
            <w:pPr>
              <w:rPr>
                <w:rFonts w:cs="Arial"/>
                <w:szCs w:val="22"/>
              </w:rPr>
            </w:pPr>
            <w:r>
              <w:rPr>
                <w:rFonts w:cs="Arial"/>
                <w:szCs w:val="22"/>
              </w:rPr>
              <w:t>TV Channels</w:t>
            </w:r>
          </w:p>
        </w:tc>
        <w:tc>
          <w:tcPr>
            <w:tcW w:w="850" w:type="dxa"/>
            <w:shd w:val="pct25" w:color="auto" w:fill="7F7F7F" w:themeFill="text1" w:themeFillTint="80"/>
          </w:tcPr>
          <w:p w:rsidR="001E7921" w:rsidRDefault="001E7921" w:rsidP="001E7921">
            <w:pPr>
              <w:rPr>
                <w:rFonts w:cs="Arial"/>
                <w:szCs w:val="22"/>
              </w:rPr>
            </w:pPr>
            <w:r>
              <w:rPr>
                <w:rFonts w:cs="Arial"/>
                <w:szCs w:val="22"/>
              </w:rPr>
              <w:t>Guard Band</w:t>
            </w:r>
          </w:p>
        </w:tc>
        <w:tc>
          <w:tcPr>
            <w:tcW w:w="1276" w:type="dxa"/>
            <w:shd w:val="pct25" w:color="auto" w:fill="7F7F7F" w:themeFill="text1" w:themeFillTint="80"/>
          </w:tcPr>
          <w:p w:rsidR="001E7921" w:rsidRDefault="001E7921" w:rsidP="001E7921">
            <w:pPr>
              <w:jc w:val="center"/>
              <w:rPr>
                <w:rFonts w:cs="Arial"/>
                <w:szCs w:val="22"/>
              </w:rPr>
            </w:pPr>
            <w:r>
              <w:rPr>
                <w:rFonts w:cs="Arial"/>
                <w:szCs w:val="22"/>
              </w:rPr>
              <w:t>600 MHz DL</w:t>
            </w:r>
          </w:p>
        </w:tc>
        <w:tc>
          <w:tcPr>
            <w:tcW w:w="567" w:type="dxa"/>
          </w:tcPr>
          <w:p w:rsidR="001E7921" w:rsidRDefault="001E7921" w:rsidP="001E7921">
            <w:pPr>
              <w:rPr>
                <w:rFonts w:cs="Arial"/>
                <w:szCs w:val="22"/>
              </w:rPr>
            </w:pPr>
            <w:r>
              <w:rPr>
                <w:rFonts w:cs="Arial"/>
                <w:szCs w:val="22"/>
              </w:rPr>
              <w:t>Ch37</w:t>
            </w:r>
          </w:p>
        </w:tc>
        <w:tc>
          <w:tcPr>
            <w:tcW w:w="1559" w:type="dxa"/>
          </w:tcPr>
          <w:p w:rsidR="001E7921" w:rsidRDefault="001E7921" w:rsidP="0075402D">
            <w:pPr>
              <w:rPr>
                <w:rFonts w:cs="Arial"/>
                <w:szCs w:val="22"/>
              </w:rPr>
            </w:pPr>
            <w:r>
              <w:rPr>
                <w:rFonts w:cs="Arial"/>
                <w:szCs w:val="22"/>
              </w:rPr>
              <w:t>TV Channels</w:t>
            </w:r>
          </w:p>
        </w:tc>
        <w:tc>
          <w:tcPr>
            <w:tcW w:w="851" w:type="dxa"/>
            <w:shd w:val="pct25" w:color="auto" w:fill="auto"/>
          </w:tcPr>
          <w:p w:rsidR="001E7921" w:rsidRDefault="001E7921" w:rsidP="0075402D">
            <w:pPr>
              <w:rPr>
                <w:rFonts w:cs="Arial"/>
                <w:szCs w:val="22"/>
              </w:rPr>
            </w:pPr>
            <w:r>
              <w:rPr>
                <w:rFonts w:cs="Arial"/>
                <w:szCs w:val="22"/>
              </w:rPr>
              <w:t>Guard Band</w:t>
            </w:r>
          </w:p>
        </w:tc>
        <w:tc>
          <w:tcPr>
            <w:tcW w:w="1134" w:type="dxa"/>
            <w:shd w:val="pct25" w:color="auto" w:fill="auto"/>
          </w:tcPr>
          <w:p w:rsidR="001E7921" w:rsidRDefault="001E7921" w:rsidP="001E7921">
            <w:pPr>
              <w:jc w:val="center"/>
              <w:rPr>
                <w:rFonts w:cs="Arial"/>
                <w:szCs w:val="22"/>
              </w:rPr>
            </w:pPr>
            <w:r>
              <w:rPr>
                <w:rFonts w:cs="Arial"/>
                <w:szCs w:val="22"/>
              </w:rPr>
              <w:t>600 MHz UL</w:t>
            </w:r>
          </w:p>
        </w:tc>
        <w:tc>
          <w:tcPr>
            <w:tcW w:w="1134" w:type="dxa"/>
          </w:tcPr>
          <w:p w:rsidR="001E7921" w:rsidRPr="001E7921" w:rsidRDefault="001E7921" w:rsidP="001E7921">
            <w:pPr>
              <w:jc w:val="center"/>
              <w:rPr>
                <w:rFonts w:cs="Arial"/>
                <w:sz w:val="20"/>
              </w:rPr>
            </w:pPr>
            <w:r w:rsidRPr="001E7921">
              <w:rPr>
                <w:rFonts w:cs="Arial"/>
                <w:sz w:val="20"/>
              </w:rPr>
              <w:t xml:space="preserve">700 </w:t>
            </w:r>
            <w:r>
              <w:rPr>
                <w:rFonts w:cs="Arial"/>
                <w:sz w:val="20"/>
              </w:rPr>
              <w:t>M</w:t>
            </w:r>
            <w:r w:rsidRPr="001E7921">
              <w:rPr>
                <w:rFonts w:cs="Arial"/>
                <w:sz w:val="20"/>
              </w:rPr>
              <w:t>Hz UL</w:t>
            </w:r>
          </w:p>
        </w:tc>
      </w:tr>
    </w:tbl>
    <w:p w:rsidR="001E7921" w:rsidRPr="001E7921" w:rsidRDefault="001E7921" w:rsidP="0075402D">
      <w:pPr>
        <w:rPr>
          <w:rFonts w:cs="Arial"/>
          <w:sz w:val="16"/>
          <w:szCs w:val="16"/>
        </w:rPr>
      </w:pPr>
      <w:r w:rsidRPr="001E7921">
        <w:rPr>
          <w:rFonts w:cs="Arial"/>
          <w:sz w:val="16"/>
          <w:szCs w:val="16"/>
        </w:rPr>
        <w:t xml:space="preserve">           470 MHz</w:t>
      </w:r>
      <w:r>
        <w:rPr>
          <w:rFonts w:cs="Arial"/>
          <w:sz w:val="16"/>
          <w:szCs w:val="16"/>
        </w:rPr>
        <w:t xml:space="preserve">                        608MHz-x &lt;-      x- cleared    -&gt; 608MHz 614 MHz                 698-y  </w:t>
      </w:r>
      <w:r w:rsidRPr="001E7921">
        <w:rPr>
          <w:rFonts w:cs="Arial"/>
          <w:sz w:val="16"/>
          <w:szCs w:val="16"/>
        </w:rPr>
        <w:t xml:space="preserve">&lt;-    </w:t>
      </w:r>
      <w:r>
        <w:rPr>
          <w:rFonts w:cs="Arial"/>
          <w:sz w:val="16"/>
          <w:szCs w:val="16"/>
        </w:rPr>
        <w:t>y</w:t>
      </w:r>
      <w:r w:rsidRPr="001E7921">
        <w:rPr>
          <w:rFonts w:cs="Arial"/>
          <w:sz w:val="16"/>
          <w:szCs w:val="16"/>
        </w:rPr>
        <w:t xml:space="preserve">- cleared   </w:t>
      </w:r>
      <w:r>
        <w:rPr>
          <w:rFonts w:cs="Arial"/>
          <w:sz w:val="16"/>
          <w:szCs w:val="16"/>
        </w:rPr>
        <w:t xml:space="preserve">    </w:t>
      </w:r>
      <w:r w:rsidRPr="001E7921">
        <w:rPr>
          <w:rFonts w:cs="Arial"/>
          <w:sz w:val="16"/>
          <w:szCs w:val="16"/>
        </w:rPr>
        <w:t xml:space="preserve"> -&gt;</w:t>
      </w:r>
      <w:r>
        <w:rPr>
          <w:rFonts w:cs="Arial"/>
          <w:sz w:val="16"/>
          <w:szCs w:val="16"/>
        </w:rPr>
        <w:t xml:space="preserve"> 698 MHz</w:t>
      </w:r>
    </w:p>
    <w:p w:rsidR="0075402D" w:rsidRPr="00E47B72" w:rsidRDefault="0075402D" w:rsidP="0075402D">
      <w:pPr>
        <w:rPr>
          <w:rFonts w:cs="Arial"/>
          <w:szCs w:val="22"/>
          <w:u w:val="single"/>
        </w:rPr>
      </w:pPr>
      <w:r w:rsidRPr="00E47B72">
        <w:rPr>
          <w:rFonts w:cs="Arial"/>
          <w:szCs w:val="22"/>
          <w:u w:val="single"/>
        </w:rPr>
        <w:t>Step 3: Forward auction to license reclaimed spectrum, and allow for certain unlicensed uses</w:t>
      </w:r>
    </w:p>
    <w:p w:rsidR="0075402D" w:rsidRPr="0075402D" w:rsidRDefault="0075402D" w:rsidP="0075402D">
      <w:pPr>
        <w:rPr>
          <w:rFonts w:cs="Arial"/>
          <w:szCs w:val="22"/>
        </w:rPr>
      </w:pPr>
      <w:r w:rsidRPr="0075402D">
        <w:rPr>
          <w:rFonts w:cs="Arial"/>
          <w:szCs w:val="22"/>
        </w:rPr>
        <w:t xml:space="preserve">Many details of this last stage of the incentive auction process will not be known until the first two stages are complete.  For example, the FCC will not know in advance the amount of spectrum it can make available in the forward auction, the specific frequencies that will be available and, perhaps, the geographic location of such frequencies. Thus, unlike previous spectrum auctions, the agency has not provided a proposed band plan with identified frequencies and the geographic location of such frequencies. Because the amount and location of reclaimed spectrum will not be known in advance, the Commission believes that the proposed framework for the steps discussed above will be flexible enough to provide potential bidders varying amounts and locations of spectrum. The Commission proposes to license the reclaimed spectrum in paired 5 MHz “building blocks” and, if excess spectrum is available that cannot be paired, unpaired spectrum that can serve as supplemental downlink spectrum. </w:t>
      </w:r>
    </w:p>
    <w:p w:rsidR="001C151E" w:rsidRDefault="0075402D" w:rsidP="0075402D">
      <w:pPr>
        <w:rPr>
          <w:rFonts w:cs="Arial"/>
          <w:szCs w:val="22"/>
        </w:rPr>
      </w:pPr>
      <w:r w:rsidRPr="0075402D">
        <w:rPr>
          <w:rFonts w:cs="Arial"/>
          <w:szCs w:val="22"/>
        </w:rPr>
        <w:t>The rules governing competitive bidding auctions will apply to the forward auction</w:t>
      </w:r>
      <w:r w:rsidR="001C151E">
        <w:rPr>
          <w:rFonts w:cs="Arial"/>
          <w:szCs w:val="22"/>
        </w:rPr>
        <w:t>, supplemented by some additional provisions.</w:t>
      </w:r>
    </w:p>
    <w:p w:rsidR="0075402D" w:rsidRPr="00081EE5" w:rsidRDefault="0075402D" w:rsidP="0075402D">
      <w:pPr>
        <w:rPr>
          <w:rFonts w:cs="Arial"/>
          <w:szCs w:val="22"/>
          <w:u w:val="single"/>
        </w:rPr>
      </w:pPr>
      <w:r w:rsidRPr="00081EE5">
        <w:rPr>
          <w:rFonts w:cs="Arial"/>
          <w:szCs w:val="22"/>
          <w:u w:val="single"/>
        </w:rPr>
        <w:t>600 MHz band plan</w:t>
      </w:r>
    </w:p>
    <w:p w:rsidR="0075402D" w:rsidRPr="0075402D" w:rsidRDefault="0075402D" w:rsidP="0075402D">
      <w:pPr>
        <w:rPr>
          <w:rFonts w:cs="Arial"/>
          <w:szCs w:val="22"/>
        </w:rPr>
      </w:pPr>
      <w:r w:rsidRPr="0075402D">
        <w:rPr>
          <w:rFonts w:cs="Arial"/>
          <w:szCs w:val="22"/>
        </w:rPr>
        <w:t xml:space="preserve">The </w:t>
      </w:r>
      <w:r w:rsidR="00081EE5">
        <w:rPr>
          <w:rFonts w:cs="Arial"/>
          <w:szCs w:val="22"/>
        </w:rPr>
        <w:t xml:space="preserve">FCC is also consulting on </w:t>
      </w:r>
      <w:r w:rsidRPr="0075402D">
        <w:rPr>
          <w:rFonts w:cs="Arial"/>
          <w:szCs w:val="22"/>
        </w:rPr>
        <w:t xml:space="preserve">adding new allocations for fixed and mobile services in the entire UHF/VHF TV bands to be co-primary with the allocations for broadcast services, and on broadcasters’ proposals </w:t>
      </w:r>
      <w:r w:rsidR="00081EE5">
        <w:rPr>
          <w:rFonts w:cs="Arial"/>
          <w:szCs w:val="22"/>
        </w:rPr>
        <w:t>to</w:t>
      </w:r>
      <w:r w:rsidRPr="0075402D">
        <w:rPr>
          <w:rFonts w:cs="Arial"/>
          <w:szCs w:val="22"/>
        </w:rPr>
        <w:t xml:space="preserve"> retain some of the UHF/VHF TV bands exclusively for broadcast use.</w:t>
      </w:r>
    </w:p>
    <w:p w:rsidR="00626467" w:rsidRPr="0075402D" w:rsidRDefault="00626467" w:rsidP="0075402D">
      <w:pPr>
        <w:rPr>
          <w:rFonts w:cs="Arial"/>
          <w:szCs w:val="22"/>
        </w:rPr>
      </w:pPr>
      <w:r>
        <w:rPr>
          <w:rFonts w:cs="Arial"/>
          <w:szCs w:val="22"/>
        </w:rPr>
        <w:t>(</w:t>
      </w:r>
      <w:r w:rsidRPr="00626467">
        <w:rPr>
          <w:rFonts w:cs="Arial"/>
          <w:szCs w:val="22"/>
        </w:rPr>
        <w:t xml:space="preserve">relevant for </w:t>
      </w:r>
      <w:r>
        <w:rPr>
          <w:rFonts w:cs="Arial"/>
          <w:szCs w:val="22"/>
        </w:rPr>
        <w:t>ECC, PT1 and ECC WGs for information</w:t>
      </w:r>
      <w:r w:rsidRPr="00626467">
        <w:rPr>
          <w:rFonts w:cs="Arial"/>
          <w:szCs w:val="22"/>
        </w:rPr>
        <w:t>)</w:t>
      </w:r>
    </w:p>
    <w:p w:rsidR="008F04B4" w:rsidRPr="00F22A00" w:rsidRDefault="007B5B56" w:rsidP="00F22A00">
      <w:pPr>
        <w:pStyle w:val="berschrift1"/>
        <w:rPr>
          <w:szCs w:val="22"/>
        </w:rPr>
      </w:pPr>
      <w:r w:rsidRPr="00F22A00">
        <w:rPr>
          <w:szCs w:val="22"/>
        </w:rPr>
        <w:t>GSM-R</w:t>
      </w:r>
      <w:r w:rsidR="00F22A00">
        <w:rPr>
          <w:szCs w:val="22"/>
        </w:rPr>
        <w:t xml:space="preserve"> (here: GSM-R extension in 873-876/918-921 MHz)</w:t>
      </w:r>
    </w:p>
    <w:p w:rsidR="00D04BA4" w:rsidRPr="00D04BA4" w:rsidRDefault="00D04BA4" w:rsidP="00F22A00">
      <w:r w:rsidRPr="00D04BA4">
        <w:t xml:space="preserve">At </w:t>
      </w:r>
      <w:r w:rsidR="00F22A00">
        <w:t xml:space="preserve">the 3GPP </w:t>
      </w:r>
      <w:r w:rsidRPr="00D04BA4">
        <w:t xml:space="preserve">GERAN#55 </w:t>
      </w:r>
      <w:r w:rsidR="00F22A00">
        <w:t xml:space="preserve">meeting </w:t>
      </w:r>
      <w:r>
        <w:t>(28-30 August</w:t>
      </w:r>
      <w:r w:rsidR="00F22A00">
        <w:t xml:space="preserve"> 2012</w:t>
      </w:r>
      <w:r>
        <w:t>)</w:t>
      </w:r>
      <w:r w:rsidR="00F22A00">
        <w:t>,</w:t>
      </w:r>
      <w:r>
        <w:t xml:space="preserve"> </w:t>
      </w:r>
      <w:r w:rsidRPr="00D04BA4">
        <w:t>two contributions were reviewed on</w:t>
      </w:r>
      <w:r w:rsidR="001C151E">
        <w:t xml:space="preserve"> the topic of </w:t>
      </w:r>
      <w:r w:rsidRPr="00D04BA4">
        <w:t xml:space="preserve">ER-GSM topic (GP-120901, GP-121016), progressing the co-existence studies necessary to determine which RF parameters are needed to introduce ER-GSM without impacting legacy systems in </w:t>
      </w:r>
      <w:r w:rsidR="00F22A00">
        <w:t xml:space="preserve">the </w:t>
      </w:r>
      <w:r w:rsidRPr="00D04BA4">
        <w:t>E-GSM</w:t>
      </w:r>
      <w:r w:rsidR="00F22A00">
        <w:t xml:space="preserve"> 900</w:t>
      </w:r>
      <w:r w:rsidRPr="00D04BA4">
        <w:t xml:space="preserve"> band.</w:t>
      </w:r>
    </w:p>
    <w:p w:rsidR="00D04BA4" w:rsidRPr="00D04BA4" w:rsidRDefault="00D04BA4" w:rsidP="00F22A00">
      <w:r w:rsidRPr="00D04BA4">
        <w:t xml:space="preserve">In the first contribution, focusing on the theoretical computation of acceptable blocker and spurious levels, it is determined that foreseen isolation between ER-GSM and legacy system is lower than existing isolation between legacy systems themselves. In the second contribution several disagreements </w:t>
      </w:r>
      <w:r w:rsidR="00F22A00">
        <w:t>were</w:t>
      </w:r>
      <w:r w:rsidRPr="00D04BA4">
        <w:t xml:space="preserve"> highlighted on the working assumptions taken in the first contribution.</w:t>
      </w:r>
    </w:p>
    <w:p w:rsidR="00D04BA4" w:rsidRPr="00D04BA4" w:rsidRDefault="00D04BA4" w:rsidP="00F22A00">
      <w:r w:rsidRPr="00D04BA4">
        <w:t>As a consequence, the second contribution proposes to investigate alternative options to mitigate the need for high isolation between ER-GSM and legacy systems.</w:t>
      </w:r>
    </w:p>
    <w:p w:rsidR="00D04BA4" w:rsidRDefault="00D04BA4" w:rsidP="00F22A00">
      <w:r w:rsidRPr="00D04BA4">
        <w:t xml:space="preserve">Furthermore, as some of the above mentioned options are dependent on the deployment </w:t>
      </w:r>
      <w:r w:rsidR="00626467">
        <w:t>s</w:t>
      </w:r>
      <w:r w:rsidRPr="00D04BA4">
        <w:t xml:space="preserve">cenarios, GERAN WG1 </w:t>
      </w:r>
      <w:r w:rsidR="001C151E">
        <w:t xml:space="preserve">is hoping to obtain </w:t>
      </w:r>
      <w:r w:rsidRPr="00D04BA4">
        <w:t>further information on ER-GSM usage.</w:t>
      </w:r>
    </w:p>
    <w:p w:rsidR="00D04BA4" w:rsidRDefault="00D04BA4" w:rsidP="00F22A00">
      <w:r w:rsidRPr="00D04BA4">
        <w:t xml:space="preserve">At the present time, it should also be noted that 3GPP has not assigned the Mobile Class Mark (identity for E-GSM-R capability in the GSM protocol for GSM equipment having implemented the E-GSM-R frequencies), i.e. E-GSM-R is </w:t>
      </w:r>
      <w:r w:rsidR="00F22A00">
        <w:t xml:space="preserve">still </w:t>
      </w:r>
      <w:r w:rsidRPr="00D04BA4">
        <w:t>in planning stage</w:t>
      </w:r>
      <w:r w:rsidR="00626467">
        <w:t xml:space="preserve"> without the possibility for «standardised implementation», although </w:t>
      </w:r>
      <w:r w:rsidRPr="00D04BA4">
        <w:t xml:space="preserve">with first tests </w:t>
      </w:r>
      <w:r w:rsidR="00626467">
        <w:t xml:space="preserve">are </w:t>
      </w:r>
      <w:r w:rsidRPr="00D04BA4">
        <w:t>to be expected in 2013</w:t>
      </w:r>
      <w:r w:rsidR="00626467">
        <w:t xml:space="preserve"> based on first equipment prototypes being available. The Mobile Class Mark assignment can only be expected after resolution of the above mentioned questions.</w:t>
      </w:r>
    </w:p>
    <w:p w:rsidR="00626467" w:rsidRDefault="00626467" w:rsidP="00F22A00">
      <w:r>
        <w:t>(for noting in WGFM and SRD/MG concerning ongoing investigations under the so-called UHF Roadmap)</w:t>
      </w:r>
    </w:p>
    <w:p w:rsidR="00D04BA4" w:rsidRDefault="00D04BA4" w:rsidP="00D04BA4">
      <w:pPr>
        <w:rPr>
          <w:rFonts w:cs="Arial"/>
          <w:b/>
          <w:szCs w:val="22"/>
        </w:rPr>
      </w:pPr>
    </w:p>
    <w:p w:rsidR="00626467" w:rsidRPr="009753CD" w:rsidRDefault="00626467" w:rsidP="00626467">
      <w:pPr>
        <w:pStyle w:val="berschrift1"/>
        <w:rPr>
          <w:szCs w:val="22"/>
        </w:rPr>
      </w:pPr>
      <w:r w:rsidRPr="009753CD">
        <w:rPr>
          <w:szCs w:val="22"/>
        </w:rPr>
        <w:t>FCC recent actions against operating devices that caused interference to Weather Radars maintained by the Federal Aviation Administration (FAA) operating in the 5600-5650 MHz band</w:t>
      </w:r>
    </w:p>
    <w:p w:rsidR="00626467" w:rsidRDefault="00626467" w:rsidP="00626467">
      <w:r>
        <w:t>D</w:t>
      </w:r>
      <w:r w:rsidRPr="00626467">
        <w:t xml:space="preserve">evices certified under FCC Part 15, Subpart E of the Rules may be operated as U-NII devices.  For those U-NII devices operating as a master device in the 5.25 GHz – 5.35 GHz and 5.47 GHz – 5.725 GHz bands, a Dynamic Frequency Selection (DFS) radar detection mechanism must be enabled. A piece of equipment is no longer </w:t>
      </w:r>
      <w:r w:rsidR="001C151E">
        <w:t xml:space="preserve">compliant with </w:t>
      </w:r>
      <w:r w:rsidRPr="00626467">
        <w:t>the FCC rules if it is installed or configured to defeat DFS</w:t>
      </w:r>
      <w:r>
        <w:t>.</w:t>
      </w:r>
    </w:p>
    <w:p w:rsidR="00626467" w:rsidRDefault="00626467" w:rsidP="00D04BA4">
      <w:pPr>
        <w:rPr>
          <w:rFonts w:cs="Arial"/>
          <w:b/>
          <w:szCs w:val="22"/>
        </w:rPr>
      </w:pPr>
    </w:p>
    <w:bookmarkStart w:id="1" w:name="_MON_1412172535"/>
    <w:bookmarkEnd w:id="1"/>
    <w:p w:rsidR="00D04BA4" w:rsidRDefault="00D04BA4" w:rsidP="00D04BA4">
      <w:pPr>
        <w:rPr>
          <w:rFonts w:cs="Arial"/>
          <w:b/>
          <w:szCs w:val="22"/>
        </w:rPr>
      </w:pPr>
      <w:r>
        <w:rPr>
          <w:rFonts w:cs="Arial"/>
          <w:b/>
          <w:szCs w:val="22"/>
        </w:rPr>
        <w:object w:dxaOrig="1531" w:dyaOrig="990">
          <v:shape id="_x0000_i1026" type="#_x0000_t75" style="width:76.25pt;height:49.75pt" o:ole="">
            <v:imagedata r:id="rId14" o:title=""/>
          </v:shape>
          <o:OLEObject Type="Embed" ProgID="Word.Document.8" ShapeID="_x0000_i1026" DrawAspect="Icon" ObjectID="_1412583464" r:id="rId15">
            <o:FieldCodes>\s</o:FieldCodes>
          </o:OLEObject>
        </w:object>
      </w:r>
    </w:p>
    <w:p w:rsidR="00D04BA4" w:rsidRDefault="00D04BA4" w:rsidP="00D04BA4">
      <w:pPr>
        <w:rPr>
          <w:rFonts w:cs="Arial"/>
          <w:b/>
          <w:szCs w:val="22"/>
        </w:rPr>
      </w:pPr>
    </w:p>
    <w:p w:rsidR="00540E5C" w:rsidRDefault="00540E5C" w:rsidP="00540E5C">
      <w:r>
        <w:t xml:space="preserve">(for WGFM and SRD/MG to note with regard to the ongoing investigations on interference into meteorological radars operating in 5600-5650 MHz). </w:t>
      </w:r>
    </w:p>
    <w:p w:rsidR="00540E5C" w:rsidRDefault="001C151E" w:rsidP="00540E5C">
      <w:r>
        <w:t>R</w:t>
      </w:r>
      <w:r w:rsidR="00540E5C">
        <w:t>eported interference cases are also a concern in the USA</w:t>
      </w:r>
      <w:r>
        <w:t xml:space="preserve"> (this was a subject of concern for the FCC when the ECC delegation visited them at the annual liaison US-Canada –ECC meeting in June) </w:t>
      </w:r>
      <w:r w:rsidR="00540E5C">
        <w:t>.</w:t>
      </w:r>
    </w:p>
    <w:p w:rsidR="00626467" w:rsidRDefault="00540E5C" w:rsidP="003C0687">
      <w:pPr>
        <w:pStyle w:val="berschrift1"/>
        <w:rPr>
          <w:b w:val="0"/>
          <w:szCs w:val="22"/>
        </w:rPr>
      </w:pPr>
      <w:r w:rsidRPr="003C0687">
        <w:rPr>
          <w:szCs w:val="22"/>
        </w:rPr>
        <w:t xml:space="preserve">APT Wireless Group </w:t>
      </w:r>
      <w:proofErr w:type="spellStart"/>
      <w:r w:rsidRPr="003C0687">
        <w:rPr>
          <w:szCs w:val="22"/>
        </w:rPr>
        <w:t>Workplan</w:t>
      </w:r>
      <w:proofErr w:type="spellEnd"/>
      <w:r w:rsidRPr="003C0687">
        <w:rPr>
          <w:szCs w:val="22"/>
        </w:rPr>
        <w:t xml:space="preserve"> and the Draft Report of the AWG-13 Meeting</w:t>
      </w:r>
      <w:r>
        <w:rPr>
          <w:b w:val="0"/>
          <w:szCs w:val="22"/>
        </w:rPr>
        <w:t xml:space="preserve"> (dated September 2012)</w:t>
      </w:r>
    </w:p>
    <w:p w:rsidR="00540E5C" w:rsidRDefault="00540E5C" w:rsidP="001C151E">
      <w:r>
        <w:t>Both documents are embedded below.</w:t>
      </w:r>
      <w:r w:rsidR="001C151E">
        <w:t xml:space="preserve"> The highlights of </w:t>
      </w:r>
      <w:r>
        <w:t xml:space="preserve">AWG#13 </w:t>
      </w:r>
      <w:r w:rsidR="001C151E">
        <w:t>included the following:</w:t>
      </w:r>
    </w:p>
    <w:p w:rsidR="00540E5C" w:rsidRDefault="00540E5C" w:rsidP="003C0687">
      <w:pPr>
        <w:numPr>
          <w:ilvl w:val="0"/>
          <w:numId w:val="23"/>
        </w:numPr>
      </w:pPr>
      <w:r>
        <w:t>The AWG</w:t>
      </w:r>
      <w:r w:rsidRPr="00540E5C">
        <w:t xml:space="preserve"> approved the workplan for APT Frequency Information System (AFIS).</w:t>
      </w:r>
      <w:r>
        <w:t xml:space="preserve"> Note that AFIS is based on the EFIS software.</w:t>
      </w:r>
    </w:p>
    <w:p w:rsidR="00540E5C" w:rsidRDefault="00540E5C" w:rsidP="003C0687">
      <w:pPr>
        <w:numPr>
          <w:ilvl w:val="0"/>
          <w:numId w:val="23"/>
        </w:numPr>
      </w:pPr>
      <w:r>
        <w:t xml:space="preserve">The AWG </w:t>
      </w:r>
      <w:r w:rsidRPr="00540E5C">
        <w:t xml:space="preserve">approved </w:t>
      </w:r>
      <w:r w:rsidR="003C0687">
        <w:t xml:space="preserve">a </w:t>
      </w:r>
      <w:r w:rsidRPr="00540E5C">
        <w:t xml:space="preserve">circular letter on Study of Suitable Frequency Ranges in relation to WRC-15 Agenda Item 1.1.  </w:t>
      </w:r>
    </w:p>
    <w:p w:rsidR="00540E5C" w:rsidRDefault="003C0687" w:rsidP="003C0687">
      <w:pPr>
        <w:numPr>
          <w:ilvl w:val="0"/>
          <w:numId w:val="23"/>
        </w:numPr>
      </w:pPr>
      <w:r>
        <w:t xml:space="preserve">AWG </w:t>
      </w:r>
      <w:r w:rsidR="00540E5C" w:rsidRPr="00540E5C">
        <w:t>established the two Correspondence Groups for the development of reports on PPDR</w:t>
      </w:r>
      <w:r w:rsidR="00540E5C">
        <w:t>.</w:t>
      </w:r>
    </w:p>
    <w:p w:rsidR="00540E5C" w:rsidRDefault="003C0687" w:rsidP="003C0687">
      <w:pPr>
        <w:numPr>
          <w:ilvl w:val="0"/>
          <w:numId w:val="23"/>
        </w:numPr>
      </w:pPr>
      <w:r>
        <w:t xml:space="preserve">AWG </w:t>
      </w:r>
      <w:r w:rsidR="00540E5C" w:rsidRPr="00540E5C">
        <w:t>approved the revision to the APT Report on APT Frequency Arrangement on 2300-2400 MHz for IMT/BWA.</w:t>
      </w:r>
    </w:p>
    <w:p w:rsidR="00540E5C" w:rsidRDefault="003C0687" w:rsidP="003C0687">
      <w:pPr>
        <w:numPr>
          <w:ilvl w:val="0"/>
          <w:numId w:val="23"/>
        </w:numPr>
      </w:pPr>
      <w:r>
        <w:t xml:space="preserve">AWG </w:t>
      </w:r>
      <w:r w:rsidR="00540E5C" w:rsidRPr="00540E5C">
        <w:t>approved the New APT Report on Introduction, Applications, Issues and Technology for Short-Range Devices.</w:t>
      </w:r>
    </w:p>
    <w:p w:rsidR="00540E5C" w:rsidRDefault="003C0687" w:rsidP="003C0687">
      <w:pPr>
        <w:numPr>
          <w:ilvl w:val="0"/>
          <w:numId w:val="23"/>
        </w:numPr>
      </w:pPr>
      <w:r>
        <w:t>AWG</w:t>
      </w:r>
      <w:r w:rsidR="00540E5C" w:rsidRPr="00540E5C">
        <w:t xml:space="preserve"> approved the revision to APT Report on Ultra Wide Band (UWB).</w:t>
      </w:r>
    </w:p>
    <w:bookmarkStart w:id="2" w:name="_MON_1412172564"/>
    <w:bookmarkEnd w:id="2"/>
    <w:p w:rsidR="00D04BA4" w:rsidRDefault="00D04BA4" w:rsidP="00D04BA4">
      <w:pPr>
        <w:rPr>
          <w:rFonts w:cs="Arial"/>
          <w:b/>
          <w:szCs w:val="22"/>
        </w:rPr>
      </w:pPr>
      <w:r>
        <w:rPr>
          <w:rFonts w:cs="Arial"/>
          <w:b/>
          <w:szCs w:val="22"/>
        </w:rPr>
        <w:object w:dxaOrig="1531" w:dyaOrig="990">
          <v:shape id="_x0000_i1027" type="#_x0000_t75" style="width:76.25pt;height:49.75pt" o:ole="">
            <v:imagedata r:id="rId16" o:title=""/>
          </v:shape>
          <o:OLEObject Type="Embed" ProgID="Word.Document.12" ShapeID="_x0000_i1027" DrawAspect="Icon" ObjectID="_1412583465" r:id="rId17">
            <o:FieldCodes>\s</o:FieldCodes>
          </o:OLEObject>
        </w:object>
      </w:r>
      <w:bookmarkStart w:id="3" w:name="_MON_1412172601"/>
      <w:bookmarkEnd w:id="3"/>
      <w:r>
        <w:rPr>
          <w:rFonts w:cs="Arial"/>
          <w:b/>
          <w:szCs w:val="22"/>
        </w:rPr>
        <w:object w:dxaOrig="1531" w:dyaOrig="990">
          <v:shape id="_x0000_i1028" type="#_x0000_t75" style="width:76.25pt;height:49.75pt" o:ole="">
            <v:imagedata r:id="rId18" o:title=""/>
          </v:shape>
          <o:OLEObject Type="Embed" ProgID="Word.Document.8" ShapeID="_x0000_i1028" DrawAspect="Icon" ObjectID="_1412583466" r:id="rId19">
            <o:FieldCodes>\s</o:FieldCodes>
          </o:OLEObject>
        </w:object>
      </w:r>
    </w:p>
    <w:p w:rsidR="00D04BA4" w:rsidRDefault="003C0687" w:rsidP="00D04BA4">
      <w:pPr>
        <w:rPr>
          <w:rFonts w:cs="Arial"/>
          <w:szCs w:val="22"/>
        </w:rPr>
      </w:pPr>
      <w:r w:rsidRPr="003C0687">
        <w:rPr>
          <w:rFonts w:cs="Arial"/>
          <w:szCs w:val="22"/>
        </w:rPr>
        <w:t xml:space="preserve">(relevant for respective WGs and PTs in the ECC. It is proposed to provide the ECO bulletin, circular letter and approved APT reports for information to the respective ECC WGs and PTs for information who deal with equivalent work items). </w:t>
      </w:r>
    </w:p>
    <w:p w:rsidR="003C0687" w:rsidRDefault="003C0687" w:rsidP="00D04BA4">
      <w:pPr>
        <w:rPr>
          <w:rFonts w:cs="Arial"/>
          <w:szCs w:val="22"/>
        </w:rPr>
      </w:pPr>
    </w:p>
    <w:p w:rsidR="003C0687" w:rsidRPr="003C0687" w:rsidRDefault="003C0687" w:rsidP="003C0687">
      <w:pPr>
        <w:pStyle w:val="berschrift1"/>
        <w:rPr>
          <w:szCs w:val="22"/>
        </w:rPr>
      </w:pPr>
      <w:r>
        <w:rPr>
          <w:szCs w:val="22"/>
        </w:rPr>
        <w:t>PPDR (here: 3GPP SA1 standardisation)</w:t>
      </w:r>
    </w:p>
    <w:p w:rsidR="00D04BA4" w:rsidRDefault="003C0687" w:rsidP="003C0687">
      <w:r>
        <w:t xml:space="preserve">The progress in 3GPP </w:t>
      </w:r>
      <w:r w:rsidR="00D04BA4" w:rsidRPr="00D04BA4">
        <w:t xml:space="preserve">SA1 </w:t>
      </w:r>
      <w:r>
        <w:t xml:space="preserve">should be noted with regard to the standardisation of requirements for PPDR in </w:t>
      </w:r>
      <w:r w:rsidRPr="003C0687">
        <w:t xml:space="preserve">LTE i.e. the provisioning of efficient </w:t>
      </w:r>
      <w:r>
        <w:t>g</w:t>
      </w:r>
      <w:r w:rsidRPr="003C0687">
        <w:t xml:space="preserve">roup calls and direct mode services. </w:t>
      </w:r>
      <w:r>
        <w:t>Embedded below is a presentation of the 3GPP SA1 chairman providing some recent information.</w:t>
      </w:r>
    </w:p>
    <w:p w:rsidR="00D04BA4" w:rsidRDefault="00D04BA4" w:rsidP="00D04BA4">
      <w:pPr>
        <w:rPr>
          <w:rFonts w:cs="Arial"/>
          <w:b/>
          <w:szCs w:val="22"/>
        </w:rPr>
      </w:pPr>
    </w:p>
    <w:bookmarkStart w:id="4" w:name="_MON_1412358179"/>
    <w:bookmarkEnd w:id="4"/>
    <w:p w:rsidR="00D04BA4" w:rsidRDefault="00D04BA4" w:rsidP="00D04BA4">
      <w:pPr>
        <w:rPr>
          <w:rFonts w:cs="Arial"/>
          <w:b/>
          <w:szCs w:val="22"/>
        </w:rPr>
      </w:pPr>
      <w:r>
        <w:rPr>
          <w:rFonts w:cs="Arial"/>
          <w:b/>
          <w:szCs w:val="22"/>
        </w:rPr>
        <w:object w:dxaOrig="1531" w:dyaOrig="990">
          <v:shape id="_x0000_i1029" type="#_x0000_t75" style="width:76.25pt;height:49.75pt" o:ole="">
            <v:imagedata r:id="rId20" o:title=""/>
          </v:shape>
          <o:OLEObject Type="Embed" ProgID="PowerPoint.Show.12" ShapeID="_x0000_i1029" DrawAspect="Icon" ObjectID="_1412583467" r:id="rId21"/>
        </w:object>
      </w:r>
    </w:p>
    <w:p w:rsidR="0048326E" w:rsidRPr="0048326E" w:rsidRDefault="0048326E" w:rsidP="00D04BA4">
      <w:pPr>
        <w:rPr>
          <w:rFonts w:cs="Arial"/>
          <w:szCs w:val="22"/>
        </w:rPr>
      </w:pPr>
      <w:r w:rsidRPr="0048326E">
        <w:rPr>
          <w:rFonts w:cs="Arial"/>
          <w:szCs w:val="22"/>
        </w:rPr>
        <w:t>(relevant information for PT FM49)</w:t>
      </w:r>
    </w:p>
    <w:p w:rsidR="008108A3" w:rsidRDefault="007E66F0" w:rsidP="003519DD">
      <w:pPr>
        <w:pStyle w:val="berschrift1"/>
      </w:pPr>
      <w:r>
        <w:t>ETSI TC ITS standardisation overview</w:t>
      </w:r>
    </w:p>
    <w:p w:rsidR="007E66F0" w:rsidRDefault="007E66F0" w:rsidP="00551819">
      <w:pPr>
        <w:rPr>
          <w:lang w:val="en-GB"/>
        </w:rPr>
      </w:pPr>
    </w:p>
    <w:p w:rsidR="007E66F0" w:rsidRDefault="007E66F0" w:rsidP="00551819">
      <w:pPr>
        <w:rPr>
          <w:lang w:val="en-GB"/>
        </w:rPr>
      </w:pPr>
      <w:r>
        <w:rPr>
          <w:lang w:val="en-GB"/>
        </w:rPr>
        <w:t>This information is here included because this ETSI work in ETSI TC ITS is also of relevance for other regions, i.e. the ETSI standardisation is providing the direction also for other regions.</w:t>
      </w:r>
    </w:p>
    <w:p w:rsidR="003519DD" w:rsidRDefault="007E66F0" w:rsidP="00551819">
      <w:pPr>
        <w:rPr>
          <w:lang w:val="en-GB"/>
        </w:rPr>
      </w:pPr>
      <w:r>
        <w:rPr>
          <w:lang w:val="en-GB"/>
        </w:rPr>
        <w:t xml:space="preserve">Of particular note is the finalisation of the physical and medium access layer standardisation for 5 GHz </w:t>
      </w:r>
      <w:proofErr w:type="gramStart"/>
      <w:r>
        <w:rPr>
          <w:lang w:val="en-GB"/>
        </w:rPr>
        <w:t>ITS</w:t>
      </w:r>
      <w:proofErr w:type="gramEnd"/>
      <w:r>
        <w:rPr>
          <w:lang w:val="en-GB"/>
        </w:rPr>
        <w:t>, the geo-networking harmonised standard (ITS positioning information is supported by GPS/Galileo</w:t>
      </w:r>
      <w:r w:rsidR="003519DD">
        <w:rPr>
          <w:lang w:val="en-GB"/>
        </w:rPr>
        <w:t>)</w:t>
      </w:r>
      <w:r>
        <w:rPr>
          <w:lang w:val="en-GB"/>
        </w:rPr>
        <w:t xml:space="preserve"> and the </w:t>
      </w:r>
      <w:r w:rsidR="003519DD">
        <w:rPr>
          <w:lang w:val="en-GB"/>
        </w:rPr>
        <w:t xml:space="preserve">EU-US harmonisation task group. Work items in relation to ISO standardisation have been withdrawn. Two ITS-related ETSI </w:t>
      </w:r>
      <w:proofErr w:type="spellStart"/>
      <w:r w:rsidR="003519DD">
        <w:rPr>
          <w:lang w:val="en-GB"/>
        </w:rPr>
        <w:t>SRDoc</w:t>
      </w:r>
      <w:proofErr w:type="spellEnd"/>
      <w:r w:rsidR="003519DD">
        <w:rPr>
          <w:lang w:val="en-GB"/>
        </w:rPr>
        <w:t xml:space="preserve"> are in preparation and may be expected to arrive at ECC WGs in early 2013 (subjects are urban rail applications and ITS transmitter mask reconsiderations). The ITS standardisation of this new radio system includes currently more than 120 work items in ETSI. </w:t>
      </w:r>
    </w:p>
    <w:p w:rsidR="007E66F0" w:rsidRDefault="003519DD" w:rsidP="00551819">
      <w:pPr>
        <w:rPr>
          <w:lang w:val="en-GB"/>
        </w:rPr>
      </w:pPr>
      <w:r>
        <w:rPr>
          <w:lang w:val="en-GB"/>
        </w:rPr>
        <w:t xml:space="preserve"> </w:t>
      </w:r>
      <w:r w:rsidR="0048326E">
        <w:rPr>
          <w:lang w:val="en-GB"/>
        </w:rPr>
        <w:t>(</w:t>
      </w:r>
      <w:proofErr w:type="gramStart"/>
      <w:r w:rsidR="0048326E">
        <w:rPr>
          <w:lang w:val="en-GB"/>
        </w:rPr>
        <w:t>relevant</w:t>
      </w:r>
      <w:proofErr w:type="gramEnd"/>
      <w:r w:rsidR="0048326E">
        <w:rPr>
          <w:lang w:val="en-GB"/>
        </w:rPr>
        <w:t xml:space="preserve"> for WGFM and SRD/MG)</w:t>
      </w:r>
    </w:p>
    <w:p w:rsidR="007E66F0" w:rsidRDefault="007E66F0" w:rsidP="00551819">
      <w:pPr>
        <w:rPr>
          <w:lang w:val="en-GB"/>
        </w:rPr>
      </w:pPr>
    </w:p>
    <w:bookmarkStart w:id="5" w:name="_MON_1412398946"/>
    <w:bookmarkEnd w:id="5"/>
    <w:p w:rsidR="007E66F0" w:rsidRDefault="007E66F0" w:rsidP="00551819">
      <w:pPr>
        <w:rPr>
          <w:lang w:val="en-GB"/>
        </w:rPr>
      </w:pPr>
      <w:r>
        <w:rPr>
          <w:lang w:val="en-GB"/>
        </w:rPr>
        <w:object w:dxaOrig="1531" w:dyaOrig="990">
          <v:shape id="_x0000_i1030" type="#_x0000_t75" style="width:76.25pt;height:49.75pt" o:ole="">
            <v:imagedata r:id="rId22" o:title=""/>
          </v:shape>
          <o:OLEObject Type="Embed" ProgID="Word.Document.12" ShapeID="_x0000_i1030" DrawAspect="Icon" ObjectID="_1412583468" r:id="rId23">
            <o:FieldCodes>\s</o:FieldCodes>
          </o:OLEObject>
        </w:object>
      </w:r>
    </w:p>
    <w:sectPr w:rsidR="007E66F0" w:rsidSect="008F677F">
      <w:footerReference w:type="even" r:id="rId24"/>
      <w:footerReference w:type="default" r:id="rId25"/>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92E" w:rsidRDefault="009B592E">
      <w:r>
        <w:separator/>
      </w:r>
    </w:p>
  </w:endnote>
  <w:endnote w:type="continuationSeparator" w:id="0">
    <w:p w:rsidR="009B592E" w:rsidRDefault="009B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51E" w:rsidRDefault="001C151E">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1C151E" w:rsidRDefault="001C15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51E" w:rsidRDefault="001C151E">
    <w:pPr>
      <w:framePr w:wrap="around" w:vAnchor="text" w:hAnchor="margin" w:xAlign="center" w:y="1"/>
      <w:rPr>
        <w:rStyle w:val="Seitenzahl"/>
        <w:sz w:val="20"/>
      </w:rPr>
    </w:pPr>
    <w:r>
      <w:rPr>
        <w:rStyle w:val="Seitenzahl"/>
        <w:sz w:val="20"/>
      </w:rPr>
      <w:fldChar w:fldCharType="begin"/>
    </w:r>
    <w:r>
      <w:rPr>
        <w:rStyle w:val="Seitenzahl"/>
        <w:sz w:val="20"/>
      </w:rPr>
      <w:instrText xml:space="preserve">PAGE  </w:instrText>
    </w:r>
    <w:r>
      <w:rPr>
        <w:rStyle w:val="Seitenzahl"/>
        <w:sz w:val="20"/>
      </w:rPr>
      <w:fldChar w:fldCharType="separate"/>
    </w:r>
    <w:r w:rsidR="005233B4">
      <w:rPr>
        <w:rStyle w:val="Seitenzahl"/>
        <w:noProof/>
        <w:sz w:val="20"/>
      </w:rPr>
      <w:t>2</w:t>
    </w:r>
    <w:r>
      <w:rPr>
        <w:rStyle w:val="Seitenzahl"/>
        <w:sz w:val="20"/>
      </w:rPr>
      <w:fldChar w:fldCharType="end"/>
    </w:r>
  </w:p>
  <w:p w:rsidR="001C151E" w:rsidRDefault="001C15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92E" w:rsidRDefault="009B592E">
      <w:r>
        <w:separator/>
      </w:r>
    </w:p>
  </w:footnote>
  <w:footnote w:type="continuationSeparator" w:id="0">
    <w:p w:rsidR="009B592E" w:rsidRDefault="009B59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FD4369E"/>
    <w:multiLevelType w:val="hybridMultilevel"/>
    <w:tmpl w:val="6A1E7566"/>
    <w:lvl w:ilvl="0" w:tplc="0FEE8840">
      <w:start w:val="1"/>
      <w:numFmt w:val="decimal"/>
      <w:lvlText w:val="%1."/>
      <w:lvlJc w:val="left"/>
      <w:pPr>
        <w:ind w:left="432" w:hanging="360"/>
      </w:pPr>
      <w:rPr>
        <w:rFonts w:hint="default"/>
      </w:rPr>
    </w:lvl>
    <w:lvl w:ilvl="1" w:tplc="04060019" w:tentative="1">
      <w:start w:val="1"/>
      <w:numFmt w:val="lowerLetter"/>
      <w:lvlText w:val="%2."/>
      <w:lvlJc w:val="left"/>
      <w:pPr>
        <w:ind w:left="1152" w:hanging="360"/>
      </w:pPr>
    </w:lvl>
    <w:lvl w:ilvl="2" w:tplc="0406001B" w:tentative="1">
      <w:start w:val="1"/>
      <w:numFmt w:val="lowerRoman"/>
      <w:lvlText w:val="%3."/>
      <w:lvlJc w:val="right"/>
      <w:pPr>
        <w:ind w:left="1872" w:hanging="180"/>
      </w:pPr>
    </w:lvl>
    <w:lvl w:ilvl="3" w:tplc="0406000F" w:tentative="1">
      <w:start w:val="1"/>
      <w:numFmt w:val="decimal"/>
      <w:lvlText w:val="%4."/>
      <w:lvlJc w:val="left"/>
      <w:pPr>
        <w:ind w:left="2592" w:hanging="360"/>
      </w:pPr>
    </w:lvl>
    <w:lvl w:ilvl="4" w:tplc="04060019" w:tentative="1">
      <w:start w:val="1"/>
      <w:numFmt w:val="lowerLetter"/>
      <w:lvlText w:val="%5."/>
      <w:lvlJc w:val="left"/>
      <w:pPr>
        <w:ind w:left="3312" w:hanging="360"/>
      </w:pPr>
    </w:lvl>
    <w:lvl w:ilvl="5" w:tplc="0406001B" w:tentative="1">
      <w:start w:val="1"/>
      <w:numFmt w:val="lowerRoman"/>
      <w:lvlText w:val="%6."/>
      <w:lvlJc w:val="right"/>
      <w:pPr>
        <w:ind w:left="4032" w:hanging="180"/>
      </w:pPr>
    </w:lvl>
    <w:lvl w:ilvl="6" w:tplc="0406000F" w:tentative="1">
      <w:start w:val="1"/>
      <w:numFmt w:val="decimal"/>
      <w:lvlText w:val="%7."/>
      <w:lvlJc w:val="left"/>
      <w:pPr>
        <w:ind w:left="4752" w:hanging="360"/>
      </w:pPr>
    </w:lvl>
    <w:lvl w:ilvl="7" w:tplc="04060019" w:tentative="1">
      <w:start w:val="1"/>
      <w:numFmt w:val="lowerLetter"/>
      <w:lvlText w:val="%8."/>
      <w:lvlJc w:val="left"/>
      <w:pPr>
        <w:ind w:left="5472" w:hanging="360"/>
      </w:pPr>
    </w:lvl>
    <w:lvl w:ilvl="8" w:tplc="0406001B" w:tentative="1">
      <w:start w:val="1"/>
      <w:numFmt w:val="lowerRoman"/>
      <w:lvlText w:val="%9."/>
      <w:lvlJc w:val="right"/>
      <w:pPr>
        <w:ind w:left="6192" w:hanging="180"/>
      </w:pPr>
    </w:lvl>
  </w:abstractNum>
  <w:abstractNum w:abstractNumId="2">
    <w:nsid w:val="257540F7"/>
    <w:multiLevelType w:val="hybridMultilevel"/>
    <w:tmpl w:val="2A58F0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2E4C5422"/>
    <w:multiLevelType w:val="hybridMultilevel"/>
    <w:tmpl w:val="C9323E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6">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
    <w:nsid w:val="3B86317D"/>
    <w:multiLevelType w:val="hybridMultilevel"/>
    <w:tmpl w:val="3350EFF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0">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5AD609DB"/>
    <w:multiLevelType w:val="hybridMultilevel"/>
    <w:tmpl w:val="704A58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707767BF"/>
    <w:multiLevelType w:val="multilevel"/>
    <w:tmpl w:val="7060B39E"/>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num w:numId="1">
    <w:abstractNumId w:val="12"/>
  </w:num>
  <w:num w:numId="2">
    <w:abstractNumId w:val="0"/>
  </w:num>
  <w:num w:numId="3">
    <w:abstractNumId w:val="14"/>
  </w:num>
  <w:num w:numId="4">
    <w:abstractNumId w:val="14"/>
  </w:num>
  <w:num w:numId="5">
    <w:abstractNumId w:val="14"/>
  </w:num>
  <w:num w:numId="6">
    <w:abstractNumId w:val="13"/>
  </w:num>
  <w:num w:numId="7">
    <w:abstractNumId w:val="14"/>
  </w:num>
  <w:num w:numId="8">
    <w:abstractNumId w:val="14"/>
  </w:num>
  <w:num w:numId="9">
    <w:abstractNumId w:val="5"/>
  </w:num>
  <w:num w:numId="10">
    <w:abstractNumId w:val="9"/>
  </w:num>
  <w:num w:numId="11">
    <w:abstractNumId w:val="7"/>
  </w:num>
  <w:num w:numId="12">
    <w:abstractNumId w:val="10"/>
  </w:num>
  <w:num w:numId="13">
    <w:abstractNumId w:val="6"/>
  </w:num>
  <w:num w:numId="14">
    <w:abstractNumId w:val="3"/>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4"/>
  </w:num>
  <w:num w:numId="18">
    <w:abstractNumId w:val="14"/>
  </w:num>
  <w:num w:numId="19">
    <w:abstractNumId w:val="14"/>
  </w:num>
  <w:num w:numId="20">
    <w:abstractNumId w:val="2"/>
  </w:num>
  <w:num w:numId="21">
    <w:abstractNumId w:val="14"/>
  </w:num>
  <w:num w:numId="22">
    <w:abstractNumId w:val="14"/>
  </w:num>
  <w:num w:numId="23">
    <w:abstractNumId w:val="4"/>
  </w:num>
  <w:num w:numId="24">
    <w:abstractNumId w:val="14"/>
  </w:num>
  <w:num w:numId="25">
    <w:abstractNumId w:val="14"/>
  </w:num>
  <w:num w:numId="26">
    <w:abstractNumId w:val="1"/>
  </w:num>
  <w:num w:numId="2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68"/>
    <w:rsid w:val="000233C6"/>
    <w:rsid w:val="00033112"/>
    <w:rsid w:val="000364E2"/>
    <w:rsid w:val="00042E6D"/>
    <w:rsid w:val="000641A7"/>
    <w:rsid w:val="00081EE5"/>
    <w:rsid w:val="00086867"/>
    <w:rsid w:val="00095D52"/>
    <w:rsid w:val="00097E34"/>
    <w:rsid w:val="000B0905"/>
    <w:rsid w:val="000D0F3C"/>
    <w:rsid w:val="000E346F"/>
    <w:rsid w:val="000F1373"/>
    <w:rsid w:val="00106047"/>
    <w:rsid w:val="00113B49"/>
    <w:rsid w:val="00135FE7"/>
    <w:rsid w:val="00161D26"/>
    <w:rsid w:val="00162CBB"/>
    <w:rsid w:val="0016435A"/>
    <w:rsid w:val="001720D9"/>
    <w:rsid w:val="0019429F"/>
    <w:rsid w:val="001C151E"/>
    <w:rsid w:val="001E0E49"/>
    <w:rsid w:val="001E7921"/>
    <w:rsid w:val="001F2614"/>
    <w:rsid w:val="00215746"/>
    <w:rsid w:val="00222F7B"/>
    <w:rsid w:val="00227B1C"/>
    <w:rsid w:val="00260D98"/>
    <w:rsid w:val="0026766F"/>
    <w:rsid w:val="00277BC1"/>
    <w:rsid w:val="0028051D"/>
    <w:rsid w:val="00294331"/>
    <w:rsid w:val="002A02A3"/>
    <w:rsid w:val="002B169D"/>
    <w:rsid w:val="002B47FC"/>
    <w:rsid w:val="002B683F"/>
    <w:rsid w:val="00314E5E"/>
    <w:rsid w:val="00326C68"/>
    <w:rsid w:val="00346C62"/>
    <w:rsid w:val="003519DD"/>
    <w:rsid w:val="00357A5F"/>
    <w:rsid w:val="0039030E"/>
    <w:rsid w:val="003A57CC"/>
    <w:rsid w:val="003B1654"/>
    <w:rsid w:val="003C0687"/>
    <w:rsid w:val="003C2268"/>
    <w:rsid w:val="003C4848"/>
    <w:rsid w:val="003C53D0"/>
    <w:rsid w:val="003E76E9"/>
    <w:rsid w:val="003F73E2"/>
    <w:rsid w:val="004002F7"/>
    <w:rsid w:val="0040663A"/>
    <w:rsid w:val="00430369"/>
    <w:rsid w:val="00431D12"/>
    <w:rsid w:val="004369DC"/>
    <w:rsid w:val="00443C40"/>
    <w:rsid w:val="004638DE"/>
    <w:rsid w:val="004648A4"/>
    <w:rsid w:val="004662F9"/>
    <w:rsid w:val="0048326E"/>
    <w:rsid w:val="00486369"/>
    <w:rsid w:val="00493F86"/>
    <w:rsid w:val="004A099D"/>
    <w:rsid w:val="004A47FF"/>
    <w:rsid w:val="004B23D3"/>
    <w:rsid w:val="004B2418"/>
    <w:rsid w:val="004F061E"/>
    <w:rsid w:val="004F2824"/>
    <w:rsid w:val="004F2E89"/>
    <w:rsid w:val="005233B4"/>
    <w:rsid w:val="005269EA"/>
    <w:rsid w:val="0053015C"/>
    <w:rsid w:val="00533846"/>
    <w:rsid w:val="005348B2"/>
    <w:rsid w:val="00540E5C"/>
    <w:rsid w:val="005434C4"/>
    <w:rsid w:val="00551819"/>
    <w:rsid w:val="00554550"/>
    <w:rsid w:val="005549FF"/>
    <w:rsid w:val="00562E1E"/>
    <w:rsid w:val="005761BB"/>
    <w:rsid w:val="005B6784"/>
    <w:rsid w:val="005F1C1F"/>
    <w:rsid w:val="00616265"/>
    <w:rsid w:val="00622548"/>
    <w:rsid w:val="00626467"/>
    <w:rsid w:val="0063524D"/>
    <w:rsid w:val="00651CE9"/>
    <w:rsid w:val="006542C3"/>
    <w:rsid w:val="0065588F"/>
    <w:rsid w:val="00664805"/>
    <w:rsid w:val="00684589"/>
    <w:rsid w:val="006845C9"/>
    <w:rsid w:val="006902F9"/>
    <w:rsid w:val="00690B4B"/>
    <w:rsid w:val="0069180A"/>
    <w:rsid w:val="006A646E"/>
    <w:rsid w:val="006C4BCC"/>
    <w:rsid w:val="006D1EAC"/>
    <w:rsid w:val="006E1FA9"/>
    <w:rsid w:val="0070740D"/>
    <w:rsid w:val="007538DB"/>
    <w:rsid w:val="0075402D"/>
    <w:rsid w:val="0075560F"/>
    <w:rsid w:val="00756CA1"/>
    <w:rsid w:val="00782F34"/>
    <w:rsid w:val="007925CA"/>
    <w:rsid w:val="00793843"/>
    <w:rsid w:val="007A1831"/>
    <w:rsid w:val="007A49AD"/>
    <w:rsid w:val="007B5B56"/>
    <w:rsid w:val="007E66F0"/>
    <w:rsid w:val="00802521"/>
    <w:rsid w:val="00807AA2"/>
    <w:rsid w:val="00807F54"/>
    <w:rsid w:val="008108A3"/>
    <w:rsid w:val="00820168"/>
    <w:rsid w:val="00884205"/>
    <w:rsid w:val="008A37BA"/>
    <w:rsid w:val="008D2718"/>
    <w:rsid w:val="008D763E"/>
    <w:rsid w:val="008F04B4"/>
    <w:rsid w:val="008F33D5"/>
    <w:rsid w:val="008F5596"/>
    <w:rsid w:val="008F5ECB"/>
    <w:rsid w:val="008F677F"/>
    <w:rsid w:val="00901F10"/>
    <w:rsid w:val="0095360D"/>
    <w:rsid w:val="009753CD"/>
    <w:rsid w:val="009852E6"/>
    <w:rsid w:val="0098621D"/>
    <w:rsid w:val="00997A4D"/>
    <w:rsid w:val="009B3CB6"/>
    <w:rsid w:val="009B592E"/>
    <w:rsid w:val="009C2F3B"/>
    <w:rsid w:val="009D242F"/>
    <w:rsid w:val="00A024A8"/>
    <w:rsid w:val="00A05741"/>
    <w:rsid w:val="00A477F3"/>
    <w:rsid w:val="00A65D29"/>
    <w:rsid w:val="00A77E89"/>
    <w:rsid w:val="00A87C8C"/>
    <w:rsid w:val="00A944A1"/>
    <w:rsid w:val="00A95309"/>
    <w:rsid w:val="00AA26E7"/>
    <w:rsid w:val="00AA3CFD"/>
    <w:rsid w:val="00AA59E8"/>
    <w:rsid w:val="00AC0304"/>
    <w:rsid w:val="00AC345D"/>
    <w:rsid w:val="00AD241F"/>
    <w:rsid w:val="00AE7906"/>
    <w:rsid w:val="00B0161E"/>
    <w:rsid w:val="00B1073A"/>
    <w:rsid w:val="00B1660B"/>
    <w:rsid w:val="00B26F6F"/>
    <w:rsid w:val="00B373C6"/>
    <w:rsid w:val="00B6512A"/>
    <w:rsid w:val="00B70CD3"/>
    <w:rsid w:val="00B90507"/>
    <w:rsid w:val="00BC2918"/>
    <w:rsid w:val="00BE4CC9"/>
    <w:rsid w:val="00BF2999"/>
    <w:rsid w:val="00C154C2"/>
    <w:rsid w:val="00C30217"/>
    <w:rsid w:val="00C309B1"/>
    <w:rsid w:val="00C43796"/>
    <w:rsid w:val="00C47BE9"/>
    <w:rsid w:val="00C5418E"/>
    <w:rsid w:val="00C60D46"/>
    <w:rsid w:val="00C62218"/>
    <w:rsid w:val="00C75E0E"/>
    <w:rsid w:val="00C82BC5"/>
    <w:rsid w:val="00CB0BBB"/>
    <w:rsid w:val="00CC1253"/>
    <w:rsid w:val="00CD4FA2"/>
    <w:rsid w:val="00CD51FD"/>
    <w:rsid w:val="00CE361B"/>
    <w:rsid w:val="00CE40EE"/>
    <w:rsid w:val="00CE6591"/>
    <w:rsid w:val="00D004D0"/>
    <w:rsid w:val="00D00B4F"/>
    <w:rsid w:val="00D04BA4"/>
    <w:rsid w:val="00D14191"/>
    <w:rsid w:val="00D34708"/>
    <w:rsid w:val="00D51444"/>
    <w:rsid w:val="00D53B5D"/>
    <w:rsid w:val="00D671A5"/>
    <w:rsid w:val="00DD08BA"/>
    <w:rsid w:val="00DE5E01"/>
    <w:rsid w:val="00DF2A80"/>
    <w:rsid w:val="00E026ED"/>
    <w:rsid w:val="00E232D3"/>
    <w:rsid w:val="00E2796D"/>
    <w:rsid w:val="00E27C6A"/>
    <w:rsid w:val="00E33B59"/>
    <w:rsid w:val="00E40873"/>
    <w:rsid w:val="00E47B72"/>
    <w:rsid w:val="00E561B8"/>
    <w:rsid w:val="00E577A4"/>
    <w:rsid w:val="00E87AEF"/>
    <w:rsid w:val="00E93323"/>
    <w:rsid w:val="00E95CFE"/>
    <w:rsid w:val="00ED5D60"/>
    <w:rsid w:val="00ED7AEC"/>
    <w:rsid w:val="00EE07DC"/>
    <w:rsid w:val="00EE6D93"/>
    <w:rsid w:val="00EF1568"/>
    <w:rsid w:val="00F009EB"/>
    <w:rsid w:val="00F05B26"/>
    <w:rsid w:val="00F22950"/>
    <w:rsid w:val="00F22A00"/>
    <w:rsid w:val="00F311FB"/>
    <w:rsid w:val="00F37A73"/>
    <w:rsid w:val="00F43BE8"/>
    <w:rsid w:val="00F53012"/>
    <w:rsid w:val="00F83840"/>
    <w:rsid w:val="00FA15BA"/>
    <w:rsid w:val="00FA6EBF"/>
    <w:rsid w:val="00FA7FC5"/>
    <w:rsid w:val="00FD0B6D"/>
    <w:rsid w:val="00FD5BEB"/>
    <w:rsid w:val="00FD7E46"/>
    <w:rsid w:val="00FE1DCB"/>
    <w:rsid w:val="00FE61C8"/>
    <w:rsid w:val="00FF320E"/>
    <w:rsid w:val="00FF3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F33D5"/>
    <w:pPr>
      <w:spacing w:after="120"/>
      <w:jc w:val="both"/>
    </w:pPr>
    <w:rPr>
      <w:rFonts w:ascii="Arial" w:hAnsi="Arial"/>
      <w:sz w:val="22"/>
      <w:lang w:val="nb-NO" w:eastAsia="de-DE"/>
    </w:rPr>
  </w:style>
  <w:style w:type="paragraph" w:styleId="berschrift1">
    <w:name w:val="heading 1"/>
    <w:basedOn w:val="Standard"/>
    <w:next w:val="Standard"/>
    <w:link w:val="berschrift1Zchn"/>
    <w:qFormat/>
    <w:rsid w:val="00D004D0"/>
    <w:pPr>
      <w:numPr>
        <w:numId w:val="3"/>
      </w:numPr>
      <w:tabs>
        <w:tab w:val="left" w:pos="851"/>
      </w:tabs>
      <w:spacing w:before="360"/>
      <w:jc w:val="left"/>
      <w:outlineLvl w:val="0"/>
    </w:pPr>
    <w:rPr>
      <w:rFonts w:cs="Arial"/>
      <w:b/>
      <w:sz w:val="28"/>
      <w:szCs w:val="28"/>
      <w:lang w:val="en-GB"/>
    </w:rPr>
  </w:style>
  <w:style w:type="paragraph" w:styleId="berschrift2">
    <w:name w:val="heading 2"/>
    <w:basedOn w:val="berschrift1"/>
    <w:next w:val="Standard"/>
    <w:qFormat/>
    <w:rsid w:val="00D004D0"/>
    <w:pPr>
      <w:numPr>
        <w:ilvl w:val="1"/>
      </w:numPr>
      <w:tabs>
        <w:tab w:val="clear" w:pos="576"/>
      </w:tabs>
      <w:spacing w:before="120"/>
      <w:ind w:left="851" w:hanging="851"/>
      <w:outlineLvl w:val="1"/>
    </w:pPr>
    <w:rPr>
      <w:sz w:val="24"/>
    </w:rPr>
  </w:style>
  <w:style w:type="paragraph" w:styleId="berschrift3">
    <w:name w:val="heading 3"/>
    <w:basedOn w:val="berschrift2"/>
    <w:next w:val="Standard"/>
    <w:qFormat/>
    <w:rsid w:val="00D004D0"/>
    <w:pPr>
      <w:numPr>
        <w:ilvl w:val="2"/>
      </w:numPr>
      <w:tabs>
        <w:tab w:val="clear" w:pos="720"/>
      </w:tabs>
      <w:ind w:left="851" w:hanging="851"/>
      <w:outlineLvl w:val="2"/>
    </w:pPr>
    <w:rPr>
      <w:i/>
      <w:sz w:val="22"/>
    </w:rPr>
  </w:style>
  <w:style w:type="paragraph" w:styleId="berschrift4">
    <w:name w:val="heading 4"/>
    <w:basedOn w:val="Standard"/>
    <w:next w:val="Standard"/>
    <w:qFormat/>
    <w:rsid w:val="00D004D0"/>
    <w:pPr>
      <w:numPr>
        <w:ilvl w:val="3"/>
        <w:numId w:val="3"/>
      </w:numPr>
      <w:outlineLvl w:val="3"/>
    </w:pPr>
    <w:rPr>
      <w:u w:val="single"/>
    </w:rPr>
  </w:style>
  <w:style w:type="paragraph" w:styleId="berschrift5">
    <w:name w:val="heading 5"/>
    <w:basedOn w:val="Standard"/>
    <w:next w:val="Standard"/>
    <w:qFormat/>
    <w:rsid w:val="00D004D0"/>
    <w:pPr>
      <w:numPr>
        <w:ilvl w:val="4"/>
        <w:numId w:val="3"/>
      </w:numPr>
      <w:outlineLvl w:val="4"/>
    </w:pPr>
    <w:rPr>
      <w:b/>
      <w:sz w:val="20"/>
    </w:rPr>
  </w:style>
  <w:style w:type="paragraph" w:styleId="berschrift6">
    <w:name w:val="heading 6"/>
    <w:basedOn w:val="Standard"/>
    <w:next w:val="Standard"/>
    <w:qFormat/>
    <w:rsid w:val="00D004D0"/>
    <w:pPr>
      <w:numPr>
        <w:ilvl w:val="5"/>
        <w:numId w:val="3"/>
      </w:numPr>
      <w:outlineLvl w:val="5"/>
    </w:pPr>
    <w:rPr>
      <w:sz w:val="20"/>
      <w:u w:val="single"/>
    </w:rPr>
  </w:style>
  <w:style w:type="paragraph" w:styleId="berschrift7">
    <w:name w:val="heading 7"/>
    <w:basedOn w:val="Standard"/>
    <w:next w:val="Standard"/>
    <w:qFormat/>
    <w:rsid w:val="00D004D0"/>
    <w:pPr>
      <w:numPr>
        <w:ilvl w:val="6"/>
        <w:numId w:val="3"/>
      </w:numPr>
      <w:outlineLvl w:val="6"/>
    </w:pPr>
    <w:rPr>
      <w:i/>
      <w:sz w:val="20"/>
    </w:rPr>
  </w:style>
  <w:style w:type="paragraph" w:styleId="berschrift8">
    <w:name w:val="heading 8"/>
    <w:basedOn w:val="Standard"/>
    <w:next w:val="Standard"/>
    <w:qFormat/>
    <w:rsid w:val="00D004D0"/>
    <w:pPr>
      <w:numPr>
        <w:ilvl w:val="7"/>
        <w:numId w:val="3"/>
      </w:numPr>
      <w:outlineLvl w:val="7"/>
    </w:pPr>
    <w:rPr>
      <w:i/>
      <w:sz w:val="20"/>
    </w:rPr>
  </w:style>
  <w:style w:type="paragraph" w:styleId="berschrift9">
    <w:name w:val="heading 9"/>
    <w:basedOn w:val="Standard"/>
    <w:next w:val="Standard"/>
    <w:qFormat/>
    <w:rsid w:val="00D004D0"/>
    <w:pPr>
      <w:numPr>
        <w:ilvl w:val="8"/>
        <w:numId w:val="3"/>
      </w:numPr>
      <w:outlineLvl w:val="8"/>
    </w:pPr>
    <w:rPr>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8621D"/>
    <w:pPr>
      <w:tabs>
        <w:tab w:val="center" w:pos="4536"/>
        <w:tab w:val="right" w:pos="9072"/>
      </w:tabs>
      <w:spacing w:after="0"/>
      <w:jc w:val="left"/>
    </w:pPr>
    <w:rPr>
      <w:b/>
    </w:rPr>
  </w:style>
  <w:style w:type="paragraph" w:styleId="Liste">
    <w:name w:val="List"/>
    <w:basedOn w:val="Standard"/>
    <w:rsid w:val="00135FE7"/>
    <w:pPr>
      <w:tabs>
        <w:tab w:val="left" w:pos="1418"/>
      </w:tabs>
      <w:ind w:left="1418" w:hanging="567"/>
    </w:pPr>
  </w:style>
  <w:style w:type="paragraph" w:customStyle="1" w:styleId="Kopfzeile1">
    <w:name w:val="Kopfzeile1"/>
    <w:basedOn w:val="Kopfzeile"/>
    <w:rsid w:val="00215746"/>
  </w:style>
  <w:style w:type="character" w:styleId="Funotenzeichen">
    <w:name w:val="footnote reference"/>
    <w:semiHidden/>
    <w:rPr>
      <w:position w:val="6"/>
      <w:sz w:val="16"/>
    </w:rPr>
  </w:style>
  <w:style w:type="paragraph" w:styleId="Funotentext">
    <w:name w:val="footnote text"/>
    <w:basedOn w:val="Standard"/>
    <w:semiHidden/>
    <w:rPr>
      <w:sz w:val="20"/>
    </w:r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paragraph" w:styleId="Abbildungsverzeichnis">
    <w:name w:val="table of figures"/>
    <w:basedOn w:val="Standard"/>
    <w:next w:val="Standard"/>
    <w:semiHidden/>
    <w:pPr>
      <w:ind w:left="400" w:hanging="400"/>
    </w:pPr>
    <w:rPr>
      <w:sz w:val="20"/>
      <w:lang w:val="de-DE"/>
    </w:rPr>
  </w:style>
  <w:style w:type="paragraph" w:styleId="Titel">
    <w:name w:val="Title"/>
    <w:basedOn w:val="Standard"/>
    <w:qFormat/>
    <w:rsid w:val="00B70CD3"/>
    <w:pPr>
      <w:jc w:val="center"/>
    </w:pPr>
    <w:rPr>
      <w:b/>
      <w:sz w:val="28"/>
      <w:lang w:val="de-DE"/>
    </w:rPr>
  </w:style>
  <w:style w:type="paragraph" w:customStyle="1" w:styleId="Kasten">
    <w:name w:val="Kasten"/>
    <w:basedOn w:val="Standard"/>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Standard"/>
    <w:next w:val="Standard"/>
    <w:rsid w:val="00DE5E01"/>
    <w:pPr>
      <w:tabs>
        <w:tab w:val="left" w:pos="851"/>
      </w:tabs>
      <w:ind w:left="851" w:hanging="851"/>
    </w:pPr>
    <w:rPr>
      <w:b/>
      <w:lang w:val="en-GB"/>
    </w:rPr>
  </w:style>
  <w:style w:type="paragraph" w:customStyle="1" w:styleId="Header1">
    <w:name w:val="Header1"/>
    <w:basedOn w:val="Kopfzeile"/>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Sprechblasentext">
    <w:name w:val="Balloon Text"/>
    <w:basedOn w:val="Standard"/>
    <w:link w:val="SprechblasentextZchn"/>
    <w:rsid w:val="00551819"/>
    <w:pPr>
      <w:spacing w:after="0"/>
    </w:pPr>
    <w:rPr>
      <w:rFonts w:ascii="Tahoma" w:hAnsi="Tahoma" w:cs="Tahoma"/>
      <w:sz w:val="16"/>
      <w:szCs w:val="16"/>
    </w:rPr>
  </w:style>
  <w:style w:type="character" w:customStyle="1" w:styleId="SprechblasentextZchn">
    <w:name w:val="Sprechblasentext Zchn"/>
    <w:link w:val="Sprechblasentext"/>
    <w:rsid w:val="00551819"/>
    <w:rPr>
      <w:rFonts w:ascii="Tahoma" w:hAnsi="Tahoma" w:cs="Tahoma"/>
      <w:sz w:val="16"/>
      <w:szCs w:val="16"/>
      <w:lang w:val="nb-NO"/>
    </w:rPr>
  </w:style>
  <w:style w:type="paragraph" w:styleId="StandardWeb">
    <w:name w:val="Normal (Web)"/>
    <w:basedOn w:val="Standard"/>
    <w:uiPriority w:val="99"/>
    <w:rsid w:val="00551819"/>
    <w:pPr>
      <w:spacing w:before="100" w:beforeAutospacing="1" w:after="100" w:afterAutospacing="1" w:line="264" w:lineRule="auto"/>
      <w:contextualSpacing/>
      <w:jc w:val="left"/>
    </w:pPr>
    <w:rPr>
      <w:rFonts w:ascii="Times New Roman" w:hAnsi="Times New Roman"/>
      <w:sz w:val="24"/>
      <w:szCs w:val="24"/>
      <w:lang w:val="en-US" w:eastAsia="en-US"/>
    </w:rPr>
  </w:style>
  <w:style w:type="paragraph" w:styleId="Beschriftung">
    <w:name w:val="caption"/>
    <w:basedOn w:val="Standard"/>
    <w:next w:val="Standard"/>
    <w:qFormat/>
    <w:rsid w:val="00551819"/>
    <w:pPr>
      <w:spacing w:after="60" w:line="264" w:lineRule="auto"/>
      <w:contextualSpacing/>
    </w:pPr>
    <w:rPr>
      <w:b/>
      <w:bCs/>
      <w:sz w:val="20"/>
      <w:lang w:val="en-US" w:eastAsia="en-US"/>
    </w:rPr>
  </w:style>
  <w:style w:type="character" w:customStyle="1" w:styleId="SectionChar">
    <w:name w:val="Section Char"/>
    <w:link w:val="Section"/>
    <w:semiHidden/>
    <w:locked/>
    <w:rsid w:val="00551819"/>
    <w:rPr>
      <w:b/>
      <w:bCs/>
    </w:rPr>
  </w:style>
  <w:style w:type="paragraph" w:customStyle="1" w:styleId="Section">
    <w:name w:val="Section"/>
    <w:basedOn w:val="Standard"/>
    <w:link w:val="SectionChar"/>
    <w:semiHidden/>
    <w:rsid w:val="00551819"/>
    <w:pPr>
      <w:spacing w:before="240" w:after="160"/>
    </w:pPr>
    <w:rPr>
      <w:rFonts w:ascii="Times New Roman" w:hAnsi="Times New Roman"/>
      <w:b/>
      <w:bCs/>
      <w:sz w:val="20"/>
      <w:lang w:val="de-DE"/>
    </w:rPr>
  </w:style>
  <w:style w:type="character" w:customStyle="1" w:styleId="SubSectionChar">
    <w:name w:val="SubSection Char"/>
    <w:link w:val="SubSection"/>
    <w:semiHidden/>
    <w:locked/>
    <w:rsid w:val="00551819"/>
    <w:rPr>
      <w:b/>
      <w:bCs/>
    </w:rPr>
  </w:style>
  <w:style w:type="paragraph" w:customStyle="1" w:styleId="SubSection">
    <w:name w:val="SubSection"/>
    <w:basedOn w:val="Standard"/>
    <w:link w:val="SubSectionChar"/>
    <w:semiHidden/>
    <w:rsid w:val="00551819"/>
    <w:pPr>
      <w:keepNext/>
      <w:spacing w:before="240" w:after="160"/>
    </w:pPr>
    <w:rPr>
      <w:rFonts w:ascii="Times New Roman" w:hAnsi="Times New Roman"/>
      <w:b/>
      <w:bCs/>
      <w:sz w:val="20"/>
      <w:lang w:val="de-DE"/>
    </w:rPr>
  </w:style>
  <w:style w:type="paragraph" w:styleId="Endnotentext">
    <w:name w:val="endnote text"/>
    <w:basedOn w:val="Standard"/>
    <w:link w:val="EndnotentextZchn"/>
    <w:rsid w:val="00F009EB"/>
    <w:rPr>
      <w:sz w:val="20"/>
    </w:rPr>
  </w:style>
  <w:style w:type="character" w:customStyle="1" w:styleId="EndnotentextZchn">
    <w:name w:val="Endnotentext Zchn"/>
    <w:link w:val="Endnotentext"/>
    <w:rsid w:val="00F009EB"/>
    <w:rPr>
      <w:rFonts w:ascii="Arial" w:hAnsi="Arial"/>
      <w:lang w:val="nb-NO" w:eastAsia="de-DE"/>
    </w:rPr>
  </w:style>
  <w:style w:type="character" w:styleId="Endnotenzeichen">
    <w:name w:val="endnote reference"/>
    <w:rsid w:val="00F009EB"/>
    <w:rPr>
      <w:vertAlign w:val="superscript"/>
    </w:rPr>
  </w:style>
  <w:style w:type="character" w:customStyle="1" w:styleId="berschrift1Zchn">
    <w:name w:val="Überschrift 1 Zchn"/>
    <w:link w:val="berschrift1"/>
    <w:rsid w:val="00A944A1"/>
    <w:rPr>
      <w:rFonts w:ascii="Arial" w:hAnsi="Arial" w:cs="Arial"/>
      <w:b/>
      <w:sz w:val="28"/>
      <w:szCs w:val="28"/>
      <w:lang w:val="en-GB" w:eastAsia="de-DE"/>
    </w:rPr>
  </w:style>
  <w:style w:type="table" w:styleId="Tabellenraster">
    <w:name w:val="Table Grid"/>
    <w:basedOn w:val="NormaleTabelle"/>
    <w:rsid w:val="001E7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F33D5"/>
    <w:pPr>
      <w:spacing w:after="120"/>
      <w:jc w:val="both"/>
    </w:pPr>
    <w:rPr>
      <w:rFonts w:ascii="Arial" w:hAnsi="Arial"/>
      <w:sz w:val="22"/>
      <w:lang w:val="nb-NO" w:eastAsia="de-DE"/>
    </w:rPr>
  </w:style>
  <w:style w:type="paragraph" w:styleId="berschrift1">
    <w:name w:val="heading 1"/>
    <w:basedOn w:val="Standard"/>
    <w:next w:val="Standard"/>
    <w:link w:val="berschrift1Zchn"/>
    <w:qFormat/>
    <w:rsid w:val="00D004D0"/>
    <w:pPr>
      <w:numPr>
        <w:numId w:val="3"/>
      </w:numPr>
      <w:tabs>
        <w:tab w:val="left" w:pos="851"/>
      </w:tabs>
      <w:spacing w:before="360"/>
      <w:jc w:val="left"/>
      <w:outlineLvl w:val="0"/>
    </w:pPr>
    <w:rPr>
      <w:rFonts w:cs="Arial"/>
      <w:b/>
      <w:sz w:val="28"/>
      <w:szCs w:val="28"/>
      <w:lang w:val="en-GB"/>
    </w:rPr>
  </w:style>
  <w:style w:type="paragraph" w:styleId="berschrift2">
    <w:name w:val="heading 2"/>
    <w:basedOn w:val="berschrift1"/>
    <w:next w:val="Standard"/>
    <w:qFormat/>
    <w:rsid w:val="00D004D0"/>
    <w:pPr>
      <w:numPr>
        <w:ilvl w:val="1"/>
      </w:numPr>
      <w:tabs>
        <w:tab w:val="clear" w:pos="576"/>
      </w:tabs>
      <w:spacing w:before="120"/>
      <w:ind w:left="851" w:hanging="851"/>
      <w:outlineLvl w:val="1"/>
    </w:pPr>
    <w:rPr>
      <w:sz w:val="24"/>
    </w:rPr>
  </w:style>
  <w:style w:type="paragraph" w:styleId="berschrift3">
    <w:name w:val="heading 3"/>
    <w:basedOn w:val="berschrift2"/>
    <w:next w:val="Standard"/>
    <w:qFormat/>
    <w:rsid w:val="00D004D0"/>
    <w:pPr>
      <w:numPr>
        <w:ilvl w:val="2"/>
      </w:numPr>
      <w:tabs>
        <w:tab w:val="clear" w:pos="720"/>
      </w:tabs>
      <w:ind w:left="851" w:hanging="851"/>
      <w:outlineLvl w:val="2"/>
    </w:pPr>
    <w:rPr>
      <w:i/>
      <w:sz w:val="22"/>
    </w:rPr>
  </w:style>
  <w:style w:type="paragraph" w:styleId="berschrift4">
    <w:name w:val="heading 4"/>
    <w:basedOn w:val="Standard"/>
    <w:next w:val="Standard"/>
    <w:qFormat/>
    <w:rsid w:val="00D004D0"/>
    <w:pPr>
      <w:numPr>
        <w:ilvl w:val="3"/>
        <w:numId w:val="3"/>
      </w:numPr>
      <w:outlineLvl w:val="3"/>
    </w:pPr>
    <w:rPr>
      <w:u w:val="single"/>
    </w:rPr>
  </w:style>
  <w:style w:type="paragraph" w:styleId="berschrift5">
    <w:name w:val="heading 5"/>
    <w:basedOn w:val="Standard"/>
    <w:next w:val="Standard"/>
    <w:qFormat/>
    <w:rsid w:val="00D004D0"/>
    <w:pPr>
      <w:numPr>
        <w:ilvl w:val="4"/>
        <w:numId w:val="3"/>
      </w:numPr>
      <w:outlineLvl w:val="4"/>
    </w:pPr>
    <w:rPr>
      <w:b/>
      <w:sz w:val="20"/>
    </w:rPr>
  </w:style>
  <w:style w:type="paragraph" w:styleId="berschrift6">
    <w:name w:val="heading 6"/>
    <w:basedOn w:val="Standard"/>
    <w:next w:val="Standard"/>
    <w:qFormat/>
    <w:rsid w:val="00D004D0"/>
    <w:pPr>
      <w:numPr>
        <w:ilvl w:val="5"/>
        <w:numId w:val="3"/>
      </w:numPr>
      <w:outlineLvl w:val="5"/>
    </w:pPr>
    <w:rPr>
      <w:sz w:val="20"/>
      <w:u w:val="single"/>
    </w:rPr>
  </w:style>
  <w:style w:type="paragraph" w:styleId="berschrift7">
    <w:name w:val="heading 7"/>
    <w:basedOn w:val="Standard"/>
    <w:next w:val="Standard"/>
    <w:qFormat/>
    <w:rsid w:val="00D004D0"/>
    <w:pPr>
      <w:numPr>
        <w:ilvl w:val="6"/>
        <w:numId w:val="3"/>
      </w:numPr>
      <w:outlineLvl w:val="6"/>
    </w:pPr>
    <w:rPr>
      <w:i/>
      <w:sz w:val="20"/>
    </w:rPr>
  </w:style>
  <w:style w:type="paragraph" w:styleId="berschrift8">
    <w:name w:val="heading 8"/>
    <w:basedOn w:val="Standard"/>
    <w:next w:val="Standard"/>
    <w:qFormat/>
    <w:rsid w:val="00D004D0"/>
    <w:pPr>
      <w:numPr>
        <w:ilvl w:val="7"/>
        <w:numId w:val="3"/>
      </w:numPr>
      <w:outlineLvl w:val="7"/>
    </w:pPr>
    <w:rPr>
      <w:i/>
      <w:sz w:val="20"/>
    </w:rPr>
  </w:style>
  <w:style w:type="paragraph" w:styleId="berschrift9">
    <w:name w:val="heading 9"/>
    <w:basedOn w:val="Standard"/>
    <w:next w:val="Standard"/>
    <w:qFormat/>
    <w:rsid w:val="00D004D0"/>
    <w:pPr>
      <w:numPr>
        <w:ilvl w:val="8"/>
        <w:numId w:val="3"/>
      </w:numPr>
      <w:outlineLvl w:val="8"/>
    </w:pPr>
    <w:rPr>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8621D"/>
    <w:pPr>
      <w:tabs>
        <w:tab w:val="center" w:pos="4536"/>
        <w:tab w:val="right" w:pos="9072"/>
      </w:tabs>
      <w:spacing w:after="0"/>
      <w:jc w:val="left"/>
    </w:pPr>
    <w:rPr>
      <w:b/>
    </w:rPr>
  </w:style>
  <w:style w:type="paragraph" w:styleId="Liste">
    <w:name w:val="List"/>
    <w:basedOn w:val="Standard"/>
    <w:rsid w:val="00135FE7"/>
    <w:pPr>
      <w:tabs>
        <w:tab w:val="left" w:pos="1418"/>
      </w:tabs>
      <w:ind w:left="1418" w:hanging="567"/>
    </w:pPr>
  </w:style>
  <w:style w:type="paragraph" w:customStyle="1" w:styleId="Kopfzeile1">
    <w:name w:val="Kopfzeile1"/>
    <w:basedOn w:val="Kopfzeile"/>
    <w:rsid w:val="00215746"/>
  </w:style>
  <w:style w:type="character" w:styleId="Funotenzeichen">
    <w:name w:val="footnote reference"/>
    <w:semiHidden/>
    <w:rPr>
      <w:position w:val="6"/>
      <w:sz w:val="16"/>
    </w:rPr>
  </w:style>
  <w:style w:type="paragraph" w:styleId="Funotentext">
    <w:name w:val="footnote text"/>
    <w:basedOn w:val="Standard"/>
    <w:semiHidden/>
    <w:rPr>
      <w:sz w:val="20"/>
    </w:r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paragraph" w:styleId="Abbildungsverzeichnis">
    <w:name w:val="table of figures"/>
    <w:basedOn w:val="Standard"/>
    <w:next w:val="Standard"/>
    <w:semiHidden/>
    <w:pPr>
      <w:ind w:left="400" w:hanging="400"/>
    </w:pPr>
    <w:rPr>
      <w:sz w:val="20"/>
      <w:lang w:val="de-DE"/>
    </w:rPr>
  </w:style>
  <w:style w:type="paragraph" w:styleId="Titel">
    <w:name w:val="Title"/>
    <w:basedOn w:val="Standard"/>
    <w:qFormat/>
    <w:rsid w:val="00B70CD3"/>
    <w:pPr>
      <w:jc w:val="center"/>
    </w:pPr>
    <w:rPr>
      <w:b/>
      <w:sz w:val="28"/>
      <w:lang w:val="de-DE"/>
    </w:rPr>
  </w:style>
  <w:style w:type="paragraph" w:customStyle="1" w:styleId="Kasten">
    <w:name w:val="Kasten"/>
    <w:basedOn w:val="Standard"/>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Standard"/>
    <w:next w:val="Standard"/>
    <w:rsid w:val="00DE5E01"/>
    <w:pPr>
      <w:tabs>
        <w:tab w:val="left" w:pos="851"/>
      </w:tabs>
      <w:ind w:left="851" w:hanging="851"/>
    </w:pPr>
    <w:rPr>
      <w:b/>
      <w:lang w:val="en-GB"/>
    </w:rPr>
  </w:style>
  <w:style w:type="paragraph" w:customStyle="1" w:styleId="Header1">
    <w:name w:val="Header1"/>
    <w:basedOn w:val="Kopfzeile"/>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Sprechblasentext">
    <w:name w:val="Balloon Text"/>
    <w:basedOn w:val="Standard"/>
    <w:link w:val="SprechblasentextZchn"/>
    <w:rsid w:val="00551819"/>
    <w:pPr>
      <w:spacing w:after="0"/>
    </w:pPr>
    <w:rPr>
      <w:rFonts w:ascii="Tahoma" w:hAnsi="Tahoma" w:cs="Tahoma"/>
      <w:sz w:val="16"/>
      <w:szCs w:val="16"/>
    </w:rPr>
  </w:style>
  <w:style w:type="character" w:customStyle="1" w:styleId="SprechblasentextZchn">
    <w:name w:val="Sprechblasentext Zchn"/>
    <w:link w:val="Sprechblasentext"/>
    <w:rsid w:val="00551819"/>
    <w:rPr>
      <w:rFonts w:ascii="Tahoma" w:hAnsi="Tahoma" w:cs="Tahoma"/>
      <w:sz w:val="16"/>
      <w:szCs w:val="16"/>
      <w:lang w:val="nb-NO"/>
    </w:rPr>
  </w:style>
  <w:style w:type="paragraph" w:styleId="StandardWeb">
    <w:name w:val="Normal (Web)"/>
    <w:basedOn w:val="Standard"/>
    <w:uiPriority w:val="99"/>
    <w:rsid w:val="00551819"/>
    <w:pPr>
      <w:spacing w:before="100" w:beforeAutospacing="1" w:after="100" w:afterAutospacing="1" w:line="264" w:lineRule="auto"/>
      <w:contextualSpacing/>
      <w:jc w:val="left"/>
    </w:pPr>
    <w:rPr>
      <w:rFonts w:ascii="Times New Roman" w:hAnsi="Times New Roman"/>
      <w:sz w:val="24"/>
      <w:szCs w:val="24"/>
      <w:lang w:val="en-US" w:eastAsia="en-US"/>
    </w:rPr>
  </w:style>
  <w:style w:type="paragraph" w:styleId="Beschriftung">
    <w:name w:val="caption"/>
    <w:basedOn w:val="Standard"/>
    <w:next w:val="Standard"/>
    <w:qFormat/>
    <w:rsid w:val="00551819"/>
    <w:pPr>
      <w:spacing w:after="60" w:line="264" w:lineRule="auto"/>
      <w:contextualSpacing/>
    </w:pPr>
    <w:rPr>
      <w:b/>
      <w:bCs/>
      <w:sz w:val="20"/>
      <w:lang w:val="en-US" w:eastAsia="en-US"/>
    </w:rPr>
  </w:style>
  <w:style w:type="character" w:customStyle="1" w:styleId="SectionChar">
    <w:name w:val="Section Char"/>
    <w:link w:val="Section"/>
    <w:semiHidden/>
    <w:locked/>
    <w:rsid w:val="00551819"/>
    <w:rPr>
      <w:b/>
      <w:bCs/>
    </w:rPr>
  </w:style>
  <w:style w:type="paragraph" w:customStyle="1" w:styleId="Section">
    <w:name w:val="Section"/>
    <w:basedOn w:val="Standard"/>
    <w:link w:val="SectionChar"/>
    <w:semiHidden/>
    <w:rsid w:val="00551819"/>
    <w:pPr>
      <w:spacing w:before="240" w:after="160"/>
    </w:pPr>
    <w:rPr>
      <w:rFonts w:ascii="Times New Roman" w:hAnsi="Times New Roman"/>
      <w:b/>
      <w:bCs/>
      <w:sz w:val="20"/>
      <w:lang w:val="de-DE"/>
    </w:rPr>
  </w:style>
  <w:style w:type="character" w:customStyle="1" w:styleId="SubSectionChar">
    <w:name w:val="SubSection Char"/>
    <w:link w:val="SubSection"/>
    <w:semiHidden/>
    <w:locked/>
    <w:rsid w:val="00551819"/>
    <w:rPr>
      <w:b/>
      <w:bCs/>
    </w:rPr>
  </w:style>
  <w:style w:type="paragraph" w:customStyle="1" w:styleId="SubSection">
    <w:name w:val="SubSection"/>
    <w:basedOn w:val="Standard"/>
    <w:link w:val="SubSectionChar"/>
    <w:semiHidden/>
    <w:rsid w:val="00551819"/>
    <w:pPr>
      <w:keepNext/>
      <w:spacing w:before="240" w:after="160"/>
    </w:pPr>
    <w:rPr>
      <w:rFonts w:ascii="Times New Roman" w:hAnsi="Times New Roman"/>
      <w:b/>
      <w:bCs/>
      <w:sz w:val="20"/>
      <w:lang w:val="de-DE"/>
    </w:rPr>
  </w:style>
  <w:style w:type="paragraph" w:styleId="Endnotentext">
    <w:name w:val="endnote text"/>
    <w:basedOn w:val="Standard"/>
    <w:link w:val="EndnotentextZchn"/>
    <w:rsid w:val="00F009EB"/>
    <w:rPr>
      <w:sz w:val="20"/>
    </w:rPr>
  </w:style>
  <w:style w:type="character" w:customStyle="1" w:styleId="EndnotentextZchn">
    <w:name w:val="Endnotentext Zchn"/>
    <w:link w:val="Endnotentext"/>
    <w:rsid w:val="00F009EB"/>
    <w:rPr>
      <w:rFonts w:ascii="Arial" w:hAnsi="Arial"/>
      <w:lang w:val="nb-NO" w:eastAsia="de-DE"/>
    </w:rPr>
  </w:style>
  <w:style w:type="character" w:styleId="Endnotenzeichen">
    <w:name w:val="endnote reference"/>
    <w:rsid w:val="00F009EB"/>
    <w:rPr>
      <w:vertAlign w:val="superscript"/>
    </w:rPr>
  </w:style>
  <w:style w:type="character" w:customStyle="1" w:styleId="berschrift1Zchn">
    <w:name w:val="Überschrift 1 Zchn"/>
    <w:link w:val="berschrift1"/>
    <w:rsid w:val="00A944A1"/>
    <w:rPr>
      <w:rFonts w:ascii="Arial" w:hAnsi="Arial" w:cs="Arial"/>
      <w:b/>
      <w:sz w:val="28"/>
      <w:szCs w:val="28"/>
      <w:lang w:val="en-GB" w:eastAsia="de-DE"/>
    </w:rPr>
  </w:style>
  <w:style w:type="table" w:styleId="Tabellenraster">
    <w:name w:val="Table Grid"/>
    <w:basedOn w:val="NormaleTabelle"/>
    <w:rsid w:val="001E7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PowerPoint-Pr_sentation2.ppt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Dokument1.doc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s.fcc.gov/ecfs/document/view?id=7021917572"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Word_97-2003-Dokument1.doc"/><Relationship Id="rId23" Type="http://schemas.openxmlformats.org/officeDocument/2006/relationships/package" Target="embeddings/Microsoft_Word-Dokument3.docx"/><Relationship Id="rId10" Type="http://schemas.openxmlformats.org/officeDocument/2006/relationships/hyperlink" Target="http://www.ic.gc.ca/eic/site/smt-gst.nsf/eng/sf10395.html" TargetMode="External"/><Relationship Id="rId19" Type="http://schemas.openxmlformats.org/officeDocument/2006/relationships/oleObject" Target="embeddings/Microsoft_Word_97-2003-Dokument2.doc"/><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C264-2DC4-4605-B631-DE0523DE3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FORM01_Input_contribution[1].dot</Template>
  <TotalTime>0</TotalTime>
  <Pages>7</Pages>
  <Words>2968</Words>
  <Characters>16285</Characters>
  <Application>Microsoft Office Word</Application>
  <DocSecurity>0</DocSecurity>
  <Lines>135</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Cover page</vt:lpstr>
      <vt:lpstr>Cover page</vt:lpstr>
    </vt:vector>
  </TitlesOfParts>
  <Company>BNetzA</Company>
  <LinksUpToDate>false</LinksUpToDate>
  <CharactersWithSpaces>19215</CharactersWithSpaces>
  <SharedDoc>false</SharedDoc>
  <HLinks>
    <vt:vector size="18" baseType="variant">
      <vt:variant>
        <vt:i4>983041</vt:i4>
      </vt:variant>
      <vt:variant>
        <vt:i4>6</vt:i4>
      </vt:variant>
      <vt:variant>
        <vt:i4>0</vt:i4>
      </vt:variant>
      <vt:variant>
        <vt:i4>5</vt:i4>
      </vt:variant>
      <vt:variant>
        <vt:lpwstr>https://federalregister.gov/a/2012-21984</vt:lpwstr>
      </vt:variant>
      <vt:variant>
        <vt:lpwstr/>
      </vt:variant>
      <vt:variant>
        <vt:i4>6225997</vt:i4>
      </vt:variant>
      <vt:variant>
        <vt:i4>3</vt:i4>
      </vt:variant>
      <vt:variant>
        <vt:i4>0</vt:i4>
      </vt:variant>
      <vt:variant>
        <vt:i4>5</vt:i4>
      </vt:variant>
      <vt:variant>
        <vt:lpwstr>http://apps.fcc.gov/ecfs/document/view?id=7021917572</vt:lpwstr>
      </vt:variant>
      <vt:variant>
        <vt:lpwstr/>
      </vt:variant>
      <vt:variant>
        <vt:i4>5636096</vt:i4>
      </vt:variant>
      <vt:variant>
        <vt:i4>0</vt:i4>
      </vt:variant>
      <vt:variant>
        <vt:i4>0</vt:i4>
      </vt:variant>
      <vt:variant>
        <vt:i4>5</vt:i4>
      </vt:variant>
      <vt:variant>
        <vt:lpwstr>http://www.ic.gc.ca/eic/site/smt-gst.nsf/eng/sf10395.html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221-1c</cp:lastModifiedBy>
  <cp:revision>3</cp:revision>
  <cp:lastPrinted>1999-09-27T13:20:00Z</cp:lastPrinted>
  <dcterms:created xsi:type="dcterms:W3CDTF">2012-10-24T08:00:00Z</dcterms:created>
  <dcterms:modified xsi:type="dcterms:W3CDTF">2012-10-24T09:31:00Z</dcterms:modified>
</cp:coreProperties>
</file>