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340F" w:rsidRDefault="003C340F"/>
    <w:tbl>
      <w:tblPr>
        <w:tblW w:w="9462" w:type="dxa"/>
        <w:tblInd w:w="-72" w:type="dxa"/>
        <w:tblLayout w:type="fixed"/>
        <w:tblCellMar>
          <w:left w:w="70" w:type="dxa"/>
          <w:right w:w="70" w:type="dxa"/>
        </w:tblCellMar>
        <w:tblLook w:val="0000" w:firstRow="0" w:lastRow="0" w:firstColumn="0" w:lastColumn="0" w:noHBand="0" w:noVBand="0"/>
      </w:tblPr>
      <w:tblGrid>
        <w:gridCol w:w="1809"/>
        <w:gridCol w:w="2451"/>
        <w:gridCol w:w="1698"/>
        <w:gridCol w:w="3504"/>
      </w:tblGrid>
      <w:tr w:rsidR="00346C62" w:rsidRPr="0098621D" w:rsidTr="00856FA0">
        <w:trPr>
          <w:cantSplit/>
          <w:trHeight w:val="1571"/>
        </w:trPr>
        <w:tc>
          <w:tcPr>
            <w:tcW w:w="5958" w:type="dxa"/>
            <w:gridSpan w:val="3"/>
            <w:tcBorders>
              <w:top w:val="nil"/>
              <w:left w:val="nil"/>
              <w:bottom w:val="nil"/>
              <w:right w:val="nil"/>
            </w:tcBorders>
          </w:tcPr>
          <w:p w:rsidR="00346C62" w:rsidRPr="0098621D" w:rsidRDefault="00635F80" w:rsidP="00215746">
            <w:pPr>
              <w:pStyle w:val="Header2"/>
            </w:pPr>
            <w:r>
              <w:rPr>
                <w:noProof/>
                <w:lang w:val="fr-FR" w:eastAsia="fr-FR"/>
              </w:rPr>
              <w:drawing>
                <wp:inline distT="0" distB="0" distL="0" distR="0" wp14:anchorId="0823B067" wp14:editId="5C330F85">
                  <wp:extent cx="1619250" cy="828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0" cy="828675"/>
                          </a:xfrm>
                          <a:prstGeom prst="rect">
                            <a:avLst/>
                          </a:prstGeom>
                          <a:noFill/>
                          <a:ln>
                            <a:noFill/>
                          </a:ln>
                        </pic:spPr>
                      </pic:pic>
                    </a:graphicData>
                  </a:graphic>
                </wp:inline>
              </w:drawing>
            </w:r>
          </w:p>
          <w:p w:rsidR="00346C62" w:rsidRPr="0098621D" w:rsidRDefault="00346C62" w:rsidP="00215746">
            <w:pPr>
              <w:pStyle w:val="Header2"/>
              <w:rPr>
                <w:rFonts w:cs="Arial"/>
                <w:color w:val="000000"/>
                <w:lang w:val="en-GB"/>
              </w:rPr>
            </w:pPr>
          </w:p>
        </w:tc>
        <w:tc>
          <w:tcPr>
            <w:tcW w:w="3504" w:type="dxa"/>
            <w:tcBorders>
              <w:top w:val="nil"/>
              <w:left w:val="nil"/>
              <w:bottom w:val="nil"/>
              <w:right w:val="nil"/>
            </w:tcBorders>
          </w:tcPr>
          <w:p w:rsidR="00346C62" w:rsidRPr="00346C62" w:rsidRDefault="0098621D" w:rsidP="006F366E">
            <w:pPr>
              <w:pStyle w:val="Header2"/>
              <w:tabs>
                <w:tab w:val="clear" w:pos="4536"/>
                <w:tab w:val="right" w:pos="3357"/>
              </w:tabs>
            </w:pPr>
            <w:r>
              <w:tab/>
            </w:r>
            <w:r w:rsidR="00B26358">
              <w:t>ECC</w:t>
            </w:r>
            <w:r w:rsidR="00E96AC0">
              <w:t xml:space="preserve"> SG</w:t>
            </w:r>
            <w:r w:rsidR="00B26358">
              <w:t>(1</w:t>
            </w:r>
            <w:r w:rsidR="006F366E">
              <w:t>4</w:t>
            </w:r>
            <w:r w:rsidR="00842A51">
              <w:t>)</w:t>
            </w:r>
            <w:r w:rsidR="00654078">
              <w:t>0</w:t>
            </w:r>
            <w:r w:rsidR="006F366E">
              <w:t>11</w:t>
            </w:r>
            <w:r w:rsidR="00533846">
              <w:t xml:space="preserve"> </w:t>
            </w:r>
          </w:p>
        </w:tc>
      </w:tr>
      <w:tr w:rsidR="00346C62" w:rsidRPr="0098621D" w:rsidTr="00856FA0">
        <w:tblPrEx>
          <w:tblCellMar>
            <w:left w:w="108" w:type="dxa"/>
            <w:right w:w="108" w:type="dxa"/>
          </w:tblCellMar>
        </w:tblPrEx>
        <w:trPr>
          <w:cantSplit/>
          <w:trHeight w:val="405"/>
        </w:trPr>
        <w:tc>
          <w:tcPr>
            <w:tcW w:w="4260" w:type="dxa"/>
            <w:gridSpan w:val="2"/>
            <w:tcBorders>
              <w:top w:val="nil"/>
              <w:left w:val="nil"/>
              <w:bottom w:val="nil"/>
              <w:right w:val="nil"/>
            </w:tcBorders>
            <w:vAlign w:val="center"/>
          </w:tcPr>
          <w:p w:rsidR="00346C62" w:rsidRPr="0098621D" w:rsidRDefault="006D48BC" w:rsidP="00AD419E">
            <w:pPr>
              <w:pStyle w:val="Header2"/>
            </w:pPr>
            <w:r>
              <w:t>3</w:t>
            </w:r>
            <w:r w:rsidR="00AD419E">
              <w:t>4th</w:t>
            </w:r>
            <w:r>
              <w:t xml:space="preserve"> </w:t>
            </w:r>
            <w:r w:rsidR="001E0E49">
              <w:t>Meeting</w:t>
            </w:r>
            <w:r w:rsidR="003A1EC7">
              <w:t xml:space="preserve"> ECC SG</w:t>
            </w:r>
          </w:p>
        </w:tc>
        <w:tc>
          <w:tcPr>
            <w:tcW w:w="5202" w:type="dxa"/>
            <w:gridSpan w:val="2"/>
            <w:tcBorders>
              <w:top w:val="nil"/>
              <w:left w:val="nil"/>
              <w:bottom w:val="nil"/>
              <w:right w:val="nil"/>
            </w:tcBorders>
            <w:vAlign w:val="center"/>
          </w:tcPr>
          <w:p w:rsidR="00346C62" w:rsidRPr="0098621D" w:rsidRDefault="00346C62" w:rsidP="00215746">
            <w:pPr>
              <w:pStyle w:val="Header2"/>
              <w:rPr>
                <w:lang w:val="en-GB"/>
              </w:rPr>
            </w:pPr>
          </w:p>
        </w:tc>
      </w:tr>
      <w:tr w:rsidR="00346C62" w:rsidRPr="0098621D" w:rsidTr="00856FA0">
        <w:tblPrEx>
          <w:tblCellMar>
            <w:left w:w="108" w:type="dxa"/>
            <w:right w:w="108" w:type="dxa"/>
          </w:tblCellMar>
        </w:tblPrEx>
        <w:trPr>
          <w:cantSplit/>
          <w:trHeight w:val="405"/>
        </w:trPr>
        <w:tc>
          <w:tcPr>
            <w:tcW w:w="4260" w:type="dxa"/>
            <w:gridSpan w:val="2"/>
            <w:tcBorders>
              <w:top w:val="nil"/>
              <w:left w:val="nil"/>
              <w:bottom w:val="nil"/>
              <w:right w:val="nil"/>
            </w:tcBorders>
            <w:vAlign w:val="center"/>
          </w:tcPr>
          <w:p w:rsidR="00346C62" w:rsidRPr="0098621D" w:rsidRDefault="00C53E09" w:rsidP="0095430C">
            <w:pPr>
              <w:pStyle w:val="Header2"/>
            </w:pPr>
            <w:r>
              <w:t>M</w:t>
            </w:r>
            <w:r w:rsidR="00802B60">
              <w:t>aiso</w:t>
            </w:r>
            <w:r w:rsidR="00094204">
              <w:t>ns Alfort</w:t>
            </w:r>
            <w:r w:rsidR="001E0E49">
              <w:t xml:space="preserve">, </w:t>
            </w:r>
            <w:r w:rsidR="0095430C">
              <w:t>13th February</w:t>
            </w:r>
            <w:r w:rsidR="00094204">
              <w:t xml:space="preserve"> </w:t>
            </w:r>
            <w:r w:rsidR="003A1EC7">
              <w:t xml:space="preserve"> </w:t>
            </w:r>
            <w:r w:rsidR="00842A51">
              <w:t>201</w:t>
            </w:r>
            <w:r w:rsidR="0095430C">
              <w:t>4</w:t>
            </w:r>
          </w:p>
        </w:tc>
        <w:tc>
          <w:tcPr>
            <w:tcW w:w="5202" w:type="dxa"/>
            <w:gridSpan w:val="2"/>
            <w:tcBorders>
              <w:top w:val="nil"/>
              <w:left w:val="nil"/>
              <w:bottom w:val="nil"/>
              <w:right w:val="nil"/>
            </w:tcBorders>
            <w:vAlign w:val="center"/>
          </w:tcPr>
          <w:p w:rsidR="00346C62" w:rsidRPr="0098621D" w:rsidRDefault="00346C62" w:rsidP="00215746">
            <w:pPr>
              <w:pStyle w:val="Header2"/>
              <w:rPr>
                <w:lang w:val="en-GB"/>
              </w:rPr>
            </w:pPr>
          </w:p>
        </w:tc>
      </w:tr>
      <w:tr w:rsidR="00F05B26" w:rsidRPr="0098621D" w:rsidTr="00856FA0">
        <w:tblPrEx>
          <w:tblCellMar>
            <w:left w:w="108" w:type="dxa"/>
            <w:right w:w="108" w:type="dxa"/>
          </w:tblCellMar>
        </w:tblPrEx>
        <w:trPr>
          <w:cantSplit/>
          <w:trHeight w:val="80"/>
        </w:trPr>
        <w:tc>
          <w:tcPr>
            <w:tcW w:w="4260" w:type="dxa"/>
            <w:gridSpan w:val="2"/>
            <w:tcBorders>
              <w:top w:val="nil"/>
              <w:left w:val="nil"/>
              <w:bottom w:val="nil"/>
              <w:right w:val="nil"/>
            </w:tcBorders>
            <w:vAlign w:val="center"/>
          </w:tcPr>
          <w:p w:rsidR="00F05B26" w:rsidRPr="0098621D" w:rsidRDefault="00F05B26" w:rsidP="00215746">
            <w:pPr>
              <w:pStyle w:val="Header2"/>
              <w:rPr>
                <w:sz w:val="8"/>
              </w:rPr>
            </w:pPr>
          </w:p>
        </w:tc>
        <w:tc>
          <w:tcPr>
            <w:tcW w:w="5202" w:type="dxa"/>
            <w:gridSpan w:val="2"/>
            <w:tcBorders>
              <w:top w:val="nil"/>
              <w:left w:val="nil"/>
              <w:bottom w:val="nil"/>
              <w:right w:val="nil"/>
            </w:tcBorders>
            <w:vAlign w:val="center"/>
          </w:tcPr>
          <w:p w:rsidR="00F05B26" w:rsidRPr="0098621D" w:rsidRDefault="00F05B26" w:rsidP="00215746">
            <w:pPr>
              <w:pStyle w:val="Header2"/>
              <w:rPr>
                <w:sz w:val="8"/>
                <w:lang w:val="en-GB"/>
              </w:rPr>
            </w:pPr>
          </w:p>
        </w:tc>
      </w:tr>
      <w:tr w:rsidR="00F05B26" w:rsidRPr="0098621D" w:rsidTr="00856FA0">
        <w:tblPrEx>
          <w:tblCellMar>
            <w:left w:w="108" w:type="dxa"/>
            <w:right w:w="108" w:type="dxa"/>
          </w:tblCellMar>
        </w:tblPrEx>
        <w:trPr>
          <w:cantSplit/>
          <w:trHeight w:val="405"/>
        </w:trPr>
        <w:tc>
          <w:tcPr>
            <w:tcW w:w="1809" w:type="dxa"/>
            <w:tcBorders>
              <w:top w:val="nil"/>
              <w:left w:val="nil"/>
              <w:bottom w:val="nil"/>
              <w:right w:val="nil"/>
            </w:tcBorders>
            <w:vAlign w:val="center"/>
          </w:tcPr>
          <w:p w:rsidR="00F05B26" w:rsidRPr="0098621D" w:rsidRDefault="00F05B26" w:rsidP="00215746">
            <w:pPr>
              <w:pStyle w:val="Header2"/>
            </w:pPr>
            <w:r w:rsidRPr="0098621D">
              <w:t>Date issued:</w:t>
            </w:r>
            <w:r w:rsidR="005269EA">
              <w:t xml:space="preserve"> </w:t>
            </w:r>
          </w:p>
        </w:tc>
        <w:tc>
          <w:tcPr>
            <w:tcW w:w="7653" w:type="dxa"/>
            <w:gridSpan w:val="3"/>
            <w:tcBorders>
              <w:top w:val="nil"/>
              <w:left w:val="nil"/>
              <w:bottom w:val="nil"/>
              <w:right w:val="nil"/>
            </w:tcBorders>
            <w:vAlign w:val="center"/>
          </w:tcPr>
          <w:p w:rsidR="00F05B26" w:rsidRPr="003A1EC7" w:rsidRDefault="0095430C" w:rsidP="006F366E">
            <w:pPr>
              <w:pStyle w:val="Header2"/>
              <w:rPr>
                <w:b w:val="0"/>
                <w:lang w:val="en-GB"/>
              </w:rPr>
            </w:pPr>
            <w:r>
              <w:rPr>
                <w:b w:val="0"/>
                <w:lang w:val="en-GB"/>
              </w:rPr>
              <w:t>1</w:t>
            </w:r>
            <w:r w:rsidR="006F366E">
              <w:rPr>
                <w:b w:val="0"/>
                <w:lang w:val="en-GB"/>
              </w:rPr>
              <w:t>1</w:t>
            </w:r>
            <w:r w:rsidRPr="0095430C">
              <w:rPr>
                <w:b w:val="0"/>
                <w:vertAlign w:val="superscript"/>
                <w:lang w:val="en-GB"/>
              </w:rPr>
              <w:t>th</w:t>
            </w:r>
            <w:r>
              <w:rPr>
                <w:b w:val="0"/>
                <w:lang w:val="en-GB"/>
              </w:rPr>
              <w:t xml:space="preserve"> </w:t>
            </w:r>
            <w:r w:rsidR="006F366E">
              <w:rPr>
                <w:b w:val="0"/>
                <w:lang w:val="en-GB"/>
              </w:rPr>
              <w:t xml:space="preserve">February </w:t>
            </w:r>
            <w:r w:rsidR="003A1EC7" w:rsidRPr="003A1EC7">
              <w:rPr>
                <w:b w:val="0"/>
                <w:lang w:val="en-GB"/>
              </w:rPr>
              <w:t>201</w:t>
            </w:r>
            <w:r w:rsidR="006F366E">
              <w:rPr>
                <w:b w:val="0"/>
                <w:lang w:val="en-GB"/>
              </w:rPr>
              <w:t>4</w:t>
            </w:r>
            <w:bookmarkStart w:id="0" w:name="_GoBack"/>
            <w:bookmarkEnd w:id="0"/>
          </w:p>
        </w:tc>
      </w:tr>
      <w:tr w:rsidR="00F05B26" w:rsidRPr="0098621D" w:rsidTr="00856FA0">
        <w:tblPrEx>
          <w:tblCellMar>
            <w:left w:w="108" w:type="dxa"/>
            <w:right w:w="108" w:type="dxa"/>
          </w:tblCellMar>
        </w:tblPrEx>
        <w:trPr>
          <w:cantSplit/>
          <w:trHeight w:val="405"/>
        </w:trPr>
        <w:tc>
          <w:tcPr>
            <w:tcW w:w="1809" w:type="dxa"/>
            <w:tcBorders>
              <w:top w:val="nil"/>
              <w:left w:val="nil"/>
              <w:bottom w:val="nil"/>
              <w:right w:val="nil"/>
            </w:tcBorders>
            <w:vAlign w:val="center"/>
          </w:tcPr>
          <w:p w:rsidR="00F05B26" w:rsidRPr="0098621D" w:rsidRDefault="00F05B26" w:rsidP="00215746">
            <w:pPr>
              <w:pStyle w:val="Header2"/>
            </w:pPr>
            <w:r w:rsidRPr="0098621D">
              <w:t>Source:</w:t>
            </w:r>
            <w:r w:rsidR="00842A51">
              <w:t xml:space="preserve"> </w:t>
            </w:r>
          </w:p>
        </w:tc>
        <w:tc>
          <w:tcPr>
            <w:tcW w:w="7653" w:type="dxa"/>
            <w:gridSpan w:val="3"/>
            <w:tcBorders>
              <w:top w:val="nil"/>
              <w:left w:val="nil"/>
              <w:bottom w:val="nil"/>
              <w:right w:val="nil"/>
            </w:tcBorders>
            <w:vAlign w:val="center"/>
          </w:tcPr>
          <w:p w:rsidR="00F05B26" w:rsidRPr="003A1EC7" w:rsidRDefault="003A1EC7" w:rsidP="00215746">
            <w:pPr>
              <w:pStyle w:val="Header2"/>
              <w:rPr>
                <w:b w:val="0"/>
                <w:lang w:val="en-GB"/>
              </w:rPr>
            </w:pPr>
            <w:r w:rsidRPr="003A1EC7">
              <w:rPr>
                <w:b w:val="0"/>
                <w:lang w:val="en-GB"/>
              </w:rPr>
              <w:t>ECO</w:t>
            </w:r>
          </w:p>
        </w:tc>
      </w:tr>
      <w:tr w:rsidR="00F05B26" w:rsidRPr="0098621D" w:rsidTr="00856FA0">
        <w:tblPrEx>
          <w:tblCellMar>
            <w:left w:w="108" w:type="dxa"/>
            <w:right w:w="108" w:type="dxa"/>
          </w:tblCellMar>
        </w:tblPrEx>
        <w:trPr>
          <w:cantSplit/>
          <w:trHeight w:val="405"/>
        </w:trPr>
        <w:tc>
          <w:tcPr>
            <w:tcW w:w="1809" w:type="dxa"/>
            <w:tcBorders>
              <w:top w:val="nil"/>
              <w:left w:val="nil"/>
              <w:bottom w:val="nil"/>
              <w:right w:val="nil"/>
            </w:tcBorders>
            <w:vAlign w:val="center"/>
          </w:tcPr>
          <w:p w:rsidR="00F05B26" w:rsidRPr="0098621D" w:rsidRDefault="00F05B26" w:rsidP="00215746">
            <w:pPr>
              <w:pStyle w:val="Header2"/>
            </w:pPr>
            <w:r w:rsidRPr="0098621D">
              <w:rPr>
                <w:lang w:val="en-GB"/>
              </w:rPr>
              <w:t>Subject:</w:t>
            </w:r>
            <w:r w:rsidR="005269EA">
              <w:rPr>
                <w:lang w:val="en-GB"/>
              </w:rPr>
              <w:t xml:space="preserve"> </w:t>
            </w:r>
          </w:p>
        </w:tc>
        <w:tc>
          <w:tcPr>
            <w:tcW w:w="7653" w:type="dxa"/>
            <w:gridSpan w:val="3"/>
            <w:tcBorders>
              <w:top w:val="nil"/>
              <w:left w:val="nil"/>
              <w:bottom w:val="nil"/>
              <w:right w:val="nil"/>
            </w:tcBorders>
            <w:vAlign w:val="center"/>
          </w:tcPr>
          <w:p w:rsidR="00F05B26" w:rsidRPr="003A1EC7" w:rsidRDefault="0095430C" w:rsidP="00AD419E">
            <w:pPr>
              <w:pStyle w:val="Header2"/>
              <w:rPr>
                <w:b w:val="0"/>
                <w:lang w:val="en-GB"/>
              </w:rPr>
            </w:pPr>
            <w:r>
              <w:rPr>
                <w:b w:val="0"/>
                <w:lang w:val="en-GB"/>
              </w:rPr>
              <w:t>Cross Border Coordination at 700 MHz</w:t>
            </w:r>
          </w:p>
        </w:tc>
      </w:tr>
      <w:tr w:rsidR="00493F86" w:rsidRPr="0029315F" w:rsidTr="00856FA0">
        <w:tblPrEx>
          <w:tblCellMar>
            <w:left w:w="108" w:type="dxa"/>
            <w:right w:w="108" w:type="dxa"/>
          </w:tblCellMar>
        </w:tblPrEx>
        <w:trPr>
          <w:cantSplit/>
          <w:trHeight w:val="1038"/>
        </w:trPr>
        <w:tc>
          <w:tcPr>
            <w:tcW w:w="9462" w:type="dxa"/>
            <w:gridSpan w:val="4"/>
            <w:tcBorders>
              <w:top w:val="nil"/>
              <w:left w:val="nil"/>
              <w:bottom w:val="nil"/>
              <w:right w:val="nil"/>
            </w:tcBorders>
            <w:vAlign w:val="center"/>
          </w:tcPr>
          <w:p w:rsidR="00493F86" w:rsidRPr="0029315F" w:rsidRDefault="00635F80" w:rsidP="00FF320E">
            <w:pPr>
              <w:rPr>
                <w:lang w:val="en-GB"/>
              </w:rPr>
            </w:pPr>
            <w:r>
              <w:rPr>
                <w:noProof/>
                <w:lang w:val="fr-FR" w:eastAsia="fr-FR"/>
              </w:rPr>
              <mc:AlternateContent>
                <mc:Choice Requires="wps">
                  <w:drawing>
                    <wp:anchor distT="0" distB="0" distL="114300" distR="114300" simplePos="0" relativeHeight="251657728" behindDoc="1" locked="0" layoutInCell="1" allowOverlap="1" wp14:anchorId="122122C0" wp14:editId="1C3EE057">
                      <wp:simplePos x="0" y="0"/>
                      <wp:positionH relativeFrom="column">
                        <wp:posOffset>2454910</wp:posOffset>
                      </wp:positionH>
                      <wp:positionV relativeFrom="paragraph">
                        <wp:posOffset>192405</wp:posOffset>
                      </wp:positionV>
                      <wp:extent cx="457200" cy="271145"/>
                      <wp:effectExtent l="0" t="0" r="0" b="0"/>
                      <wp:wrapTight wrapText="bothSides">
                        <wp:wrapPolygon edited="0">
                          <wp:start x="-450" y="0"/>
                          <wp:lineTo x="-450" y="21600"/>
                          <wp:lineTo x="22050" y="21600"/>
                          <wp:lineTo x="22050" y="0"/>
                          <wp:lineTo x="-45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1145"/>
                              </a:xfrm>
                              <a:prstGeom prst="rect">
                                <a:avLst/>
                              </a:prstGeom>
                              <a:solidFill>
                                <a:srgbClr val="FFFFFF"/>
                              </a:solidFill>
                              <a:ln w="9525">
                                <a:solidFill>
                                  <a:srgbClr val="000000"/>
                                </a:solidFill>
                                <a:miter lim="800000"/>
                                <a:headEnd/>
                                <a:tailEnd/>
                              </a:ln>
                            </wps:spPr>
                            <wps:txbx>
                              <w:txbxContent>
                                <w:p w:rsidR="00D0674D" w:rsidRPr="00254FD9" w:rsidRDefault="00D0674D" w:rsidP="005348B2">
                                  <w:pPr>
                                    <w:spacing w:after="0"/>
                                    <w:jc w:val="center"/>
                                    <w:rPr>
                                      <w:rFonts w:cs="Arial"/>
                                      <w:szCs w:val="24"/>
                                      <w:lang w:val="de-DE"/>
                                    </w:rPr>
                                  </w:pPr>
                                  <w:r>
                                    <w:rPr>
                                      <w:rFonts w:cs="Arial"/>
                                      <w:szCs w:val="24"/>
                                      <w:lang w:val="de-DE"/>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3.3pt;margin-top:15.15pt;width:36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">
                      <v:textbox>
                        <w:txbxContent>
                          <w:p w:rsidR="00D0674D" w:rsidRPr="00254FD9" w:rsidRDefault="00D0674D" w:rsidP="005348B2">
                            <w:pPr>
                              <w:spacing w:after="0"/>
                              <w:jc w:val="center"/>
                              <w:rPr>
                                <w:rFonts w:cs="Arial"/>
                                <w:szCs w:val="24"/>
                                <w:lang w:val="de-DE"/>
                              </w:rPr>
                            </w:pPr>
                            <w:r>
                              <w:rPr>
                                <w:rFonts w:cs="Arial"/>
                                <w:szCs w:val="24"/>
                                <w:lang w:val="de-DE"/>
                              </w:rPr>
                              <w:t>N</w:t>
                            </w:r>
                          </w:p>
                        </w:txbxContent>
                      </v:textbox>
                      <w10:wrap type="tight"/>
                    </v:shape>
                  </w:pict>
                </mc:Fallback>
              </mc:AlternateContent>
            </w:r>
            <w:r w:rsidR="00493F86" w:rsidRPr="0029315F">
              <w:rPr>
                <w:lang w:val="en-GB"/>
              </w:rPr>
              <w:t xml:space="preserve">Password protection required? (Y/N) </w:t>
            </w:r>
          </w:p>
          <w:p w:rsidR="00493F86" w:rsidRPr="0029315F" w:rsidRDefault="00493F86" w:rsidP="00FF320E">
            <w:pPr>
              <w:pStyle w:val="Header1"/>
              <w:rPr>
                <w:lang w:val="en-GB" w:eastAsia="de-DE"/>
              </w:rPr>
            </w:pPr>
          </w:p>
        </w:tc>
      </w:tr>
      <w:tr w:rsidR="00493F86" w:rsidRPr="0029315F" w:rsidTr="00856FA0">
        <w:tblPrEx>
          <w:tblCellMar>
            <w:left w:w="108" w:type="dxa"/>
            <w:right w:w="108" w:type="dxa"/>
          </w:tblCellMar>
        </w:tblPrEx>
        <w:trPr>
          <w:cantSplit/>
          <w:trHeight w:hRule="exact" w:val="74"/>
        </w:trPr>
        <w:tc>
          <w:tcPr>
            <w:tcW w:w="9462" w:type="dxa"/>
            <w:gridSpan w:val="4"/>
            <w:tcBorders>
              <w:top w:val="nil"/>
              <w:left w:val="nil"/>
              <w:bottom w:val="nil"/>
              <w:right w:val="nil"/>
            </w:tcBorders>
            <w:vAlign w:val="center"/>
          </w:tcPr>
          <w:p w:rsidR="00493F86" w:rsidRPr="0029315F" w:rsidRDefault="00493F86" w:rsidP="00FF320E">
            <w:pPr>
              <w:pStyle w:val="Header1"/>
              <w:rPr>
                <w:lang w:val="en-GB" w:eastAsia="de-DE"/>
              </w:rPr>
            </w:pPr>
          </w:p>
          <w:p w:rsidR="00493F86" w:rsidRPr="0029315F" w:rsidRDefault="00493F86" w:rsidP="00FF320E">
            <w:pPr>
              <w:pStyle w:val="Header1"/>
              <w:rPr>
                <w:sz w:val="8"/>
                <w:lang w:val="en-GB" w:eastAsia="de-DE"/>
              </w:rPr>
            </w:pPr>
          </w:p>
        </w:tc>
      </w:tr>
      <w:tr w:rsidR="001E0E49" w:rsidRPr="0029315F" w:rsidTr="00856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9462" w:type="dxa"/>
            <w:gridSpan w:val="4"/>
            <w:tcBorders>
              <w:bottom w:val="nil"/>
            </w:tcBorders>
          </w:tcPr>
          <w:p w:rsidR="001E0E49" w:rsidRPr="0029315F" w:rsidRDefault="001E0E49" w:rsidP="001E0E49">
            <w:pPr>
              <w:pStyle w:val="Header2"/>
              <w:rPr>
                <w:lang w:val="en-GB"/>
              </w:rPr>
            </w:pPr>
            <w:r w:rsidRPr="0029315F">
              <w:rPr>
                <w:lang w:val="en-GB"/>
              </w:rPr>
              <w:t xml:space="preserve">Summary: </w:t>
            </w:r>
          </w:p>
        </w:tc>
      </w:tr>
      <w:tr w:rsidR="001E0E49" w:rsidRPr="0029315F" w:rsidTr="00856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1"/>
        </w:trPr>
        <w:tc>
          <w:tcPr>
            <w:tcW w:w="9462" w:type="dxa"/>
            <w:gridSpan w:val="4"/>
            <w:tcBorders>
              <w:top w:val="nil"/>
              <w:bottom w:val="single" w:sz="4" w:space="0" w:color="auto"/>
            </w:tcBorders>
          </w:tcPr>
          <w:p w:rsidR="00923DB1" w:rsidRDefault="00094204" w:rsidP="00856FA0">
            <w:pPr>
              <w:rPr>
                <w:lang w:val="en-GB"/>
              </w:rPr>
            </w:pPr>
            <w:r w:rsidRPr="0029315F">
              <w:rPr>
                <w:lang w:val="en-GB"/>
              </w:rPr>
              <w:t xml:space="preserve">This paper </w:t>
            </w:r>
            <w:r w:rsidR="0095430C">
              <w:rPr>
                <w:lang w:val="en-GB"/>
              </w:rPr>
              <w:t>considers the possibility of the CEPT setting up a system</w:t>
            </w:r>
            <w:r w:rsidR="00950B7B">
              <w:rPr>
                <w:lang w:val="en-GB"/>
              </w:rPr>
              <w:t>, provided by ECO,</w:t>
            </w:r>
            <w:r w:rsidR="0095430C">
              <w:rPr>
                <w:lang w:val="en-GB"/>
              </w:rPr>
              <w:t xml:space="preserve"> of monitoring of coordination in íts area under the GE06 Plan and Agreement</w:t>
            </w:r>
            <w:r w:rsidR="00E7153A">
              <w:rPr>
                <w:lang w:val="en-GB"/>
              </w:rPr>
              <w:t xml:space="preserve">.  This would seek to </w:t>
            </w:r>
            <w:r w:rsidR="0095430C">
              <w:rPr>
                <w:lang w:val="en-GB"/>
              </w:rPr>
              <w:t xml:space="preserve">ease the process of rearrangements which at least some CEPT countries may </w:t>
            </w:r>
            <w:r w:rsidR="00E7153A">
              <w:rPr>
                <w:lang w:val="en-GB"/>
              </w:rPr>
              <w:t xml:space="preserve">want in order </w:t>
            </w:r>
            <w:r w:rsidR="0095430C">
              <w:rPr>
                <w:lang w:val="en-GB"/>
              </w:rPr>
              <w:t xml:space="preserve">to accommodate mobile services in the 700 MHz, consequent to mobile services acquiring Primary Status in the Radio Regulations from 2015. </w:t>
            </w:r>
          </w:p>
          <w:p w:rsidR="00856FA0" w:rsidRDefault="00856FA0" w:rsidP="00856FA0">
            <w:pPr>
              <w:rPr>
                <w:lang w:val="en-GB"/>
              </w:rPr>
            </w:pPr>
            <w:r>
              <w:rPr>
                <w:lang w:val="en-GB"/>
              </w:rPr>
              <w:t xml:space="preserve">The ECO makes two alternative proposals, both based on administrations providing information; either </w:t>
            </w:r>
            <w:r w:rsidR="006728D8">
              <w:rPr>
                <w:lang w:val="en-GB"/>
              </w:rPr>
              <w:t xml:space="preserve">summary information at the level of multilateral groups, which will in any </w:t>
            </w:r>
            <w:proofErr w:type="gramStart"/>
            <w:r w:rsidR="006728D8">
              <w:rPr>
                <w:lang w:val="en-GB"/>
              </w:rPr>
              <w:t>case</w:t>
            </w:r>
            <w:proofErr w:type="gramEnd"/>
            <w:r w:rsidR="006728D8">
              <w:rPr>
                <w:lang w:val="en-GB"/>
              </w:rPr>
              <w:t xml:space="preserve"> need some form of internal recording/memorandum or </w:t>
            </w:r>
            <w:r>
              <w:rPr>
                <w:lang w:val="en-GB"/>
              </w:rPr>
              <w:t>precise information which would in any case be prepared under the terms of GE06</w:t>
            </w:r>
            <w:r w:rsidR="006728D8">
              <w:rPr>
                <w:lang w:val="en-GB"/>
              </w:rPr>
              <w:t>.</w:t>
            </w:r>
            <w:r>
              <w:rPr>
                <w:lang w:val="en-GB"/>
              </w:rPr>
              <w:t xml:space="preserve"> In both cases the ECO envisages that its role would be restricted to setting up a centralised document structure or database, but not to a significant ongoing management role.</w:t>
            </w:r>
          </w:p>
          <w:p w:rsidR="00856FA0" w:rsidRPr="0029315F" w:rsidRDefault="00856FA0" w:rsidP="00856FA0">
            <w:pPr>
              <w:rPr>
                <w:lang w:val="en-GB"/>
              </w:rPr>
            </w:pPr>
          </w:p>
        </w:tc>
      </w:tr>
      <w:tr w:rsidR="001E0E49" w:rsidRPr="0029315F" w:rsidTr="00856F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2"/>
        </w:trPr>
        <w:tc>
          <w:tcPr>
            <w:tcW w:w="9462" w:type="dxa"/>
            <w:gridSpan w:val="4"/>
            <w:tcBorders>
              <w:bottom w:val="nil"/>
            </w:tcBorders>
          </w:tcPr>
          <w:p w:rsidR="001E0E49" w:rsidRPr="0029315F" w:rsidRDefault="001E0E49" w:rsidP="001E0E49">
            <w:pPr>
              <w:pStyle w:val="Header2"/>
              <w:rPr>
                <w:lang w:val="en-GB"/>
              </w:rPr>
            </w:pPr>
            <w:r w:rsidRPr="0029315F">
              <w:rPr>
                <w:lang w:val="en-GB"/>
              </w:rPr>
              <w:t xml:space="preserve">Proposal: </w:t>
            </w:r>
          </w:p>
        </w:tc>
      </w:tr>
    </w:tbl>
    <w:p w:rsidR="00C53E09" w:rsidRDefault="00C53E09">
      <w:r>
        <w:br w:type="page"/>
      </w:r>
    </w:p>
    <w:tbl>
      <w:tblPr>
        <w:tblW w:w="94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2"/>
      </w:tblGrid>
      <w:tr w:rsidR="001E0E49" w:rsidRPr="0029315F" w:rsidTr="00463084">
        <w:trPr>
          <w:cantSplit/>
          <w:trHeight w:val="479"/>
        </w:trPr>
        <w:tc>
          <w:tcPr>
            <w:tcW w:w="9432" w:type="dxa"/>
            <w:tcBorders>
              <w:top w:val="nil"/>
              <w:bottom w:val="single" w:sz="4" w:space="0" w:color="auto"/>
            </w:tcBorders>
          </w:tcPr>
          <w:p w:rsidR="000C2520" w:rsidRDefault="000C2520" w:rsidP="000C2520">
            <w:pPr>
              <w:spacing w:after="240" w:line="240" w:lineRule="exact"/>
              <w:jc w:val="left"/>
              <w:rPr>
                <w:lang w:val="en-GB"/>
              </w:rPr>
            </w:pPr>
            <w:r>
              <w:rPr>
                <w:lang w:val="en-GB"/>
              </w:rPr>
              <w:lastRenderedPageBreak/>
              <w:t xml:space="preserve">The ECO </w:t>
            </w:r>
            <w:r w:rsidR="00E7153A">
              <w:rPr>
                <w:lang w:val="en-GB"/>
              </w:rPr>
              <w:t xml:space="preserve">suggests </w:t>
            </w:r>
            <w:r>
              <w:rPr>
                <w:lang w:val="en-GB"/>
              </w:rPr>
              <w:t>two alternative approaches, both of which would be based on self-upload of information by administrations or multilateral regional coordination groups.</w:t>
            </w:r>
          </w:p>
          <w:p w:rsidR="00E7153A" w:rsidRDefault="00E7153A" w:rsidP="000C2520">
            <w:pPr>
              <w:spacing w:after="240" w:line="240" w:lineRule="exact"/>
              <w:jc w:val="left"/>
              <w:rPr>
                <w:lang w:val="en-GB"/>
              </w:rPr>
            </w:pPr>
            <w:r w:rsidRPr="00E7153A">
              <w:rPr>
                <w:b/>
                <w:lang w:val="en-GB"/>
              </w:rPr>
              <w:t>Option A</w:t>
            </w:r>
            <w:r>
              <w:rPr>
                <w:lang w:val="en-GB"/>
              </w:rPr>
              <w:t xml:space="preserve">.  </w:t>
            </w:r>
            <w:r w:rsidR="000C2520">
              <w:rPr>
                <w:lang w:val="en-GB"/>
              </w:rPr>
              <w:t xml:space="preserve">Would provide a </w:t>
            </w:r>
            <w:r w:rsidR="000C2520" w:rsidRPr="00E7153A">
              <w:rPr>
                <w:u w:val="single"/>
                <w:lang w:val="en-GB"/>
              </w:rPr>
              <w:t>central document area</w:t>
            </w:r>
            <w:r w:rsidR="000C2520">
              <w:rPr>
                <w:lang w:val="en-GB"/>
              </w:rPr>
              <w:t xml:space="preserve"> for regional groups or individual administrations </w:t>
            </w:r>
            <w:r>
              <w:rPr>
                <w:lang w:val="en-GB"/>
              </w:rPr>
              <w:t xml:space="preserve">to report their progress in GE06 Plan modifications directed at partial or whole reattribution of </w:t>
            </w:r>
            <w:r w:rsidR="00856FA0">
              <w:rPr>
                <w:lang w:val="en-GB"/>
              </w:rPr>
              <w:t xml:space="preserve">the </w:t>
            </w:r>
            <w:r>
              <w:rPr>
                <w:lang w:val="en-GB"/>
              </w:rPr>
              <w:t xml:space="preserve">700 MHz </w:t>
            </w:r>
            <w:r w:rsidR="00856FA0">
              <w:rPr>
                <w:lang w:val="en-GB"/>
              </w:rPr>
              <w:t xml:space="preserve">band </w:t>
            </w:r>
            <w:r>
              <w:rPr>
                <w:lang w:val="en-GB"/>
              </w:rPr>
              <w:t xml:space="preserve">from </w:t>
            </w:r>
            <w:r w:rsidR="00856FA0">
              <w:rPr>
                <w:lang w:val="en-GB"/>
              </w:rPr>
              <w:t>b</w:t>
            </w:r>
            <w:r>
              <w:rPr>
                <w:lang w:val="en-GB"/>
              </w:rPr>
              <w:t xml:space="preserve">roadcasting to mobile. </w:t>
            </w:r>
          </w:p>
          <w:p w:rsidR="000C2520" w:rsidRDefault="00E7153A" w:rsidP="000C2520">
            <w:pPr>
              <w:spacing w:after="240" w:line="240" w:lineRule="exact"/>
              <w:jc w:val="left"/>
              <w:rPr>
                <w:lang w:val="en-GB"/>
              </w:rPr>
            </w:pPr>
            <w:r w:rsidRPr="00E7153A">
              <w:rPr>
                <w:b/>
                <w:lang w:val="en-GB"/>
              </w:rPr>
              <w:t>Option B</w:t>
            </w:r>
            <w:r>
              <w:rPr>
                <w:lang w:val="en-GB"/>
              </w:rPr>
              <w:t xml:space="preserve">. </w:t>
            </w:r>
            <w:r w:rsidR="000C2520">
              <w:rPr>
                <w:lang w:val="en-GB"/>
              </w:rPr>
              <w:t xml:space="preserve">Would list details of GE06 broadcasting plan </w:t>
            </w:r>
            <w:r w:rsidR="00567202">
              <w:rPr>
                <w:lang w:val="en-GB"/>
              </w:rPr>
              <w:t>notifications</w:t>
            </w:r>
            <w:r w:rsidR="000C2520">
              <w:rPr>
                <w:lang w:val="en-GB"/>
              </w:rPr>
              <w:t xml:space="preserve">/coordinations which were for the purpose of alternative resource for </w:t>
            </w:r>
            <w:r w:rsidR="00856FA0">
              <w:rPr>
                <w:lang w:val="en-GB"/>
              </w:rPr>
              <w:t xml:space="preserve">GE06 </w:t>
            </w:r>
            <w:r w:rsidR="000C2520">
              <w:rPr>
                <w:lang w:val="en-GB"/>
              </w:rPr>
              <w:t>plan entries being cleared to make way for mobile services.</w:t>
            </w:r>
          </w:p>
          <w:p w:rsidR="00E7153A" w:rsidRDefault="00E7153A" w:rsidP="000C2520">
            <w:pPr>
              <w:spacing w:after="240" w:line="240" w:lineRule="exact"/>
              <w:jc w:val="left"/>
              <w:rPr>
                <w:lang w:val="en-GB"/>
              </w:rPr>
            </w:pPr>
            <w:r>
              <w:rPr>
                <w:lang w:val="en-GB"/>
              </w:rPr>
              <w:t>Option B in particular would probably require an agreement such as an ECC Decision to make use of the tool sufficiently widespread to be of any value.</w:t>
            </w:r>
            <w:r w:rsidR="00856FA0">
              <w:rPr>
                <w:lang w:val="en-GB"/>
              </w:rPr>
              <w:t xml:space="preserve"> </w:t>
            </w:r>
            <w:r>
              <w:rPr>
                <w:lang w:val="en-GB"/>
              </w:rPr>
              <w:t xml:space="preserve">Option A </w:t>
            </w:r>
            <w:r w:rsidR="00856FA0">
              <w:rPr>
                <w:lang w:val="en-GB"/>
              </w:rPr>
              <w:t xml:space="preserve">would require </w:t>
            </w:r>
            <w:r>
              <w:rPr>
                <w:lang w:val="en-GB"/>
              </w:rPr>
              <w:t>at least some guidelines to the groups/administrations</w:t>
            </w:r>
            <w:r w:rsidR="00856FA0">
              <w:rPr>
                <w:lang w:val="en-GB"/>
              </w:rPr>
              <w:t>, f</w:t>
            </w:r>
            <w:r w:rsidR="00315E94">
              <w:rPr>
                <w:lang w:val="en-GB"/>
              </w:rPr>
              <w:t>or some consistency in understanding,</w:t>
            </w:r>
            <w:r>
              <w:rPr>
                <w:lang w:val="en-GB"/>
              </w:rPr>
              <w:t xml:space="preserve"> although some flexibility should be allowed also.</w:t>
            </w:r>
          </w:p>
          <w:p w:rsidR="00E7153A" w:rsidRDefault="00E7153A" w:rsidP="000C2520">
            <w:pPr>
              <w:spacing w:after="240" w:line="240" w:lineRule="exact"/>
              <w:jc w:val="left"/>
              <w:rPr>
                <w:lang w:val="en-GB"/>
              </w:rPr>
            </w:pPr>
            <w:r>
              <w:rPr>
                <w:lang w:val="en-GB"/>
              </w:rPr>
              <w:t xml:space="preserve">These proposals would require as-yet unestimated effort on the part of ECO to establish, although </w:t>
            </w:r>
            <w:r w:rsidR="00315E94">
              <w:rPr>
                <w:lang w:val="en-GB"/>
              </w:rPr>
              <w:t>neither p</w:t>
            </w:r>
            <w:r>
              <w:rPr>
                <w:lang w:val="en-GB"/>
              </w:rPr>
              <w:t>rop</w:t>
            </w:r>
            <w:r w:rsidR="00856FA0">
              <w:rPr>
                <w:lang w:val="en-GB"/>
              </w:rPr>
              <w:t>o</w:t>
            </w:r>
            <w:r>
              <w:rPr>
                <w:lang w:val="en-GB"/>
              </w:rPr>
              <w:t xml:space="preserve">sal </w:t>
            </w:r>
            <w:r w:rsidR="00315E94">
              <w:rPr>
                <w:lang w:val="en-GB"/>
              </w:rPr>
              <w:t xml:space="preserve">would be </w:t>
            </w:r>
            <w:r w:rsidR="00856FA0">
              <w:rPr>
                <w:lang w:val="en-GB"/>
              </w:rPr>
              <w:t xml:space="preserve">particularly </w:t>
            </w:r>
            <w:r>
              <w:rPr>
                <w:lang w:val="en-GB"/>
              </w:rPr>
              <w:t xml:space="preserve">difficult to </w:t>
            </w:r>
            <w:r w:rsidR="00856FA0">
              <w:rPr>
                <w:lang w:val="en-GB"/>
              </w:rPr>
              <w:t>realise</w:t>
            </w:r>
            <w:r>
              <w:rPr>
                <w:lang w:val="en-GB"/>
              </w:rPr>
              <w:t>. Neither should require intensive ECO involvement in supervision and management, at least in principle</w:t>
            </w:r>
            <w:r w:rsidR="00856FA0">
              <w:rPr>
                <w:lang w:val="en-GB"/>
              </w:rPr>
              <w:t>, since we have not identified a real need or added value in ECO involvement, with these proposals</w:t>
            </w:r>
            <w:r>
              <w:rPr>
                <w:lang w:val="en-GB"/>
              </w:rPr>
              <w:t>.</w:t>
            </w:r>
          </w:p>
          <w:p w:rsidR="00315E94" w:rsidRDefault="00315E94" w:rsidP="000C2520">
            <w:pPr>
              <w:spacing w:after="240" w:line="240" w:lineRule="exact"/>
              <w:jc w:val="left"/>
              <w:rPr>
                <w:lang w:val="en-GB"/>
              </w:rPr>
            </w:pPr>
            <w:r>
              <w:rPr>
                <w:lang w:val="en-GB"/>
              </w:rPr>
              <w:t xml:space="preserve">Both proposals include that the ECC </w:t>
            </w:r>
            <w:r w:rsidR="00856FA0">
              <w:rPr>
                <w:lang w:val="en-GB"/>
              </w:rPr>
              <w:t>should</w:t>
            </w:r>
            <w:r>
              <w:rPr>
                <w:lang w:val="en-GB"/>
              </w:rPr>
              <w:t xml:space="preserve"> agree a framework for the activity, which will require some study by a WG or PT.</w:t>
            </w:r>
          </w:p>
          <w:p w:rsidR="00856FA0" w:rsidRPr="00856FA0" w:rsidRDefault="00E7153A" w:rsidP="00856FA0">
            <w:pPr>
              <w:rPr>
                <w:rFonts w:cs="Arial"/>
                <w:szCs w:val="22"/>
                <w:lang w:val="en-GB"/>
              </w:rPr>
            </w:pPr>
            <w:r>
              <w:rPr>
                <w:rFonts w:cs="Arial"/>
                <w:szCs w:val="22"/>
                <w:lang w:val="en-GB"/>
              </w:rPr>
              <w:t xml:space="preserve">The Steering Group’s advice </w:t>
            </w:r>
            <w:r w:rsidR="00FE0FBA">
              <w:rPr>
                <w:rFonts w:cs="Arial"/>
                <w:szCs w:val="22"/>
                <w:lang w:val="en-GB"/>
              </w:rPr>
              <w:t xml:space="preserve">at this meeting </w:t>
            </w:r>
            <w:r>
              <w:rPr>
                <w:rFonts w:cs="Arial"/>
                <w:szCs w:val="22"/>
                <w:lang w:val="en-GB"/>
              </w:rPr>
              <w:t>will be used to enable a proposal</w:t>
            </w:r>
            <w:r w:rsidR="00315E94">
              <w:rPr>
                <w:rFonts w:cs="Arial"/>
                <w:szCs w:val="22"/>
                <w:lang w:val="en-GB"/>
              </w:rPr>
              <w:t>, including alternatives,</w:t>
            </w:r>
            <w:r>
              <w:rPr>
                <w:rFonts w:cs="Arial"/>
                <w:szCs w:val="22"/>
                <w:lang w:val="en-GB"/>
              </w:rPr>
              <w:t xml:space="preserve"> to be made to the Plenary.</w:t>
            </w:r>
          </w:p>
          <w:p w:rsidR="00856FA0" w:rsidRPr="00856FA0" w:rsidRDefault="00856FA0" w:rsidP="00856FA0">
            <w:pPr>
              <w:rPr>
                <w:rFonts w:cs="Arial"/>
                <w:szCs w:val="22"/>
                <w:lang w:val="en-GB"/>
              </w:rPr>
            </w:pPr>
            <w:r w:rsidRPr="00856FA0">
              <w:rPr>
                <w:rFonts w:cs="Arial"/>
                <w:szCs w:val="22"/>
                <w:lang w:val="en-GB"/>
              </w:rPr>
              <w:t>The ECC SG is also asked to note and comment as necessary, on the following principles:</w:t>
            </w:r>
          </w:p>
          <w:p w:rsidR="00856FA0" w:rsidRPr="00856FA0" w:rsidRDefault="00856FA0" w:rsidP="00856FA0">
            <w:pPr>
              <w:pStyle w:val="Paragraphedeliste"/>
              <w:numPr>
                <w:ilvl w:val="0"/>
                <w:numId w:val="30"/>
              </w:numPr>
              <w:rPr>
                <w:rFonts w:ascii="Arial" w:hAnsi="Arial" w:cs="Arial"/>
              </w:rPr>
            </w:pPr>
            <w:r w:rsidRPr="00856FA0">
              <w:rPr>
                <w:rFonts w:ascii="Arial" w:hAnsi="Arial" w:cs="Arial"/>
              </w:rPr>
              <w:t>The ECO does not recommend seeking to define new metrics for equitable access to spectrum, as it is pessimistic about the chances for reaching Europe-wide consensus which would give a technically efficient outcome which also reflected countries’ diverse requirements.</w:t>
            </w:r>
            <w:r w:rsidR="00C7054C">
              <w:rPr>
                <w:rFonts w:ascii="Arial" w:hAnsi="Arial" w:cs="Arial"/>
              </w:rPr>
              <w:t xml:space="preserve">  In</w:t>
            </w:r>
            <w:r>
              <w:rPr>
                <w:rFonts w:ascii="Arial" w:hAnsi="Arial" w:cs="Arial"/>
              </w:rPr>
              <w:t xml:space="preserve"> other words, this has been tried before and is summarised by the RSPG Report on the coordination issue as, more or less.´, ‘GE06 </w:t>
            </w:r>
            <w:r w:rsidR="00C7054C">
              <w:rPr>
                <w:rFonts w:ascii="Arial" w:hAnsi="Arial" w:cs="Arial"/>
              </w:rPr>
              <w:t xml:space="preserve">as agreed </w:t>
            </w:r>
            <w:r>
              <w:rPr>
                <w:rFonts w:ascii="Arial" w:hAnsi="Arial" w:cs="Arial"/>
              </w:rPr>
              <w:t>= equitable access’.</w:t>
            </w:r>
          </w:p>
          <w:p w:rsidR="00856FA0" w:rsidRDefault="00856FA0" w:rsidP="00856FA0">
            <w:pPr>
              <w:numPr>
                <w:ilvl w:val="0"/>
                <w:numId w:val="30"/>
              </w:numPr>
              <w:spacing w:after="240" w:line="240" w:lineRule="exact"/>
              <w:jc w:val="left"/>
              <w:rPr>
                <w:lang w:val="en-GB"/>
              </w:rPr>
            </w:pPr>
            <w:r w:rsidRPr="00856FA0">
              <w:rPr>
                <w:rFonts w:cs="Arial"/>
                <w:szCs w:val="22"/>
                <w:lang w:val="en-GB"/>
              </w:rPr>
              <w:t xml:space="preserve">The ECO would be willing to undertake analysis </w:t>
            </w:r>
            <w:r w:rsidR="00C7054C">
              <w:rPr>
                <w:rFonts w:cs="Arial"/>
                <w:szCs w:val="22"/>
                <w:lang w:val="en-GB"/>
              </w:rPr>
              <w:t xml:space="preserve">of the coordination processes </w:t>
            </w:r>
            <w:r w:rsidRPr="00856FA0">
              <w:rPr>
                <w:rFonts w:cs="Arial"/>
                <w:szCs w:val="22"/>
                <w:lang w:val="en-GB"/>
              </w:rPr>
              <w:t xml:space="preserve">subject to available resources and within a framework agreed by the ECC (a PT or CG).  However, ECO </w:t>
            </w:r>
            <w:r w:rsidR="00567202" w:rsidRPr="00856FA0">
              <w:rPr>
                <w:rFonts w:cs="Arial"/>
                <w:szCs w:val="22"/>
                <w:lang w:val="en-GB"/>
              </w:rPr>
              <w:t>recommends</w:t>
            </w:r>
            <w:r w:rsidR="00567202">
              <w:rPr>
                <w:rFonts w:cs="Arial"/>
                <w:szCs w:val="22"/>
                <w:lang w:val="en-GB"/>
              </w:rPr>
              <w:t xml:space="preserve"> that</w:t>
            </w:r>
            <w:r>
              <w:rPr>
                <w:rFonts w:cs="Arial"/>
                <w:szCs w:val="22"/>
                <w:lang w:val="en-GB"/>
              </w:rPr>
              <w:t xml:space="preserve"> its contribution </w:t>
            </w:r>
            <w:r w:rsidR="00C7054C">
              <w:rPr>
                <w:rFonts w:cs="Arial"/>
                <w:szCs w:val="22"/>
                <w:lang w:val="en-GB"/>
              </w:rPr>
              <w:t>sh</w:t>
            </w:r>
            <w:r>
              <w:rPr>
                <w:rFonts w:cs="Arial"/>
                <w:szCs w:val="22"/>
                <w:lang w:val="en-GB"/>
              </w:rPr>
              <w:t>ould be focused on l</w:t>
            </w:r>
            <w:r w:rsidRPr="000C2520">
              <w:rPr>
                <w:lang w:val="en-GB"/>
              </w:rPr>
              <w:t>isting the processes rather than attempting to analyse them</w:t>
            </w:r>
            <w:r>
              <w:rPr>
                <w:lang w:val="en-GB"/>
              </w:rPr>
              <w:t>.  Any</w:t>
            </w:r>
            <w:r w:rsidRPr="000C2520">
              <w:rPr>
                <w:lang w:val="en-GB"/>
              </w:rPr>
              <w:t xml:space="preserve"> analysis of what a change means </w:t>
            </w:r>
            <w:r>
              <w:rPr>
                <w:lang w:val="en-GB"/>
              </w:rPr>
              <w:t>is</w:t>
            </w:r>
            <w:r w:rsidRPr="000C2520">
              <w:rPr>
                <w:lang w:val="en-GB"/>
              </w:rPr>
              <w:t xml:space="preserve"> </w:t>
            </w:r>
            <w:r w:rsidR="00C7054C">
              <w:rPr>
                <w:lang w:val="en-GB"/>
              </w:rPr>
              <w:t xml:space="preserve">pragmatically </w:t>
            </w:r>
            <w:r w:rsidRPr="000C2520">
              <w:rPr>
                <w:lang w:val="en-GB"/>
              </w:rPr>
              <w:t>probably best left to the coordinating parties who are reporting the process</w:t>
            </w:r>
            <w:r w:rsidR="00C7054C">
              <w:rPr>
                <w:lang w:val="en-GB"/>
              </w:rPr>
              <w:t>, and who understand what can be a complex, individual and nuanced negotiation</w:t>
            </w:r>
            <w:r w:rsidRPr="000C2520">
              <w:rPr>
                <w:lang w:val="en-GB"/>
              </w:rPr>
              <w:t>.</w:t>
            </w:r>
          </w:p>
          <w:p w:rsidR="007468CF" w:rsidRPr="0029315F" w:rsidRDefault="007468CF" w:rsidP="00E7153A">
            <w:pPr>
              <w:spacing w:after="240" w:line="240" w:lineRule="exact"/>
              <w:jc w:val="left"/>
              <w:rPr>
                <w:rFonts w:cs="Arial"/>
                <w:szCs w:val="22"/>
                <w:lang w:val="en-GB"/>
              </w:rPr>
            </w:pPr>
          </w:p>
        </w:tc>
      </w:tr>
    </w:tbl>
    <w:p w:rsidR="00C53E09" w:rsidRDefault="00C53E09">
      <w:r>
        <w:rPr>
          <w:b/>
        </w:rPr>
        <w:br w:type="page"/>
      </w:r>
    </w:p>
    <w:tbl>
      <w:tblPr>
        <w:tblW w:w="94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32"/>
      </w:tblGrid>
      <w:tr w:rsidR="001E0E49" w:rsidRPr="0029315F" w:rsidTr="00463084">
        <w:trPr>
          <w:cantSplit/>
          <w:trHeight w:val="429"/>
        </w:trPr>
        <w:tc>
          <w:tcPr>
            <w:tcW w:w="9432" w:type="dxa"/>
            <w:tcBorders>
              <w:bottom w:val="nil"/>
            </w:tcBorders>
          </w:tcPr>
          <w:p w:rsidR="001E0E49" w:rsidRPr="0029315F" w:rsidRDefault="00842A51" w:rsidP="001E0E49">
            <w:pPr>
              <w:pStyle w:val="Header2"/>
              <w:rPr>
                <w:lang w:val="en-GB"/>
              </w:rPr>
            </w:pPr>
            <w:r w:rsidRPr="0029315F">
              <w:rPr>
                <w:lang w:val="en-GB"/>
              </w:rPr>
              <w:lastRenderedPageBreak/>
              <w:t xml:space="preserve">Background: </w:t>
            </w:r>
          </w:p>
        </w:tc>
      </w:tr>
      <w:tr w:rsidR="001E0E49" w:rsidRPr="0029315F" w:rsidTr="00463084">
        <w:trPr>
          <w:cantSplit/>
          <w:trHeight w:val="780"/>
        </w:trPr>
        <w:tc>
          <w:tcPr>
            <w:tcW w:w="9432" w:type="dxa"/>
            <w:tcBorders>
              <w:top w:val="nil"/>
              <w:bottom w:val="single" w:sz="4" w:space="0" w:color="auto"/>
            </w:tcBorders>
          </w:tcPr>
          <w:p w:rsidR="00BF2BC1" w:rsidRDefault="004D077E" w:rsidP="0095430C">
            <w:pPr>
              <w:rPr>
                <w:bCs/>
                <w:szCs w:val="24"/>
                <w:lang w:val="en-GB"/>
              </w:rPr>
            </w:pPr>
            <w:r w:rsidRPr="0029315F">
              <w:rPr>
                <w:bCs/>
                <w:szCs w:val="24"/>
                <w:lang w:val="en-GB"/>
              </w:rPr>
              <w:t xml:space="preserve">The </w:t>
            </w:r>
            <w:r w:rsidR="0095430C">
              <w:rPr>
                <w:bCs/>
                <w:szCs w:val="24"/>
                <w:lang w:val="en-GB"/>
              </w:rPr>
              <w:t xml:space="preserve">Berlin ECC Plenary in November considered the </w:t>
            </w:r>
            <w:r w:rsidR="009E7F6B">
              <w:rPr>
                <w:bCs/>
                <w:szCs w:val="24"/>
                <w:lang w:val="en-GB"/>
              </w:rPr>
              <w:t xml:space="preserve">possibility of CEPT monitoring the progress of bilateral and multilateral coordination in the 700 MHz range, </w:t>
            </w:r>
            <w:r w:rsidR="00C7054C">
              <w:rPr>
                <w:bCs/>
                <w:szCs w:val="24"/>
                <w:lang w:val="en-GB"/>
              </w:rPr>
              <w:t xml:space="preserve">where that </w:t>
            </w:r>
            <w:r w:rsidR="009E7F6B">
              <w:rPr>
                <w:bCs/>
                <w:szCs w:val="24"/>
                <w:lang w:val="en-GB"/>
              </w:rPr>
              <w:t xml:space="preserve">coordination </w:t>
            </w:r>
            <w:r w:rsidR="00C7054C">
              <w:rPr>
                <w:bCs/>
                <w:szCs w:val="24"/>
                <w:lang w:val="en-GB"/>
              </w:rPr>
              <w:t xml:space="preserve">is </w:t>
            </w:r>
            <w:r w:rsidR="009E7F6B">
              <w:rPr>
                <w:bCs/>
                <w:szCs w:val="24"/>
                <w:lang w:val="en-GB"/>
              </w:rPr>
              <w:t>based on at least some countries expecting to use that range for mobile services.</w:t>
            </w:r>
            <w:r w:rsidR="00BF2BC1">
              <w:rPr>
                <w:bCs/>
                <w:szCs w:val="24"/>
                <w:lang w:val="en-GB"/>
              </w:rPr>
              <w:t xml:space="preserve"> </w:t>
            </w:r>
          </w:p>
          <w:p w:rsidR="003A5577" w:rsidRDefault="00BF2BC1" w:rsidP="0095430C">
            <w:pPr>
              <w:rPr>
                <w:bCs/>
                <w:szCs w:val="24"/>
                <w:lang w:val="en-GB"/>
              </w:rPr>
            </w:pPr>
            <w:r>
              <w:rPr>
                <w:bCs/>
                <w:szCs w:val="24"/>
                <w:lang w:val="en-GB"/>
              </w:rPr>
              <w:t xml:space="preserve">The ECC </w:t>
            </w:r>
            <w:r w:rsidRPr="00BF2BC1">
              <w:rPr>
                <w:bCs/>
                <w:szCs w:val="24"/>
                <w:lang w:val="en-GB"/>
              </w:rPr>
              <w:t xml:space="preserve">tasked ECO to investigate how information on results of coordination agreements could be collected and presented in a way </w:t>
            </w:r>
            <w:r w:rsidR="00C7054C">
              <w:rPr>
                <w:bCs/>
                <w:szCs w:val="24"/>
                <w:lang w:val="en-GB"/>
              </w:rPr>
              <w:t xml:space="preserve">that would </w:t>
            </w:r>
            <w:r w:rsidRPr="00BF2BC1">
              <w:rPr>
                <w:bCs/>
                <w:szCs w:val="24"/>
                <w:lang w:val="en-GB"/>
              </w:rPr>
              <w:t>enabl</w:t>
            </w:r>
            <w:r w:rsidR="00C7054C">
              <w:rPr>
                <w:bCs/>
                <w:szCs w:val="24"/>
                <w:lang w:val="en-GB"/>
              </w:rPr>
              <w:t>e</w:t>
            </w:r>
            <w:r w:rsidRPr="00BF2BC1">
              <w:rPr>
                <w:bCs/>
                <w:szCs w:val="24"/>
                <w:lang w:val="en-GB"/>
              </w:rPr>
              <w:t xml:space="preserve"> </w:t>
            </w:r>
            <w:r w:rsidR="00C7054C">
              <w:rPr>
                <w:bCs/>
                <w:szCs w:val="24"/>
                <w:lang w:val="en-GB"/>
              </w:rPr>
              <w:t>a visible</w:t>
            </w:r>
            <w:r w:rsidRPr="00BF2BC1">
              <w:rPr>
                <w:bCs/>
                <w:szCs w:val="24"/>
                <w:lang w:val="en-GB"/>
              </w:rPr>
              <w:t xml:space="preserve"> overview of the progress of the coordination process, while not causing too much burden to administrations</w:t>
            </w:r>
            <w:r>
              <w:rPr>
                <w:bCs/>
                <w:szCs w:val="24"/>
                <w:lang w:val="en-GB"/>
              </w:rPr>
              <w:t>.  ‘Light and meaningful’ were adjectives offered as guidance.</w:t>
            </w:r>
          </w:p>
          <w:p w:rsidR="009E7F6B" w:rsidRDefault="009E7F6B" w:rsidP="0095430C">
            <w:pPr>
              <w:rPr>
                <w:bCs/>
                <w:szCs w:val="24"/>
                <w:lang w:val="en-GB"/>
              </w:rPr>
            </w:pPr>
            <w:r>
              <w:rPr>
                <w:bCs/>
                <w:szCs w:val="24"/>
                <w:lang w:val="en-GB"/>
              </w:rPr>
              <w:t>ECC(13)069 was the proposal document from the ECC Chairman.  It was trigger</w:t>
            </w:r>
            <w:r w:rsidR="003A5577">
              <w:rPr>
                <w:bCs/>
                <w:szCs w:val="24"/>
                <w:lang w:val="en-GB"/>
              </w:rPr>
              <w:t>e</w:t>
            </w:r>
            <w:r>
              <w:rPr>
                <w:bCs/>
                <w:szCs w:val="24"/>
                <w:lang w:val="en-GB"/>
              </w:rPr>
              <w:t xml:space="preserve">d by various experiences, </w:t>
            </w:r>
            <w:r w:rsidR="003A5577">
              <w:rPr>
                <w:bCs/>
                <w:szCs w:val="24"/>
                <w:lang w:val="en-GB"/>
              </w:rPr>
              <w:t xml:space="preserve">including with 800 MHz, </w:t>
            </w:r>
            <w:r>
              <w:rPr>
                <w:bCs/>
                <w:szCs w:val="24"/>
                <w:lang w:val="en-GB"/>
              </w:rPr>
              <w:t xml:space="preserve">but in particular by the RSPG Report </w:t>
            </w:r>
            <w:r w:rsidR="003A5577">
              <w:rPr>
                <w:bCs/>
                <w:szCs w:val="24"/>
                <w:lang w:val="en-GB"/>
              </w:rPr>
              <w:t xml:space="preserve">on the subject.  This had </w:t>
            </w:r>
            <w:r>
              <w:rPr>
                <w:bCs/>
                <w:szCs w:val="24"/>
                <w:lang w:val="en-GB"/>
              </w:rPr>
              <w:t>recommended a coordinated approach to migration from the present position to a future one – whatever that may be.</w:t>
            </w:r>
            <w:r w:rsidR="003A5577">
              <w:rPr>
                <w:bCs/>
                <w:szCs w:val="24"/>
                <w:lang w:val="en-GB"/>
              </w:rPr>
              <w:t xml:space="preserve">  It also recommended CEPT-level monitoring, primarily aimed at achieving consistency in progress.</w:t>
            </w:r>
          </w:p>
          <w:p w:rsidR="009E7F6B" w:rsidRDefault="009E7F6B" w:rsidP="0095430C">
            <w:pPr>
              <w:rPr>
                <w:bCs/>
                <w:szCs w:val="24"/>
                <w:lang w:val="en-GB"/>
              </w:rPr>
            </w:pPr>
            <w:r>
              <w:rPr>
                <w:bCs/>
                <w:szCs w:val="24"/>
                <w:lang w:val="en-GB"/>
              </w:rPr>
              <w:t xml:space="preserve">In any case, the mobile service will acquire co-primary status in 2015, resulting from the decision of WRC-12.  </w:t>
            </w:r>
            <w:r w:rsidR="003A5577">
              <w:rPr>
                <w:bCs/>
                <w:szCs w:val="24"/>
                <w:lang w:val="en-GB"/>
              </w:rPr>
              <w:t>With or without any European harmonisation measures t</w:t>
            </w:r>
            <w:r>
              <w:rPr>
                <w:bCs/>
                <w:szCs w:val="24"/>
                <w:lang w:val="en-GB"/>
              </w:rPr>
              <w:t xml:space="preserve">his </w:t>
            </w:r>
            <w:r w:rsidR="003A5577">
              <w:rPr>
                <w:bCs/>
                <w:szCs w:val="24"/>
                <w:lang w:val="en-GB"/>
              </w:rPr>
              <w:t>t</w:t>
            </w:r>
            <w:r>
              <w:rPr>
                <w:bCs/>
                <w:szCs w:val="24"/>
                <w:lang w:val="en-GB"/>
              </w:rPr>
              <w:t>rigger</w:t>
            </w:r>
            <w:r w:rsidR="003A5577">
              <w:rPr>
                <w:bCs/>
                <w:szCs w:val="24"/>
                <w:lang w:val="en-GB"/>
              </w:rPr>
              <w:t>s</w:t>
            </w:r>
            <w:r>
              <w:rPr>
                <w:bCs/>
                <w:szCs w:val="24"/>
                <w:lang w:val="en-GB"/>
              </w:rPr>
              <w:t xml:space="preserve"> a different set of possibilities for how administrations handle the provisions of the GE06 agreement, which provides for coordination and protection of assignments to primary services other than broadcasting.</w:t>
            </w:r>
          </w:p>
          <w:p w:rsidR="00B22C44" w:rsidRDefault="00BF2BC1" w:rsidP="0095430C">
            <w:pPr>
              <w:rPr>
                <w:bCs/>
                <w:szCs w:val="24"/>
                <w:lang w:val="en-GB"/>
              </w:rPr>
            </w:pPr>
            <w:r>
              <w:rPr>
                <w:bCs/>
                <w:szCs w:val="24"/>
                <w:lang w:val="en-GB"/>
              </w:rPr>
              <w:t>Other relevant documents include</w:t>
            </w:r>
            <w:r w:rsidR="00B22C44">
              <w:rPr>
                <w:bCs/>
                <w:szCs w:val="24"/>
                <w:lang w:val="en-GB"/>
              </w:rPr>
              <w:t>:</w:t>
            </w:r>
          </w:p>
          <w:p w:rsidR="00BF2BC1" w:rsidRPr="00B22C44" w:rsidRDefault="00BF2BC1" w:rsidP="00B22C44">
            <w:pPr>
              <w:pStyle w:val="Paragraphedeliste"/>
              <w:numPr>
                <w:ilvl w:val="0"/>
                <w:numId w:val="40"/>
              </w:numPr>
              <w:rPr>
                <w:rFonts w:ascii="Arial" w:hAnsi="Arial" w:cs="Arial"/>
                <w:bCs/>
                <w:szCs w:val="24"/>
              </w:rPr>
            </w:pPr>
            <w:r w:rsidRPr="00B22C44">
              <w:rPr>
                <w:rFonts w:ascii="Arial" w:hAnsi="Arial" w:cs="Arial"/>
                <w:bCs/>
                <w:szCs w:val="24"/>
              </w:rPr>
              <w:t>CEPT Re</w:t>
            </w:r>
            <w:r w:rsidR="00B22C44" w:rsidRPr="00B22C44">
              <w:rPr>
                <w:rFonts w:ascii="Arial" w:hAnsi="Arial" w:cs="Arial"/>
                <w:bCs/>
                <w:szCs w:val="24"/>
              </w:rPr>
              <w:t>p</w:t>
            </w:r>
            <w:r w:rsidRPr="00B22C44">
              <w:rPr>
                <w:rFonts w:ascii="Arial" w:hAnsi="Arial" w:cs="Arial"/>
                <w:bCs/>
                <w:szCs w:val="24"/>
              </w:rPr>
              <w:t>ort 29</w:t>
            </w:r>
            <w:r w:rsidR="00B22C44" w:rsidRPr="00B22C44">
              <w:rPr>
                <w:rFonts w:ascii="Arial" w:hAnsi="Arial" w:cs="Arial"/>
                <w:bCs/>
                <w:szCs w:val="24"/>
              </w:rPr>
              <w:t>: “Guidelines on cross border coordination issues between mobile services in one country and broadcasting services in another country”.</w:t>
            </w:r>
          </w:p>
          <w:p w:rsidR="007468CF" w:rsidRPr="0029315F" w:rsidRDefault="00B22C44" w:rsidP="00FE0FBA">
            <w:pPr>
              <w:pStyle w:val="Paragraphedeliste"/>
              <w:numPr>
                <w:ilvl w:val="0"/>
                <w:numId w:val="40"/>
              </w:numPr>
              <w:rPr>
                <w:bCs/>
                <w:szCs w:val="24"/>
              </w:rPr>
            </w:pPr>
            <w:r w:rsidRPr="00B22C44">
              <w:rPr>
                <w:rFonts w:ascii="Arial" w:hAnsi="Arial" w:cs="Arial"/>
                <w:bCs/>
                <w:szCs w:val="24"/>
              </w:rPr>
              <w:t>ECC Report 142:</w:t>
            </w:r>
            <w:r w:rsidRPr="00B22C44">
              <w:rPr>
                <w:rFonts w:ascii="Arial" w:hAnsi="Arial" w:cs="Arial"/>
              </w:rPr>
              <w:t xml:space="preserve"> </w:t>
            </w:r>
            <w:r w:rsidR="00FE0FBA">
              <w:rPr>
                <w:rFonts w:ascii="Arial" w:hAnsi="Arial" w:cs="Arial"/>
              </w:rPr>
              <w:t>“</w:t>
            </w:r>
            <w:r w:rsidRPr="00B22C44">
              <w:rPr>
                <w:rFonts w:ascii="Arial" w:hAnsi="Arial" w:cs="Arial"/>
                <w:bCs/>
                <w:szCs w:val="24"/>
              </w:rPr>
              <w:t>Rearrangement activities for broadcasting services in 790 - 862 MHz</w:t>
            </w:r>
            <w:r w:rsidRPr="00B22C44">
              <w:rPr>
                <w:bCs/>
                <w:szCs w:val="24"/>
              </w:rPr>
              <w:t xml:space="preserve">” </w:t>
            </w:r>
            <w:r w:rsidR="00514C01">
              <w:rPr>
                <w:bCs/>
                <w:szCs w:val="24"/>
              </w:rPr>
              <w:t xml:space="preserve"> </w:t>
            </w:r>
            <w:r w:rsidR="00172D52">
              <w:rPr>
                <w:bCs/>
                <w:szCs w:val="24"/>
              </w:rPr>
              <w:t xml:space="preserve"> </w:t>
            </w:r>
          </w:p>
        </w:tc>
      </w:tr>
    </w:tbl>
    <w:p w:rsidR="000C2520" w:rsidRDefault="000C2520" w:rsidP="000C2520">
      <w:pPr>
        <w:spacing w:after="240" w:line="240" w:lineRule="exact"/>
        <w:jc w:val="left"/>
        <w:rPr>
          <w:lang w:val="en-GB"/>
        </w:rPr>
      </w:pPr>
    </w:p>
    <w:p w:rsidR="000C2520" w:rsidRPr="000C2520" w:rsidRDefault="000C2520" w:rsidP="000C2520">
      <w:pPr>
        <w:spacing w:after="240" w:line="240" w:lineRule="exact"/>
        <w:jc w:val="left"/>
        <w:rPr>
          <w:b/>
          <w:lang w:val="en-GB"/>
        </w:rPr>
      </w:pPr>
      <w:r w:rsidRPr="000C2520">
        <w:rPr>
          <w:b/>
          <w:lang w:val="en-GB"/>
        </w:rPr>
        <w:t>Elements of proposal for ECO tool</w:t>
      </w:r>
    </w:p>
    <w:p w:rsidR="000C2520" w:rsidRDefault="000C2520" w:rsidP="000C2520">
      <w:pPr>
        <w:spacing w:after="240" w:line="240" w:lineRule="exact"/>
        <w:jc w:val="left"/>
        <w:rPr>
          <w:lang w:val="en-GB"/>
        </w:rPr>
      </w:pPr>
      <w:r>
        <w:rPr>
          <w:lang w:val="en-GB"/>
        </w:rPr>
        <w:t>So far, we have identified two approaches.</w:t>
      </w:r>
    </w:p>
    <w:p w:rsidR="000C2520" w:rsidRPr="000C2520" w:rsidRDefault="000C2520" w:rsidP="000C2520">
      <w:pPr>
        <w:spacing w:after="240" w:line="240" w:lineRule="exact"/>
        <w:jc w:val="left"/>
        <w:rPr>
          <w:b/>
          <w:lang w:val="en-GB"/>
        </w:rPr>
      </w:pPr>
      <w:r w:rsidRPr="000C2520">
        <w:rPr>
          <w:b/>
          <w:lang w:val="en-GB"/>
        </w:rPr>
        <w:t>1) Central document area for regional groups to report</w:t>
      </w:r>
    </w:p>
    <w:p w:rsidR="000C2520" w:rsidRPr="00EC4E9B" w:rsidRDefault="000C2520" w:rsidP="000C2520">
      <w:pPr>
        <w:spacing w:after="240" w:line="240" w:lineRule="exact"/>
        <w:jc w:val="left"/>
        <w:rPr>
          <w:lang w:val="en-GB"/>
        </w:rPr>
      </w:pPr>
      <w:r w:rsidRPr="00EC4E9B">
        <w:rPr>
          <w:lang w:val="en-GB"/>
        </w:rPr>
        <w:t>The tool could at its most basic be a central document area for the regional groups, so they can see what each other is doing.  Groups like WEDDIP could summarise their progress against some broad criteria agreed by ECC</w:t>
      </w:r>
      <w:r>
        <w:rPr>
          <w:lang w:val="en-GB"/>
        </w:rPr>
        <w:t>.  This could</w:t>
      </w:r>
      <w:r w:rsidR="00315E94">
        <w:rPr>
          <w:lang w:val="en-GB"/>
        </w:rPr>
        <w:t xml:space="preserve"> for example </w:t>
      </w:r>
      <w:r w:rsidRPr="00EC4E9B">
        <w:rPr>
          <w:lang w:val="en-GB"/>
        </w:rPr>
        <w:t>identif</w:t>
      </w:r>
      <w:r w:rsidR="00315E94">
        <w:rPr>
          <w:lang w:val="en-GB"/>
        </w:rPr>
        <w:t>y the</w:t>
      </w:r>
      <w:r w:rsidRPr="00EC4E9B">
        <w:rPr>
          <w:lang w:val="en-GB"/>
        </w:rPr>
        <w:t xml:space="preserve"> approximate number and coverage of </w:t>
      </w:r>
      <w:r w:rsidR="00315E94">
        <w:rPr>
          <w:lang w:val="en-GB"/>
        </w:rPr>
        <w:t xml:space="preserve">GE06 </w:t>
      </w:r>
      <w:r w:rsidRPr="00EC4E9B">
        <w:rPr>
          <w:lang w:val="en-GB"/>
        </w:rPr>
        <w:t>plan entries in the 700 MHz range</w:t>
      </w:r>
      <w:r>
        <w:rPr>
          <w:lang w:val="en-GB"/>
        </w:rPr>
        <w:t xml:space="preserve"> for each country</w:t>
      </w:r>
      <w:r w:rsidR="00315E94">
        <w:rPr>
          <w:lang w:val="en-GB"/>
        </w:rPr>
        <w:t xml:space="preserve"> at a certain point in time</w:t>
      </w:r>
      <w:r w:rsidR="00C7054C">
        <w:rPr>
          <w:lang w:val="en-GB"/>
        </w:rPr>
        <w:t xml:space="preserve"> (2006)</w:t>
      </w:r>
      <w:r w:rsidR="00315E94">
        <w:rPr>
          <w:lang w:val="en-GB"/>
        </w:rPr>
        <w:t>,</w:t>
      </w:r>
      <w:r w:rsidRPr="00EC4E9B">
        <w:rPr>
          <w:lang w:val="en-GB"/>
        </w:rPr>
        <w:t xml:space="preserve"> and </w:t>
      </w:r>
      <w:r>
        <w:rPr>
          <w:lang w:val="en-GB"/>
        </w:rPr>
        <w:t xml:space="preserve">the </w:t>
      </w:r>
      <w:r w:rsidRPr="00EC4E9B">
        <w:rPr>
          <w:lang w:val="en-GB"/>
        </w:rPr>
        <w:t>extent to which this has been compensated  by newly coordinated/negotiated alternative plan entries</w:t>
      </w:r>
      <w:r w:rsidR="00C7054C">
        <w:rPr>
          <w:lang w:val="en-GB"/>
        </w:rPr>
        <w:t>,</w:t>
      </w:r>
      <w:r w:rsidRPr="00EC4E9B">
        <w:rPr>
          <w:lang w:val="en-GB"/>
        </w:rPr>
        <w:t xml:space="preserve"> or acceptance of loss of coverage</w:t>
      </w:r>
      <w:r w:rsidR="00C7054C">
        <w:rPr>
          <w:lang w:val="en-GB"/>
        </w:rPr>
        <w:t>/services</w:t>
      </w:r>
      <w:r w:rsidRPr="00EC4E9B">
        <w:rPr>
          <w:lang w:val="en-GB"/>
        </w:rPr>
        <w:t xml:space="preserve"> as the necessary price for implementing mobile services </w:t>
      </w:r>
      <w:r w:rsidR="00315E94">
        <w:rPr>
          <w:lang w:val="en-GB"/>
        </w:rPr>
        <w:t xml:space="preserve">in your own or a </w:t>
      </w:r>
      <w:r w:rsidRPr="00EC4E9B">
        <w:rPr>
          <w:lang w:val="en-GB"/>
        </w:rPr>
        <w:t>neighbouring country.</w:t>
      </w:r>
    </w:p>
    <w:p w:rsidR="00315E94" w:rsidRPr="00315E94" w:rsidRDefault="00315E94" w:rsidP="000C2520">
      <w:pPr>
        <w:spacing w:after="240" w:line="240" w:lineRule="exact"/>
        <w:jc w:val="left"/>
        <w:rPr>
          <w:b/>
          <w:lang w:val="en-GB"/>
        </w:rPr>
      </w:pPr>
      <w:r w:rsidRPr="00315E94">
        <w:rPr>
          <w:b/>
          <w:lang w:val="en-GB"/>
        </w:rPr>
        <w:t xml:space="preserve">2) Register of </w:t>
      </w:r>
      <w:r>
        <w:rPr>
          <w:b/>
          <w:lang w:val="en-GB"/>
        </w:rPr>
        <w:t xml:space="preserve">agreed or possible </w:t>
      </w:r>
      <w:r w:rsidRPr="00315E94">
        <w:rPr>
          <w:b/>
          <w:lang w:val="en-GB"/>
        </w:rPr>
        <w:t>modifi</w:t>
      </w:r>
      <w:r>
        <w:rPr>
          <w:b/>
          <w:lang w:val="en-GB"/>
        </w:rPr>
        <w:t>cations to</w:t>
      </w:r>
      <w:r w:rsidRPr="00315E94">
        <w:rPr>
          <w:b/>
          <w:lang w:val="en-GB"/>
        </w:rPr>
        <w:t xml:space="preserve"> </w:t>
      </w:r>
      <w:r>
        <w:rPr>
          <w:b/>
          <w:lang w:val="en-GB"/>
        </w:rPr>
        <w:t xml:space="preserve">GE06 </w:t>
      </w:r>
      <w:r w:rsidRPr="00315E94">
        <w:rPr>
          <w:b/>
          <w:lang w:val="en-GB"/>
        </w:rPr>
        <w:t>plan entry data (subset and some extra information)</w:t>
      </w:r>
    </w:p>
    <w:p w:rsidR="000C2520" w:rsidRPr="00EC4E9B" w:rsidRDefault="000C2520" w:rsidP="000C2520">
      <w:pPr>
        <w:spacing w:after="240" w:line="240" w:lineRule="exact"/>
        <w:jc w:val="left"/>
        <w:rPr>
          <w:lang w:val="en-GB"/>
        </w:rPr>
      </w:pPr>
      <w:r w:rsidRPr="00EC4E9B">
        <w:rPr>
          <w:lang w:val="en-GB"/>
        </w:rPr>
        <w:t>A</w:t>
      </w:r>
      <w:r>
        <w:rPr>
          <w:lang w:val="en-GB"/>
        </w:rPr>
        <w:t xml:space="preserve">n alternative approach would be to establish a strong agreement, let us say </w:t>
      </w:r>
      <w:r w:rsidRPr="00EC4E9B">
        <w:rPr>
          <w:lang w:val="en-GB"/>
        </w:rPr>
        <w:t>an ECC Decision</w:t>
      </w:r>
      <w:r>
        <w:rPr>
          <w:lang w:val="en-GB"/>
        </w:rPr>
        <w:t>,</w:t>
      </w:r>
      <w:r w:rsidRPr="00EC4E9B">
        <w:rPr>
          <w:lang w:val="en-GB"/>
        </w:rPr>
        <w:t xml:space="preserve"> requiring all broadcasting proposals to be </w:t>
      </w:r>
      <w:r w:rsidR="00315E94">
        <w:rPr>
          <w:lang w:val="en-GB"/>
        </w:rPr>
        <w:t xml:space="preserve">uploaded to a visible ECO database </w:t>
      </w:r>
      <w:r w:rsidRPr="00EC4E9B">
        <w:rPr>
          <w:lang w:val="en-GB"/>
        </w:rPr>
        <w:t xml:space="preserve">with an agreed set of data </w:t>
      </w:r>
      <w:r w:rsidRPr="00C7054C">
        <w:rPr>
          <w:u w:val="single"/>
          <w:lang w:val="en-GB"/>
        </w:rPr>
        <w:t>such as</w:t>
      </w:r>
      <w:r w:rsidRPr="00EC4E9B">
        <w:rPr>
          <w:lang w:val="en-GB"/>
        </w:rPr>
        <w:t>:</w:t>
      </w:r>
    </w:p>
    <w:p w:rsidR="000C2520" w:rsidRPr="00EC4E9B" w:rsidRDefault="000C2520" w:rsidP="000C2520">
      <w:pPr>
        <w:spacing w:after="240" w:line="240" w:lineRule="exact"/>
        <w:jc w:val="left"/>
        <w:rPr>
          <w:lang w:val="en-GB"/>
        </w:rPr>
      </w:pPr>
      <w:r w:rsidRPr="00EC4E9B">
        <w:rPr>
          <w:lang w:val="en-GB"/>
        </w:rPr>
        <w:t>•</w:t>
      </w:r>
      <w:r w:rsidRPr="00EC4E9B">
        <w:rPr>
          <w:lang w:val="en-GB"/>
        </w:rPr>
        <w:tab/>
        <w:t>Status within GE06: is it a</w:t>
      </w:r>
      <w:r w:rsidR="00315E94">
        <w:rPr>
          <w:lang w:val="en-GB"/>
        </w:rPr>
        <w:t>n</w:t>
      </w:r>
      <w:r w:rsidRPr="00EC4E9B">
        <w:rPr>
          <w:lang w:val="en-GB"/>
        </w:rPr>
        <w:t xml:space="preserve"> allotment/assignment proposal </w:t>
      </w:r>
      <w:r w:rsidR="00315E94">
        <w:rPr>
          <w:lang w:val="en-GB"/>
        </w:rPr>
        <w:t xml:space="preserve">already notified </w:t>
      </w:r>
      <w:r w:rsidRPr="00EC4E9B">
        <w:rPr>
          <w:lang w:val="en-GB"/>
        </w:rPr>
        <w:t>under the GE06 procedure (Art. 4)?</w:t>
      </w:r>
    </w:p>
    <w:p w:rsidR="000C2520" w:rsidRPr="00EC4E9B" w:rsidRDefault="000C2520" w:rsidP="000C2520">
      <w:pPr>
        <w:spacing w:after="240" w:line="240" w:lineRule="exact"/>
        <w:jc w:val="left"/>
        <w:rPr>
          <w:lang w:val="en-GB"/>
        </w:rPr>
      </w:pPr>
      <w:r w:rsidRPr="00EC4E9B">
        <w:rPr>
          <w:lang w:val="en-GB"/>
        </w:rPr>
        <w:t>•</w:t>
      </w:r>
      <w:r w:rsidRPr="00EC4E9B">
        <w:rPr>
          <w:lang w:val="en-GB"/>
        </w:rPr>
        <w:tab/>
        <w:t xml:space="preserve">Subset of characteristics: allotment or assignment?  Boundary points + RPC/ location, h1 + e.r.p.- omni- or directional, </w:t>
      </w:r>
    </w:p>
    <w:p w:rsidR="000C2520" w:rsidRPr="00EC4E9B" w:rsidRDefault="000C2520" w:rsidP="000C2520">
      <w:pPr>
        <w:spacing w:after="240" w:line="240" w:lineRule="exact"/>
        <w:jc w:val="left"/>
        <w:rPr>
          <w:lang w:val="en-GB"/>
        </w:rPr>
      </w:pPr>
      <w:r w:rsidRPr="00EC4E9B">
        <w:rPr>
          <w:lang w:val="en-GB"/>
        </w:rPr>
        <w:lastRenderedPageBreak/>
        <w:t>•</w:t>
      </w:r>
      <w:r w:rsidRPr="00EC4E9B">
        <w:rPr>
          <w:lang w:val="en-GB"/>
        </w:rPr>
        <w:tab/>
        <w:t xml:space="preserve">Reference to GE06 </w:t>
      </w:r>
      <w:r w:rsidR="00315E94">
        <w:rPr>
          <w:lang w:val="en-GB"/>
        </w:rPr>
        <w:t xml:space="preserve">plan entries </w:t>
      </w:r>
      <w:r w:rsidRPr="00EC4E9B">
        <w:rPr>
          <w:lang w:val="en-GB"/>
        </w:rPr>
        <w:t>allotments/assignments (above 694 MHz) which this is intended to substitute.</w:t>
      </w:r>
      <w:r w:rsidR="00315E94">
        <w:rPr>
          <w:lang w:val="en-GB"/>
        </w:rPr>
        <w:t xml:space="preserve">  Substitute in whole or in part?</w:t>
      </w:r>
    </w:p>
    <w:p w:rsidR="000C2520" w:rsidRPr="00EC4E9B" w:rsidRDefault="000C2520" w:rsidP="000C2520">
      <w:pPr>
        <w:spacing w:after="240" w:line="240" w:lineRule="exact"/>
        <w:jc w:val="left"/>
        <w:rPr>
          <w:lang w:val="en-GB"/>
        </w:rPr>
      </w:pPr>
      <w:r w:rsidRPr="00EC4E9B">
        <w:rPr>
          <w:lang w:val="en-GB"/>
        </w:rPr>
        <w:t>•</w:t>
      </w:r>
      <w:r w:rsidRPr="00EC4E9B">
        <w:rPr>
          <w:lang w:val="en-GB"/>
        </w:rPr>
        <w:tab/>
        <w:t xml:space="preserve">Reference to other proposals which are used in combination to substitute for GE06 allotments above 694 MHz (or other frequency </w:t>
      </w:r>
      <w:r w:rsidR="00315E94">
        <w:rPr>
          <w:lang w:val="en-GB"/>
        </w:rPr>
        <w:t xml:space="preserve">allotments/assignments </w:t>
      </w:r>
      <w:r w:rsidRPr="00EC4E9B">
        <w:rPr>
          <w:lang w:val="en-GB"/>
        </w:rPr>
        <w:t>being discontinued to make way for mobile)</w:t>
      </w:r>
    </w:p>
    <w:p w:rsidR="000C2520" w:rsidRPr="00EC4E9B" w:rsidRDefault="000C2520" w:rsidP="000C2520">
      <w:pPr>
        <w:spacing w:after="240" w:line="240" w:lineRule="exact"/>
        <w:jc w:val="left"/>
        <w:rPr>
          <w:lang w:val="en-GB"/>
        </w:rPr>
      </w:pPr>
      <w:r>
        <w:rPr>
          <w:lang w:val="en-GB"/>
        </w:rPr>
        <w:t>A</w:t>
      </w:r>
      <w:r w:rsidRPr="00EC4E9B">
        <w:rPr>
          <w:lang w:val="en-GB"/>
        </w:rPr>
        <w:t>greements to accept increased interference to GE06 entries should also be recorded</w:t>
      </w:r>
      <w:r>
        <w:rPr>
          <w:lang w:val="en-GB"/>
        </w:rPr>
        <w:t>.</w:t>
      </w:r>
      <w:r w:rsidRPr="00EC4E9B">
        <w:rPr>
          <w:lang w:val="en-GB"/>
        </w:rPr>
        <w:t xml:space="preserve"> </w:t>
      </w:r>
    </w:p>
    <w:p w:rsidR="000C2520" w:rsidRPr="00EC4E9B" w:rsidRDefault="000C2520" w:rsidP="000C2520">
      <w:pPr>
        <w:spacing w:after="240" w:line="240" w:lineRule="exact"/>
        <w:jc w:val="left"/>
        <w:rPr>
          <w:lang w:val="en-GB"/>
        </w:rPr>
      </w:pPr>
      <w:r>
        <w:rPr>
          <w:lang w:val="en-GB"/>
        </w:rPr>
        <w:t xml:space="preserve">In this case </w:t>
      </w:r>
      <w:r w:rsidRPr="00EC4E9B">
        <w:rPr>
          <w:lang w:val="en-GB"/>
        </w:rPr>
        <w:t xml:space="preserve">ECO commitment </w:t>
      </w:r>
      <w:r>
        <w:rPr>
          <w:lang w:val="en-GB"/>
        </w:rPr>
        <w:t>w</w:t>
      </w:r>
      <w:r w:rsidRPr="00EC4E9B">
        <w:rPr>
          <w:lang w:val="en-GB"/>
        </w:rPr>
        <w:t xml:space="preserve">ould just be </w:t>
      </w:r>
      <w:r>
        <w:rPr>
          <w:lang w:val="en-GB"/>
        </w:rPr>
        <w:t>the</w:t>
      </w:r>
      <w:r w:rsidRPr="00EC4E9B">
        <w:rPr>
          <w:lang w:val="en-GB"/>
        </w:rPr>
        <w:t xml:space="preserve"> provision of the tool</w:t>
      </w:r>
      <w:r>
        <w:rPr>
          <w:lang w:val="en-GB"/>
        </w:rPr>
        <w:t>.  The d</w:t>
      </w:r>
      <w:r w:rsidRPr="00EC4E9B">
        <w:rPr>
          <w:lang w:val="en-GB"/>
        </w:rPr>
        <w:t xml:space="preserve">ata entry and reading/interpretation would be matter for administrations, the commitment varying according to their level of interest and concern.  </w:t>
      </w:r>
      <w:r>
        <w:rPr>
          <w:lang w:val="en-GB"/>
        </w:rPr>
        <w:t>It would not be necessary to involve the ECO as a ‘shadow plan management body’ as it is not within the process itself.</w:t>
      </w:r>
    </w:p>
    <w:p w:rsidR="000C2520" w:rsidRPr="00315E94" w:rsidRDefault="000C2520" w:rsidP="000C2520">
      <w:pPr>
        <w:spacing w:after="240" w:line="240" w:lineRule="exact"/>
        <w:jc w:val="left"/>
        <w:rPr>
          <w:u w:val="single"/>
          <w:lang w:val="en-GB"/>
        </w:rPr>
      </w:pPr>
      <w:r w:rsidRPr="00315E94">
        <w:rPr>
          <w:u w:val="single"/>
          <w:lang w:val="en-GB"/>
        </w:rPr>
        <w:t>Coordination of individual assignments for mobile.</w:t>
      </w:r>
    </w:p>
    <w:p w:rsidR="00FE0FBA" w:rsidRPr="00EC4E9B" w:rsidRDefault="00FE0FBA" w:rsidP="00FE0FBA">
      <w:pPr>
        <w:spacing w:after="240" w:line="240" w:lineRule="exact"/>
        <w:jc w:val="left"/>
        <w:rPr>
          <w:lang w:val="en-GB"/>
        </w:rPr>
      </w:pPr>
      <w:r w:rsidRPr="00EC4E9B">
        <w:rPr>
          <w:lang w:val="en-GB"/>
        </w:rPr>
        <w:t xml:space="preserve">We propose that mobile coordination would </w:t>
      </w:r>
      <w:r w:rsidRPr="00C7054C">
        <w:rPr>
          <w:u w:val="single"/>
          <w:lang w:val="en-GB"/>
        </w:rPr>
        <w:t>not</w:t>
      </w:r>
      <w:r w:rsidRPr="00EC4E9B">
        <w:rPr>
          <w:lang w:val="en-GB"/>
        </w:rPr>
        <w:t xml:space="preserve"> be included, at least in detail, in the </w:t>
      </w:r>
      <w:r w:rsidR="00C7054C">
        <w:rPr>
          <w:lang w:val="en-GB"/>
        </w:rPr>
        <w:t>monitoring arrangements</w:t>
      </w:r>
      <w:r w:rsidRPr="00EC4E9B">
        <w:rPr>
          <w:lang w:val="en-GB"/>
        </w:rPr>
        <w:t xml:space="preserve">.  This is based on the understanding that at the strategic level </w:t>
      </w:r>
      <w:r w:rsidR="00C7054C">
        <w:rPr>
          <w:lang w:val="en-GB"/>
        </w:rPr>
        <w:t xml:space="preserve">mobile coordination </w:t>
      </w:r>
      <w:r w:rsidRPr="00EC4E9B">
        <w:rPr>
          <w:lang w:val="en-GB"/>
        </w:rPr>
        <w:t xml:space="preserve">is generally covered within generalised MoUs.  </w:t>
      </w:r>
    </w:p>
    <w:p w:rsidR="000C2520" w:rsidRPr="00EC4E9B" w:rsidRDefault="000C2520" w:rsidP="000C2520">
      <w:pPr>
        <w:spacing w:after="240" w:line="240" w:lineRule="exact"/>
        <w:jc w:val="left"/>
        <w:rPr>
          <w:lang w:val="en-GB"/>
        </w:rPr>
      </w:pPr>
      <w:r w:rsidRPr="00EC4E9B">
        <w:rPr>
          <w:lang w:val="en-GB"/>
        </w:rPr>
        <w:t xml:space="preserve">Coordination of non-broadcast primary service assignments under GE06 after mobile gets co-primary status in 2015 is likely to be restricted to the case of neighbouring countries having different uses at the same time in the same band (700MHz), either indefinitely or for a finite period of time.  That might reflect an agreed framework or the lack of such a framework.   But in either case this is probably outside the scope of a coordinated process within part (or all) of the EU28, EEA, or CEPT areas.  Here, the tool’s only value would be to highlight that this is happening at all.  However, the GE06 process already provides for visibility for </w:t>
      </w:r>
      <w:r w:rsidR="00FE0FBA">
        <w:rPr>
          <w:lang w:val="en-GB"/>
        </w:rPr>
        <w:t xml:space="preserve">those </w:t>
      </w:r>
      <w:r w:rsidRPr="00EC4E9B">
        <w:rPr>
          <w:lang w:val="en-GB"/>
        </w:rPr>
        <w:t>administrations wh</w:t>
      </w:r>
      <w:r w:rsidR="00FE0FBA">
        <w:rPr>
          <w:lang w:val="en-GB"/>
        </w:rPr>
        <w:t>ich</w:t>
      </w:r>
      <w:r w:rsidRPr="00EC4E9B">
        <w:rPr>
          <w:lang w:val="en-GB"/>
        </w:rPr>
        <w:t xml:space="preserve"> monitor it. </w:t>
      </w:r>
    </w:p>
    <w:p w:rsidR="00C7054C" w:rsidRDefault="00C7054C" w:rsidP="00B22C44">
      <w:pPr>
        <w:spacing w:after="240" w:line="240" w:lineRule="exact"/>
        <w:jc w:val="left"/>
        <w:rPr>
          <w:b/>
          <w:lang w:val="en-GB"/>
        </w:rPr>
      </w:pPr>
      <w:r>
        <w:rPr>
          <w:b/>
          <w:lang w:val="en-GB"/>
        </w:rPr>
        <w:t>Some considerations on the source documents</w:t>
      </w:r>
      <w:r w:rsidR="00567202">
        <w:rPr>
          <w:b/>
          <w:lang w:val="en-GB"/>
        </w:rPr>
        <w:t xml:space="preserve"> (notably in relation to ‘equitable access’)</w:t>
      </w:r>
    </w:p>
    <w:p w:rsidR="00B22C44" w:rsidRPr="00C7054C" w:rsidRDefault="00B22C44" w:rsidP="00B22C44">
      <w:pPr>
        <w:spacing w:after="240" w:line="240" w:lineRule="exact"/>
        <w:jc w:val="left"/>
        <w:rPr>
          <w:u w:val="single"/>
          <w:lang w:val="en-GB"/>
        </w:rPr>
      </w:pPr>
      <w:r w:rsidRPr="00C7054C">
        <w:rPr>
          <w:u w:val="single"/>
          <w:lang w:val="en-GB"/>
        </w:rPr>
        <w:t>RSPG Report on coordination:</w:t>
      </w:r>
    </w:p>
    <w:p w:rsidR="00B22C44" w:rsidRPr="00B22C44" w:rsidRDefault="00B22C44" w:rsidP="00B22C44">
      <w:pPr>
        <w:spacing w:after="240" w:line="240" w:lineRule="exact"/>
        <w:jc w:val="left"/>
        <w:rPr>
          <w:lang w:val="en-GB"/>
        </w:rPr>
      </w:pPr>
      <w:r w:rsidRPr="00B22C44">
        <w:rPr>
          <w:lang w:val="en-GB"/>
        </w:rPr>
        <w:t>This covers a range of considerations and issues, including principally the EU harmonisation and intervention possibilities. In terms of technical principles and feasibility, the report places a lot of reliance on its references to the source ECC deliverables, namely CEPT Report 29, and ECC</w:t>
      </w:r>
      <w:r w:rsidR="00C7054C">
        <w:rPr>
          <w:lang w:val="en-GB"/>
        </w:rPr>
        <w:t xml:space="preserve"> R</w:t>
      </w:r>
      <w:r w:rsidRPr="00B22C44">
        <w:rPr>
          <w:lang w:val="en-GB"/>
        </w:rPr>
        <w:t xml:space="preserve">eport 142.  </w:t>
      </w:r>
    </w:p>
    <w:p w:rsidR="00B22C44" w:rsidRPr="00B22C44" w:rsidRDefault="00B22C44" w:rsidP="00B22C44">
      <w:pPr>
        <w:spacing w:after="240" w:line="240" w:lineRule="exact"/>
        <w:jc w:val="left"/>
        <w:rPr>
          <w:lang w:val="en-GB"/>
        </w:rPr>
      </w:pPr>
      <w:r>
        <w:rPr>
          <w:lang w:val="en-GB"/>
        </w:rPr>
        <w:t>Its text includes the observation that</w:t>
      </w:r>
      <w:r w:rsidRPr="00B22C44">
        <w:rPr>
          <w:lang w:val="en-GB"/>
        </w:rPr>
        <w:t xml:space="preserve"> “The administration seeking coordination should consider whether it needs a national policy in relation to how it would intend to obtain an acceptable state of rights from the GE06 Plan, noting that potentially it may not be possible to achieve both additional entries lower in the band and implement fixed/mobile applications in the 800 MHz band.”</w:t>
      </w:r>
    </w:p>
    <w:p w:rsidR="00471DC8" w:rsidRPr="00C7054C" w:rsidRDefault="00B22C44" w:rsidP="00B22C44">
      <w:pPr>
        <w:spacing w:after="240" w:line="240" w:lineRule="exact"/>
        <w:jc w:val="left"/>
        <w:rPr>
          <w:u w:val="single"/>
          <w:lang w:val="en-GB"/>
        </w:rPr>
      </w:pPr>
      <w:r w:rsidRPr="00C7054C">
        <w:rPr>
          <w:u w:val="single"/>
          <w:lang w:val="en-GB"/>
        </w:rPr>
        <w:t>ECC Report 142</w:t>
      </w:r>
    </w:p>
    <w:p w:rsidR="00471DC8" w:rsidRDefault="00FE0FBA" w:rsidP="00B22C44">
      <w:pPr>
        <w:spacing w:after="240" w:line="240" w:lineRule="exact"/>
        <w:jc w:val="left"/>
        <w:rPr>
          <w:lang w:val="en-GB"/>
        </w:rPr>
      </w:pPr>
      <w:r>
        <w:rPr>
          <w:lang w:val="en-GB"/>
        </w:rPr>
        <w:t>ECC Report 142</w:t>
      </w:r>
      <w:r w:rsidR="00B22C44" w:rsidRPr="00B22C44">
        <w:rPr>
          <w:lang w:val="en-GB"/>
        </w:rPr>
        <w:t xml:space="preserve"> was prepared independently of </w:t>
      </w:r>
      <w:r w:rsidR="00C7054C">
        <w:rPr>
          <w:lang w:val="en-GB"/>
        </w:rPr>
        <w:t>and prior to the</w:t>
      </w:r>
      <w:r w:rsidR="00B22C44" w:rsidRPr="00B22C44">
        <w:rPr>
          <w:lang w:val="en-GB"/>
        </w:rPr>
        <w:t xml:space="preserve"> EU requirement under the RSPP for use of 800 MHz for mobile.  It also makes a clear pre-WRC 2012 assumption that frequencies up to 790 MHz would only really be used for broadcasting.</w:t>
      </w:r>
    </w:p>
    <w:p w:rsidR="00471DC8" w:rsidRPr="00471DC8" w:rsidRDefault="00C7054C" w:rsidP="00471DC8">
      <w:pPr>
        <w:spacing w:after="240" w:line="240" w:lineRule="exact"/>
        <w:jc w:val="left"/>
        <w:rPr>
          <w:lang w:val="en-GB"/>
        </w:rPr>
      </w:pPr>
      <w:r>
        <w:rPr>
          <w:lang w:val="en-GB"/>
        </w:rPr>
        <w:t>E</w:t>
      </w:r>
      <w:r w:rsidR="00471DC8" w:rsidRPr="00471DC8">
        <w:rPr>
          <w:lang w:val="en-GB"/>
        </w:rPr>
        <w:t>xtracts of text include:</w:t>
      </w:r>
    </w:p>
    <w:p w:rsidR="00471DC8" w:rsidRPr="00471DC8" w:rsidRDefault="00471DC8" w:rsidP="00471DC8">
      <w:pPr>
        <w:pStyle w:val="Paragraphedeliste"/>
        <w:numPr>
          <w:ilvl w:val="0"/>
          <w:numId w:val="41"/>
        </w:numPr>
        <w:spacing w:after="240" w:line="240" w:lineRule="exact"/>
        <w:rPr>
          <w:rFonts w:ascii="Arial" w:hAnsi="Arial" w:cs="Arial"/>
        </w:rPr>
      </w:pPr>
      <w:r w:rsidRPr="00471DC8">
        <w:rPr>
          <w:rFonts w:ascii="Arial" w:hAnsi="Arial" w:cs="Arial"/>
        </w:rPr>
        <w:t>“Equitable access to the spectrum has to be understood as a limited area concept whose implementation may differ from area to area rather than imposing detailed rules for spectrum usage. The terms “equitable access” and “equilibrium” correspond to obtaining an accepted state of rights for all administrations involved.”</w:t>
      </w:r>
    </w:p>
    <w:p w:rsidR="00471DC8" w:rsidRPr="00471DC8" w:rsidRDefault="00471DC8" w:rsidP="00471DC8">
      <w:pPr>
        <w:spacing w:after="240" w:line="240" w:lineRule="exact"/>
        <w:jc w:val="left"/>
        <w:rPr>
          <w:rFonts w:cs="Arial"/>
          <w:lang w:val="en-GB"/>
        </w:rPr>
      </w:pPr>
    </w:p>
    <w:p w:rsidR="00471DC8" w:rsidRPr="00471DC8" w:rsidRDefault="00471DC8" w:rsidP="00471DC8">
      <w:pPr>
        <w:pStyle w:val="Paragraphedeliste"/>
        <w:numPr>
          <w:ilvl w:val="0"/>
          <w:numId w:val="41"/>
        </w:numPr>
        <w:spacing w:after="240" w:line="240" w:lineRule="exact"/>
        <w:rPr>
          <w:rFonts w:ascii="Arial" w:hAnsi="Arial" w:cs="Arial"/>
        </w:rPr>
      </w:pPr>
      <w:r w:rsidRPr="00471DC8">
        <w:rPr>
          <w:rFonts w:ascii="Arial" w:hAnsi="Arial" w:cs="Arial"/>
        </w:rPr>
        <w:lastRenderedPageBreak/>
        <w:t xml:space="preserve">“The GE06 Agreement does not cover coordination situations involving only services other than terrestrial broadcasting” </w:t>
      </w:r>
      <w:r w:rsidRPr="00C7054C">
        <w:rPr>
          <w:rFonts w:ascii="Arial" w:hAnsi="Arial" w:cs="Arial"/>
          <w:i/>
          <w:u w:val="single"/>
        </w:rPr>
        <w:t>ECO note</w:t>
      </w:r>
      <w:r w:rsidRPr="00471DC8">
        <w:rPr>
          <w:rFonts w:ascii="Arial" w:hAnsi="Arial" w:cs="Arial"/>
        </w:rPr>
        <w:t xml:space="preserve">: GE06 </w:t>
      </w:r>
      <w:r w:rsidRPr="00C7054C">
        <w:rPr>
          <w:rFonts w:ascii="Arial" w:hAnsi="Arial" w:cs="Arial"/>
          <w:u w:val="single"/>
        </w:rPr>
        <w:t>does</w:t>
      </w:r>
      <w:r w:rsidRPr="00471DC8">
        <w:rPr>
          <w:rFonts w:ascii="Arial" w:hAnsi="Arial" w:cs="Arial"/>
        </w:rPr>
        <w:t xml:space="preserve"> allow for coordination of other primary services: and from 2015 that will be available to countries irrespective of what Europe-wide harmonisation measures may or may not be in place.</w:t>
      </w:r>
      <w:r w:rsidR="00C7054C">
        <w:rPr>
          <w:rFonts w:ascii="Arial" w:hAnsi="Arial" w:cs="Arial"/>
        </w:rPr>
        <w:t xml:space="preserve">  However,</w:t>
      </w:r>
      <w:r w:rsidR="00567202">
        <w:rPr>
          <w:rFonts w:ascii="Arial" w:hAnsi="Arial" w:cs="Arial"/>
        </w:rPr>
        <w:t xml:space="preserve"> that facility may be of limited </w:t>
      </w:r>
      <w:r w:rsidR="00C7054C">
        <w:rPr>
          <w:rFonts w:ascii="Arial" w:hAnsi="Arial" w:cs="Arial"/>
        </w:rPr>
        <w:t xml:space="preserve">value </w:t>
      </w:r>
      <w:r w:rsidR="00567202">
        <w:rPr>
          <w:rFonts w:ascii="Arial" w:hAnsi="Arial" w:cs="Arial"/>
        </w:rPr>
        <w:t xml:space="preserve">for public mobile </w:t>
      </w:r>
      <w:r w:rsidR="00C7054C">
        <w:rPr>
          <w:rFonts w:ascii="Arial" w:hAnsi="Arial" w:cs="Arial"/>
        </w:rPr>
        <w:t>outside a more comprehensive bi-lateral or multi-lateral agreement</w:t>
      </w:r>
      <w:r w:rsidR="00567202">
        <w:rPr>
          <w:rFonts w:ascii="Arial" w:hAnsi="Arial" w:cs="Arial"/>
        </w:rPr>
        <w:t xml:space="preserve"> (we have not studied this point)</w:t>
      </w:r>
      <w:r w:rsidR="00C7054C">
        <w:rPr>
          <w:rFonts w:ascii="Arial" w:hAnsi="Arial" w:cs="Arial"/>
        </w:rPr>
        <w:t>.</w:t>
      </w:r>
      <w:r w:rsidRPr="00471DC8">
        <w:rPr>
          <w:rFonts w:ascii="Arial" w:hAnsi="Arial" w:cs="Arial"/>
        </w:rPr>
        <w:t xml:space="preserve">  </w:t>
      </w:r>
    </w:p>
    <w:p w:rsidR="00471DC8" w:rsidRDefault="00471DC8" w:rsidP="00471DC8">
      <w:pPr>
        <w:spacing w:after="240" w:line="240" w:lineRule="exact"/>
        <w:jc w:val="left"/>
        <w:rPr>
          <w:lang w:val="en-GB"/>
        </w:rPr>
      </w:pPr>
      <w:r>
        <w:rPr>
          <w:lang w:val="en-GB"/>
        </w:rPr>
        <w:t xml:space="preserve">ECC </w:t>
      </w:r>
      <w:r w:rsidRPr="00471DC8">
        <w:rPr>
          <w:lang w:val="en-GB"/>
        </w:rPr>
        <w:t xml:space="preserve">Report 142  </w:t>
      </w:r>
      <w:r>
        <w:rPr>
          <w:lang w:val="en-GB"/>
        </w:rPr>
        <w:t>d</w:t>
      </w:r>
      <w:r w:rsidRPr="00471DC8">
        <w:rPr>
          <w:lang w:val="en-GB"/>
        </w:rPr>
        <w:t>oes</w:t>
      </w:r>
      <w:r>
        <w:rPr>
          <w:lang w:val="en-GB"/>
        </w:rPr>
        <w:t xml:space="preserve"> not </w:t>
      </w:r>
      <w:r w:rsidRPr="00471DC8">
        <w:rPr>
          <w:lang w:val="en-GB"/>
        </w:rPr>
        <w:t xml:space="preserve">address </w:t>
      </w:r>
      <w:r w:rsidR="00567202">
        <w:rPr>
          <w:lang w:val="en-GB"/>
        </w:rPr>
        <w:t xml:space="preserve">all aspects of the strategic level </w:t>
      </w:r>
      <w:r w:rsidRPr="00471DC8">
        <w:rPr>
          <w:lang w:val="en-GB"/>
        </w:rPr>
        <w:t>transfer of resource from B</w:t>
      </w:r>
      <w:r>
        <w:rPr>
          <w:lang w:val="en-GB"/>
        </w:rPr>
        <w:t>roadcasting t</w:t>
      </w:r>
      <w:r w:rsidRPr="00471DC8">
        <w:rPr>
          <w:lang w:val="en-GB"/>
        </w:rPr>
        <w:t>o Mobile.  It talks about identifying ‘extra resource’</w:t>
      </w:r>
      <w:r>
        <w:rPr>
          <w:lang w:val="en-GB"/>
        </w:rPr>
        <w:t xml:space="preserve"> </w:t>
      </w:r>
      <w:r w:rsidR="00567202">
        <w:rPr>
          <w:lang w:val="en-GB"/>
        </w:rPr>
        <w:t xml:space="preserve">(for broadcasting) </w:t>
      </w:r>
      <w:r>
        <w:rPr>
          <w:lang w:val="en-GB"/>
        </w:rPr>
        <w:t xml:space="preserve">although </w:t>
      </w:r>
      <w:r w:rsidRPr="00471DC8">
        <w:rPr>
          <w:lang w:val="en-GB"/>
        </w:rPr>
        <w:t xml:space="preserve">the practices suggested are more about using </w:t>
      </w:r>
      <w:r>
        <w:rPr>
          <w:lang w:val="en-GB"/>
        </w:rPr>
        <w:t xml:space="preserve">the underlying </w:t>
      </w:r>
      <w:r w:rsidRPr="00471DC8">
        <w:rPr>
          <w:lang w:val="en-GB"/>
        </w:rPr>
        <w:t>resource more ‘efficiently’ (i.e. more transmitters, more interference)</w:t>
      </w:r>
      <w:r>
        <w:rPr>
          <w:lang w:val="en-GB"/>
        </w:rPr>
        <w:t>, or in effect substituting one resource for another</w:t>
      </w:r>
      <w:r w:rsidRPr="00471DC8">
        <w:rPr>
          <w:lang w:val="en-GB"/>
        </w:rPr>
        <w:t>.</w:t>
      </w:r>
    </w:p>
    <w:p w:rsidR="00471DC8" w:rsidRPr="00471DC8" w:rsidRDefault="00471DC8" w:rsidP="00471DC8">
      <w:pPr>
        <w:spacing w:after="240" w:line="240" w:lineRule="exact"/>
        <w:jc w:val="left"/>
        <w:rPr>
          <w:lang w:val="en-GB"/>
        </w:rPr>
      </w:pPr>
      <w:r>
        <w:rPr>
          <w:lang w:val="en-GB"/>
        </w:rPr>
        <w:t xml:space="preserve">Perhaps </w:t>
      </w:r>
      <w:r w:rsidRPr="00471DC8">
        <w:rPr>
          <w:lang w:val="en-GB"/>
        </w:rPr>
        <w:t>the challenge is that in order to maintain equitable access to spectrum:</w:t>
      </w:r>
    </w:p>
    <w:p w:rsidR="00471DC8" w:rsidRPr="00471DC8" w:rsidRDefault="00471DC8" w:rsidP="00471DC8">
      <w:pPr>
        <w:spacing w:after="240" w:line="240" w:lineRule="exact"/>
        <w:jc w:val="left"/>
        <w:rPr>
          <w:lang w:val="en-GB"/>
        </w:rPr>
      </w:pPr>
      <w:r w:rsidRPr="00471DC8">
        <w:rPr>
          <w:lang w:val="en-GB"/>
        </w:rPr>
        <w:t>-</w:t>
      </w:r>
      <w:r w:rsidRPr="00471DC8">
        <w:rPr>
          <w:lang w:val="en-GB"/>
        </w:rPr>
        <w:tab/>
        <w:t xml:space="preserve">a more direct equation </w:t>
      </w:r>
      <w:r w:rsidR="00AA5203">
        <w:rPr>
          <w:lang w:val="en-GB"/>
        </w:rPr>
        <w:t xml:space="preserve">would in principle </w:t>
      </w:r>
      <w:r w:rsidRPr="00471DC8">
        <w:rPr>
          <w:lang w:val="en-GB"/>
        </w:rPr>
        <w:t>need to be made between GE06-standard TV coverages and mobile use, (especially to deal with cases where different countries use the same part of the band for different purposes)</w:t>
      </w:r>
      <w:r w:rsidR="00AA5203">
        <w:rPr>
          <w:lang w:val="en-GB"/>
        </w:rPr>
        <w:t xml:space="preserve"> some documentation in preparation for the GE06 Conference did consider this to a limited extent;</w:t>
      </w:r>
    </w:p>
    <w:p w:rsidR="00471DC8" w:rsidRDefault="00471DC8" w:rsidP="00471DC8">
      <w:pPr>
        <w:spacing w:after="240" w:line="240" w:lineRule="exact"/>
        <w:jc w:val="left"/>
        <w:rPr>
          <w:lang w:val="en-GB"/>
        </w:rPr>
      </w:pPr>
      <w:r w:rsidRPr="00471DC8">
        <w:rPr>
          <w:lang w:val="en-GB"/>
        </w:rPr>
        <w:t>-</w:t>
      </w:r>
      <w:r w:rsidRPr="00471DC8">
        <w:rPr>
          <w:lang w:val="en-GB"/>
        </w:rPr>
        <w:tab/>
        <w:t xml:space="preserve">countries that have a higher weighting of </w:t>
      </w:r>
      <w:r>
        <w:rPr>
          <w:lang w:val="en-GB"/>
        </w:rPr>
        <w:t>their overall broadcasting r</w:t>
      </w:r>
      <w:r w:rsidRPr="00471DC8">
        <w:rPr>
          <w:lang w:val="en-GB"/>
        </w:rPr>
        <w:t>esources below the relevant BC-</w:t>
      </w:r>
      <w:r>
        <w:rPr>
          <w:lang w:val="en-GB"/>
        </w:rPr>
        <w:t>MOB</w:t>
      </w:r>
      <w:r w:rsidRPr="00471DC8">
        <w:rPr>
          <w:lang w:val="en-GB"/>
        </w:rPr>
        <w:t xml:space="preserve"> break point (i.e. 790 and now 694 MHz) have to make some sacrifices to transfer resources to those countries which have had a higher weighting above it</w:t>
      </w:r>
      <w:r>
        <w:rPr>
          <w:lang w:val="en-GB"/>
        </w:rPr>
        <w:t xml:space="preserve">, </w:t>
      </w:r>
      <w:r w:rsidRPr="00AA5203">
        <w:rPr>
          <w:b/>
          <w:lang w:val="en-GB"/>
        </w:rPr>
        <w:t>if</w:t>
      </w:r>
      <w:r>
        <w:rPr>
          <w:lang w:val="en-GB"/>
        </w:rPr>
        <w:t xml:space="preserve"> both those countries </w:t>
      </w:r>
      <w:r w:rsidR="00AA5203">
        <w:rPr>
          <w:lang w:val="en-GB"/>
        </w:rPr>
        <w:t xml:space="preserve">intend to have </w:t>
      </w:r>
      <w:r>
        <w:rPr>
          <w:lang w:val="en-GB"/>
        </w:rPr>
        <w:t>a more generic (normal and efficient) equitable arrangement for mobile on either side of their border.</w:t>
      </w:r>
    </w:p>
    <w:p w:rsidR="00FE0FBA" w:rsidRDefault="00FE0FBA" w:rsidP="00FE0FBA">
      <w:pPr>
        <w:spacing w:after="240" w:line="240" w:lineRule="exact"/>
        <w:jc w:val="left"/>
        <w:rPr>
          <w:lang w:val="en-GB"/>
        </w:rPr>
      </w:pPr>
      <w:r>
        <w:rPr>
          <w:lang w:val="en-GB"/>
        </w:rPr>
        <w:t>Although equitable access is a major component of all bi-lateral and multilateral coordination process</w:t>
      </w:r>
      <w:r w:rsidR="00567202">
        <w:rPr>
          <w:lang w:val="en-GB"/>
        </w:rPr>
        <w:t>es</w:t>
      </w:r>
      <w:r>
        <w:rPr>
          <w:lang w:val="en-GB"/>
        </w:rPr>
        <w:t xml:space="preserve"> it tends to be given effect by the administrations concerned than by generic provisions.  It would be even more difficult to pick this up now, after the 800 MHz process is well underway, although still ongoing..</w:t>
      </w:r>
    </w:p>
    <w:p w:rsidR="00471DC8" w:rsidRPr="00471DC8" w:rsidRDefault="00471DC8" w:rsidP="00471DC8">
      <w:pPr>
        <w:spacing w:after="240" w:line="240" w:lineRule="exact"/>
        <w:jc w:val="left"/>
        <w:rPr>
          <w:rFonts w:cs="Arial"/>
          <w:lang w:val="en-GB"/>
        </w:rPr>
      </w:pPr>
      <w:r>
        <w:rPr>
          <w:lang w:val="en-GB"/>
        </w:rPr>
        <w:t>ECC Re</w:t>
      </w:r>
      <w:r w:rsidRPr="00471DC8">
        <w:rPr>
          <w:rFonts w:cs="Arial"/>
          <w:lang w:val="en-GB"/>
        </w:rPr>
        <w:t xml:space="preserve">port 142 also states: </w:t>
      </w:r>
    </w:p>
    <w:p w:rsidR="00471DC8" w:rsidRPr="00471DC8" w:rsidRDefault="00471DC8" w:rsidP="00471DC8">
      <w:pPr>
        <w:pStyle w:val="Paragraphedeliste"/>
        <w:numPr>
          <w:ilvl w:val="0"/>
          <w:numId w:val="42"/>
        </w:numPr>
        <w:spacing w:after="240" w:line="240" w:lineRule="exact"/>
        <w:rPr>
          <w:rFonts w:ascii="Arial" w:hAnsi="Arial" w:cs="Arial"/>
        </w:rPr>
      </w:pPr>
      <w:r w:rsidRPr="00471DC8">
        <w:rPr>
          <w:rFonts w:ascii="Arial" w:hAnsi="Arial" w:cs="Arial"/>
        </w:rPr>
        <w:t xml:space="preserve">“Current entries in the GE06 Plan as well as networks operated on the basis of such entries should not be affected to an unacceptable extent, neither by additional capacities for broadcasting nor by the implementation of the sub-band 790 - 862 MHz for mobile/fixed communications networks”. </w:t>
      </w:r>
    </w:p>
    <w:p w:rsidR="00471DC8" w:rsidRPr="00471DC8" w:rsidRDefault="00471DC8" w:rsidP="00471DC8">
      <w:pPr>
        <w:spacing w:after="240" w:line="240" w:lineRule="exact"/>
        <w:jc w:val="left"/>
        <w:rPr>
          <w:lang w:val="en-GB"/>
        </w:rPr>
      </w:pPr>
      <w:r>
        <w:rPr>
          <w:lang w:val="en-GB"/>
        </w:rPr>
        <w:t xml:space="preserve">However, in a more coordinated environment it is necessary in </w:t>
      </w:r>
      <w:r w:rsidRPr="00471DC8">
        <w:rPr>
          <w:lang w:val="en-GB"/>
        </w:rPr>
        <w:t xml:space="preserve">effect to redistribute BC resource from one country to another, and that will mean affecting current entries.  </w:t>
      </w:r>
      <w:r>
        <w:rPr>
          <w:lang w:val="en-GB"/>
        </w:rPr>
        <w:t>This may explain the terminology “</w:t>
      </w:r>
      <w:r w:rsidRPr="00471DC8">
        <w:rPr>
          <w:lang w:val="en-GB"/>
        </w:rPr>
        <w:t>unacceptable extent</w:t>
      </w:r>
      <w:r>
        <w:rPr>
          <w:lang w:val="en-GB"/>
        </w:rPr>
        <w:t>”</w:t>
      </w:r>
      <w:r w:rsidRPr="00471DC8">
        <w:rPr>
          <w:lang w:val="en-GB"/>
        </w:rPr>
        <w:t>.</w:t>
      </w:r>
    </w:p>
    <w:p w:rsidR="00471DC8" w:rsidRPr="00567202" w:rsidRDefault="00471DC8" w:rsidP="00B22C44">
      <w:pPr>
        <w:spacing w:after="240" w:line="240" w:lineRule="exact"/>
        <w:jc w:val="left"/>
        <w:rPr>
          <w:u w:val="single"/>
          <w:lang w:val="en-GB"/>
        </w:rPr>
      </w:pPr>
      <w:r w:rsidRPr="00567202">
        <w:rPr>
          <w:u w:val="single"/>
          <w:lang w:val="en-GB"/>
        </w:rPr>
        <w:t>CEPT Report 29</w:t>
      </w:r>
    </w:p>
    <w:p w:rsidR="00E24A9A" w:rsidRDefault="00567202" w:rsidP="00FE0FBA">
      <w:pPr>
        <w:spacing w:after="240" w:line="240" w:lineRule="exact"/>
        <w:jc w:val="left"/>
        <w:rPr>
          <w:rFonts w:cs="Arial"/>
          <w:lang w:val="en-GB"/>
        </w:rPr>
      </w:pPr>
      <w:r>
        <w:rPr>
          <w:lang w:val="en-GB"/>
        </w:rPr>
        <w:t xml:space="preserve">This </w:t>
      </w:r>
      <w:r w:rsidRPr="00471DC8">
        <w:rPr>
          <w:lang w:val="en-GB"/>
        </w:rPr>
        <w:t xml:space="preserve">is </w:t>
      </w:r>
      <w:r>
        <w:rPr>
          <w:lang w:val="en-GB"/>
        </w:rPr>
        <w:t xml:space="preserve">a </w:t>
      </w:r>
      <w:r w:rsidRPr="00471DC8">
        <w:rPr>
          <w:lang w:val="en-GB"/>
        </w:rPr>
        <w:t>more technical</w:t>
      </w:r>
      <w:r>
        <w:rPr>
          <w:lang w:val="en-GB"/>
        </w:rPr>
        <w:t xml:space="preserve"> report than ECC Rep. 142, </w:t>
      </w:r>
      <w:r w:rsidRPr="00471DC8">
        <w:rPr>
          <w:lang w:val="en-GB"/>
        </w:rPr>
        <w:t>and is intended for the case where different countries use the same part of the band for different purposes.</w:t>
      </w:r>
      <w:r>
        <w:rPr>
          <w:lang w:val="en-GB"/>
        </w:rPr>
        <w:t xml:space="preserve">  </w:t>
      </w:r>
      <w:r w:rsidR="00471DC8">
        <w:rPr>
          <w:lang w:val="en-GB"/>
        </w:rPr>
        <w:t xml:space="preserve">Therefore it </w:t>
      </w:r>
      <w:r w:rsidR="00471DC8" w:rsidRPr="00471DC8">
        <w:rPr>
          <w:lang w:val="en-GB"/>
        </w:rPr>
        <w:t>hardly addresses the equitable access issue at all</w:t>
      </w:r>
      <w:r w:rsidR="00AA5203">
        <w:rPr>
          <w:lang w:val="en-GB"/>
        </w:rPr>
        <w:t xml:space="preserve">, other than to </w:t>
      </w:r>
      <w:r w:rsidR="00471DC8" w:rsidRPr="00471DC8">
        <w:rPr>
          <w:lang w:val="en-GB"/>
        </w:rPr>
        <w:t>refer to it an important principle to be applied to the process.</w:t>
      </w:r>
      <w:r w:rsidR="0049017E" w:rsidRPr="0029315F">
        <w:rPr>
          <w:lang w:val="en-GB"/>
        </w:rPr>
        <w:t xml:space="preserve"> </w:t>
      </w:r>
    </w:p>
    <w:sectPr w:rsidR="00E24A9A" w:rsidSect="008F677F">
      <w:footerReference w:type="even" r:id="rId10"/>
      <w:footerReference w:type="default" r:id="rId11"/>
      <w:pgSz w:w="11907" w:h="16840" w:code="9"/>
      <w:pgMar w:top="1134" w:right="1275" w:bottom="1134" w:left="1276" w:header="720" w:footer="720" w:gutter="0"/>
      <w:paperSrc w:first="1" w:other="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CBD" w:rsidRDefault="00603CBD">
      <w:r>
        <w:separator/>
      </w:r>
    </w:p>
  </w:endnote>
  <w:endnote w:type="continuationSeparator" w:id="0">
    <w:p w:rsidR="00603CBD" w:rsidRDefault="00603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4D" w:rsidRDefault="00D0674D">
    <w:pPr>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D0674D" w:rsidRDefault="00D0674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74D" w:rsidRDefault="00D0674D">
    <w:pPr>
      <w:framePr w:wrap="around" w:vAnchor="text" w:hAnchor="margin" w:xAlign="center" w:y="1"/>
      <w:rPr>
        <w:rStyle w:val="Numrodepage"/>
        <w:sz w:val="20"/>
      </w:rPr>
    </w:pPr>
    <w:r>
      <w:rPr>
        <w:rStyle w:val="Numrodepage"/>
        <w:sz w:val="20"/>
      </w:rPr>
      <w:fldChar w:fldCharType="begin"/>
    </w:r>
    <w:r>
      <w:rPr>
        <w:rStyle w:val="Numrodepage"/>
        <w:sz w:val="20"/>
      </w:rPr>
      <w:instrText xml:space="preserve">PAGE  </w:instrText>
    </w:r>
    <w:r>
      <w:rPr>
        <w:rStyle w:val="Numrodepage"/>
        <w:sz w:val="20"/>
      </w:rPr>
      <w:fldChar w:fldCharType="separate"/>
    </w:r>
    <w:r w:rsidR="006F366E">
      <w:rPr>
        <w:rStyle w:val="Numrodepage"/>
        <w:noProof/>
        <w:sz w:val="20"/>
      </w:rPr>
      <w:t>5</w:t>
    </w:r>
    <w:r>
      <w:rPr>
        <w:rStyle w:val="Numrodepage"/>
        <w:sz w:val="20"/>
      </w:rPr>
      <w:fldChar w:fldCharType="end"/>
    </w:r>
  </w:p>
  <w:p w:rsidR="00D0674D" w:rsidRDefault="00D06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CBD" w:rsidRDefault="00603CBD">
      <w:r>
        <w:separator/>
      </w:r>
    </w:p>
  </w:footnote>
  <w:footnote w:type="continuationSeparator" w:id="0">
    <w:p w:rsidR="00603CBD" w:rsidRDefault="00603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3D83"/>
    <w:multiLevelType w:val="hybridMultilevel"/>
    <w:tmpl w:val="1DD6F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9549D7"/>
    <w:multiLevelType w:val="hybridMultilevel"/>
    <w:tmpl w:val="8AE4E1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E22AFA"/>
    <w:multiLevelType w:val="hybridMultilevel"/>
    <w:tmpl w:val="E10E73FA"/>
    <w:lvl w:ilvl="0" w:tplc="3D86C0E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A3679B0"/>
    <w:multiLevelType w:val="hybridMultilevel"/>
    <w:tmpl w:val="4AFCF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6062D"/>
    <w:multiLevelType w:val="hybridMultilevel"/>
    <w:tmpl w:val="D33ADC22"/>
    <w:lvl w:ilvl="0" w:tplc="09AAFE48">
      <w:start w:val="23"/>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0F2068C7"/>
    <w:multiLevelType w:val="hybridMultilevel"/>
    <w:tmpl w:val="F580C8BC"/>
    <w:lvl w:ilvl="0" w:tplc="0792C77A">
      <w:start w:val="1"/>
      <w:numFmt w:val="bullet"/>
      <w:lvlText w:val=""/>
      <w:lvlJc w:val="left"/>
      <w:pPr>
        <w:tabs>
          <w:tab w:val="num" w:pos="914"/>
        </w:tabs>
        <w:ind w:left="914" w:hanging="284"/>
      </w:pPr>
      <w:rPr>
        <w:rFonts w:ascii="Symbol" w:hAnsi="Symbol" w:hint="default"/>
        <w:sz w:val="22"/>
      </w:rPr>
    </w:lvl>
    <w:lvl w:ilvl="1" w:tplc="04090003" w:tentative="1">
      <w:start w:val="1"/>
      <w:numFmt w:val="bullet"/>
      <w:lvlText w:val="o"/>
      <w:lvlJc w:val="left"/>
      <w:pPr>
        <w:tabs>
          <w:tab w:val="num" w:pos="1503"/>
        </w:tabs>
        <w:ind w:left="1503" w:hanging="360"/>
      </w:pPr>
      <w:rPr>
        <w:rFonts w:ascii="Courier New" w:hAnsi="Courier New" w:cs="Courier New"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Courier New"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Courier New"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6">
    <w:nsid w:val="127F3FFC"/>
    <w:multiLevelType w:val="hybridMultilevel"/>
    <w:tmpl w:val="B8287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7">
    <w:nsid w:val="14CB5E6E"/>
    <w:multiLevelType w:val="hybridMultilevel"/>
    <w:tmpl w:val="2BFE36C0"/>
    <w:lvl w:ilvl="0" w:tplc="E8580B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B832CA5"/>
    <w:multiLevelType w:val="hybridMultilevel"/>
    <w:tmpl w:val="BF1E5A5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nsid w:val="1E985775"/>
    <w:multiLevelType w:val="hybridMultilevel"/>
    <w:tmpl w:val="EA869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4B4618"/>
    <w:multiLevelType w:val="hybridMultilevel"/>
    <w:tmpl w:val="813AEAFA"/>
    <w:lvl w:ilvl="0" w:tplc="08090001">
      <w:start w:val="1"/>
      <w:numFmt w:val="bullet"/>
      <w:lvlText w:val=""/>
      <w:lvlJc w:val="left"/>
      <w:pPr>
        <w:ind w:left="9" w:hanging="360"/>
      </w:pPr>
      <w:rPr>
        <w:rFonts w:ascii="Symbol" w:hAnsi="Symbol" w:hint="default"/>
      </w:rPr>
    </w:lvl>
    <w:lvl w:ilvl="1" w:tplc="08090003" w:tentative="1">
      <w:start w:val="1"/>
      <w:numFmt w:val="bullet"/>
      <w:lvlText w:val="o"/>
      <w:lvlJc w:val="left"/>
      <w:pPr>
        <w:ind w:left="729" w:hanging="360"/>
      </w:pPr>
      <w:rPr>
        <w:rFonts w:ascii="Courier New" w:hAnsi="Courier New" w:cs="Courier New" w:hint="default"/>
      </w:rPr>
    </w:lvl>
    <w:lvl w:ilvl="2" w:tplc="08090005" w:tentative="1">
      <w:start w:val="1"/>
      <w:numFmt w:val="bullet"/>
      <w:lvlText w:val=""/>
      <w:lvlJc w:val="left"/>
      <w:pPr>
        <w:ind w:left="1449" w:hanging="360"/>
      </w:pPr>
      <w:rPr>
        <w:rFonts w:ascii="Wingdings" w:hAnsi="Wingdings" w:hint="default"/>
      </w:rPr>
    </w:lvl>
    <w:lvl w:ilvl="3" w:tplc="08090001" w:tentative="1">
      <w:start w:val="1"/>
      <w:numFmt w:val="bullet"/>
      <w:lvlText w:val=""/>
      <w:lvlJc w:val="left"/>
      <w:pPr>
        <w:ind w:left="2169" w:hanging="360"/>
      </w:pPr>
      <w:rPr>
        <w:rFonts w:ascii="Symbol" w:hAnsi="Symbol" w:hint="default"/>
      </w:rPr>
    </w:lvl>
    <w:lvl w:ilvl="4" w:tplc="08090003" w:tentative="1">
      <w:start w:val="1"/>
      <w:numFmt w:val="bullet"/>
      <w:lvlText w:val="o"/>
      <w:lvlJc w:val="left"/>
      <w:pPr>
        <w:ind w:left="2889" w:hanging="360"/>
      </w:pPr>
      <w:rPr>
        <w:rFonts w:ascii="Courier New" w:hAnsi="Courier New" w:cs="Courier New" w:hint="default"/>
      </w:rPr>
    </w:lvl>
    <w:lvl w:ilvl="5" w:tplc="08090005" w:tentative="1">
      <w:start w:val="1"/>
      <w:numFmt w:val="bullet"/>
      <w:lvlText w:val=""/>
      <w:lvlJc w:val="left"/>
      <w:pPr>
        <w:ind w:left="3609" w:hanging="360"/>
      </w:pPr>
      <w:rPr>
        <w:rFonts w:ascii="Wingdings" w:hAnsi="Wingdings" w:hint="default"/>
      </w:rPr>
    </w:lvl>
    <w:lvl w:ilvl="6" w:tplc="08090001" w:tentative="1">
      <w:start w:val="1"/>
      <w:numFmt w:val="bullet"/>
      <w:lvlText w:val=""/>
      <w:lvlJc w:val="left"/>
      <w:pPr>
        <w:ind w:left="4329" w:hanging="360"/>
      </w:pPr>
      <w:rPr>
        <w:rFonts w:ascii="Symbol" w:hAnsi="Symbol" w:hint="default"/>
      </w:rPr>
    </w:lvl>
    <w:lvl w:ilvl="7" w:tplc="08090003" w:tentative="1">
      <w:start w:val="1"/>
      <w:numFmt w:val="bullet"/>
      <w:lvlText w:val="o"/>
      <w:lvlJc w:val="left"/>
      <w:pPr>
        <w:ind w:left="5049" w:hanging="360"/>
      </w:pPr>
      <w:rPr>
        <w:rFonts w:ascii="Courier New" w:hAnsi="Courier New" w:cs="Courier New" w:hint="default"/>
      </w:rPr>
    </w:lvl>
    <w:lvl w:ilvl="8" w:tplc="08090005" w:tentative="1">
      <w:start w:val="1"/>
      <w:numFmt w:val="bullet"/>
      <w:lvlText w:val=""/>
      <w:lvlJc w:val="left"/>
      <w:pPr>
        <w:ind w:left="5769" w:hanging="360"/>
      </w:pPr>
      <w:rPr>
        <w:rFonts w:ascii="Wingdings" w:hAnsi="Wingdings" w:hint="default"/>
      </w:rPr>
    </w:lvl>
  </w:abstractNum>
  <w:abstractNum w:abstractNumId="11">
    <w:nsid w:val="2D0D17E7"/>
    <w:multiLevelType w:val="multilevel"/>
    <w:tmpl w:val="14F2EEB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2EF51D81"/>
    <w:multiLevelType w:val="hybridMultilevel"/>
    <w:tmpl w:val="7D8AA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0392B7A"/>
    <w:multiLevelType w:val="hybridMultilevel"/>
    <w:tmpl w:val="50F8C5A8"/>
    <w:lvl w:ilvl="0" w:tplc="04070001">
      <w:start w:val="1"/>
      <w:numFmt w:val="bullet"/>
      <w:lvlText w:val=""/>
      <w:lvlJc w:val="left"/>
      <w:pPr>
        <w:tabs>
          <w:tab w:val="num" w:pos="2134"/>
        </w:tabs>
        <w:ind w:left="2134" w:hanging="360"/>
      </w:pPr>
      <w:rPr>
        <w:rFonts w:ascii="Symbol" w:hAnsi="Symbol" w:hint="default"/>
      </w:rPr>
    </w:lvl>
    <w:lvl w:ilvl="1" w:tplc="04070003" w:tentative="1">
      <w:start w:val="1"/>
      <w:numFmt w:val="bullet"/>
      <w:lvlText w:val="o"/>
      <w:lvlJc w:val="left"/>
      <w:pPr>
        <w:tabs>
          <w:tab w:val="num" w:pos="2854"/>
        </w:tabs>
        <w:ind w:left="2854" w:hanging="360"/>
      </w:pPr>
      <w:rPr>
        <w:rFonts w:ascii="Courier New" w:hAnsi="Courier New" w:cs="Courier New" w:hint="default"/>
      </w:rPr>
    </w:lvl>
    <w:lvl w:ilvl="2" w:tplc="04070005" w:tentative="1">
      <w:start w:val="1"/>
      <w:numFmt w:val="bullet"/>
      <w:lvlText w:val=""/>
      <w:lvlJc w:val="left"/>
      <w:pPr>
        <w:tabs>
          <w:tab w:val="num" w:pos="3574"/>
        </w:tabs>
        <w:ind w:left="3574" w:hanging="360"/>
      </w:pPr>
      <w:rPr>
        <w:rFonts w:ascii="Wingdings" w:hAnsi="Wingdings" w:hint="default"/>
      </w:rPr>
    </w:lvl>
    <w:lvl w:ilvl="3" w:tplc="04070001" w:tentative="1">
      <w:start w:val="1"/>
      <w:numFmt w:val="bullet"/>
      <w:lvlText w:val=""/>
      <w:lvlJc w:val="left"/>
      <w:pPr>
        <w:tabs>
          <w:tab w:val="num" w:pos="4294"/>
        </w:tabs>
        <w:ind w:left="4294" w:hanging="360"/>
      </w:pPr>
      <w:rPr>
        <w:rFonts w:ascii="Symbol" w:hAnsi="Symbol" w:hint="default"/>
      </w:rPr>
    </w:lvl>
    <w:lvl w:ilvl="4" w:tplc="04070003" w:tentative="1">
      <w:start w:val="1"/>
      <w:numFmt w:val="bullet"/>
      <w:lvlText w:val="o"/>
      <w:lvlJc w:val="left"/>
      <w:pPr>
        <w:tabs>
          <w:tab w:val="num" w:pos="5014"/>
        </w:tabs>
        <w:ind w:left="5014" w:hanging="360"/>
      </w:pPr>
      <w:rPr>
        <w:rFonts w:ascii="Courier New" w:hAnsi="Courier New" w:cs="Courier New" w:hint="default"/>
      </w:rPr>
    </w:lvl>
    <w:lvl w:ilvl="5" w:tplc="04070005" w:tentative="1">
      <w:start w:val="1"/>
      <w:numFmt w:val="bullet"/>
      <w:lvlText w:val=""/>
      <w:lvlJc w:val="left"/>
      <w:pPr>
        <w:tabs>
          <w:tab w:val="num" w:pos="5734"/>
        </w:tabs>
        <w:ind w:left="5734" w:hanging="360"/>
      </w:pPr>
      <w:rPr>
        <w:rFonts w:ascii="Wingdings" w:hAnsi="Wingdings" w:hint="default"/>
      </w:rPr>
    </w:lvl>
    <w:lvl w:ilvl="6" w:tplc="04070001" w:tentative="1">
      <w:start w:val="1"/>
      <w:numFmt w:val="bullet"/>
      <w:lvlText w:val=""/>
      <w:lvlJc w:val="left"/>
      <w:pPr>
        <w:tabs>
          <w:tab w:val="num" w:pos="6454"/>
        </w:tabs>
        <w:ind w:left="6454" w:hanging="360"/>
      </w:pPr>
      <w:rPr>
        <w:rFonts w:ascii="Symbol" w:hAnsi="Symbol" w:hint="default"/>
      </w:rPr>
    </w:lvl>
    <w:lvl w:ilvl="7" w:tplc="04070003" w:tentative="1">
      <w:start w:val="1"/>
      <w:numFmt w:val="bullet"/>
      <w:lvlText w:val="o"/>
      <w:lvlJc w:val="left"/>
      <w:pPr>
        <w:tabs>
          <w:tab w:val="num" w:pos="7174"/>
        </w:tabs>
        <w:ind w:left="7174" w:hanging="360"/>
      </w:pPr>
      <w:rPr>
        <w:rFonts w:ascii="Courier New" w:hAnsi="Courier New" w:cs="Courier New" w:hint="default"/>
      </w:rPr>
    </w:lvl>
    <w:lvl w:ilvl="8" w:tplc="04070005" w:tentative="1">
      <w:start w:val="1"/>
      <w:numFmt w:val="bullet"/>
      <w:lvlText w:val=""/>
      <w:lvlJc w:val="left"/>
      <w:pPr>
        <w:tabs>
          <w:tab w:val="num" w:pos="7894"/>
        </w:tabs>
        <w:ind w:left="7894" w:hanging="360"/>
      </w:pPr>
      <w:rPr>
        <w:rFonts w:ascii="Wingdings" w:hAnsi="Wingdings" w:hint="default"/>
      </w:rPr>
    </w:lvl>
  </w:abstractNum>
  <w:abstractNum w:abstractNumId="14">
    <w:nsid w:val="31B82966"/>
    <w:multiLevelType w:val="hybridMultilevel"/>
    <w:tmpl w:val="805C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CC17F7"/>
    <w:multiLevelType w:val="multilevel"/>
    <w:tmpl w:val="0440665E"/>
    <w:lvl w:ilvl="0">
      <w:start w:val="1"/>
      <w:numFmt w:val="decimal"/>
      <w:lvlText w:val="%1."/>
      <w:lvlJc w:val="left"/>
      <w:pPr>
        <w:tabs>
          <w:tab w:val="num" w:pos="720"/>
        </w:tabs>
        <w:ind w:left="720" w:hanging="360"/>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nsid w:val="36046D04"/>
    <w:multiLevelType w:val="multilevel"/>
    <w:tmpl w:val="EC66CCCA"/>
    <w:lvl w:ilvl="0">
      <w:start w:val="1"/>
      <w:numFmt w:val="bullet"/>
      <w:lvlText w:val=""/>
      <w:lvlJc w:val="left"/>
      <w:pPr>
        <w:tabs>
          <w:tab w:val="num" w:pos="1571"/>
        </w:tabs>
        <w:ind w:left="1571" w:hanging="360"/>
      </w:pPr>
      <w:rPr>
        <w:rFonts w:ascii="Symbol" w:hAnsi="Symbol"/>
        <w:sz w:val="22"/>
      </w:rPr>
    </w:lvl>
    <w:lvl w:ilvl="1">
      <w:start w:val="1"/>
      <w:numFmt w:val="bullet"/>
      <w:lvlText w:val="o"/>
      <w:lvlJc w:val="left"/>
      <w:pPr>
        <w:tabs>
          <w:tab w:val="num" w:pos="2291"/>
        </w:tabs>
        <w:ind w:left="2291" w:hanging="360"/>
      </w:pPr>
      <w:rPr>
        <w:rFonts w:ascii="Courier New" w:hAnsi="Courier New" w:cs="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7">
    <w:nsid w:val="43BB2110"/>
    <w:multiLevelType w:val="hybridMultilevel"/>
    <w:tmpl w:val="10EEE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F83ED8"/>
    <w:multiLevelType w:val="hybridMultilevel"/>
    <w:tmpl w:val="2A6C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BC5E82"/>
    <w:multiLevelType w:val="hybridMultilevel"/>
    <w:tmpl w:val="CA2C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B361554"/>
    <w:multiLevelType w:val="hybridMultilevel"/>
    <w:tmpl w:val="EC66CCCA"/>
    <w:lvl w:ilvl="0" w:tplc="04070001">
      <w:start w:val="1"/>
      <w:numFmt w:val="bullet"/>
      <w:lvlText w:val=""/>
      <w:lvlJc w:val="left"/>
      <w:pPr>
        <w:tabs>
          <w:tab w:val="num" w:pos="1571"/>
        </w:tabs>
        <w:ind w:left="1571" w:hanging="360"/>
      </w:pPr>
      <w:rPr>
        <w:rFonts w:ascii="Symbol" w:hAnsi="Symbol" w:hint="default"/>
      </w:rPr>
    </w:lvl>
    <w:lvl w:ilvl="1" w:tplc="04070003" w:tentative="1">
      <w:start w:val="1"/>
      <w:numFmt w:val="bullet"/>
      <w:lvlText w:val="o"/>
      <w:lvlJc w:val="left"/>
      <w:pPr>
        <w:tabs>
          <w:tab w:val="num" w:pos="2291"/>
        </w:tabs>
        <w:ind w:left="2291" w:hanging="360"/>
      </w:pPr>
      <w:rPr>
        <w:rFonts w:ascii="Courier New" w:hAnsi="Courier New" w:cs="Courier New" w:hint="default"/>
      </w:rPr>
    </w:lvl>
    <w:lvl w:ilvl="2" w:tplc="04070005" w:tentative="1">
      <w:start w:val="1"/>
      <w:numFmt w:val="bullet"/>
      <w:lvlText w:val=""/>
      <w:lvlJc w:val="left"/>
      <w:pPr>
        <w:tabs>
          <w:tab w:val="num" w:pos="3011"/>
        </w:tabs>
        <w:ind w:left="3011" w:hanging="360"/>
      </w:pPr>
      <w:rPr>
        <w:rFonts w:ascii="Wingdings" w:hAnsi="Wingdings" w:hint="default"/>
      </w:rPr>
    </w:lvl>
    <w:lvl w:ilvl="3" w:tplc="04070001" w:tentative="1">
      <w:start w:val="1"/>
      <w:numFmt w:val="bullet"/>
      <w:lvlText w:val=""/>
      <w:lvlJc w:val="left"/>
      <w:pPr>
        <w:tabs>
          <w:tab w:val="num" w:pos="3731"/>
        </w:tabs>
        <w:ind w:left="3731" w:hanging="360"/>
      </w:pPr>
      <w:rPr>
        <w:rFonts w:ascii="Symbol" w:hAnsi="Symbol" w:hint="default"/>
      </w:rPr>
    </w:lvl>
    <w:lvl w:ilvl="4" w:tplc="04070003" w:tentative="1">
      <w:start w:val="1"/>
      <w:numFmt w:val="bullet"/>
      <w:lvlText w:val="o"/>
      <w:lvlJc w:val="left"/>
      <w:pPr>
        <w:tabs>
          <w:tab w:val="num" w:pos="4451"/>
        </w:tabs>
        <w:ind w:left="4451" w:hanging="360"/>
      </w:pPr>
      <w:rPr>
        <w:rFonts w:ascii="Courier New" w:hAnsi="Courier New" w:cs="Courier New" w:hint="default"/>
      </w:rPr>
    </w:lvl>
    <w:lvl w:ilvl="5" w:tplc="04070005" w:tentative="1">
      <w:start w:val="1"/>
      <w:numFmt w:val="bullet"/>
      <w:lvlText w:val=""/>
      <w:lvlJc w:val="left"/>
      <w:pPr>
        <w:tabs>
          <w:tab w:val="num" w:pos="5171"/>
        </w:tabs>
        <w:ind w:left="5171" w:hanging="360"/>
      </w:pPr>
      <w:rPr>
        <w:rFonts w:ascii="Wingdings" w:hAnsi="Wingdings" w:hint="default"/>
      </w:rPr>
    </w:lvl>
    <w:lvl w:ilvl="6" w:tplc="04070001" w:tentative="1">
      <w:start w:val="1"/>
      <w:numFmt w:val="bullet"/>
      <w:lvlText w:val=""/>
      <w:lvlJc w:val="left"/>
      <w:pPr>
        <w:tabs>
          <w:tab w:val="num" w:pos="5891"/>
        </w:tabs>
        <w:ind w:left="5891" w:hanging="360"/>
      </w:pPr>
      <w:rPr>
        <w:rFonts w:ascii="Symbol" w:hAnsi="Symbol" w:hint="default"/>
      </w:rPr>
    </w:lvl>
    <w:lvl w:ilvl="7" w:tplc="04070003" w:tentative="1">
      <w:start w:val="1"/>
      <w:numFmt w:val="bullet"/>
      <w:lvlText w:val="o"/>
      <w:lvlJc w:val="left"/>
      <w:pPr>
        <w:tabs>
          <w:tab w:val="num" w:pos="6611"/>
        </w:tabs>
        <w:ind w:left="6611" w:hanging="360"/>
      </w:pPr>
      <w:rPr>
        <w:rFonts w:ascii="Courier New" w:hAnsi="Courier New" w:cs="Courier New" w:hint="default"/>
      </w:rPr>
    </w:lvl>
    <w:lvl w:ilvl="8" w:tplc="04070005" w:tentative="1">
      <w:start w:val="1"/>
      <w:numFmt w:val="bullet"/>
      <w:lvlText w:val=""/>
      <w:lvlJc w:val="left"/>
      <w:pPr>
        <w:tabs>
          <w:tab w:val="num" w:pos="7331"/>
        </w:tabs>
        <w:ind w:left="7331" w:hanging="360"/>
      </w:pPr>
      <w:rPr>
        <w:rFonts w:ascii="Wingdings" w:hAnsi="Wingdings" w:hint="default"/>
      </w:rPr>
    </w:lvl>
  </w:abstractNum>
  <w:abstractNum w:abstractNumId="21">
    <w:nsid w:val="4BCC1DEA"/>
    <w:multiLevelType w:val="hybridMultilevel"/>
    <w:tmpl w:val="7DC202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1B97F7C"/>
    <w:multiLevelType w:val="hybridMultilevel"/>
    <w:tmpl w:val="19C286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A576F7"/>
    <w:multiLevelType w:val="hybridMultilevel"/>
    <w:tmpl w:val="E74273F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558F05E8"/>
    <w:multiLevelType w:val="hybridMultilevel"/>
    <w:tmpl w:val="AE7C7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D29287F"/>
    <w:multiLevelType w:val="hybridMultilevel"/>
    <w:tmpl w:val="73C00256"/>
    <w:lvl w:ilvl="0" w:tplc="2382B4D2">
      <w:start w:val="4"/>
      <w:numFmt w:val="decimal"/>
      <w:lvlText w:val="%1"/>
      <w:lvlJc w:val="left"/>
      <w:pPr>
        <w:tabs>
          <w:tab w:val="num" w:pos="930"/>
        </w:tabs>
        <w:ind w:left="930" w:hanging="57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61567838"/>
    <w:multiLevelType w:val="hybridMultilevel"/>
    <w:tmpl w:val="BC4E8EE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638C344B"/>
    <w:multiLevelType w:val="hybridMultilevel"/>
    <w:tmpl w:val="CBFC3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74A418E"/>
    <w:multiLevelType w:val="hybridMultilevel"/>
    <w:tmpl w:val="BCD0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701DE5"/>
    <w:multiLevelType w:val="hybridMultilevel"/>
    <w:tmpl w:val="5F20E3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nsid w:val="6AF93350"/>
    <w:multiLevelType w:val="hybridMultilevel"/>
    <w:tmpl w:val="94446A4E"/>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nsid w:val="6BB250C2"/>
    <w:multiLevelType w:val="hybridMultilevel"/>
    <w:tmpl w:val="C7C8ECC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2">
    <w:nsid w:val="6E10250B"/>
    <w:multiLevelType w:val="hybridMultilevel"/>
    <w:tmpl w:val="9E42C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8243FC"/>
    <w:multiLevelType w:val="hybridMultilevel"/>
    <w:tmpl w:val="A510D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112A78"/>
    <w:multiLevelType w:val="hybridMultilevel"/>
    <w:tmpl w:val="C5D63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FC36AB0"/>
    <w:multiLevelType w:val="hybridMultilevel"/>
    <w:tmpl w:val="44328E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07767BF"/>
    <w:multiLevelType w:val="multilevel"/>
    <w:tmpl w:val="7060B39E"/>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37">
    <w:nsid w:val="70E3792A"/>
    <w:multiLevelType w:val="hybridMultilevel"/>
    <w:tmpl w:val="9EB864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1E779DA"/>
    <w:multiLevelType w:val="hybridMultilevel"/>
    <w:tmpl w:val="F7E6C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4"/>
  </w:num>
  <w:num w:numId="3">
    <w:abstractNumId w:val="36"/>
  </w:num>
  <w:num w:numId="4">
    <w:abstractNumId w:val="36"/>
  </w:num>
  <w:num w:numId="5">
    <w:abstractNumId w:val="36"/>
  </w:num>
  <w:num w:numId="6">
    <w:abstractNumId w:val="26"/>
  </w:num>
  <w:num w:numId="7">
    <w:abstractNumId w:val="36"/>
  </w:num>
  <w:num w:numId="8">
    <w:abstractNumId w:val="36"/>
  </w:num>
  <w:num w:numId="9">
    <w:abstractNumId w:val="13"/>
  </w:num>
  <w:num w:numId="10">
    <w:abstractNumId w:val="20"/>
  </w:num>
  <w:num w:numId="11">
    <w:abstractNumId w:val="16"/>
  </w:num>
  <w:num w:numId="12">
    <w:abstractNumId w:val="23"/>
  </w:num>
  <w:num w:numId="13">
    <w:abstractNumId w:val="15"/>
  </w:num>
  <w:num w:numId="14">
    <w:abstractNumId w:val="11"/>
  </w:num>
  <w:num w:numId="15">
    <w:abstractNumId w:val="5"/>
  </w:num>
  <w:num w:numId="16">
    <w:abstractNumId w:val="8"/>
  </w:num>
  <w:num w:numId="17">
    <w:abstractNumId w:val="29"/>
  </w:num>
  <w:num w:numId="18">
    <w:abstractNumId w:val="18"/>
  </w:num>
  <w:num w:numId="19">
    <w:abstractNumId w:val="27"/>
  </w:num>
  <w:num w:numId="20">
    <w:abstractNumId w:val="12"/>
  </w:num>
  <w:num w:numId="21">
    <w:abstractNumId w:val="35"/>
  </w:num>
  <w:num w:numId="22">
    <w:abstractNumId w:val="34"/>
  </w:num>
  <w:num w:numId="23">
    <w:abstractNumId w:val="21"/>
  </w:num>
  <w:num w:numId="24">
    <w:abstractNumId w:val="24"/>
  </w:num>
  <w:num w:numId="25">
    <w:abstractNumId w:val="17"/>
  </w:num>
  <w:num w:numId="26">
    <w:abstractNumId w:val="30"/>
  </w:num>
  <w:num w:numId="27">
    <w:abstractNumId w:val="6"/>
  </w:num>
  <w:num w:numId="28">
    <w:abstractNumId w:val="10"/>
  </w:num>
  <w:num w:numId="29">
    <w:abstractNumId w:val="22"/>
  </w:num>
  <w:num w:numId="30">
    <w:abstractNumId w:val="28"/>
  </w:num>
  <w:num w:numId="31">
    <w:abstractNumId w:val="37"/>
  </w:num>
  <w:num w:numId="32">
    <w:abstractNumId w:val="31"/>
  </w:num>
  <w:num w:numId="33">
    <w:abstractNumId w:val="14"/>
  </w:num>
  <w:num w:numId="34">
    <w:abstractNumId w:val="0"/>
  </w:num>
  <w:num w:numId="35">
    <w:abstractNumId w:val="9"/>
  </w:num>
  <w:num w:numId="36">
    <w:abstractNumId w:val="33"/>
  </w:num>
  <w:num w:numId="37">
    <w:abstractNumId w:val="2"/>
  </w:num>
  <w:num w:numId="38">
    <w:abstractNumId w:val="7"/>
  </w:num>
  <w:num w:numId="39">
    <w:abstractNumId w:val="32"/>
  </w:num>
  <w:num w:numId="40">
    <w:abstractNumId w:val="19"/>
  </w:num>
  <w:num w:numId="41">
    <w:abstractNumId w:val="38"/>
  </w:num>
  <w:num w:numId="42">
    <w:abstractNumId w:val="3"/>
  </w:num>
  <w:num w:numId="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51"/>
    <w:rsid w:val="000024EF"/>
    <w:rsid w:val="0000478D"/>
    <w:rsid w:val="000214A4"/>
    <w:rsid w:val="00021607"/>
    <w:rsid w:val="000233C6"/>
    <w:rsid w:val="0003231E"/>
    <w:rsid w:val="00033112"/>
    <w:rsid w:val="000364E2"/>
    <w:rsid w:val="00042E6D"/>
    <w:rsid w:val="0005166C"/>
    <w:rsid w:val="000516F1"/>
    <w:rsid w:val="000517D1"/>
    <w:rsid w:val="00055C80"/>
    <w:rsid w:val="000641A7"/>
    <w:rsid w:val="00084BB1"/>
    <w:rsid w:val="00086867"/>
    <w:rsid w:val="000872D8"/>
    <w:rsid w:val="000928F7"/>
    <w:rsid w:val="00094204"/>
    <w:rsid w:val="0009463A"/>
    <w:rsid w:val="00095D52"/>
    <w:rsid w:val="00097E34"/>
    <w:rsid w:val="000B0905"/>
    <w:rsid w:val="000C2520"/>
    <w:rsid w:val="000D0F3C"/>
    <w:rsid w:val="000E346F"/>
    <w:rsid w:val="000F1373"/>
    <w:rsid w:val="00106047"/>
    <w:rsid w:val="00113B49"/>
    <w:rsid w:val="00135FE7"/>
    <w:rsid w:val="00161D26"/>
    <w:rsid w:val="00162CBB"/>
    <w:rsid w:val="0016435A"/>
    <w:rsid w:val="001709AD"/>
    <w:rsid w:val="00172D52"/>
    <w:rsid w:val="001976E7"/>
    <w:rsid w:val="001A3EDC"/>
    <w:rsid w:val="001A738C"/>
    <w:rsid w:val="001B44B5"/>
    <w:rsid w:val="001D4F8D"/>
    <w:rsid w:val="001E0E49"/>
    <w:rsid w:val="001F2614"/>
    <w:rsid w:val="00207EE5"/>
    <w:rsid w:val="00213CE3"/>
    <w:rsid w:val="00215746"/>
    <w:rsid w:val="00222F7B"/>
    <w:rsid w:val="002505B9"/>
    <w:rsid w:val="00260D98"/>
    <w:rsid w:val="0026766F"/>
    <w:rsid w:val="00277BC1"/>
    <w:rsid w:val="0028051D"/>
    <w:rsid w:val="0029315F"/>
    <w:rsid w:val="00294331"/>
    <w:rsid w:val="002A02A3"/>
    <w:rsid w:val="002A7DFF"/>
    <w:rsid w:val="002B169D"/>
    <w:rsid w:val="002B47FC"/>
    <w:rsid w:val="002B683F"/>
    <w:rsid w:val="002C0A87"/>
    <w:rsid w:val="002E6A04"/>
    <w:rsid w:val="002F2598"/>
    <w:rsid w:val="00300F98"/>
    <w:rsid w:val="003035EE"/>
    <w:rsid w:val="00314E5E"/>
    <w:rsid w:val="00315E94"/>
    <w:rsid w:val="00320113"/>
    <w:rsid w:val="00345322"/>
    <w:rsid w:val="00346C62"/>
    <w:rsid w:val="00357A5F"/>
    <w:rsid w:val="00362A9E"/>
    <w:rsid w:val="003641B4"/>
    <w:rsid w:val="0038366E"/>
    <w:rsid w:val="0039030E"/>
    <w:rsid w:val="003A1EC7"/>
    <w:rsid w:val="003A5577"/>
    <w:rsid w:val="003A57CC"/>
    <w:rsid w:val="003B1654"/>
    <w:rsid w:val="003C2268"/>
    <w:rsid w:val="003C340F"/>
    <w:rsid w:val="003C4848"/>
    <w:rsid w:val="003C53D0"/>
    <w:rsid w:val="003D3FF1"/>
    <w:rsid w:val="003D7057"/>
    <w:rsid w:val="003E3685"/>
    <w:rsid w:val="003E76E9"/>
    <w:rsid w:val="003E7A50"/>
    <w:rsid w:val="003F73E2"/>
    <w:rsid w:val="004002F7"/>
    <w:rsid w:val="0040772D"/>
    <w:rsid w:val="00430350"/>
    <w:rsid w:val="00430369"/>
    <w:rsid w:val="00431D12"/>
    <w:rsid w:val="004369DC"/>
    <w:rsid w:val="004407DC"/>
    <w:rsid w:val="00443C40"/>
    <w:rsid w:val="00451179"/>
    <w:rsid w:val="00460F5F"/>
    <w:rsid w:val="00463084"/>
    <w:rsid w:val="004648A4"/>
    <w:rsid w:val="004662F9"/>
    <w:rsid w:val="00471DC8"/>
    <w:rsid w:val="004759D3"/>
    <w:rsid w:val="0048229C"/>
    <w:rsid w:val="0048384E"/>
    <w:rsid w:val="00486369"/>
    <w:rsid w:val="0049017E"/>
    <w:rsid w:val="00492F65"/>
    <w:rsid w:val="00493F86"/>
    <w:rsid w:val="004A099D"/>
    <w:rsid w:val="004A47FF"/>
    <w:rsid w:val="004A6B48"/>
    <w:rsid w:val="004B23D3"/>
    <w:rsid w:val="004B41BD"/>
    <w:rsid w:val="004D077E"/>
    <w:rsid w:val="004F061E"/>
    <w:rsid w:val="004F2824"/>
    <w:rsid w:val="004F2E89"/>
    <w:rsid w:val="004F5539"/>
    <w:rsid w:val="00501B46"/>
    <w:rsid w:val="00507F5F"/>
    <w:rsid w:val="00514C01"/>
    <w:rsid w:val="005150CD"/>
    <w:rsid w:val="005269EA"/>
    <w:rsid w:val="0053015C"/>
    <w:rsid w:val="00533846"/>
    <w:rsid w:val="005348B2"/>
    <w:rsid w:val="005434C4"/>
    <w:rsid w:val="00554550"/>
    <w:rsid w:val="005549FF"/>
    <w:rsid w:val="0055722D"/>
    <w:rsid w:val="00562E1E"/>
    <w:rsid w:val="00565427"/>
    <w:rsid w:val="00567202"/>
    <w:rsid w:val="005705DF"/>
    <w:rsid w:val="005761BB"/>
    <w:rsid w:val="00594F8E"/>
    <w:rsid w:val="005F1C1F"/>
    <w:rsid w:val="00603CBD"/>
    <w:rsid w:val="00616265"/>
    <w:rsid w:val="00624412"/>
    <w:rsid w:val="00624458"/>
    <w:rsid w:val="0063524D"/>
    <w:rsid w:val="00635F80"/>
    <w:rsid w:val="0064354F"/>
    <w:rsid w:val="0065405D"/>
    <w:rsid w:val="00654078"/>
    <w:rsid w:val="006542C3"/>
    <w:rsid w:val="0065588F"/>
    <w:rsid w:val="00664805"/>
    <w:rsid w:val="00665533"/>
    <w:rsid w:val="006728D8"/>
    <w:rsid w:val="00684589"/>
    <w:rsid w:val="006845C9"/>
    <w:rsid w:val="006902F9"/>
    <w:rsid w:val="00690B4B"/>
    <w:rsid w:val="0069180A"/>
    <w:rsid w:val="00697835"/>
    <w:rsid w:val="006B2068"/>
    <w:rsid w:val="006C4BCC"/>
    <w:rsid w:val="006D1EAC"/>
    <w:rsid w:val="006D48BC"/>
    <w:rsid w:val="006E1FA9"/>
    <w:rsid w:val="006F366E"/>
    <w:rsid w:val="006F4DE1"/>
    <w:rsid w:val="006F6AB4"/>
    <w:rsid w:val="006F7EB0"/>
    <w:rsid w:val="007026C4"/>
    <w:rsid w:val="00704817"/>
    <w:rsid w:val="0070740D"/>
    <w:rsid w:val="007137FA"/>
    <w:rsid w:val="00722E77"/>
    <w:rsid w:val="00730171"/>
    <w:rsid w:val="007365E3"/>
    <w:rsid w:val="00744CBC"/>
    <w:rsid w:val="007468CF"/>
    <w:rsid w:val="007538DB"/>
    <w:rsid w:val="0075560F"/>
    <w:rsid w:val="00756B28"/>
    <w:rsid w:val="00782F34"/>
    <w:rsid w:val="00784B78"/>
    <w:rsid w:val="007925CA"/>
    <w:rsid w:val="00793843"/>
    <w:rsid w:val="007A1831"/>
    <w:rsid w:val="007A2148"/>
    <w:rsid w:val="007A3AF9"/>
    <w:rsid w:val="007A49AD"/>
    <w:rsid w:val="007C740B"/>
    <w:rsid w:val="00802521"/>
    <w:rsid w:val="00802B60"/>
    <w:rsid w:val="00807353"/>
    <w:rsid w:val="00807AA2"/>
    <w:rsid w:val="00807B10"/>
    <w:rsid w:val="00807F54"/>
    <w:rsid w:val="00820168"/>
    <w:rsid w:val="008376BE"/>
    <w:rsid w:val="00842A51"/>
    <w:rsid w:val="00856FA0"/>
    <w:rsid w:val="00884205"/>
    <w:rsid w:val="00884A85"/>
    <w:rsid w:val="008A37BA"/>
    <w:rsid w:val="008B086F"/>
    <w:rsid w:val="008D2718"/>
    <w:rsid w:val="008D5595"/>
    <w:rsid w:val="008D763E"/>
    <w:rsid w:val="008E6A43"/>
    <w:rsid w:val="008F1B03"/>
    <w:rsid w:val="008F33D5"/>
    <w:rsid w:val="008F5596"/>
    <w:rsid w:val="008F5ECB"/>
    <w:rsid w:val="008F677F"/>
    <w:rsid w:val="0090559D"/>
    <w:rsid w:val="009114CF"/>
    <w:rsid w:val="00923DB1"/>
    <w:rsid w:val="009405B5"/>
    <w:rsid w:val="00950B7B"/>
    <w:rsid w:val="0095430C"/>
    <w:rsid w:val="00967FE1"/>
    <w:rsid w:val="00981745"/>
    <w:rsid w:val="009852E6"/>
    <w:rsid w:val="0098621D"/>
    <w:rsid w:val="0099070A"/>
    <w:rsid w:val="00997A4D"/>
    <w:rsid w:val="009B3CB6"/>
    <w:rsid w:val="009C037E"/>
    <w:rsid w:val="009C2F3B"/>
    <w:rsid w:val="009C30E8"/>
    <w:rsid w:val="009D242F"/>
    <w:rsid w:val="009E6511"/>
    <w:rsid w:val="009E7F6B"/>
    <w:rsid w:val="009F4A65"/>
    <w:rsid w:val="009F60D5"/>
    <w:rsid w:val="00A024A8"/>
    <w:rsid w:val="00A22ED3"/>
    <w:rsid w:val="00A322B6"/>
    <w:rsid w:val="00A477F3"/>
    <w:rsid w:val="00A76389"/>
    <w:rsid w:val="00A77E89"/>
    <w:rsid w:val="00A86343"/>
    <w:rsid w:val="00A87C8C"/>
    <w:rsid w:val="00A95309"/>
    <w:rsid w:val="00AA26E7"/>
    <w:rsid w:val="00AA3CFD"/>
    <w:rsid w:val="00AA5203"/>
    <w:rsid w:val="00AA59E8"/>
    <w:rsid w:val="00AB69FF"/>
    <w:rsid w:val="00AC0304"/>
    <w:rsid w:val="00AC345D"/>
    <w:rsid w:val="00AD241F"/>
    <w:rsid w:val="00AD419E"/>
    <w:rsid w:val="00AE45BB"/>
    <w:rsid w:val="00AE7906"/>
    <w:rsid w:val="00AF7BA5"/>
    <w:rsid w:val="00B0161E"/>
    <w:rsid w:val="00B1073A"/>
    <w:rsid w:val="00B1660B"/>
    <w:rsid w:val="00B22C44"/>
    <w:rsid w:val="00B26358"/>
    <w:rsid w:val="00B37669"/>
    <w:rsid w:val="00B401F2"/>
    <w:rsid w:val="00B6512A"/>
    <w:rsid w:val="00B67BD0"/>
    <w:rsid w:val="00B70CD3"/>
    <w:rsid w:val="00B90507"/>
    <w:rsid w:val="00B9137A"/>
    <w:rsid w:val="00BB374F"/>
    <w:rsid w:val="00BC2918"/>
    <w:rsid w:val="00BD17E2"/>
    <w:rsid w:val="00BE4CC9"/>
    <w:rsid w:val="00BE539B"/>
    <w:rsid w:val="00BE71E0"/>
    <w:rsid w:val="00BF2999"/>
    <w:rsid w:val="00BF2BC1"/>
    <w:rsid w:val="00C01DD1"/>
    <w:rsid w:val="00C13860"/>
    <w:rsid w:val="00C154C2"/>
    <w:rsid w:val="00C309B1"/>
    <w:rsid w:val="00C43796"/>
    <w:rsid w:val="00C4556F"/>
    <w:rsid w:val="00C47BE9"/>
    <w:rsid w:val="00C51CAA"/>
    <w:rsid w:val="00C5267C"/>
    <w:rsid w:val="00C53E09"/>
    <w:rsid w:val="00C5418E"/>
    <w:rsid w:val="00C5476F"/>
    <w:rsid w:val="00C60D46"/>
    <w:rsid w:val="00C62218"/>
    <w:rsid w:val="00C7054C"/>
    <w:rsid w:val="00C75E0E"/>
    <w:rsid w:val="00C82BC5"/>
    <w:rsid w:val="00C83B87"/>
    <w:rsid w:val="00CB0BBB"/>
    <w:rsid w:val="00CB4BE4"/>
    <w:rsid w:val="00CC4263"/>
    <w:rsid w:val="00CD4FA2"/>
    <w:rsid w:val="00CD51FD"/>
    <w:rsid w:val="00CE40EE"/>
    <w:rsid w:val="00CE6591"/>
    <w:rsid w:val="00CF0964"/>
    <w:rsid w:val="00D004D0"/>
    <w:rsid w:val="00D00B4F"/>
    <w:rsid w:val="00D0674D"/>
    <w:rsid w:val="00D14191"/>
    <w:rsid w:val="00D34708"/>
    <w:rsid w:val="00D47E96"/>
    <w:rsid w:val="00D53B5D"/>
    <w:rsid w:val="00D671A5"/>
    <w:rsid w:val="00D71E47"/>
    <w:rsid w:val="00DD08BA"/>
    <w:rsid w:val="00DD0FA0"/>
    <w:rsid w:val="00DE43D1"/>
    <w:rsid w:val="00DE5E01"/>
    <w:rsid w:val="00DF0412"/>
    <w:rsid w:val="00DF2A80"/>
    <w:rsid w:val="00E07295"/>
    <w:rsid w:val="00E22C7D"/>
    <w:rsid w:val="00E232D3"/>
    <w:rsid w:val="00E24A9A"/>
    <w:rsid w:val="00E2796D"/>
    <w:rsid w:val="00E27A1E"/>
    <w:rsid w:val="00E27C6A"/>
    <w:rsid w:val="00E40873"/>
    <w:rsid w:val="00E47CD2"/>
    <w:rsid w:val="00E51979"/>
    <w:rsid w:val="00E561B8"/>
    <w:rsid w:val="00E577A4"/>
    <w:rsid w:val="00E7153A"/>
    <w:rsid w:val="00E861AA"/>
    <w:rsid w:val="00E87AEF"/>
    <w:rsid w:val="00E93323"/>
    <w:rsid w:val="00E95A36"/>
    <w:rsid w:val="00E95CFE"/>
    <w:rsid w:val="00E96AC0"/>
    <w:rsid w:val="00EB13AA"/>
    <w:rsid w:val="00EC4E9B"/>
    <w:rsid w:val="00EC5477"/>
    <w:rsid w:val="00EC6812"/>
    <w:rsid w:val="00ED18CC"/>
    <w:rsid w:val="00EE07DC"/>
    <w:rsid w:val="00EE6D93"/>
    <w:rsid w:val="00EF1568"/>
    <w:rsid w:val="00F05B26"/>
    <w:rsid w:val="00F22950"/>
    <w:rsid w:val="00F268FF"/>
    <w:rsid w:val="00F311FB"/>
    <w:rsid w:val="00F37A73"/>
    <w:rsid w:val="00F40CEF"/>
    <w:rsid w:val="00F43BE8"/>
    <w:rsid w:val="00F53012"/>
    <w:rsid w:val="00F63E0B"/>
    <w:rsid w:val="00F724E6"/>
    <w:rsid w:val="00F956DB"/>
    <w:rsid w:val="00F95DCE"/>
    <w:rsid w:val="00F95EFD"/>
    <w:rsid w:val="00F971A2"/>
    <w:rsid w:val="00FA15BA"/>
    <w:rsid w:val="00FA3AB2"/>
    <w:rsid w:val="00FA6EBF"/>
    <w:rsid w:val="00FA7FC5"/>
    <w:rsid w:val="00FB280B"/>
    <w:rsid w:val="00FD0B6D"/>
    <w:rsid w:val="00FD29B1"/>
    <w:rsid w:val="00FD6398"/>
    <w:rsid w:val="00FD7E46"/>
    <w:rsid w:val="00FE0FBA"/>
    <w:rsid w:val="00FE1DCB"/>
    <w:rsid w:val="00FE61C8"/>
    <w:rsid w:val="00FF2A9D"/>
    <w:rsid w:val="00FF320E"/>
    <w:rsid w:val="00FF377F"/>
    <w:rsid w:val="00FF3D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3D5"/>
    <w:pPr>
      <w:spacing w:after="120"/>
      <w:jc w:val="both"/>
    </w:pPr>
    <w:rPr>
      <w:rFonts w:ascii="Arial" w:hAnsi="Arial"/>
      <w:sz w:val="22"/>
      <w:lang w:val="nb-NO" w:eastAsia="de-DE"/>
    </w:rPr>
  </w:style>
  <w:style w:type="paragraph" w:styleId="Titre1">
    <w:name w:val="heading 1"/>
    <w:basedOn w:val="Normal"/>
    <w:next w:val="Normal"/>
    <w:qFormat/>
    <w:rsid w:val="00D004D0"/>
    <w:pPr>
      <w:numPr>
        <w:numId w:val="3"/>
      </w:numPr>
      <w:tabs>
        <w:tab w:val="clear" w:pos="432"/>
        <w:tab w:val="left" w:pos="851"/>
      </w:tabs>
      <w:spacing w:before="360"/>
      <w:ind w:left="851" w:hanging="851"/>
      <w:jc w:val="left"/>
      <w:outlineLvl w:val="0"/>
    </w:pPr>
    <w:rPr>
      <w:rFonts w:cs="Arial"/>
      <w:b/>
      <w:sz w:val="28"/>
      <w:szCs w:val="28"/>
      <w:lang w:val="en-GB"/>
    </w:rPr>
  </w:style>
  <w:style w:type="paragraph" w:styleId="Titre2">
    <w:name w:val="heading 2"/>
    <w:basedOn w:val="Titre1"/>
    <w:next w:val="Normal"/>
    <w:qFormat/>
    <w:rsid w:val="00D004D0"/>
    <w:pPr>
      <w:numPr>
        <w:ilvl w:val="1"/>
      </w:numPr>
      <w:tabs>
        <w:tab w:val="clear" w:pos="576"/>
      </w:tabs>
      <w:spacing w:before="120"/>
      <w:ind w:left="851" w:hanging="851"/>
      <w:outlineLvl w:val="1"/>
    </w:pPr>
    <w:rPr>
      <w:sz w:val="24"/>
    </w:rPr>
  </w:style>
  <w:style w:type="paragraph" w:styleId="Titre3">
    <w:name w:val="heading 3"/>
    <w:basedOn w:val="Titre2"/>
    <w:next w:val="Normal"/>
    <w:qFormat/>
    <w:rsid w:val="00D004D0"/>
    <w:pPr>
      <w:numPr>
        <w:ilvl w:val="2"/>
      </w:numPr>
      <w:tabs>
        <w:tab w:val="clear" w:pos="720"/>
      </w:tabs>
      <w:ind w:left="851" w:hanging="851"/>
      <w:outlineLvl w:val="2"/>
    </w:pPr>
    <w:rPr>
      <w:i/>
      <w:sz w:val="22"/>
    </w:rPr>
  </w:style>
  <w:style w:type="paragraph" w:styleId="Titre4">
    <w:name w:val="heading 4"/>
    <w:basedOn w:val="Normal"/>
    <w:next w:val="Normal"/>
    <w:qFormat/>
    <w:rsid w:val="00D004D0"/>
    <w:pPr>
      <w:numPr>
        <w:ilvl w:val="3"/>
        <w:numId w:val="3"/>
      </w:numPr>
      <w:outlineLvl w:val="3"/>
    </w:pPr>
    <w:rPr>
      <w:u w:val="single"/>
    </w:rPr>
  </w:style>
  <w:style w:type="paragraph" w:styleId="Titre5">
    <w:name w:val="heading 5"/>
    <w:basedOn w:val="Normal"/>
    <w:next w:val="Normal"/>
    <w:qFormat/>
    <w:rsid w:val="00D004D0"/>
    <w:pPr>
      <w:numPr>
        <w:ilvl w:val="4"/>
        <w:numId w:val="3"/>
      </w:numPr>
      <w:outlineLvl w:val="4"/>
    </w:pPr>
    <w:rPr>
      <w:b/>
      <w:sz w:val="20"/>
    </w:rPr>
  </w:style>
  <w:style w:type="paragraph" w:styleId="Titre6">
    <w:name w:val="heading 6"/>
    <w:basedOn w:val="Normal"/>
    <w:next w:val="Normal"/>
    <w:qFormat/>
    <w:rsid w:val="00D004D0"/>
    <w:pPr>
      <w:numPr>
        <w:ilvl w:val="5"/>
        <w:numId w:val="3"/>
      </w:numPr>
      <w:outlineLvl w:val="5"/>
    </w:pPr>
    <w:rPr>
      <w:sz w:val="20"/>
      <w:u w:val="single"/>
    </w:rPr>
  </w:style>
  <w:style w:type="paragraph" w:styleId="Titre7">
    <w:name w:val="heading 7"/>
    <w:basedOn w:val="Normal"/>
    <w:next w:val="Normal"/>
    <w:qFormat/>
    <w:rsid w:val="00D004D0"/>
    <w:pPr>
      <w:numPr>
        <w:ilvl w:val="6"/>
        <w:numId w:val="3"/>
      </w:numPr>
      <w:outlineLvl w:val="6"/>
    </w:pPr>
    <w:rPr>
      <w:i/>
      <w:sz w:val="20"/>
    </w:rPr>
  </w:style>
  <w:style w:type="paragraph" w:styleId="Titre8">
    <w:name w:val="heading 8"/>
    <w:basedOn w:val="Normal"/>
    <w:next w:val="Normal"/>
    <w:qFormat/>
    <w:rsid w:val="00D004D0"/>
    <w:pPr>
      <w:numPr>
        <w:ilvl w:val="7"/>
        <w:numId w:val="3"/>
      </w:numPr>
      <w:outlineLvl w:val="7"/>
    </w:pPr>
    <w:rPr>
      <w:i/>
      <w:sz w:val="20"/>
    </w:rPr>
  </w:style>
  <w:style w:type="paragraph" w:styleId="Titre9">
    <w:name w:val="heading 9"/>
    <w:basedOn w:val="Normal"/>
    <w:next w:val="Normal"/>
    <w:qFormat/>
    <w:rsid w:val="00D004D0"/>
    <w:pPr>
      <w:numPr>
        <w:ilvl w:val="8"/>
        <w:numId w:val="3"/>
      </w:numPr>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8621D"/>
    <w:pPr>
      <w:tabs>
        <w:tab w:val="center" w:pos="4536"/>
        <w:tab w:val="right" w:pos="9072"/>
      </w:tabs>
      <w:spacing w:after="0"/>
      <w:jc w:val="left"/>
    </w:pPr>
    <w:rPr>
      <w:b/>
    </w:rPr>
  </w:style>
  <w:style w:type="paragraph" w:styleId="Liste">
    <w:name w:val="List"/>
    <w:basedOn w:val="Normal"/>
    <w:rsid w:val="00135FE7"/>
    <w:pPr>
      <w:tabs>
        <w:tab w:val="left" w:pos="1418"/>
      </w:tabs>
      <w:ind w:left="1418" w:hanging="567"/>
    </w:pPr>
  </w:style>
  <w:style w:type="paragraph" w:customStyle="1" w:styleId="Header2">
    <w:name w:val="Header2"/>
    <w:basedOn w:val="En-tte"/>
    <w:rsid w:val="00215746"/>
  </w:style>
  <w:style w:type="character" w:styleId="Appelnotedebasdep">
    <w:name w:val="footnote reference"/>
    <w:semiHidden/>
    <w:rPr>
      <w:position w:val="6"/>
      <w:sz w:val="16"/>
    </w:rPr>
  </w:style>
  <w:style w:type="paragraph" w:styleId="Notedebasdepage">
    <w:name w:val="footnote text"/>
    <w:basedOn w:val="Normal"/>
    <w:semiHidden/>
    <w:rPr>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styleId="Tabledesillustrations">
    <w:name w:val="table of figures"/>
    <w:basedOn w:val="Normal"/>
    <w:next w:val="Normal"/>
    <w:semiHidden/>
    <w:pPr>
      <w:ind w:left="400" w:hanging="400"/>
    </w:pPr>
    <w:rPr>
      <w:sz w:val="20"/>
      <w:lang w:val="de-DE"/>
    </w:rPr>
  </w:style>
  <w:style w:type="paragraph" w:styleId="Titre">
    <w:name w:val="Title"/>
    <w:basedOn w:val="Normal"/>
    <w:qFormat/>
    <w:rsid w:val="00B70CD3"/>
    <w:pPr>
      <w:jc w:val="center"/>
    </w:pPr>
    <w:rPr>
      <w:b/>
      <w:sz w:val="28"/>
      <w:lang w:val="de-DE"/>
    </w:rPr>
  </w:style>
  <w:style w:type="paragraph" w:customStyle="1" w:styleId="Kasten">
    <w:name w:val="Kasten"/>
    <w:basedOn w:val="Normal"/>
    <w:rsid w:val="000641A7"/>
    <w:pPr>
      <w:pBdr>
        <w:top w:val="single" w:sz="12" w:space="1" w:color="auto"/>
        <w:left w:val="single" w:sz="12" w:space="4" w:color="auto"/>
        <w:bottom w:val="single" w:sz="12" w:space="1" w:color="auto"/>
        <w:right w:val="single" w:sz="12" w:space="4" w:color="auto"/>
      </w:pBdr>
    </w:pPr>
  </w:style>
  <w:style w:type="character" w:styleId="Lienhypertexte">
    <w:name w:val="Hyperlink"/>
    <w:rsid w:val="003C53D0"/>
    <w:rPr>
      <w:color w:val="0000FF"/>
      <w:u w:val="single"/>
    </w:rPr>
  </w:style>
  <w:style w:type="paragraph" w:customStyle="1" w:styleId="Note">
    <w:name w:val="Note"/>
    <w:basedOn w:val="Normal"/>
    <w:next w:val="Normal"/>
    <w:rsid w:val="00DE5E01"/>
    <w:pPr>
      <w:tabs>
        <w:tab w:val="left" w:pos="851"/>
      </w:tabs>
      <w:ind w:left="851" w:hanging="851"/>
    </w:pPr>
    <w:rPr>
      <w:b/>
      <w:lang w:val="en-GB"/>
    </w:rPr>
  </w:style>
  <w:style w:type="paragraph" w:customStyle="1" w:styleId="Header1">
    <w:name w:val="Header1"/>
    <w:basedOn w:val="En-tte"/>
    <w:link w:val="HeaderZchnZchn"/>
    <w:rsid w:val="00493F86"/>
    <w:pPr>
      <w:spacing w:before="60"/>
    </w:pPr>
    <w:rPr>
      <w:lang w:eastAsia="x-none"/>
    </w:rPr>
  </w:style>
  <w:style w:type="character" w:customStyle="1" w:styleId="HeaderZchnZchn">
    <w:name w:val="Header Zchn Zchn"/>
    <w:link w:val="Header1"/>
    <w:rsid w:val="00493F86"/>
    <w:rPr>
      <w:rFonts w:ascii="Arial" w:hAnsi="Arial"/>
      <w:b/>
      <w:sz w:val="22"/>
      <w:lang w:val="nb-NO"/>
    </w:rPr>
  </w:style>
  <w:style w:type="table" w:styleId="Grilleclaire-Accent4">
    <w:name w:val="Light Grid Accent 4"/>
    <w:basedOn w:val="TableauNormal"/>
    <w:uiPriority w:val="62"/>
    <w:rsid w:val="006B2068"/>
    <w:rPr>
      <w:rFonts w:ascii="Calibri" w:eastAsia="Calibri" w:hAnsi="Calibri"/>
      <w:sz w:val="22"/>
      <w:szCs w:val="22"/>
      <w:lang w:val="en-GB"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Paragraphedeliste">
    <w:name w:val="List Paragraph"/>
    <w:basedOn w:val="Normal"/>
    <w:uiPriority w:val="34"/>
    <w:qFormat/>
    <w:rsid w:val="007468CF"/>
    <w:pPr>
      <w:spacing w:after="200" w:line="276" w:lineRule="auto"/>
      <w:ind w:left="720"/>
      <w:contextualSpacing/>
      <w:jc w:val="left"/>
    </w:pPr>
    <w:rPr>
      <w:rFonts w:ascii="Calibri" w:eastAsia="Calibri" w:hAnsi="Calibri"/>
      <w:szCs w:val="22"/>
      <w:lang w:val="en-GB" w:eastAsia="en-US"/>
    </w:rPr>
  </w:style>
  <w:style w:type="paragraph" w:styleId="Textedebulles">
    <w:name w:val="Balloon Text"/>
    <w:basedOn w:val="Normal"/>
    <w:link w:val="TextedebullesCar"/>
    <w:rsid w:val="0055722D"/>
    <w:pPr>
      <w:spacing w:after="0"/>
    </w:pPr>
    <w:rPr>
      <w:rFonts w:ascii="Tahoma" w:hAnsi="Tahoma"/>
      <w:sz w:val="16"/>
      <w:szCs w:val="16"/>
    </w:rPr>
  </w:style>
  <w:style w:type="character" w:customStyle="1" w:styleId="TextedebullesCar">
    <w:name w:val="Texte de bulles Car"/>
    <w:link w:val="Textedebulles"/>
    <w:rsid w:val="0055722D"/>
    <w:rPr>
      <w:rFonts w:ascii="Tahoma" w:hAnsi="Tahoma" w:cs="Tahoma"/>
      <w:sz w:val="16"/>
      <w:szCs w:val="16"/>
      <w:lang w:val="nb-NO" w:eastAsia="de-DE"/>
    </w:rPr>
  </w:style>
  <w:style w:type="character" w:styleId="Marquedecommentaire">
    <w:name w:val="annotation reference"/>
    <w:rsid w:val="00460F5F"/>
    <w:rPr>
      <w:sz w:val="16"/>
      <w:szCs w:val="16"/>
    </w:rPr>
  </w:style>
  <w:style w:type="paragraph" w:styleId="Commentaire">
    <w:name w:val="annotation text"/>
    <w:basedOn w:val="Normal"/>
    <w:link w:val="CommentaireCar"/>
    <w:rsid w:val="00460F5F"/>
    <w:rPr>
      <w:sz w:val="20"/>
    </w:rPr>
  </w:style>
  <w:style w:type="character" w:customStyle="1" w:styleId="CommentaireCar">
    <w:name w:val="Commentaire Car"/>
    <w:link w:val="Commentaire"/>
    <w:rsid w:val="00460F5F"/>
    <w:rPr>
      <w:rFonts w:ascii="Arial" w:hAnsi="Arial"/>
      <w:lang w:val="nb-NO" w:eastAsia="de-DE"/>
    </w:rPr>
  </w:style>
  <w:style w:type="paragraph" w:styleId="Objetducommentaire">
    <w:name w:val="annotation subject"/>
    <w:basedOn w:val="Commentaire"/>
    <w:next w:val="Commentaire"/>
    <w:link w:val="ObjetducommentaireCar"/>
    <w:rsid w:val="00460F5F"/>
    <w:rPr>
      <w:b/>
      <w:bCs/>
    </w:rPr>
  </w:style>
  <w:style w:type="character" w:customStyle="1" w:styleId="ObjetducommentaireCar">
    <w:name w:val="Objet du commentaire Car"/>
    <w:link w:val="Objetducommentaire"/>
    <w:rsid w:val="00460F5F"/>
    <w:rPr>
      <w:rFonts w:ascii="Arial" w:hAnsi="Arial"/>
      <w:b/>
      <w:bCs/>
      <w:lang w:val="nb-NO"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33D5"/>
    <w:pPr>
      <w:spacing w:after="120"/>
      <w:jc w:val="both"/>
    </w:pPr>
    <w:rPr>
      <w:rFonts w:ascii="Arial" w:hAnsi="Arial"/>
      <w:sz w:val="22"/>
      <w:lang w:val="nb-NO" w:eastAsia="de-DE"/>
    </w:rPr>
  </w:style>
  <w:style w:type="paragraph" w:styleId="Titre1">
    <w:name w:val="heading 1"/>
    <w:basedOn w:val="Normal"/>
    <w:next w:val="Normal"/>
    <w:qFormat/>
    <w:rsid w:val="00D004D0"/>
    <w:pPr>
      <w:numPr>
        <w:numId w:val="3"/>
      </w:numPr>
      <w:tabs>
        <w:tab w:val="clear" w:pos="432"/>
        <w:tab w:val="left" w:pos="851"/>
      </w:tabs>
      <w:spacing w:before="360"/>
      <w:ind w:left="851" w:hanging="851"/>
      <w:jc w:val="left"/>
      <w:outlineLvl w:val="0"/>
    </w:pPr>
    <w:rPr>
      <w:rFonts w:cs="Arial"/>
      <w:b/>
      <w:sz w:val="28"/>
      <w:szCs w:val="28"/>
      <w:lang w:val="en-GB"/>
    </w:rPr>
  </w:style>
  <w:style w:type="paragraph" w:styleId="Titre2">
    <w:name w:val="heading 2"/>
    <w:basedOn w:val="Titre1"/>
    <w:next w:val="Normal"/>
    <w:qFormat/>
    <w:rsid w:val="00D004D0"/>
    <w:pPr>
      <w:numPr>
        <w:ilvl w:val="1"/>
      </w:numPr>
      <w:tabs>
        <w:tab w:val="clear" w:pos="576"/>
      </w:tabs>
      <w:spacing w:before="120"/>
      <w:ind w:left="851" w:hanging="851"/>
      <w:outlineLvl w:val="1"/>
    </w:pPr>
    <w:rPr>
      <w:sz w:val="24"/>
    </w:rPr>
  </w:style>
  <w:style w:type="paragraph" w:styleId="Titre3">
    <w:name w:val="heading 3"/>
    <w:basedOn w:val="Titre2"/>
    <w:next w:val="Normal"/>
    <w:qFormat/>
    <w:rsid w:val="00D004D0"/>
    <w:pPr>
      <w:numPr>
        <w:ilvl w:val="2"/>
      </w:numPr>
      <w:tabs>
        <w:tab w:val="clear" w:pos="720"/>
      </w:tabs>
      <w:ind w:left="851" w:hanging="851"/>
      <w:outlineLvl w:val="2"/>
    </w:pPr>
    <w:rPr>
      <w:i/>
      <w:sz w:val="22"/>
    </w:rPr>
  </w:style>
  <w:style w:type="paragraph" w:styleId="Titre4">
    <w:name w:val="heading 4"/>
    <w:basedOn w:val="Normal"/>
    <w:next w:val="Normal"/>
    <w:qFormat/>
    <w:rsid w:val="00D004D0"/>
    <w:pPr>
      <w:numPr>
        <w:ilvl w:val="3"/>
        <w:numId w:val="3"/>
      </w:numPr>
      <w:outlineLvl w:val="3"/>
    </w:pPr>
    <w:rPr>
      <w:u w:val="single"/>
    </w:rPr>
  </w:style>
  <w:style w:type="paragraph" w:styleId="Titre5">
    <w:name w:val="heading 5"/>
    <w:basedOn w:val="Normal"/>
    <w:next w:val="Normal"/>
    <w:qFormat/>
    <w:rsid w:val="00D004D0"/>
    <w:pPr>
      <w:numPr>
        <w:ilvl w:val="4"/>
        <w:numId w:val="3"/>
      </w:numPr>
      <w:outlineLvl w:val="4"/>
    </w:pPr>
    <w:rPr>
      <w:b/>
      <w:sz w:val="20"/>
    </w:rPr>
  </w:style>
  <w:style w:type="paragraph" w:styleId="Titre6">
    <w:name w:val="heading 6"/>
    <w:basedOn w:val="Normal"/>
    <w:next w:val="Normal"/>
    <w:qFormat/>
    <w:rsid w:val="00D004D0"/>
    <w:pPr>
      <w:numPr>
        <w:ilvl w:val="5"/>
        <w:numId w:val="3"/>
      </w:numPr>
      <w:outlineLvl w:val="5"/>
    </w:pPr>
    <w:rPr>
      <w:sz w:val="20"/>
      <w:u w:val="single"/>
    </w:rPr>
  </w:style>
  <w:style w:type="paragraph" w:styleId="Titre7">
    <w:name w:val="heading 7"/>
    <w:basedOn w:val="Normal"/>
    <w:next w:val="Normal"/>
    <w:qFormat/>
    <w:rsid w:val="00D004D0"/>
    <w:pPr>
      <w:numPr>
        <w:ilvl w:val="6"/>
        <w:numId w:val="3"/>
      </w:numPr>
      <w:outlineLvl w:val="6"/>
    </w:pPr>
    <w:rPr>
      <w:i/>
      <w:sz w:val="20"/>
    </w:rPr>
  </w:style>
  <w:style w:type="paragraph" w:styleId="Titre8">
    <w:name w:val="heading 8"/>
    <w:basedOn w:val="Normal"/>
    <w:next w:val="Normal"/>
    <w:qFormat/>
    <w:rsid w:val="00D004D0"/>
    <w:pPr>
      <w:numPr>
        <w:ilvl w:val="7"/>
        <w:numId w:val="3"/>
      </w:numPr>
      <w:outlineLvl w:val="7"/>
    </w:pPr>
    <w:rPr>
      <w:i/>
      <w:sz w:val="20"/>
    </w:rPr>
  </w:style>
  <w:style w:type="paragraph" w:styleId="Titre9">
    <w:name w:val="heading 9"/>
    <w:basedOn w:val="Normal"/>
    <w:next w:val="Normal"/>
    <w:qFormat/>
    <w:rsid w:val="00D004D0"/>
    <w:pPr>
      <w:numPr>
        <w:ilvl w:val="8"/>
        <w:numId w:val="3"/>
      </w:numPr>
      <w:outlineLvl w:val="8"/>
    </w:pPr>
    <w:rPr>
      <w:i/>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8621D"/>
    <w:pPr>
      <w:tabs>
        <w:tab w:val="center" w:pos="4536"/>
        <w:tab w:val="right" w:pos="9072"/>
      </w:tabs>
      <w:spacing w:after="0"/>
      <w:jc w:val="left"/>
    </w:pPr>
    <w:rPr>
      <w:b/>
    </w:rPr>
  </w:style>
  <w:style w:type="paragraph" w:styleId="Liste">
    <w:name w:val="List"/>
    <w:basedOn w:val="Normal"/>
    <w:rsid w:val="00135FE7"/>
    <w:pPr>
      <w:tabs>
        <w:tab w:val="left" w:pos="1418"/>
      </w:tabs>
      <w:ind w:left="1418" w:hanging="567"/>
    </w:pPr>
  </w:style>
  <w:style w:type="paragraph" w:customStyle="1" w:styleId="Header2">
    <w:name w:val="Header2"/>
    <w:basedOn w:val="En-tte"/>
    <w:rsid w:val="00215746"/>
  </w:style>
  <w:style w:type="character" w:styleId="Appelnotedebasdep">
    <w:name w:val="footnote reference"/>
    <w:semiHidden/>
    <w:rPr>
      <w:position w:val="6"/>
      <w:sz w:val="16"/>
    </w:rPr>
  </w:style>
  <w:style w:type="paragraph" w:styleId="Notedebasdepage">
    <w:name w:val="footnote text"/>
    <w:basedOn w:val="Normal"/>
    <w:semiHidden/>
    <w:rPr>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paragraph" w:styleId="Tabledesillustrations">
    <w:name w:val="table of figures"/>
    <w:basedOn w:val="Normal"/>
    <w:next w:val="Normal"/>
    <w:semiHidden/>
    <w:pPr>
      <w:ind w:left="400" w:hanging="400"/>
    </w:pPr>
    <w:rPr>
      <w:sz w:val="20"/>
      <w:lang w:val="de-DE"/>
    </w:rPr>
  </w:style>
  <w:style w:type="paragraph" w:styleId="Titre">
    <w:name w:val="Title"/>
    <w:basedOn w:val="Normal"/>
    <w:qFormat/>
    <w:rsid w:val="00B70CD3"/>
    <w:pPr>
      <w:jc w:val="center"/>
    </w:pPr>
    <w:rPr>
      <w:b/>
      <w:sz w:val="28"/>
      <w:lang w:val="de-DE"/>
    </w:rPr>
  </w:style>
  <w:style w:type="paragraph" w:customStyle="1" w:styleId="Kasten">
    <w:name w:val="Kasten"/>
    <w:basedOn w:val="Normal"/>
    <w:rsid w:val="000641A7"/>
    <w:pPr>
      <w:pBdr>
        <w:top w:val="single" w:sz="12" w:space="1" w:color="auto"/>
        <w:left w:val="single" w:sz="12" w:space="4" w:color="auto"/>
        <w:bottom w:val="single" w:sz="12" w:space="1" w:color="auto"/>
        <w:right w:val="single" w:sz="12" w:space="4" w:color="auto"/>
      </w:pBdr>
    </w:pPr>
  </w:style>
  <w:style w:type="character" w:styleId="Lienhypertexte">
    <w:name w:val="Hyperlink"/>
    <w:rsid w:val="003C53D0"/>
    <w:rPr>
      <w:color w:val="0000FF"/>
      <w:u w:val="single"/>
    </w:rPr>
  </w:style>
  <w:style w:type="paragraph" w:customStyle="1" w:styleId="Note">
    <w:name w:val="Note"/>
    <w:basedOn w:val="Normal"/>
    <w:next w:val="Normal"/>
    <w:rsid w:val="00DE5E01"/>
    <w:pPr>
      <w:tabs>
        <w:tab w:val="left" w:pos="851"/>
      </w:tabs>
      <w:ind w:left="851" w:hanging="851"/>
    </w:pPr>
    <w:rPr>
      <w:b/>
      <w:lang w:val="en-GB"/>
    </w:rPr>
  </w:style>
  <w:style w:type="paragraph" w:customStyle="1" w:styleId="Header1">
    <w:name w:val="Header1"/>
    <w:basedOn w:val="En-tte"/>
    <w:link w:val="HeaderZchnZchn"/>
    <w:rsid w:val="00493F86"/>
    <w:pPr>
      <w:spacing w:before="60"/>
    </w:pPr>
    <w:rPr>
      <w:lang w:eastAsia="x-none"/>
    </w:rPr>
  </w:style>
  <w:style w:type="character" w:customStyle="1" w:styleId="HeaderZchnZchn">
    <w:name w:val="Header Zchn Zchn"/>
    <w:link w:val="Header1"/>
    <w:rsid w:val="00493F86"/>
    <w:rPr>
      <w:rFonts w:ascii="Arial" w:hAnsi="Arial"/>
      <w:b/>
      <w:sz w:val="22"/>
      <w:lang w:val="nb-NO"/>
    </w:rPr>
  </w:style>
  <w:style w:type="table" w:styleId="Grilleclaire-Accent4">
    <w:name w:val="Light Grid Accent 4"/>
    <w:basedOn w:val="TableauNormal"/>
    <w:uiPriority w:val="62"/>
    <w:rsid w:val="006B2068"/>
    <w:rPr>
      <w:rFonts w:ascii="Calibri" w:eastAsia="Calibri" w:hAnsi="Calibri"/>
      <w:sz w:val="22"/>
      <w:szCs w:val="22"/>
      <w:lang w:val="en-GB" w:eastAsia="en-US"/>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Paragraphedeliste">
    <w:name w:val="List Paragraph"/>
    <w:basedOn w:val="Normal"/>
    <w:uiPriority w:val="34"/>
    <w:qFormat/>
    <w:rsid w:val="007468CF"/>
    <w:pPr>
      <w:spacing w:after="200" w:line="276" w:lineRule="auto"/>
      <w:ind w:left="720"/>
      <w:contextualSpacing/>
      <w:jc w:val="left"/>
    </w:pPr>
    <w:rPr>
      <w:rFonts w:ascii="Calibri" w:eastAsia="Calibri" w:hAnsi="Calibri"/>
      <w:szCs w:val="22"/>
      <w:lang w:val="en-GB" w:eastAsia="en-US"/>
    </w:rPr>
  </w:style>
  <w:style w:type="paragraph" w:styleId="Textedebulles">
    <w:name w:val="Balloon Text"/>
    <w:basedOn w:val="Normal"/>
    <w:link w:val="TextedebullesCar"/>
    <w:rsid w:val="0055722D"/>
    <w:pPr>
      <w:spacing w:after="0"/>
    </w:pPr>
    <w:rPr>
      <w:rFonts w:ascii="Tahoma" w:hAnsi="Tahoma"/>
      <w:sz w:val="16"/>
      <w:szCs w:val="16"/>
    </w:rPr>
  </w:style>
  <w:style w:type="character" w:customStyle="1" w:styleId="TextedebullesCar">
    <w:name w:val="Texte de bulles Car"/>
    <w:link w:val="Textedebulles"/>
    <w:rsid w:val="0055722D"/>
    <w:rPr>
      <w:rFonts w:ascii="Tahoma" w:hAnsi="Tahoma" w:cs="Tahoma"/>
      <w:sz w:val="16"/>
      <w:szCs w:val="16"/>
      <w:lang w:val="nb-NO" w:eastAsia="de-DE"/>
    </w:rPr>
  </w:style>
  <w:style w:type="character" w:styleId="Marquedecommentaire">
    <w:name w:val="annotation reference"/>
    <w:rsid w:val="00460F5F"/>
    <w:rPr>
      <w:sz w:val="16"/>
      <w:szCs w:val="16"/>
    </w:rPr>
  </w:style>
  <w:style w:type="paragraph" w:styleId="Commentaire">
    <w:name w:val="annotation text"/>
    <w:basedOn w:val="Normal"/>
    <w:link w:val="CommentaireCar"/>
    <w:rsid w:val="00460F5F"/>
    <w:rPr>
      <w:sz w:val="20"/>
    </w:rPr>
  </w:style>
  <w:style w:type="character" w:customStyle="1" w:styleId="CommentaireCar">
    <w:name w:val="Commentaire Car"/>
    <w:link w:val="Commentaire"/>
    <w:rsid w:val="00460F5F"/>
    <w:rPr>
      <w:rFonts w:ascii="Arial" w:hAnsi="Arial"/>
      <w:lang w:val="nb-NO" w:eastAsia="de-DE"/>
    </w:rPr>
  </w:style>
  <w:style w:type="paragraph" w:styleId="Objetducommentaire">
    <w:name w:val="annotation subject"/>
    <w:basedOn w:val="Commentaire"/>
    <w:next w:val="Commentaire"/>
    <w:link w:val="ObjetducommentaireCar"/>
    <w:rsid w:val="00460F5F"/>
    <w:rPr>
      <w:b/>
      <w:bCs/>
    </w:rPr>
  </w:style>
  <w:style w:type="character" w:customStyle="1" w:styleId="ObjetducommentaireCar">
    <w:name w:val="Objet du commentaire Car"/>
    <w:link w:val="Objetducommentaire"/>
    <w:rsid w:val="00460F5F"/>
    <w:rPr>
      <w:rFonts w:ascii="Arial" w:hAnsi="Arial"/>
      <w:b/>
      <w:bCs/>
      <w:lang w:val="nb-NO"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8938">
      <w:bodyDiv w:val="1"/>
      <w:marLeft w:val="0"/>
      <w:marRight w:val="0"/>
      <w:marTop w:val="0"/>
      <w:marBottom w:val="0"/>
      <w:divBdr>
        <w:top w:val="none" w:sz="0" w:space="0" w:color="auto"/>
        <w:left w:val="none" w:sz="0" w:space="0" w:color="auto"/>
        <w:bottom w:val="none" w:sz="0" w:space="0" w:color="auto"/>
        <w:right w:val="none" w:sz="0" w:space="0" w:color="auto"/>
      </w:divBdr>
      <w:divsChild>
        <w:div w:id="1226338395">
          <w:marLeft w:val="0"/>
          <w:marRight w:val="0"/>
          <w:marTop w:val="0"/>
          <w:marBottom w:val="0"/>
          <w:divBdr>
            <w:top w:val="none" w:sz="0" w:space="0" w:color="auto"/>
            <w:left w:val="none" w:sz="0" w:space="0" w:color="auto"/>
            <w:bottom w:val="none" w:sz="0" w:space="0" w:color="auto"/>
            <w:right w:val="none" w:sz="0" w:space="0" w:color="auto"/>
          </w:divBdr>
          <w:divsChild>
            <w:div w:id="1548836512">
              <w:marLeft w:val="0"/>
              <w:marRight w:val="0"/>
              <w:marTop w:val="0"/>
              <w:marBottom w:val="0"/>
              <w:divBdr>
                <w:top w:val="none" w:sz="0" w:space="0" w:color="auto"/>
                <w:left w:val="none" w:sz="0" w:space="0" w:color="auto"/>
                <w:bottom w:val="none" w:sz="0" w:space="0" w:color="auto"/>
                <w:right w:val="none" w:sz="0" w:space="0" w:color="auto"/>
              </w:divBdr>
              <w:divsChild>
                <w:div w:id="29710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322">
      <w:bodyDiv w:val="1"/>
      <w:marLeft w:val="0"/>
      <w:marRight w:val="0"/>
      <w:marTop w:val="0"/>
      <w:marBottom w:val="0"/>
      <w:divBdr>
        <w:top w:val="none" w:sz="0" w:space="0" w:color="auto"/>
        <w:left w:val="none" w:sz="0" w:space="0" w:color="auto"/>
        <w:bottom w:val="none" w:sz="0" w:space="0" w:color="auto"/>
        <w:right w:val="none" w:sz="0" w:space="0" w:color="auto"/>
      </w:divBdr>
    </w:div>
    <w:div w:id="1192644019">
      <w:bodyDiv w:val="1"/>
      <w:marLeft w:val="0"/>
      <w:marRight w:val="0"/>
      <w:marTop w:val="0"/>
      <w:marBottom w:val="0"/>
      <w:divBdr>
        <w:top w:val="none" w:sz="0" w:space="0" w:color="auto"/>
        <w:left w:val="none" w:sz="0" w:space="0" w:color="auto"/>
        <w:bottom w:val="none" w:sz="0" w:space="0" w:color="auto"/>
        <w:right w:val="none" w:sz="0" w:space="0" w:color="auto"/>
      </w:divBdr>
      <w:divsChild>
        <w:div w:id="452334862">
          <w:marLeft w:val="0"/>
          <w:marRight w:val="0"/>
          <w:marTop w:val="0"/>
          <w:marBottom w:val="0"/>
          <w:divBdr>
            <w:top w:val="none" w:sz="0" w:space="0" w:color="auto"/>
            <w:left w:val="none" w:sz="0" w:space="0" w:color="auto"/>
            <w:bottom w:val="none" w:sz="0" w:space="0" w:color="auto"/>
            <w:right w:val="none" w:sz="0" w:space="0" w:color="auto"/>
          </w:divBdr>
          <w:divsChild>
            <w:div w:id="1965621882">
              <w:marLeft w:val="0"/>
              <w:marRight w:val="0"/>
              <w:marTop w:val="0"/>
              <w:marBottom w:val="0"/>
              <w:divBdr>
                <w:top w:val="none" w:sz="0" w:space="0" w:color="auto"/>
                <w:left w:val="none" w:sz="0" w:space="0" w:color="auto"/>
                <w:bottom w:val="none" w:sz="0" w:space="0" w:color="auto"/>
                <w:right w:val="none" w:sz="0" w:space="0" w:color="auto"/>
              </w:divBdr>
              <w:divsChild>
                <w:div w:id="216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13127">
      <w:bodyDiv w:val="1"/>
      <w:marLeft w:val="0"/>
      <w:marRight w:val="0"/>
      <w:marTop w:val="0"/>
      <w:marBottom w:val="0"/>
      <w:divBdr>
        <w:top w:val="none" w:sz="0" w:space="0" w:color="auto"/>
        <w:left w:val="none" w:sz="0" w:space="0" w:color="auto"/>
        <w:bottom w:val="none" w:sz="0" w:space="0" w:color="auto"/>
        <w:right w:val="none" w:sz="0" w:space="0" w:color="auto"/>
      </w:divBdr>
      <w:divsChild>
        <w:div w:id="1650481948">
          <w:marLeft w:val="0"/>
          <w:marRight w:val="0"/>
          <w:marTop w:val="0"/>
          <w:marBottom w:val="0"/>
          <w:divBdr>
            <w:top w:val="none" w:sz="0" w:space="0" w:color="auto"/>
            <w:left w:val="none" w:sz="0" w:space="0" w:color="auto"/>
            <w:bottom w:val="none" w:sz="0" w:space="0" w:color="auto"/>
            <w:right w:val="none" w:sz="0" w:space="0" w:color="auto"/>
          </w:divBdr>
          <w:divsChild>
            <w:div w:id="700282978">
              <w:marLeft w:val="0"/>
              <w:marRight w:val="0"/>
              <w:marTop w:val="0"/>
              <w:marBottom w:val="0"/>
              <w:divBdr>
                <w:top w:val="none" w:sz="0" w:space="0" w:color="auto"/>
                <w:left w:val="none" w:sz="0" w:space="0" w:color="auto"/>
                <w:bottom w:val="none" w:sz="0" w:space="0" w:color="auto"/>
                <w:right w:val="none" w:sz="0" w:space="0" w:color="auto"/>
              </w:divBdr>
              <w:divsChild>
                <w:div w:id="4148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0662">
      <w:bodyDiv w:val="1"/>
      <w:marLeft w:val="0"/>
      <w:marRight w:val="0"/>
      <w:marTop w:val="0"/>
      <w:marBottom w:val="0"/>
      <w:divBdr>
        <w:top w:val="none" w:sz="0" w:space="0" w:color="auto"/>
        <w:left w:val="none" w:sz="0" w:space="0" w:color="auto"/>
        <w:bottom w:val="none" w:sz="0" w:space="0" w:color="auto"/>
        <w:right w:val="none" w:sz="0" w:space="0" w:color="auto"/>
      </w:divBdr>
    </w:div>
    <w:div w:id="1948926816">
      <w:bodyDiv w:val="1"/>
      <w:marLeft w:val="0"/>
      <w:marRight w:val="0"/>
      <w:marTop w:val="0"/>
      <w:marBottom w:val="0"/>
      <w:divBdr>
        <w:top w:val="none" w:sz="0" w:space="0" w:color="auto"/>
        <w:left w:val="none" w:sz="0" w:space="0" w:color="auto"/>
        <w:bottom w:val="none" w:sz="0" w:space="0" w:color="auto"/>
        <w:right w:val="none" w:sz="0" w:space="0" w:color="auto"/>
      </w:divBdr>
    </w:div>
    <w:div w:id="204277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O:\ECC\ECC_Org\FORM01_Input_contributi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6C6D2-BDCA-454D-B7A9-BC272DDC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FORM01_Input_contribution</Template>
  <TotalTime>2</TotalTime>
  <Pages>5</Pages>
  <Words>1960</Words>
  <Characters>10784</Characters>
  <Application>Microsoft Office Word</Application>
  <DocSecurity>0</DocSecurity>
  <Lines>89</Lines>
  <Paragraphs>25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Cover page</vt:lpstr>
      <vt:lpstr>Cover page</vt:lpstr>
      <vt:lpstr>Cover page</vt:lpstr>
    </vt:vector>
  </TitlesOfParts>
  <Company>BNetzA</Company>
  <LinksUpToDate>false</LinksUpToDate>
  <CharactersWithSpaces>12719</CharactersWithSpaces>
  <SharedDoc>false</SharedDoc>
  <HLinks>
    <vt:vector size="12" baseType="variant">
      <vt:variant>
        <vt:i4>7798842</vt:i4>
      </vt:variant>
      <vt:variant>
        <vt:i4>3</vt:i4>
      </vt:variant>
      <vt:variant>
        <vt:i4>0</vt:i4>
      </vt:variant>
      <vt:variant>
        <vt:i4>5</vt:i4>
      </vt:variant>
      <vt:variant>
        <vt:lpwstr>http://neilojwilliams.net/missioncreep/2009/how-to-write-a-corporate-twitter-strategy-and-heres-one-i-made-earlier/</vt:lpwstr>
      </vt:variant>
      <vt:variant>
        <vt:lpwstr/>
      </vt:variant>
      <vt:variant>
        <vt:i4>1638519</vt:i4>
      </vt:variant>
      <vt:variant>
        <vt:i4>0</vt:i4>
      </vt:variant>
      <vt:variant>
        <vt:i4>0</vt:i4>
      </vt:variant>
      <vt:variant>
        <vt:i4>5</vt:i4>
      </vt:variant>
      <vt:variant>
        <vt:lpwstr>C:\Users\Jeremy\Documents\Julie\www.twitter.com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subject>ECC Template</dc:subject>
  <dc:creator>221-1c</dc:creator>
  <cp:keywords>ECC, CEPT, Template</cp:keywords>
  <cp:lastModifiedBy>RISSONE Christian</cp:lastModifiedBy>
  <cp:revision>4</cp:revision>
  <cp:lastPrinted>2014-02-07T14:19:00Z</cp:lastPrinted>
  <dcterms:created xsi:type="dcterms:W3CDTF">2014-02-10T17:50:00Z</dcterms:created>
  <dcterms:modified xsi:type="dcterms:W3CDTF">2014-02-11T07:00:00Z</dcterms:modified>
</cp:coreProperties>
</file>