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91" w:rsidRPr="00C80991" w:rsidRDefault="00C80991" w:rsidP="00C80991">
      <w:pPr>
        <w:jc w:val="center"/>
        <w:rPr>
          <w:b/>
        </w:rPr>
      </w:pPr>
      <w:r w:rsidRPr="00C80991">
        <w:rPr>
          <w:b/>
        </w:rPr>
        <w:t>Correction in addition to the responses received to the Public Consultation of Table 5 of A</w:t>
      </w:r>
      <w:bookmarkStart w:id="0" w:name="_GoBack"/>
      <w:bookmarkEnd w:id="0"/>
      <w:r w:rsidRPr="00C80991">
        <w:rPr>
          <w:b/>
        </w:rPr>
        <w:t xml:space="preserve">nnex 4 of ECC </w:t>
      </w:r>
      <w:proofErr w:type="gramStart"/>
      <w:r w:rsidRPr="00C80991">
        <w:rPr>
          <w:b/>
        </w:rPr>
        <w:t>DEC(</w:t>
      </w:r>
      <w:proofErr w:type="gramEnd"/>
      <w:r w:rsidRPr="00C80991">
        <w:rPr>
          <w:b/>
        </w:rPr>
        <w:t xml:space="preserve">11)06 and </w:t>
      </w:r>
      <w:r>
        <w:rPr>
          <w:b/>
        </w:rPr>
        <w:t xml:space="preserve">its </w:t>
      </w:r>
      <w:r w:rsidRPr="00C80991">
        <w:rPr>
          <w:b/>
        </w:rPr>
        <w:t>implication to CEPT Report 49 and ECC Report 203.</w:t>
      </w:r>
    </w:p>
    <w:p w:rsidR="009E2717" w:rsidRDefault="009E2717" w:rsidP="009E2717">
      <w:r>
        <w:t xml:space="preserve">ECC PT1 proposes to introduce a correction in addition to the responses received to the Public Consultation. </w:t>
      </w:r>
    </w:p>
    <w:p w:rsidR="005C52DC" w:rsidRDefault="009E2717" w:rsidP="009E2717">
      <w:r>
        <w:t xml:space="preserve">Table 5 of Annex 4 contains BEM levels for the duplex gap in case of an FDD allocation in 3400 – 3600 </w:t>
      </w:r>
      <w:proofErr w:type="spellStart"/>
      <w:r>
        <w:t>MHz.</w:t>
      </w:r>
      <w:proofErr w:type="spellEnd"/>
      <w:r>
        <w:t xml:space="preserve"> For the frequency range 3490 – 3500 MHz, the proposed level is based on the spurious requirement </w:t>
      </w:r>
      <w:proofErr w:type="gramStart"/>
      <w:r>
        <w:t xml:space="preserve">of -30 </w:t>
      </w:r>
      <w:proofErr w:type="spellStart"/>
      <w:r>
        <w:t>dBm</w:t>
      </w:r>
      <w:proofErr w:type="spellEnd"/>
      <w:r>
        <w:t>/</w:t>
      </w:r>
      <w:proofErr w:type="spellStart"/>
      <w:r>
        <w:t>MHz</w:t>
      </w:r>
      <w:proofErr w:type="gramEnd"/>
      <w:r>
        <w:t>.</w:t>
      </w:r>
      <w:proofErr w:type="spellEnd"/>
      <w:r>
        <w:t xml:space="preserve"> This value is converted to 5 MHz measurement bandwidth by adding 7 dB, resulting </w:t>
      </w:r>
      <w:proofErr w:type="gramStart"/>
      <w:r>
        <w:t xml:space="preserve">in -23 </w:t>
      </w:r>
      <w:proofErr w:type="spellStart"/>
      <w:r>
        <w:t>dBm</w:t>
      </w:r>
      <w:proofErr w:type="spellEnd"/>
      <w:r>
        <w:t xml:space="preserve">/5 </w:t>
      </w:r>
      <w:proofErr w:type="spellStart"/>
      <w:r>
        <w:t>MHz</w:t>
      </w:r>
      <w:proofErr w:type="gramEnd"/>
      <w:r>
        <w:t>.</w:t>
      </w:r>
      <w:proofErr w:type="spellEnd"/>
    </w:p>
    <w:p w:rsidR="002B3ED4" w:rsidRDefault="009E2717" w:rsidP="009E2717">
      <w:r w:rsidRPr="009E2717">
        <w:t xml:space="preserve">This value is defined at the antenna port, and it is thus necessary to correct this BEM level to “-23 </w:t>
      </w:r>
      <w:proofErr w:type="spellStart"/>
      <w:r w:rsidRPr="009E2717">
        <w:t>dBm</w:t>
      </w:r>
      <w:proofErr w:type="spellEnd"/>
      <w:r w:rsidRPr="009E2717">
        <w:t xml:space="preserve">/5 MHz per antenna port” instead of “-23 </w:t>
      </w:r>
      <w:proofErr w:type="spellStart"/>
      <w:r w:rsidRPr="009E2717">
        <w:t>dBm</w:t>
      </w:r>
      <w:proofErr w:type="spellEnd"/>
      <w:r w:rsidRPr="009E2717">
        <w:t xml:space="preserve">/5 MHz </w:t>
      </w:r>
      <w:proofErr w:type="spellStart"/>
      <w:r w:rsidRPr="009E2717">
        <w:t>e.i.r.p</w:t>
      </w:r>
      <w:proofErr w:type="spellEnd"/>
      <w:r w:rsidRPr="009E2717">
        <w:t>. per antenna”</w:t>
      </w:r>
      <w:r w:rsidR="00296885">
        <w:t xml:space="preserve">. </w:t>
      </w:r>
    </w:p>
    <w:p w:rsidR="009E2717" w:rsidRDefault="002B3ED4" w:rsidP="009E2717">
      <w:r>
        <w:t>T</w:t>
      </w:r>
      <w:r w:rsidR="009E2717">
        <w:t xml:space="preserve">he </w:t>
      </w:r>
      <w:proofErr w:type="gramStart"/>
      <w:r w:rsidR="009E2717">
        <w:t>revision made due to this correction</w:t>
      </w:r>
      <w:r w:rsidR="00C80991">
        <w:t xml:space="preserve"> </w:t>
      </w:r>
      <w:r>
        <w:t>are</w:t>
      </w:r>
      <w:proofErr w:type="gramEnd"/>
      <w:r>
        <w:t xml:space="preserve"> shown below:</w:t>
      </w:r>
    </w:p>
    <w:p w:rsidR="009E2717" w:rsidRPr="009E2717" w:rsidRDefault="009E2717" w:rsidP="009E2717">
      <w:pPr>
        <w:jc w:val="center"/>
        <w:rPr>
          <w:rFonts w:ascii="Arial" w:hAnsi="Arial" w:cs="Arial"/>
          <w:b/>
        </w:rPr>
      </w:pPr>
      <w:r w:rsidRPr="009E2717">
        <w:rPr>
          <w:rFonts w:ascii="Arial" w:hAnsi="Arial" w:cs="Arial"/>
          <w:b/>
        </w:rPr>
        <w:t>Table 5: Guard band power limits for the FDD frequency arrangement</w:t>
      </w:r>
    </w:p>
    <w:tbl>
      <w:tblPr>
        <w:tblW w:w="10065" w:type="dxa"/>
        <w:tblInd w:w="-318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83"/>
        <w:gridCol w:w="3475"/>
        <w:gridCol w:w="4407"/>
      </w:tblGrid>
      <w:tr w:rsidR="009E2717" w:rsidRPr="009746A4" w:rsidTr="00771A13">
        <w:trPr>
          <w:tblHeader/>
        </w:trPr>
        <w:tc>
          <w:tcPr>
            <w:tcW w:w="2183" w:type="dxa"/>
            <w:tcBorders>
              <w:righ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BEM element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Frequency range</w:t>
            </w:r>
          </w:p>
        </w:tc>
        <w:tc>
          <w:tcPr>
            <w:tcW w:w="4407" w:type="dxa"/>
            <w:tcBorders>
              <w:lef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Power limit</w:t>
            </w:r>
          </w:p>
        </w:tc>
      </w:tr>
      <w:tr w:rsidR="009E2717" w:rsidRPr="009746A4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3400-3410 MHz</w:t>
            </w:r>
          </w:p>
        </w:tc>
        <w:tc>
          <w:tcPr>
            <w:tcW w:w="4407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 xml:space="preserve">-34 </w:t>
            </w:r>
            <w:proofErr w:type="spellStart"/>
            <w:r w:rsidRPr="009746A4">
              <w:rPr>
                <w:rFonts w:ascii="Arial" w:hAnsi="Arial" w:cs="Arial"/>
              </w:rPr>
              <w:t>dBm</w:t>
            </w:r>
            <w:proofErr w:type="spellEnd"/>
            <w:r w:rsidRPr="009746A4">
              <w:rPr>
                <w:rFonts w:ascii="Arial" w:hAnsi="Arial" w:cs="Arial"/>
              </w:rPr>
              <w:t xml:space="preserve">/5 MHz </w:t>
            </w:r>
            <w:proofErr w:type="spellStart"/>
            <w:r w:rsidRPr="009746A4">
              <w:rPr>
                <w:rFonts w:ascii="Arial" w:hAnsi="Arial" w:cs="Arial"/>
              </w:rPr>
              <w:t>e.i.r.p</w:t>
            </w:r>
            <w:proofErr w:type="spellEnd"/>
            <w:r w:rsidRPr="009746A4">
              <w:rPr>
                <w:rFonts w:ascii="Arial" w:hAnsi="Arial" w:cs="Arial"/>
              </w:rPr>
              <w:t>. per cell</w:t>
            </w:r>
          </w:p>
        </w:tc>
      </w:tr>
      <w:tr w:rsidR="009E2717" w:rsidRPr="006772C6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3490-3500 MHz</w:t>
            </w:r>
          </w:p>
        </w:tc>
        <w:tc>
          <w:tcPr>
            <w:tcW w:w="4407" w:type="dxa"/>
          </w:tcPr>
          <w:p w:rsidR="009E2717" w:rsidRPr="006035BE" w:rsidRDefault="009E2717" w:rsidP="009E2717">
            <w:pPr>
              <w:rPr>
                <w:rFonts w:ascii="Arial" w:hAnsi="Arial" w:cs="Arial"/>
                <w:lang w:val="sv-SE"/>
              </w:rPr>
            </w:pPr>
            <w:r w:rsidRPr="006035BE">
              <w:rPr>
                <w:rFonts w:ascii="Arial" w:hAnsi="Arial" w:cs="Arial"/>
                <w:lang w:val="sv-SE"/>
              </w:rPr>
              <w:t xml:space="preserve">-23 dBm/5 MHz </w:t>
            </w:r>
            <w:r w:rsidRPr="006035BE">
              <w:rPr>
                <w:rFonts w:ascii="Arial" w:hAnsi="Arial" w:cs="Arial"/>
                <w:strike/>
                <w:color w:val="FF0000"/>
                <w:lang w:val="sv-SE"/>
              </w:rPr>
              <w:t>e.i.r.p</w:t>
            </w:r>
            <w:r w:rsidRPr="006035BE">
              <w:rPr>
                <w:rFonts w:ascii="Arial" w:hAnsi="Arial" w:cs="Arial"/>
                <w:color w:val="FF0000"/>
                <w:lang w:val="sv-SE"/>
              </w:rPr>
              <w:t xml:space="preserve"> </w:t>
            </w:r>
            <w:r w:rsidRPr="006035BE">
              <w:rPr>
                <w:rFonts w:ascii="Arial" w:hAnsi="Arial" w:cs="Arial"/>
                <w:lang w:val="sv-SE"/>
              </w:rPr>
              <w:t>per antenna</w:t>
            </w:r>
            <w:r w:rsidRPr="006035BE">
              <w:rPr>
                <w:rFonts w:ascii="Arial" w:hAnsi="Arial" w:cs="Arial"/>
                <w:color w:val="FF0000"/>
                <w:lang w:val="sv-SE"/>
              </w:rPr>
              <w:t xml:space="preserve"> port</w:t>
            </w:r>
          </w:p>
        </w:tc>
      </w:tr>
      <w:tr w:rsidR="009E2717" w:rsidRPr="009746A4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3500-3510 MHz</w:t>
            </w:r>
          </w:p>
        </w:tc>
        <w:tc>
          <w:tcPr>
            <w:tcW w:w="4407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proofErr w:type="gramStart"/>
            <w:r w:rsidRPr="009746A4">
              <w:rPr>
                <w:rFonts w:ascii="Arial" w:hAnsi="Arial" w:cs="Arial"/>
              </w:rPr>
              <w:t>Min(</w:t>
            </w:r>
            <w:proofErr w:type="spellStart"/>
            <w:proofErr w:type="gramEnd"/>
            <w:r w:rsidRPr="009746A4">
              <w:rPr>
                <w:rFonts w:ascii="Arial" w:hAnsi="Arial" w:cs="Arial"/>
              </w:rPr>
              <w:t>P</w:t>
            </w:r>
            <w:r w:rsidRPr="009746A4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9746A4">
              <w:rPr>
                <w:rFonts w:ascii="Arial" w:hAnsi="Arial" w:cs="Arial"/>
              </w:rPr>
              <w:t xml:space="preserve"> – 43, 13) </w:t>
            </w:r>
            <w:proofErr w:type="spellStart"/>
            <w:r w:rsidRPr="009746A4">
              <w:rPr>
                <w:rFonts w:ascii="Arial" w:hAnsi="Arial" w:cs="Arial"/>
              </w:rPr>
              <w:t>dBm</w:t>
            </w:r>
            <w:proofErr w:type="spellEnd"/>
            <w:r w:rsidRPr="009746A4">
              <w:rPr>
                <w:rFonts w:ascii="Arial" w:hAnsi="Arial" w:cs="Arial"/>
              </w:rPr>
              <w:t xml:space="preserve">/5 MHz </w:t>
            </w:r>
            <w:r w:rsidRPr="009746A4">
              <w:rPr>
                <w:rFonts w:ascii="Arial" w:hAnsi="Arial" w:cs="Arial"/>
              </w:rPr>
              <w:br/>
            </w:r>
            <w:proofErr w:type="spellStart"/>
            <w:r w:rsidRPr="009746A4">
              <w:rPr>
                <w:rFonts w:ascii="Arial" w:hAnsi="Arial" w:cs="Arial"/>
              </w:rPr>
              <w:t>e.i.r.p</w:t>
            </w:r>
            <w:proofErr w:type="spellEnd"/>
            <w:r w:rsidRPr="009746A4">
              <w:rPr>
                <w:rFonts w:ascii="Arial" w:hAnsi="Arial" w:cs="Arial"/>
              </w:rPr>
              <w:t>.  per antenna</w:t>
            </w:r>
          </w:p>
        </w:tc>
      </w:tr>
      <w:tr w:rsidR="009E2717" w:rsidRPr="006772C6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3590-3600 MHz</w:t>
            </w:r>
          </w:p>
        </w:tc>
        <w:tc>
          <w:tcPr>
            <w:tcW w:w="4407" w:type="dxa"/>
          </w:tcPr>
          <w:p w:rsidR="009E2717" w:rsidRPr="006035BE" w:rsidRDefault="009E2717" w:rsidP="00771A13">
            <w:pPr>
              <w:rPr>
                <w:rFonts w:ascii="Arial" w:hAnsi="Arial" w:cs="Arial"/>
                <w:lang w:val="sv-SE"/>
              </w:rPr>
            </w:pPr>
            <w:r w:rsidRPr="006035BE">
              <w:rPr>
                <w:rFonts w:ascii="Arial" w:hAnsi="Arial" w:cs="Arial"/>
                <w:lang w:val="sv-SE"/>
              </w:rPr>
              <w:t>Min(P</w:t>
            </w:r>
            <w:r w:rsidRPr="006035BE">
              <w:rPr>
                <w:rFonts w:ascii="Arial" w:hAnsi="Arial" w:cs="Arial"/>
                <w:vertAlign w:val="subscript"/>
                <w:lang w:val="sv-SE"/>
              </w:rPr>
              <w:t>Max</w:t>
            </w:r>
            <w:r w:rsidRPr="006035BE">
              <w:rPr>
                <w:rFonts w:ascii="Arial" w:hAnsi="Arial" w:cs="Arial"/>
                <w:lang w:val="sv-SE"/>
              </w:rPr>
              <w:t xml:space="preserve"> – 43, 13) dBm/5 MHz </w:t>
            </w:r>
            <w:r w:rsidRPr="006035BE">
              <w:rPr>
                <w:rFonts w:ascii="Arial" w:hAnsi="Arial" w:cs="Arial"/>
                <w:lang w:val="sv-SE"/>
              </w:rPr>
              <w:br/>
              <w:t>e.i.r.p. per antenna</w:t>
            </w:r>
          </w:p>
        </w:tc>
      </w:tr>
    </w:tbl>
    <w:p w:rsidR="009E2717" w:rsidRPr="009E2717" w:rsidRDefault="009E2717" w:rsidP="009E2717">
      <w:pPr>
        <w:spacing w:after="240"/>
        <w:jc w:val="both"/>
        <w:rPr>
          <w:rFonts w:ascii="Arial" w:eastAsia="MS Mincho" w:hAnsi="Arial" w:cs="Arial"/>
          <w:color w:val="FF0000"/>
        </w:rPr>
      </w:pPr>
      <w:r w:rsidRPr="009E2717">
        <w:rPr>
          <w:rFonts w:ascii="Arial" w:eastAsia="MS Mincho" w:hAnsi="Arial" w:cs="Arial"/>
          <w:color w:val="FF0000"/>
        </w:rPr>
        <w:t xml:space="preserve">Note: The power limit for the frequency range 3490 – 3500 MHz is based on the spurious emission requirement of -30 </w:t>
      </w:r>
      <w:proofErr w:type="spellStart"/>
      <w:r w:rsidRPr="009E2717">
        <w:rPr>
          <w:rFonts w:ascii="Arial" w:eastAsia="MS Mincho" w:hAnsi="Arial" w:cs="Arial"/>
          <w:color w:val="FF0000"/>
        </w:rPr>
        <w:t>dBm</w:t>
      </w:r>
      <w:proofErr w:type="spellEnd"/>
      <w:r w:rsidRPr="009E2717">
        <w:rPr>
          <w:rFonts w:ascii="Arial" w:eastAsia="MS Mincho" w:hAnsi="Arial" w:cs="Arial"/>
          <w:color w:val="FF0000"/>
        </w:rPr>
        <w:t>/MHz</w:t>
      </w:r>
      <w:r w:rsidR="006772C6">
        <w:rPr>
          <w:rFonts w:ascii="Arial" w:eastAsia="MS Mincho" w:hAnsi="Arial" w:cs="Arial"/>
          <w:color w:val="FF0000"/>
        </w:rPr>
        <w:t xml:space="preserve"> at the antenna port</w:t>
      </w:r>
      <w:r w:rsidRPr="009E2717">
        <w:rPr>
          <w:rFonts w:ascii="Arial" w:eastAsia="MS Mincho" w:hAnsi="Arial" w:cs="Arial"/>
          <w:color w:val="FF0000"/>
        </w:rPr>
        <w:t xml:space="preserve">, converted to 5 MHz bandwidth. </w:t>
      </w:r>
    </w:p>
    <w:p w:rsidR="00C80991" w:rsidRPr="006035BE" w:rsidRDefault="00C80991" w:rsidP="00C80991">
      <w:pPr>
        <w:rPr>
          <w:b/>
        </w:rPr>
      </w:pPr>
      <w:r w:rsidRPr="006035BE">
        <w:rPr>
          <w:b/>
        </w:rPr>
        <w:t xml:space="preserve">As a consequence the ECC PT1 informs the ECC that a revision of the CEPT Report 49 and the ECC Report 203 </w:t>
      </w:r>
      <w:r w:rsidR="006035BE" w:rsidRPr="006035BE">
        <w:rPr>
          <w:b/>
        </w:rPr>
        <w:t>is required</w:t>
      </w:r>
      <w:r w:rsidR="00D91349" w:rsidRPr="006035BE">
        <w:rPr>
          <w:b/>
        </w:rPr>
        <w:t>. The revision</w:t>
      </w:r>
      <w:r w:rsidR="002B3ED4" w:rsidRPr="006035BE">
        <w:rPr>
          <w:b/>
        </w:rPr>
        <w:t>s</w:t>
      </w:r>
      <w:r w:rsidR="00D91349" w:rsidRPr="006035BE">
        <w:rPr>
          <w:b/>
        </w:rPr>
        <w:t xml:space="preserve"> will be </w:t>
      </w:r>
      <w:r w:rsidR="006035BE" w:rsidRPr="006035BE">
        <w:rPr>
          <w:b/>
        </w:rPr>
        <w:t>required</w:t>
      </w:r>
      <w:r w:rsidR="00D91349" w:rsidRPr="006035BE">
        <w:rPr>
          <w:b/>
        </w:rPr>
        <w:t xml:space="preserve"> in the following tables</w:t>
      </w:r>
      <w:r w:rsidRPr="006035BE">
        <w:rPr>
          <w:b/>
        </w:rPr>
        <w:t>:</w:t>
      </w:r>
    </w:p>
    <w:p w:rsidR="00C80991" w:rsidRDefault="00C80991" w:rsidP="00C80991">
      <w:pPr>
        <w:pStyle w:val="Paragraphedeliste"/>
        <w:numPr>
          <w:ilvl w:val="0"/>
          <w:numId w:val="3"/>
        </w:numPr>
      </w:pPr>
      <w:r>
        <w:t>CEPT Report 49:</w:t>
      </w:r>
    </w:p>
    <w:p w:rsidR="00C80991" w:rsidRDefault="00C80991" w:rsidP="00C80991">
      <w:pPr>
        <w:pStyle w:val="Paragraphedeliste"/>
        <w:numPr>
          <w:ilvl w:val="1"/>
          <w:numId w:val="3"/>
        </w:numPr>
      </w:pPr>
      <w:r>
        <w:t>Page 4, Executive summary: Table 5</w:t>
      </w:r>
    </w:p>
    <w:p w:rsidR="00C80991" w:rsidRDefault="00C80991" w:rsidP="00C80991">
      <w:pPr>
        <w:pStyle w:val="Paragraphedeliste"/>
        <w:numPr>
          <w:ilvl w:val="1"/>
          <w:numId w:val="3"/>
        </w:numPr>
      </w:pPr>
      <w:r>
        <w:t>Page 17, Section 2.2: Table 11</w:t>
      </w:r>
    </w:p>
    <w:p w:rsidR="00C80991" w:rsidRDefault="00C80991" w:rsidP="00C80991">
      <w:pPr>
        <w:pStyle w:val="Paragraphedeliste"/>
        <w:numPr>
          <w:ilvl w:val="1"/>
          <w:numId w:val="3"/>
        </w:numPr>
      </w:pPr>
      <w:r>
        <w:t>Page 30, Conclusions: Table 17</w:t>
      </w:r>
    </w:p>
    <w:p w:rsidR="00C80991" w:rsidRDefault="00C80991" w:rsidP="00C80991">
      <w:pPr>
        <w:pStyle w:val="Paragraphedeliste"/>
        <w:numPr>
          <w:ilvl w:val="0"/>
          <w:numId w:val="3"/>
        </w:numPr>
      </w:pPr>
      <w:r>
        <w:t>ECC Report 203</w:t>
      </w:r>
    </w:p>
    <w:p w:rsidR="00D91349" w:rsidRDefault="00D91349" w:rsidP="00D91349">
      <w:pPr>
        <w:pStyle w:val="Paragraphedeliste"/>
        <w:numPr>
          <w:ilvl w:val="1"/>
          <w:numId w:val="3"/>
        </w:numPr>
      </w:pPr>
      <w:r>
        <w:t>Page 4, Executive summary: Table 5</w:t>
      </w:r>
    </w:p>
    <w:p w:rsidR="00D91349" w:rsidRDefault="00D91349" w:rsidP="00D91349">
      <w:pPr>
        <w:pStyle w:val="Paragraphedeliste"/>
        <w:numPr>
          <w:ilvl w:val="1"/>
          <w:numId w:val="3"/>
        </w:numPr>
      </w:pPr>
      <w:r>
        <w:t>Page 36, Section 3.4.1: Table 28</w:t>
      </w:r>
    </w:p>
    <w:p w:rsidR="00D91349" w:rsidRDefault="00D91349" w:rsidP="00D91349">
      <w:pPr>
        <w:pStyle w:val="Paragraphedeliste"/>
        <w:numPr>
          <w:ilvl w:val="1"/>
          <w:numId w:val="3"/>
        </w:numPr>
      </w:pPr>
      <w:r>
        <w:t>Page 59, Conclusions: Table 36</w:t>
      </w:r>
    </w:p>
    <w:p w:rsidR="009E2717" w:rsidRDefault="009E2717" w:rsidP="009E2717"/>
    <w:sectPr w:rsidR="009E27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38" w:rsidRDefault="006D7838" w:rsidP="0051371A">
      <w:pPr>
        <w:spacing w:after="0" w:line="240" w:lineRule="auto"/>
      </w:pPr>
      <w:r>
        <w:separator/>
      </w:r>
    </w:p>
  </w:endnote>
  <w:endnote w:type="continuationSeparator" w:id="0">
    <w:p w:rsidR="006D7838" w:rsidRDefault="006D7838" w:rsidP="0051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38" w:rsidRDefault="006D7838" w:rsidP="0051371A">
      <w:pPr>
        <w:spacing w:after="0" w:line="240" w:lineRule="auto"/>
      </w:pPr>
      <w:r>
        <w:separator/>
      </w:r>
    </w:p>
  </w:footnote>
  <w:footnote w:type="continuationSeparator" w:id="0">
    <w:p w:rsidR="006D7838" w:rsidRDefault="006D7838" w:rsidP="0051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1A" w:rsidRDefault="0051371A" w:rsidP="0051371A">
    <w:pPr>
      <w:pStyle w:val="En-tte"/>
      <w:jc w:val="right"/>
    </w:pPr>
    <w:r>
      <w:t xml:space="preserve">ECC </w:t>
    </w:r>
    <w:proofErr w:type="gramStart"/>
    <w:r>
      <w:t>SG(</w:t>
    </w:r>
    <w:proofErr w:type="gramEnd"/>
    <w:r>
      <w:t>14)01</w:t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5855"/>
    <w:multiLevelType w:val="hybridMultilevel"/>
    <w:tmpl w:val="DB4C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212E4"/>
    <w:multiLevelType w:val="multilevel"/>
    <w:tmpl w:val="53BE3A7E"/>
    <w:lvl w:ilvl="0">
      <w:start w:val="1"/>
      <w:numFmt w:val="decimal"/>
      <w:pStyle w:val="ECCTabletitle"/>
      <w:suff w:val="space"/>
      <w:lvlText w:val="Table %1:"/>
      <w:lvlJc w:val="left"/>
      <w:pPr>
        <w:ind w:left="192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432"/>
      </w:pPr>
    </w:lvl>
    <w:lvl w:ilvl="2">
      <w:start w:val="1"/>
      <w:numFmt w:val="decimal"/>
      <w:lvlText w:val="%1.%2.%3."/>
      <w:lvlJc w:val="left"/>
      <w:pPr>
        <w:tabs>
          <w:tab w:val="num" w:pos="2432"/>
        </w:tabs>
        <w:ind w:left="2216" w:hanging="504"/>
      </w:pPr>
    </w:lvl>
    <w:lvl w:ilvl="3">
      <w:start w:val="1"/>
      <w:numFmt w:val="decimal"/>
      <w:lvlText w:val="%1.%2.%3.%4."/>
      <w:lvlJc w:val="left"/>
      <w:pPr>
        <w:tabs>
          <w:tab w:val="num" w:pos="2792"/>
        </w:tabs>
        <w:ind w:left="2720" w:hanging="648"/>
      </w:p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7"/>
    <w:rsid w:val="00200992"/>
    <w:rsid w:val="00274B17"/>
    <w:rsid w:val="00296885"/>
    <w:rsid w:val="002B3ED4"/>
    <w:rsid w:val="004B37E2"/>
    <w:rsid w:val="0051371A"/>
    <w:rsid w:val="006035BE"/>
    <w:rsid w:val="006772C6"/>
    <w:rsid w:val="006D7838"/>
    <w:rsid w:val="0083679B"/>
    <w:rsid w:val="008D1844"/>
    <w:rsid w:val="009E2717"/>
    <w:rsid w:val="00AE7F66"/>
    <w:rsid w:val="00B639C7"/>
    <w:rsid w:val="00C80991"/>
    <w:rsid w:val="00D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Tabletitle">
    <w:name w:val="ECC Table title"/>
    <w:basedOn w:val="Normal"/>
    <w:next w:val="Normal"/>
    <w:autoRedefine/>
    <w:uiPriority w:val="99"/>
    <w:rsid w:val="009E2717"/>
    <w:pPr>
      <w:keepNext/>
      <w:numPr>
        <w:numId w:val="1"/>
      </w:numPr>
      <w:spacing w:before="360" w:after="240" w:line="240" w:lineRule="auto"/>
      <w:jc w:val="center"/>
    </w:pPr>
    <w:rPr>
      <w:rFonts w:ascii="Arial" w:eastAsia="Batang" w:hAnsi="Arial" w:cs="Arial"/>
      <w:b/>
      <w:color w:val="D2232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809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71A"/>
  </w:style>
  <w:style w:type="paragraph" w:styleId="Pieddepage">
    <w:name w:val="footer"/>
    <w:basedOn w:val="Normal"/>
    <w:link w:val="PieddepageCar"/>
    <w:uiPriority w:val="99"/>
    <w:unhideWhenUsed/>
    <w:rsid w:val="0051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Tabletitle">
    <w:name w:val="ECC Table title"/>
    <w:basedOn w:val="Normal"/>
    <w:next w:val="Normal"/>
    <w:autoRedefine/>
    <w:uiPriority w:val="99"/>
    <w:rsid w:val="009E2717"/>
    <w:pPr>
      <w:keepNext/>
      <w:numPr>
        <w:numId w:val="1"/>
      </w:numPr>
      <w:spacing w:before="360" w:after="240" w:line="240" w:lineRule="auto"/>
      <w:jc w:val="center"/>
    </w:pPr>
    <w:rPr>
      <w:rFonts w:ascii="Arial" w:eastAsia="Batang" w:hAnsi="Arial" w:cs="Arial"/>
      <w:b/>
      <w:color w:val="D2232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809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71A"/>
  </w:style>
  <w:style w:type="paragraph" w:styleId="Pieddepage">
    <w:name w:val="footer"/>
    <w:basedOn w:val="Normal"/>
    <w:link w:val="PieddepageCar"/>
    <w:uiPriority w:val="99"/>
    <w:unhideWhenUsed/>
    <w:rsid w:val="0051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Kermoal</dc:creator>
  <cp:lastModifiedBy>RISSONE Christian</cp:lastModifiedBy>
  <cp:revision>5</cp:revision>
  <dcterms:created xsi:type="dcterms:W3CDTF">2014-01-17T09:02:00Z</dcterms:created>
  <dcterms:modified xsi:type="dcterms:W3CDTF">2014-02-11T19:25:00Z</dcterms:modified>
</cp:coreProperties>
</file>