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14:anchorId="2A61A959" wp14:editId="7FAA7ACB">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2E67C7">
            <w:pPr>
              <w:pStyle w:val="Header2"/>
              <w:tabs>
                <w:tab w:val="clear" w:pos="4536"/>
                <w:tab w:val="right" w:pos="3357"/>
              </w:tabs>
            </w:pPr>
            <w:r>
              <w:tab/>
            </w:r>
            <w:r w:rsidR="00B26358">
              <w:t>ECC</w:t>
            </w:r>
            <w:r w:rsidR="00E96AC0">
              <w:t xml:space="preserve"> SG</w:t>
            </w:r>
            <w:r w:rsidR="00B26358">
              <w:t>(1</w:t>
            </w:r>
            <w:r w:rsidR="002E67C7">
              <w:t>4</w:t>
            </w:r>
            <w:r w:rsidR="00842A51">
              <w:t>)</w:t>
            </w:r>
            <w:r w:rsidR="00547D0D">
              <w:t>026</w:t>
            </w:r>
            <w:r w:rsidR="00533846">
              <w:t xml:space="preserve"> </w:t>
            </w: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F23FC7">
            <w:pPr>
              <w:pStyle w:val="Header2"/>
            </w:pPr>
            <w:r>
              <w:t>3</w:t>
            </w:r>
            <w:r w:rsidR="00F23FC7">
              <w:t>6</w:t>
            </w:r>
            <w:r w:rsidR="00AD419E">
              <w:t>th</w:t>
            </w:r>
            <w:r>
              <w:t xml:space="preserve"> </w:t>
            </w:r>
            <w:r w:rsidR="001E0E49">
              <w:t>Meeting</w:t>
            </w:r>
            <w:r w:rsidR="003A1EC7">
              <w:t xml:space="preserve"> ECC SG</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bookmarkStart w:id="0" w:name="_GoBack"/>
            <w:bookmarkEnd w:id="0"/>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F23FC7">
            <w:pPr>
              <w:pStyle w:val="Header2"/>
            </w:pPr>
            <w:r>
              <w:t>Maiso</w:t>
            </w:r>
            <w:r w:rsidR="00094204">
              <w:t>ns Alfort</w:t>
            </w:r>
            <w:r w:rsidR="001E0E49">
              <w:t xml:space="preserve">, </w:t>
            </w:r>
            <w:r w:rsidR="00F23FC7">
              <w:t>3rd June 2014</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0E668B">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6"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F23FC7" w:rsidP="00F23FC7">
            <w:pPr>
              <w:pStyle w:val="Header2"/>
              <w:rPr>
                <w:b w:val="0"/>
                <w:lang w:val="en-GB"/>
              </w:rPr>
            </w:pPr>
            <w:r>
              <w:rPr>
                <w:b w:val="0"/>
                <w:lang w:val="en-GB"/>
              </w:rPr>
              <w:t>30</w:t>
            </w:r>
            <w:r w:rsidRPr="00F23FC7">
              <w:rPr>
                <w:b w:val="0"/>
                <w:vertAlign w:val="superscript"/>
                <w:lang w:val="en-GB"/>
              </w:rPr>
              <w:t>th</w:t>
            </w:r>
            <w:r>
              <w:rPr>
                <w:b w:val="0"/>
                <w:lang w:val="en-GB"/>
              </w:rPr>
              <w:t xml:space="preserve"> May 2014</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F23FC7" w:rsidP="00AD419E">
            <w:pPr>
              <w:pStyle w:val="Header2"/>
              <w:rPr>
                <w:b w:val="0"/>
                <w:lang w:val="en-GB"/>
              </w:rPr>
            </w:pPr>
            <w:r>
              <w:rPr>
                <w:b w:val="0"/>
                <w:lang w:val="en-GB"/>
              </w:rPr>
              <w:t>Proposed ECO Presentation on EFIS at June 2014 ECC Meeting</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14:anchorId="4A35B82E" wp14:editId="09E78EE9">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2E67C7" w:rsidRPr="0029315F" w:rsidTr="00277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3"/>
        </w:trPr>
        <w:tc>
          <w:tcPr>
            <w:tcW w:w="9432" w:type="dxa"/>
            <w:gridSpan w:val="4"/>
            <w:tcBorders>
              <w:top w:val="nil"/>
            </w:tcBorders>
          </w:tcPr>
          <w:p w:rsidR="002E67C7" w:rsidRDefault="002E67C7" w:rsidP="002E67C7">
            <w:pPr>
              <w:rPr>
                <w:bCs/>
                <w:szCs w:val="24"/>
                <w:lang w:val="en-GB"/>
              </w:rPr>
            </w:pPr>
            <w:r>
              <w:rPr>
                <w:bCs/>
                <w:szCs w:val="24"/>
                <w:lang w:val="en-GB"/>
              </w:rPr>
              <w:t>The agenda for this meeting</w:t>
            </w:r>
            <w:r w:rsidR="00277447">
              <w:rPr>
                <w:bCs/>
                <w:szCs w:val="24"/>
                <w:lang w:val="en-GB"/>
              </w:rPr>
              <w:t>,</w:t>
            </w:r>
            <w:r>
              <w:rPr>
                <w:bCs/>
                <w:szCs w:val="24"/>
                <w:lang w:val="en-GB"/>
              </w:rPr>
              <w:t xml:space="preserve"> ECC </w:t>
            </w:r>
            <w:proofErr w:type="gramStart"/>
            <w:r>
              <w:rPr>
                <w:bCs/>
                <w:szCs w:val="24"/>
                <w:lang w:val="en-GB"/>
              </w:rPr>
              <w:t>SG(</w:t>
            </w:r>
            <w:proofErr w:type="gramEnd"/>
            <w:r>
              <w:rPr>
                <w:bCs/>
                <w:szCs w:val="24"/>
                <w:lang w:val="en-GB"/>
              </w:rPr>
              <w:t>14)18</w:t>
            </w:r>
            <w:r w:rsidR="00277447">
              <w:rPr>
                <w:bCs/>
                <w:szCs w:val="24"/>
                <w:lang w:val="en-GB"/>
              </w:rPr>
              <w:t>,</w:t>
            </w:r>
            <w:r>
              <w:rPr>
                <w:bCs/>
                <w:szCs w:val="24"/>
                <w:lang w:val="en-GB"/>
              </w:rPr>
              <w:t xml:space="preserve"> anticipates agreeing the draft agenda for the ECC Plenary (ECC(14)026) in June.</w:t>
            </w:r>
          </w:p>
          <w:p w:rsidR="002E67C7" w:rsidRDefault="002E67C7" w:rsidP="002E67C7">
            <w:pPr>
              <w:rPr>
                <w:bCs/>
                <w:szCs w:val="24"/>
                <w:lang w:val="en-GB"/>
              </w:rPr>
            </w:pPr>
            <w:r>
              <w:rPr>
                <w:bCs/>
                <w:szCs w:val="24"/>
                <w:lang w:val="en-GB"/>
              </w:rPr>
              <w:t xml:space="preserve">Developments of the EFIS tool in the last </w:t>
            </w:r>
            <w:r w:rsidR="00277447">
              <w:rPr>
                <w:bCs/>
                <w:szCs w:val="24"/>
                <w:lang w:val="en-GB"/>
              </w:rPr>
              <w:t>8</w:t>
            </w:r>
            <w:r>
              <w:rPr>
                <w:bCs/>
                <w:szCs w:val="24"/>
                <w:lang w:val="en-GB"/>
              </w:rPr>
              <w:t xml:space="preserve"> months have included an improved user interface and a supplementary tool for displaying frequency allocation tables.  More detail is given below.</w:t>
            </w:r>
          </w:p>
          <w:p w:rsidR="002E67C7" w:rsidRPr="00463614" w:rsidRDefault="002E67C7" w:rsidP="00277447">
            <w:pPr>
              <w:rPr>
                <w:rFonts w:cs="Arial"/>
                <w:szCs w:val="22"/>
                <w:lang w:val="en-GB"/>
              </w:rPr>
            </w:pPr>
            <w:r>
              <w:rPr>
                <w:bCs/>
                <w:szCs w:val="24"/>
                <w:lang w:val="en-GB"/>
              </w:rPr>
              <w:t>The ECO proposes that, especially given the visual and interactive nature of the improvements, it would be worthwhile to give a small amount of time (e.g. 25-30 minutes) for a presentation, and questions of these latest developments</w:t>
            </w:r>
            <w:r w:rsidR="00277447">
              <w:rPr>
                <w:bCs/>
                <w:szCs w:val="24"/>
                <w:lang w:val="en-GB"/>
              </w:rPr>
              <w:t xml:space="preserve"> to the Plenary</w:t>
            </w:r>
            <w:r>
              <w:rPr>
                <w:bCs/>
                <w:szCs w:val="24"/>
                <w:lang w:val="en-GB"/>
              </w:rPr>
              <w:t>.  This would be made by Thomas Weber, the project manager responsible, and (at time of writing – to be reviewed at WG FM week commencing 26</w:t>
            </w:r>
            <w:r w:rsidRPr="002E67C7">
              <w:rPr>
                <w:bCs/>
                <w:szCs w:val="24"/>
                <w:vertAlign w:val="superscript"/>
                <w:lang w:val="en-GB"/>
              </w:rPr>
              <w:t>th</w:t>
            </w:r>
            <w:r>
              <w:rPr>
                <w:bCs/>
                <w:szCs w:val="24"/>
                <w:lang w:val="en-GB"/>
              </w:rPr>
              <w:t xml:space="preserve"> May) Chair of EFIS MG.</w:t>
            </w:r>
          </w:p>
        </w:tc>
      </w:tr>
    </w:tbl>
    <w:p w:rsidR="00DE5E01" w:rsidRDefault="00DE5E01" w:rsidP="00DE5E01">
      <w:pPr>
        <w:rPr>
          <w:lang w:val="en-GB"/>
        </w:rPr>
      </w:pPr>
    </w:p>
    <w:p w:rsidR="002E67C7" w:rsidRPr="002E67C7" w:rsidRDefault="002E67C7" w:rsidP="002E67C7">
      <w:pPr>
        <w:spacing w:after="0"/>
        <w:jc w:val="left"/>
        <w:rPr>
          <w:rFonts w:ascii="Tahoma" w:hAnsi="Tahoma" w:cs="Tahoma"/>
          <w:szCs w:val="22"/>
          <w:lang w:val="en-GB" w:eastAsia="en-US"/>
        </w:rPr>
      </w:pP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 xml:space="preserve">Most of the development work being applied to EFIS since October 2013 </w:t>
      </w:r>
      <w:r>
        <w:rPr>
          <w:rFonts w:ascii="Tahoma" w:hAnsi="Tahoma" w:cs="Tahoma"/>
          <w:szCs w:val="22"/>
          <w:lang w:val="en-GB" w:eastAsia="en-US"/>
        </w:rPr>
        <w:t>has been r</w:t>
      </w:r>
      <w:r w:rsidRPr="002E67C7">
        <w:rPr>
          <w:rFonts w:ascii="Tahoma" w:hAnsi="Tahoma" w:cs="Tahoma"/>
          <w:szCs w:val="22"/>
          <w:lang w:val="en-GB" w:eastAsia="en-US"/>
        </w:rPr>
        <w:t>elated to the following special items:</w:t>
      </w:r>
    </w:p>
    <w:p w:rsidR="002E67C7" w:rsidRPr="002E67C7" w:rsidRDefault="002E67C7" w:rsidP="002E67C7">
      <w:pPr>
        <w:spacing w:after="0"/>
        <w:jc w:val="left"/>
        <w:rPr>
          <w:rFonts w:ascii="Tahoma" w:hAnsi="Tahoma" w:cs="Tahoma"/>
          <w:szCs w:val="22"/>
          <w:lang w:val="en-GB" w:eastAsia="en-US"/>
        </w:rPr>
      </w:pP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1.</w:t>
      </w:r>
      <w:r w:rsidRPr="002E67C7">
        <w:rPr>
          <w:rFonts w:ascii="Tahoma" w:hAnsi="Tahoma" w:cs="Tahoma"/>
          <w:szCs w:val="22"/>
          <w:lang w:val="en-GB" w:eastAsia="en-US"/>
        </w:rPr>
        <w:tab/>
        <w:t>The EFIS web-design and graphical user interface has been completely renovated and modernised;</w:t>
      </w: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2.</w:t>
      </w:r>
      <w:r w:rsidRPr="002E67C7">
        <w:rPr>
          <w:rFonts w:ascii="Tahoma" w:hAnsi="Tahoma" w:cs="Tahoma"/>
          <w:szCs w:val="22"/>
          <w:lang w:val="en-GB" w:eastAsia="en-US"/>
        </w:rPr>
        <w:tab/>
        <w:t>Complete inclusion of ERC Recommendation 70-03 on SRDs in EFIS including national implementation information. The result was already presented satisfactorily in SRD/MG. Therefore, from the spectrum inventory perspective, EFIS now contains sufficient information about the vast majority of applications under general authorisations;</w:t>
      </w: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3.</w:t>
      </w:r>
      <w:r w:rsidRPr="002E67C7">
        <w:rPr>
          <w:rFonts w:ascii="Tahoma" w:hAnsi="Tahoma" w:cs="Tahoma"/>
          <w:szCs w:val="22"/>
          <w:lang w:val="en-GB" w:eastAsia="en-US"/>
        </w:rPr>
        <w:tab/>
        <w:t>Information from electronic questionnaires can now also be imported, exported and is presented in EFIS;</w:t>
      </w: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4.</w:t>
      </w:r>
      <w:r w:rsidRPr="002E67C7">
        <w:rPr>
          <w:rFonts w:ascii="Tahoma" w:hAnsi="Tahoma" w:cs="Tahoma"/>
          <w:szCs w:val="22"/>
          <w:lang w:val="en-GB" w:eastAsia="en-US"/>
        </w:rPr>
        <w:tab/>
        <w:t>The content of ECO Report 03 containing the licence information in the ECS frequency bands is now also fully in EFIS available and for 44 CEPT countries;</w:t>
      </w: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5.</w:t>
      </w:r>
      <w:r w:rsidRPr="002E67C7">
        <w:rPr>
          <w:rFonts w:ascii="Tahoma" w:hAnsi="Tahoma" w:cs="Tahoma"/>
          <w:szCs w:val="22"/>
          <w:lang w:val="en-GB" w:eastAsia="en-US"/>
        </w:rPr>
        <w:tab/>
        <w:t>ERC Report 25 generation out of the EFIS database has been improved;</w:t>
      </w: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6.</w:t>
      </w:r>
      <w:r w:rsidRPr="002E67C7">
        <w:rPr>
          <w:rFonts w:ascii="Tahoma" w:hAnsi="Tahoma" w:cs="Tahoma"/>
          <w:szCs w:val="22"/>
          <w:lang w:val="en-GB" w:eastAsia="en-US"/>
        </w:rPr>
        <w:tab/>
        <w:t xml:space="preserve">Graphical Visualisation of National Table of Frequency Allocation (NTFA) and applications information (search and compare) is included in EFIS. The tool can also be separately used outside the EFIS database on other webpages (without the EFIS design) and with the allocation and application terminology translated in national language. Alternatively, administrations can also generate pictures of parts of their national frequency table. The ‘external usage’ features </w:t>
      </w:r>
      <w:r w:rsidRPr="002E67C7">
        <w:rPr>
          <w:rFonts w:ascii="Tahoma" w:hAnsi="Tahoma" w:cs="Tahoma"/>
          <w:szCs w:val="22"/>
          <w:lang w:val="en-GB" w:eastAsia="en-US"/>
        </w:rPr>
        <w:lastRenderedPageBreak/>
        <w:t>may be especially helpful for smaller administrations which otherwise could not have such a tool.</w:t>
      </w:r>
    </w:p>
    <w:p w:rsidR="002E67C7" w:rsidRPr="002E67C7" w:rsidRDefault="002E67C7" w:rsidP="002E67C7">
      <w:pPr>
        <w:spacing w:after="0"/>
        <w:jc w:val="left"/>
        <w:rPr>
          <w:rFonts w:ascii="Tahoma" w:hAnsi="Tahoma" w:cs="Tahoma"/>
          <w:szCs w:val="22"/>
          <w:lang w:val="en-GB" w:eastAsia="en-US"/>
        </w:rPr>
      </w:pPr>
    </w:p>
    <w:p w:rsidR="002E67C7" w:rsidRPr="002E67C7" w:rsidRDefault="002E67C7" w:rsidP="002E67C7">
      <w:pPr>
        <w:spacing w:after="0"/>
        <w:jc w:val="left"/>
        <w:rPr>
          <w:rFonts w:ascii="Tahoma" w:hAnsi="Tahoma" w:cs="Tahoma"/>
          <w:szCs w:val="22"/>
          <w:lang w:val="en-GB" w:eastAsia="en-US"/>
        </w:rPr>
      </w:pPr>
      <w:r w:rsidRPr="002E67C7">
        <w:rPr>
          <w:rFonts w:ascii="Tahoma" w:hAnsi="Tahoma" w:cs="Tahoma"/>
          <w:szCs w:val="22"/>
          <w:lang w:val="en-GB" w:eastAsia="en-US"/>
        </w:rPr>
        <w:t>Work in the near future will focus on the further improvement of the graphical visualisations in EFIS as well as improving the information in EFIS for certain application fields. Work is also linked to frequency management tasks and will focus on the Fixed Service (concept similar to Rec. 70-03 information in EFIS), L-Band MSS, C-Band FSS and PMR/PAMR in VHF and UHF (electronic questionnaire), so as to improve the information sufficiently in EFIS with regard to spectrum inventory considerations as was outlined in CEPT Report 46.</w:t>
      </w:r>
    </w:p>
    <w:p w:rsidR="002E67C7" w:rsidRPr="002E67C7" w:rsidRDefault="002E67C7" w:rsidP="002E67C7">
      <w:pPr>
        <w:spacing w:after="0"/>
        <w:jc w:val="left"/>
        <w:rPr>
          <w:rFonts w:ascii="Tahoma" w:hAnsi="Tahoma" w:cs="Tahoma"/>
          <w:szCs w:val="22"/>
          <w:lang w:val="en-GB" w:eastAsia="en-US"/>
        </w:rPr>
      </w:pPr>
    </w:p>
    <w:p w:rsidR="002E67C7" w:rsidRDefault="002E67C7" w:rsidP="002E67C7">
      <w:pPr>
        <w:spacing w:after="0"/>
        <w:jc w:val="left"/>
        <w:rPr>
          <w:rFonts w:ascii="Tahoma" w:hAnsi="Tahoma" w:cs="Tahoma"/>
          <w:color w:val="0000FF"/>
          <w:szCs w:val="22"/>
          <w:u w:val="single"/>
          <w:lang w:val="en-GB" w:eastAsia="en-US"/>
        </w:rPr>
      </w:pPr>
      <w:r>
        <w:rPr>
          <w:rFonts w:ascii="Tahoma" w:hAnsi="Tahoma" w:cs="Tahoma"/>
          <w:szCs w:val="22"/>
          <w:lang w:val="en-GB" w:eastAsia="en-US"/>
        </w:rPr>
        <w:t xml:space="preserve">See: </w:t>
      </w:r>
      <w:r w:rsidRPr="002E67C7">
        <w:rPr>
          <w:rFonts w:ascii="Tahoma" w:hAnsi="Tahoma" w:cs="Tahoma"/>
          <w:szCs w:val="22"/>
          <w:lang w:val="en-GB" w:eastAsia="en-US"/>
        </w:rPr>
        <w:t xml:space="preserve">webpages </w:t>
      </w:r>
      <w:hyperlink r:id="rId10" w:history="1">
        <w:r w:rsidRPr="002E67C7">
          <w:rPr>
            <w:rFonts w:ascii="Tahoma" w:hAnsi="Tahoma" w:cs="Tahoma"/>
            <w:color w:val="0000FF"/>
            <w:szCs w:val="22"/>
            <w:u w:val="single"/>
            <w:lang w:val="en-GB" w:eastAsia="en-US"/>
          </w:rPr>
          <w:t>www.efis.dk</w:t>
        </w:r>
      </w:hyperlink>
      <w:r w:rsidRPr="002E67C7">
        <w:rPr>
          <w:rFonts w:ascii="Tahoma" w:hAnsi="Tahoma" w:cs="Tahoma"/>
          <w:szCs w:val="22"/>
          <w:lang w:val="en-GB" w:eastAsia="en-US"/>
        </w:rPr>
        <w:t xml:space="preserve"> and </w:t>
      </w:r>
      <w:hyperlink r:id="rId11" w:history="1">
        <w:r w:rsidRPr="002E67C7">
          <w:rPr>
            <w:rFonts w:ascii="Tahoma" w:hAnsi="Tahoma" w:cs="Tahoma"/>
            <w:color w:val="0000FF"/>
            <w:szCs w:val="22"/>
            <w:u w:val="single"/>
            <w:lang w:val="en-GB" w:eastAsia="en-US"/>
          </w:rPr>
          <w:t>EFIS on ECC Webpage</w:t>
        </w:r>
      </w:hyperlink>
    </w:p>
    <w:p w:rsidR="002E67C7" w:rsidRPr="002E67C7" w:rsidRDefault="002E67C7" w:rsidP="002E67C7">
      <w:pPr>
        <w:spacing w:after="0"/>
        <w:jc w:val="left"/>
        <w:rPr>
          <w:rFonts w:ascii="Tahoma" w:hAnsi="Tahoma" w:cs="Tahoma"/>
          <w:szCs w:val="22"/>
          <w:lang w:val="en-GB" w:eastAsia="en-US"/>
        </w:rPr>
      </w:pPr>
    </w:p>
    <w:p w:rsidR="002E67C7" w:rsidRPr="0029315F" w:rsidRDefault="002E67C7" w:rsidP="00DE5E01">
      <w:pPr>
        <w:rPr>
          <w:lang w:val="en-GB"/>
        </w:rPr>
      </w:pPr>
      <w:r>
        <w:rPr>
          <w:noProof/>
          <w:lang w:val="fr-FR" w:eastAsia="fr-FR"/>
        </w:rPr>
        <w:drawing>
          <wp:inline distT="0" distB="0" distL="0" distR="0" wp14:anchorId="461FBB65" wp14:editId="19DB128B">
            <wp:extent cx="5904230" cy="3382010"/>
            <wp:effectExtent l="0" t="0" r="1270"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04230" cy="3382010"/>
                    </a:xfrm>
                    <a:prstGeom prst="rect">
                      <a:avLst/>
                    </a:prstGeom>
                  </pic:spPr>
                </pic:pic>
              </a:graphicData>
            </a:graphic>
          </wp:inline>
        </w:drawing>
      </w:r>
    </w:p>
    <w:sectPr w:rsidR="002E67C7" w:rsidRPr="0029315F" w:rsidSect="008F677F">
      <w:footerReference w:type="even" r:id="rId13"/>
      <w:footerReference w:type="default" r:id="rId14"/>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76" w:rsidRDefault="00645D76">
      <w:r>
        <w:separator/>
      </w:r>
    </w:p>
  </w:endnote>
  <w:endnote w:type="continuationSeparator" w:id="0">
    <w:p w:rsidR="00645D76" w:rsidRDefault="006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547D0D">
      <w:rPr>
        <w:rStyle w:val="Numrodepage"/>
        <w:noProof/>
        <w:sz w:val="20"/>
      </w:rPr>
      <w:t>2</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76" w:rsidRDefault="00645D76">
      <w:r>
        <w:separator/>
      </w:r>
    </w:p>
  </w:footnote>
  <w:footnote w:type="continuationSeparator" w:id="0">
    <w:p w:rsidR="00645D76" w:rsidRDefault="0064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F6700"/>
    <w:multiLevelType w:val="hybridMultilevel"/>
    <w:tmpl w:val="6F1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5">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34"/>
  </w:num>
  <w:num w:numId="4">
    <w:abstractNumId w:val="34"/>
  </w:num>
  <w:num w:numId="5">
    <w:abstractNumId w:val="34"/>
  </w:num>
  <w:num w:numId="6">
    <w:abstractNumId w:val="23"/>
  </w:num>
  <w:num w:numId="7">
    <w:abstractNumId w:val="34"/>
  </w:num>
  <w:num w:numId="8">
    <w:abstractNumId w:val="34"/>
  </w:num>
  <w:num w:numId="9">
    <w:abstractNumId w:val="11"/>
  </w:num>
  <w:num w:numId="10">
    <w:abstractNumId w:val="17"/>
  </w:num>
  <w:num w:numId="11">
    <w:abstractNumId w:val="14"/>
  </w:num>
  <w:num w:numId="12">
    <w:abstractNumId w:val="20"/>
  </w:num>
  <w:num w:numId="13">
    <w:abstractNumId w:val="13"/>
  </w:num>
  <w:num w:numId="14">
    <w:abstractNumId w:val="9"/>
  </w:num>
  <w:num w:numId="15">
    <w:abstractNumId w:val="3"/>
  </w:num>
  <w:num w:numId="16">
    <w:abstractNumId w:val="6"/>
  </w:num>
  <w:num w:numId="17">
    <w:abstractNumId w:val="27"/>
  </w:num>
  <w:num w:numId="18">
    <w:abstractNumId w:val="16"/>
  </w:num>
  <w:num w:numId="19">
    <w:abstractNumId w:val="24"/>
  </w:num>
  <w:num w:numId="20">
    <w:abstractNumId w:val="10"/>
  </w:num>
  <w:num w:numId="21">
    <w:abstractNumId w:val="33"/>
  </w:num>
  <w:num w:numId="22">
    <w:abstractNumId w:val="32"/>
  </w:num>
  <w:num w:numId="23">
    <w:abstractNumId w:val="18"/>
  </w:num>
  <w:num w:numId="24">
    <w:abstractNumId w:val="21"/>
  </w:num>
  <w:num w:numId="25">
    <w:abstractNumId w:val="15"/>
  </w:num>
  <w:num w:numId="26">
    <w:abstractNumId w:val="28"/>
  </w:num>
  <w:num w:numId="27">
    <w:abstractNumId w:val="4"/>
  </w:num>
  <w:num w:numId="28">
    <w:abstractNumId w:val="8"/>
  </w:num>
  <w:num w:numId="29">
    <w:abstractNumId w:val="19"/>
  </w:num>
  <w:num w:numId="30">
    <w:abstractNumId w:val="25"/>
  </w:num>
  <w:num w:numId="31">
    <w:abstractNumId w:val="35"/>
  </w:num>
  <w:num w:numId="32">
    <w:abstractNumId w:val="29"/>
  </w:num>
  <w:num w:numId="33">
    <w:abstractNumId w:val="12"/>
  </w:num>
  <w:num w:numId="34">
    <w:abstractNumId w:val="0"/>
  </w:num>
  <w:num w:numId="35">
    <w:abstractNumId w:val="7"/>
  </w:num>
  <w:num w:numId="36">
    <w:abstractNumId w:val="31"/>
  </w:num>
  <w:num w:numId="37">
    <w:abstractNumId w:val="1"/>
  </w:num>
  <w:num w:numId="38">
    <w:abstractNumId w:val="5"/>
  </w:num>
  <w:num w:numId="39">
    <w:abstractNumId w:val="30"/>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D0F3C"/>
    <w:rsid w:val="000E346F"/>
    <w:rsid w:val="000E668B"/>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447"/>
    <w:rsid w:val="00277BC1"/>
    <w:rsid w:val="0028051D"/>
    <w:rsid w:val="0029315F"/>
    <w:rsid w:val="00294331"/>
    <w:rsid w:val="002A02A3"/>
    <w:rsid w:val="002A7DFF"/>
    <w:rsid w:val="002B169D"/>
    <w:rsid w:val="002B47FC"/>
    <w:rsid w:val="002B683F"/>
    <w:rsid w:val="002C0A87"/>
    <w:rsid w:val="002E67C7"/>
    <w:rsid w:val="002E6A04"/>
    <w:rsid w:val="002F2598"/>
    <w:rsid w:val="00300F98"/>
    <w:rsid w:val="003035EE"/>
    <w:rsid w:val="00314E5E"/>
    <w:rsid w:val="00320113"/>
    <w:rsid w:val="00345322"/>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07DC"/>
    <w:rsid w:val="00443C40"/>
    <w:rsid w:val="00451179"/>
    <w:rsid w:val="00460F5F"/>
    <w:rsid w:val="00463084"/>
    <w:rsid w:val="0046361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4C01"/>
    <w:rsid w:val="005150CD"/>
    <w:rsid w:val="005269EA"/>
    <w:rsid w:val="0053015C"/>
    <w:rsid w:val="00533846"/>
    <w:rsid w:val="005348B2"/>
    <w:rsid w:val="005434C4"/>
    <w:rsid w:val="00547D0D"/>
    <w:rsid w:val="00554550"/>
    <w:rsid w:val="005549FF"/>
    <w:rsid w:val="0055722D"/>
    <w:rsid w:val="00562E1E"/>
    <w:rsid w:val="00565427"/>
    <w:rsid w:val="005705DF"/>
    <w:rsid w:val="005761BB"/>
    <w:rsid w:val="00584EAF"/>
    <w:rsid w:val="00594F8E"/>
    <w:rsid w:val="005F1C1F"/>
    <w:rsid w:val="00616265"/>
    <w:rsid w:val="00624412"/>
    <w:rsid w:val="00624458"/>
    <w:rsid w:val="0063524D"/>
    <w:rsid w:val="00635F80"/>
    <w:rsid w:val="0064354F"/>
    <w:rsid w:val="00645D76"/>
    <w:rsid w:val="0065405D"/>
    <w:rsid w:val="00654078"/>
    <w:rsid w:val="006542C3"/>
    <w:rsid w:val="0065588F"/>
    <w:rsid w:val="00664805"/>
    <w:rsid w:val="00665533"/>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5595"/>
    <w:rsid w:val="008D763E"/>
    <w:rsid w:val="008E6A43"/>
    <w:rsid w:val="008F1B03"/>
    <w:rsid w:val="008F33D5"/>
    <w:rsid w:val="008F5596"/>
    <w:rsid w:val="008F5ECB"/>
    <w:rsid w:val="008F677F"/>
    <w:rsid w:val="0090559D"/>
    <w:rsid w:val="009114CF"/>
    <w:rsid w:val="00923DB1"/>
    <w:rsid w:val="009405B5"/>
    <w:rsid w:val="00967FE1"/>
    <w:rsid w:val="00981745"/>
    <w:rsid w:val="009852E6"/>
    <w:rsid w:val="0098621D"/>
    <w:rsid w:val="0099070A"/>
    <w:rsid w:val="00997A4D"/>
    <w:rsid w:val="009B3CB6"/>
    <w:rsid w:val="009C037E"/>
    <w:rsid w:val="009C2F3B"/>
    <w:rsid w:val="009C30E8"/>
    <w:rsid w:val="009D242F"/>
    <w:rsid w:val="009E6511"/>
    <w:rsid w:val="009F4A65"/>
    <w:rsid w:val="009F60D5"/>
    <w:rsid w:val="00A024A8"/>
    <w:rsid w:val="00A22ED3"/>
    <w:rsid w:val="00A322B6"/>
    <w:rsid w:val="00A477F3"/>
    <w:rsid w:val="00A76389"/>
    <w:rsid w:val="00A77E89"/>
    <w:rsid w:val="00A86343"/>
    <w:rsid w:val="00A87C8C"/>
    <w:rsid w:val="00A95309"/>
    <w:rsid w:val="00AA26E7"/>
    <w:rsid w:val="00AA3CFD"/>
    <w:rsid w:val="00AA59E8"/>
    <w:rsid w:val="00AB69FF"/>
    <w:rsid w:val="00AC0304"/>
    <w:rsid w:val="00AC345D"/>
    <w:rsid w:val="00AD241F"/>
    <w:rsid w:val="00AD419E"/>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E71E0"/>
    <w:rsid w:val="00BF2999"/>
    <w:rsid w:val="00C01DD1"/>
    <w:rsid w:val="00C13860"/>
    <w:rsid w:val="00C154C2"/>
    <w:rsid w:val="00C309B1"/>
    <w:rsid w:val="00C43796"/>
    <w:rsid w:val="00C4556F"/>
    <w:rsid w:val="00C47BE9"/>
    <w:rsid w:val="00C51CAA"/>
    <w:rsid w:val="00C5267C"/>
    <w:rsid w:val="00C5418E"/>
    <w:rsid w:val="00C5476F"/>
    <w:rsid w:val="00C60D46"/>
    <w:rsid w:val="00C62218"/>
    <w:rsid w:val="00C75E0E"/>
    <w:rsid w:val="00C82BC5"/>
    <w:rsid w:val="00C83B87"/>
    <w:rsid w:val="00CB0BBB"/>
    <w:rsid w:val="00CB4BE4"/>
    <w:rsid w:val="00CC4263"/>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3FC7"/>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eco/eco-tools-and-services/efis-eco-frequency-information-syst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fis.d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4B94-154C-4E8D-95A5-B9774B5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2</TotalTime>
  <Pages>2</Pages>
  <Words>486</Words>
  <Characters>2673</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3153</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3</cp:revision>
  <cp:lastPrinted>1999-09-27T14:20:00Z</cp:lastPrinted>
  <dcterms:created xsi:type="dcterms:W3CDTF">2014-05-28T12:46:00Z</dcterms:created>
  <dcterms:modified xsi:type="dcterms:W3CDTF">2014-05-30T15:51:00Z</dcterms:modified>
</cp:coreProperties>
</file>