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4340"/>
        <w:gridCol w:w="1731"/>
        <w:gridCol w:w="3285"/>
        <w:gridCol w:w="284"/>
      </w:tblGrid>
      <w:tr w:rsidR="00346C62" w:rsidRPr="0098621D">
        <w:trPr>
          <w:cantSplit/>
        </w:trPr>
        <w:tc>
          <w:tcPr>
            <w:tcW w:w="6071" w:type="dxa"/>
            <w:gridSpan w:val="2"/>
            <w:tcBorders>
              <w:top w:val="nil"/>
              <w:left w:val="nil"/>
              <w:bottom w:val="nil"/>
              <w:right w:val="nil"/>
            </w:tcBorders>
          </w:tcPr>
          <w:p w:rsidR="00EF65FD" w:rsidRDefault="00A64708" w:rsidP="00215746">
            <w:pPr>
              <w:pStyle w:val="Kopfzeile1"/>
              <w:rPr>
                <w:noProof/>
                <w:lang w:val="de-DE"/>
              </w:rPr>
            </w:pPr>
            <w:r>
              <w:rPr>
                <w:noProof/>
                <w:lang w:val="fr-FR" w:eastAsia="fr-FR"/>
              </w:rPr>
              <w:drawing>
                <wp:inline distT="0" distB="0" distL="0" distR="0" wp14:anchorId="1D88CCF0" wp14:editId="242AC34B">
                  <wp:extent cx="1619250" cy="8286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r w:rsidR="00EF65FD">
              <w:t xml:space="preserve"> </w:t>
            </w:r>
          </w:p>
          <w:p w:rsidR="00346C62" w:rsidRPr="0098621D" w:rsidRDefault="00346C62" w:rsidP="00EF65FD">
            <w:pPr>
              <w:pStyle w:val="Kopfzeile1"/>
              <w:rPr>
                <w:rFonts w:cs="Arial"/>
                <w:color w:val="000000"/>
                <w:lang w:val="en-GB"/>
              </w:rPr>
            </w:pPr>
          </w:p>
        </w:tc>
        <w:tc>
          <w:tcPr>
            <w:tcW w:w="3569" w:type="dxa"/>
            <w:gridSpan w:val="2"/>
            <w:tcBorders>
              <w:top w:val="nil"/>
              <w:left w:val="nil"/>
              <w:bottom w:val="nil"/>
              <w:right w:val="nil"/>
            </w:tcBorders>
          </w:tcPr>
          <w:p w:rsidR="00346C62" w:rsidRPr="00346C62" w:rsidRDefault="0098621D" w:rsidP="003E6C3A">
            <w:pPr>
              <w:pStyle w:val="Kopfzeile1"/>
              <w:tabs>
                <w:tab w:val="clear" w:pos="4536"/>
                <w:tab w:val="right" w:pos="3357"/>
              </w:tabs>
            </w:pPr>
            <w:r>
              <w:tab/>
            </w:r>
            <w:r w:rsidR="00533846">
              <w:t>Doc</w:t>
            </w:r>
            <w:r w:rsidR="00ED7AEC">
              <w:t>. ECC</w:t>
            </w:r>
            <w:r w:rsidR="000C0226">
              <w:t xml:space="preserve"> </w:t>
            </w:r>
            <w:r w:rsidR="00ED7AEC">
              <w:t>(1</w:t>
            </w:r>
            <w:r w:rsidR="00D149DA">
              <w:t>3</w:t>
            </w:r>
            <w:r w:rsidR="00ED7AEC">
              <w:t>)</w:t>
            </w:r>
            <w:r w:rsidR="003E6C3A">
              <w:t>041</w:t>
            </w:r>
            <w:bookmarkStart w:id="0" w:name="_GoBack"/>
            <w:bookmarkEnd w:id="0"/>
          </w:p>
        </w:tc>
      </w:tr>
      <w:tr w:rsidR="00346C62" w:rsidRPr="0098621D">
        <w:tblPrEx>
          <w:tblCellMar>
            <w:left w:w="108" w:type="dxa"/>
            <w:right w:w="108" w:type="dxa"/>
          </w:tblCellMar>
        </w:tblPrEx>
        <w:trPr>
          <w:cantSplit/>
          <w:trHeight w:val="405"/>
        </w:trPr>
        <w:tc>
          <w:tcPr>
            <w:tcW w:w="4340" w:type="dxa"/>
            <w:tcBorders>
              <w:top w:val="nil"/>
              <w:left w:val="nil"/>
              <w:bottom w:val="nil"/>
              <w:right w:val="nil"/>
            </w:tcBorders>
            <w:vAlign w:val="center"/>
          </w:tcPr>
          <w:p w:rsidR="00346C62" w:rsidRPr="00D149DA" w:rsidRDefault="00D149DA" w:rsidP="00421927">
            <w:pPr>
              <w:pStyle w:val="Kopfzeile1"/>
              <w:rPr>
                <w:lang w:val="en-GB"/>
              </w:rPr>
            </w:pPr>
            <w:r>
              <w:rPr>
                <w:lang w:val="en-GB"/>
              </w:rPr>
              <w:t>3</w:t>
            </w:r>
            <w:r w:rsidR="00421927">
              <w:rPr>
                <w:lang w:val="en-GB"/>
              </w:rPr>
              <w:t>3</w:t>
            </w:r>
            <w:r w:rsidR="00421927" w:rsidRPr="00421927">
              <w:rPr>
                <w:vertAlign w:val="superscript"/>
                <w:lang w:val="en-GB"/>
              </w:rPr>
              <w:t>rd</w:t>
            </w:r>
            <w:r w:rsidR="00421927">
              <w:rPr>
                <w:lang w:val="en-GB"/>
              </w:rPr>
              <w:t xml:space="preserve"> </w:t>
            </w:r>
            <w:r w:rsidR="001E0E49" w:rsidRPr="00D149DA">
              <w:rPr>
                <w:lang w:val="en-GB"/>
              </w:rPr>
              <w:t>Meeting</w:t>
            </w:r>
          </w:p>
        </w:tc>
        <w:tc>
          <w:tcPr>
            <w:tcW w:w="5300" w:type="dxa"/>
            <w:gridSpan w:val="3"/>
            <w:tcBorders>
              <w:top w:val="nil"/>
              <w:left w:val="nil"/>
              <w:bottom w:val="nil"/>
              <w:right w:val="nil"/>
            </w:tcBorders>
            <w:vAlign w:val="center"/>
          </w:tcPr>
          <w:p w:rsidR="00346C62" w:rsidRPr="0098621D" w:rsidRDefault="00346C62" w:rsidP="00215746">
            <w:pPr>
              <w:pStyle w:val="Kopfzeile1"/>
              <w:rPr>
                <w:lang w:val="en-GB"/>
              </w:rPr>
            </w:pPr>
          </w:p>
        </w:tc>
      </w:tr>
      <w:tr w:rsidR="00346C62" w:rsidRPr="0098621D">
        <w:tblPrEx>
          <w:tblCellMar>
            <w:left w:w="108" w:type="dxa"/>
            <w:right w:w="108" w:type="dxa"/>
          </w:tblCellMar>
        </w:tblPrEx>
        <w:trPr>
          <w:cantSplit/>
          <w:trHeight w:val="405"/>
        </w:trPr>
        <w:tc>
          <w:tcPr>
            <w:tcW w:w="4340" w:type="dxa"/>
            <w:tcBorders>
              <w:top w:val="nil"/>
              <w:left w:val="nil"/>
              <w:bottom w:val="nil"/>
              <w:right w:val="nil"/>
            </w:tcBorders>
            <w:vAlign w:val="center"/>
          </w:tcPr>
          <w:p w:rsidR="00346C62" w:rsidRPr="00D149DA" w:rsidRDefault="00421927" w:rsidP="00421927">
            <w:pPr>
              <w:pStyle w:val="Kopfzeile1"/>
              <w:rPr>
                <w:lang w:val="en-GB"/>
              </w:rPr>
            </w:pPr>
            <w:r>
              <w:rPr>
                <w:lang w:val="en-GB"/>
              </w:rPr>
              <w:t>Toulouse, 18-21</w:t>
            </w:r>
            <w:r w:rsidRPr="00421927">
              <w:rPr>
                <w:vertAlign w:val="superscript"/>
                <w:lang w:val="en-GB"/>
              </w:rPr>
              <w:t>st</w:t>
            </w:r>
            <w:r>
              <w:rPr>
                <w:lang w:val="en-GB"/>
              </w:rPr>
              <w:t xml:space="preserve"> June 2013</w:t>
            </w:r>
          </w:p>
        </w:tc>
        <w:tc>
          <w:tcPr>
            <w:tcW w:w="5300" w:type="dxa"/>
            <w:gridSpan w:val="3"/>
            <w:tcBorders>
              <w:top w:val="nil"/>
              <w:left w:val="nil"/>
              <w:bottom w:val="nil"/>
              <w:right w:val="nil"/>
            </w:tcBorders>
            <w:vAlign w:val="center"/>
          </w:tcPr>
          <w:p w:rsidR="00346C62" w:rsidRPr="0098621D" w:rsidRDefault="00346C62" w:rsidP="00215746">
            <w:pPr>
              <w:pStyle w:val="Kopfzeile1"/>
              <w:rPr>
                <w:lang w:val="en-GB"/>
              </w:rPr>
            </w:pPr>
          </w:p>
        </w:tc>
      </w:tr>
      <w:tr w:rsidR="00F05B26" w:rsidRPr="0098621D">
        <w:tblPrEx>
          <w:tblCellMar>
            <w:left w:w="108" w:type="dxa"/>
            <w:right w:w="108" w:type="dxa"/>
          </w:tblCellMar>
        </w:tblPrEx>
        <w:trPr>
          <w:cantSplit/>
          <w:trHeight w:val="80"/>
        </w:trPr>
        <w:tc>
          <w:tcPr>
            <w:tcW w:w="4340" w:type="dxa"/>
            <w:tcBorders>
              <w:top w:val="nil"/>
              <w:left w:val="nil"/>
              <w:bottom w:val="nil"/>
              <w:right w:val="nil"/>
            </w:tcBorders>
            <w:vAlign w:val="center"/>
          </w:tcPr>
          <w:p w:rsidR="00F05B26" w:rsidRPr="00D149DA" w:rsidRDefault="00F05B26" w:rsidP="00215746">
            <w:pPr>
              <w:pStyle w:val="Kopfzeile1"/>
              <w:rPr>
                <w:sz w:val="8"/>
                <w:lang w:val="en-GB"/>
              </w:rPr>
            </w:pPr>
          </w:p>
        </w:tc>
        <w:tc>
          <w:tcPr>
            <w:tcW w:w="5300" w:type="dxa"/>
            <w:gridSpan w:val="3"/>
            <w:tcBorders>
              <w:top w:val="nil"/>
              <w:left w:val="nil"/>
              <w:bottom w:val="nil"/>
              <w:right w:val="nil"/>
            </w:tcBorders>
            <w:vAlign w:val="center"/>
          </w:tcPr>
          <w:p w:rsidR="00F05B26" w:rsidRPr="0098621D" w:rsidRDefault="00F05B26" w:rsidP="00215746">
            <w:pPr>
              <w:pStyle w:val="Kopfzeile1"/>
              <w:rPr>
                <w:sz w:val="8"/>
                <w:lang w:val="en-GB"/>
              </w:rPr>
            </w:pPr>
          </w:p>
        </w:tc>
      </w:tr>
      <w:tr w:rsidR="00F05B26" w:rsidRPr="0098621D" w:rsidTr="00EF65FD">
        <w:tblPrEx>
          <w:tblCellMar>
            <w:left w:w="108" w:type="dxa"/>
            <w:right w:w="108" w:type="dxa"/>
          </w:tblCellMar>
        </w:tblPrEx>
        <w:trPr>
          <w:cantSplit/>
          <w:trHeight w:val="405"/>
        </w:trPr>
        <w:tc>
          <w:tcPr>
            <w:tcW w:w="9356" w:type="dxa"/>
            <w:gridSpan w:val="3"/>
            <w:tcBorders>
              <w:top w:val="nil"/>
              <w:left w:val="nil"/>
              <w:bottom w:val="nil"/>
              <w:right w:val="nil"/>
            </w:tcBorders>
            <w:vAlign w:val="center"/>
          </w:tcPr>
          <w:p w:rsidR="00F05B26" w:rsidRPr="00D149DA" w:rsidRDefault="00F05B26" w:rsidP="00421927">
            <w:pPr>
              <w:pStyle w:val="Kopfzeile1"/>
              <w:rPr>
                <w:lang w:val="en-GB"/>
              </w:rPr>
            </w:pPr>
            <w:r w:rsidRPr="00D149DA">
              <w:rPr>
                <w:lang w:val="en-GB"/>
              </w:rPr>
              <w:t>Date issued:</w:t>
            </w:r>
            <w:r w:rsidR="005269EA" w:rsidRPr="00D149DA">
              <w:rPr>
                <w:lang w:val="en-GB"/>
              </w:rPr>
              <w:t xml:space="preserve"> </w:t>
            </w:r>
            <w:r w:rsidR="00421927">
              <w:rPr>
                <w:lang w:val="en-GB"/>
              </w:rPr>
              <w:t>11 June</w:t>
            </w:r>
            <w:r w:rsidR="00213E53">
              <w:rPr>
                <w:lang w:val="en-GB"/>
              </w:rPr>
              <w:t xml:space="preserve"> 2013 </w:t>
            </w:r>
          </w:p>
        </w:tc>
        <w:tc>
          <w:tcPr>
            <w:tcW w:w="284" w:type="dxa"/>
            <w:tcBorders>
              <w:top w:val="nil"/>
              <w:left w:val="nil"/>
              <w:bottom w:val="nil"/>
              <w:right w:val="nil"/>
            </w:tcBorders>
            <w:vAlign w:val="center"/>
          </w:tcPr>
          <w:p w:rsidR="00F05B26" w:rsidRPr="0098621D" w:rsidRDefault="00F05B26" w:rsidP="00215746">
            <w:pPr>
              <w:pStyle w:val="Kopfzeile1"/>
              <w:rPr>
                <w:lang w:val="en-GB"/>
              </w:rPr>
            </w:pPr>
          </w:p>
        </w:tc>
      </w:tr>
      <w:tr w:rsidR="00F05B26" w:rsidRPr="0098621D" w:rsidTr="00EF65FD">
        <w:tblPrEx>
          <w:tblCellMar>
            <w:left w:w="108" w:type="dxa"/>
            <w:right w:w="108" w:type="dxa"/>
          </w:tblCellMar>
        </w:tblPrEx>
        <w:trPr>
          <w:cantSplit/>
          <w:trHeight w:val="405"/>
        </w:trPr>
        <w:tc>
          <w:tcPr>
            <w:tcW w:w="9356" w:type="dxa"/>
            <w:gridSpan w:val="3"/>
            <w:tcBorders>
              <w:top w:val="nil"/>
              <w:left w:val="nil"/>
              <w:bottom w:val="nil"/>
              <w:right w:val="nil"/>
            </w:tcBorders>
            <w:vAlign w:val="center"/>
          </w:tcPr>
          <w:p w:rsidR="00F05B26" w:rsidRPr="00D149DA" w:rsidRDefault="00F05B26" w:rsidP="00EF65FD">
            <w:pPr>
              <w:pStyle w:val="Kopfzeile1"/>
              <w:rPr>
                <w:lang w:val="en-GB"/>
              </w:rPr>
            </w:pPr>
            <w:r w:rsidRPr="00D149DA">
              <w:rPr>
                <w:lang w:val="en-GB"/>
              </w:rPr>
              <w:t>Source:</w:t>
            </w:r>
            <w:r w:rsidR="00ED7AEC" w:rsidRPr="00D149DA">
              <w:rPr>
                <w:lang w:val="en-GB"/>
              </w:rPr>
              <w:t xml:space="preserve"> </w:t>
            </w:r>
            <w:r w:rsidR="00EF65FD">
              <w:rPr>
                <w:lang w:val="en-GB"/>
              </w:rPr>
              <w:t xml:space="preserve">    </w:t>
            </w:r>
            <w:r w:rsidR="00875EBF">
              <w:rPr>
                <w:lang w:val="en-GB"/>
              </w:rPr>
              <w:t xml:space="preserve">   </w:t>
            </w:r>
            <w:r w:rsidR="00897B90">
              <w:rPr>
                <w:lang w:val="en-GB"/>
              </w:rPr>
              <w:t xml:space="preserve"> </w:t>
            </w:r>
            <w:r w:rsidR="00EF65FD">
              <w:rPr>
                <w:lang w:val="en-GB"/>
              </w:rPr>
              <w:t>ECO</w:t>
            </w:r>
          </w:p>
        </w:tc>
        <w:tc>
          <w:tcPr>
            <w:tcW w:w="284" w:type="dxa"/>
            <w:tcBorders>
              <w:top w:val="nil"/>
              <w:left w:val="nil"/>
              <w:bottom w:val="nil"/>
              <w:right w:val="nil"/>
            </w:tcBorders>
            <w:vAlign w:val="center"/>
          </w:tcPr>
          <w:p w:rsidR="00F05B26" w:rsidRPr="0098621D" w:rsidRDefault="00F05B26" w:rsidP="00215746">
            <w:pPr>
              <w:pStyle w:val="Kopfzeile1"/>
              <w:rPr>
                <w:lang w:val="en-GB"/>
              </w:rPr>
            </w:pPr>
          </w:p>
        </w:tc>
      </w:tr>
      <w:tr w:rsidR="00F05B26" w:rsidRPr="0098621D" w:rsidTr="00EF65FD">
        <w:tblPrEx>
          <w:tblCellMar>
            <w:left w:w="108" w:type="dxa"/>
            <w:right w:w="108" w:type="dxa"/>
          </w:tblCellMar>
        </w:tblPrEx>
        <w:trPr>
          <w:cantSplit/>
          <w:trHeight w:val="405"/>
        </w:trPr>
        <w:tc>
          <w:tcPr>
            <w:tcW w:w="9356" w:type="dxa"/>
            <w:gridSpan w:val="3"/>
            <w:tcBorders>
              <w:top w:val="nil"/>
              <w:left w:val="nil"/>
              <w:bottom w:val="nil"/>
              <w:right w:val="nil"/>
            </w:tcBorders>
            <w:vAlign w:val="center"/>
          </w:tcPr>
          <w:p w:rsidR="00F05B26" w:rsidRPr="00D149DA" w:rsidRDefault="00F05B26" w:rsidP="00D7584B">
            <w:pPr>
              <w:pStyle w:val="Kopfzeile1"/>
              <w:rPr>
                <w:lang w:val="en-GB"/>
              </w:rPr>
            </w:pPr>
            <w:r w:rsidRPr="00D149DA">
              <w:rPr>
                <w:lang w:val="en-GB"/>
              </w:rPr>
              <w:t>Subject:</w:t>
            </w:r>
            <w:r w:rsidR="005269EA" w:rsidRPr="00D149DA">
              <w:rPr>
                <w:lang w:val="en-GB"/>
              </w:rPr>
              <w:t xml:space="preserve"> </w:t>
            </w:r>
            <w:r w:rsidR="00EF65FD">
              <w:rPr>
                <w:lang w:val="en-GB"/>
              </w:rPr>
              <w:t xml:space="preserve">    </w:t>
            </w:r>
            <w:r w:rsidR="00875EBF">
              <w:rPr>
                <w:lang w:val="en-GB"/>
              </w:rPr>
              <w:t xml:space="preserve"> </w:t>
            </w:r>
            <w:r w:rsidR="00897B90">
              <w:rPr>
                <w:lang w:val="en-GB"/>
              </w:rPr>
              <w:t xml:space="preserve">  </w:t>
            </w:r>
            <w:r w:rsidR="00EF65FD" w:rsidRPr="00EF65FD">
              <w:rPr>
                <w:lang w:val="en-GB"/>
              </w:rPr>
              <w:t>ECO activity on research projects (</w:t>
            </w:r>
            <w:r w:rsidR="00D7584B">
              <w:rPr>
                <w:lang w:val="en-GB"/>
              </w:rPr>
              <w:t>progress report</w:t>
            </w:r>
            <w:r w:rsidR="00EF65FD" w:rsidRPr="00EF65FD">
              <w:rPr>
                <w:lang w:val="en-GB"/>
              </w:rPr>
              <w:t>)</w:t>
            </w:r>
          </w:p>
        </w:tc>
        <w:tc>
          <w:tcPr>
            <w:tcW w:w="284" w:type="dxa"/>
            <w:tcBorders>
              <w:top w:val="nil"/>
              <w:left w:val="nil"/>
              <w:bottom w:val="nil"/>
              <w:right w:val="nil"/>
            </w:tcBorders>
            <w:vAlign w:val="center"/>
          </w:tcPr>
          <w:p w:rsidR="00F05B26" w:rsidRPr="001E0E49" w:rsidRDefault="00F05B26" w:rsidP="001E0E49">
            <w:pPr>
              <w:pStyle w:val="Kopfzeile1"/>
              <w:rPr>
                <w:lang w:val="en-GB"/>
              </w:rPr>
            </w:pPr>
          </w:p>
        </w:tc>
      </w:tr>
      <w:tr w:rsidR="00493F86" w:rsidRPr="0098621D"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6D7413" w:rsidRDefault="00A64708" w:rsidP="00FF320E">
            <w:pPr>
              <w:rPr>
                <w:rFonts w:cs="Arial"/>
                <w:szCs w:val="24"/>
                <w:lang w:val="en-GB"/>
              </w:rPr>
            </w:pPr>
            <w:r>
              <w:rPr>
                <w:noProof/>
                <w:lang w:val="fr-FR" w:eastAsia="fr-FR"/>
              </w:rPr>
              <mc:AlternateContent>
                <mc:Choice Requires="wps">
                  <w:drawing>
                    <wp:anchor distT="0" distB="0" distL="114300" distR="114300" simplePos="0" relativeHeight="251657728" behindDoc="1" locked="0" layoutInCell="1" allowOverlap="1" wp14:anchorId="1792DF41" wp14:editId="788B6D44">
                      <wp:simplePos x="0" y="0"/>
                      <wp:positionH relativeFrom="column">
                        <wp:posOffset>3263900</wp:posOffset>
                      </wp:positionH>
                      <wp:positionV relativeFrom="paragraph">
                        <wp:posOffset>193675</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269EA" w:rsidRPr="00254FD9" w:rsidRDefault="005269E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493F86" w:rsidRDefault="001D181E" w:rsidP="00FF320E">
            <w:pPr>
              <w:rPr>
                <w:lang w:val="en-GB"/>
              </w:rPr>
            </w:pPr>
            <w:r>
              <w:rPr>
                <w:lang w:val="en-GB"/>
              </w:rPr>
              <w:t>Group membership</w:t>
            </w:r>
            <w:r w:rsidR="00493F86" w:rsidRPr="0016435A">
              <w:rPr>
                <w:lang w:val="en-GB"/>
              </w:rPr>
              <w:t xml:space="preserve"> required</w:t>
            </w:r>
            <w:r>
              <w:rPr>
                <w:lang w:val="en-GB"/>
              </w:rPr>
              <w:t xml:space="preserve"> </w:t>
            </w:r>
            <w:proofErr w:type="gramStart"/>
            <w:r>
              <w:rPr>
                <w:lang w:val="en-GB"/>
              </w:rPr>
              <w:t>to read</w:t>
            </w:r>
            <w:proofErr w:type="gramEnd"/>
            <w:r>
              <w:rPr>
                <w:lang w:val="en-GB"/>
              </w:rPr>
              <w:t>? (Y/N)</w:t>
            </w:r>
          </w:p>
          <w:p w:rsidR="00493F86" w:rsidRPr="00DD103C" w:rsidRDefault="00493F86" w:rsidP="00FF320E">
            <w:pPr>
              <w:pStyle w:val="Header1"/>
              <w:rPr>
                <w:lang w:val="en-GB"/>
              </w:rPr>
            </w:pPr>
          </w:p>
        </w:tc>
      </w:tr>
      <w:tr w:rsidR="00493F86" w:rsidRPr="0098621D"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3D778B" w:rsidRDefault="00493F86" w:rsidP="00FF320E">
            <w:pPr>
              <w:pStyle w:val="Header1"/>
            </w:pPr>
          </w:p>
          <w:p w:rsidR="00493F86" w:rsidRPr="0098621D" w:rsidRDefault="00493F86" w:rsidP="00FF320E">
            <w:pPr>
              <w:pStyle w:val="Header1"/>
              <w:rPr>
                <w:sz w:val="8"/>
              </w:rPr>
            </w:pP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Default="001E0E49" w:rsidP="001E0E49">
            <w:pPr>
              <w:pStyle w:val="Kopfzeile1"/>
              <w:rPr>
                <w:lang w:val="en-US"/>
              </w:rPr>
            </w:pPr>
            <w:r w:rsidRPr="001E0E49">
              <w:rPr>
                <w:lang w:val="en-US"/>
              </w:rPr>
              <w:t>Summary:</w:t>
            </w:r>
            <w:r>
              <w:rPr>
                <w:lang w:val="en-US"/>
              </w:rPr>
              <w:t xml:space="preserve"> </w:t>
            </w:r>
          </w:p>
        </w:tc>
      </w:tr>
      <w:tr w:rsidR="001E0E49" w:rsidRPr="00D440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1E0E49" w:rsidRDefault="003F214B" w:rsidP="003F214B">
            <w:pPr>
              <w:rPr>
                <w:rFonts w:cs="Arial"/>
                <w:sz w:val="20"/>
              </w:rPr>
            </w:pPr>
            <w:r>
              <w:rPr>
                <w:rFonts w:cs="Arial"/>
                <w:sz w:val="20"/>
              </w:rPr>
              <w:t xml:space="preserve">This document </w:t>
            </w:r>
            <w:r w:rsidR="003137A0">
              <w:rPr>
                <w:rFonts w:cs="Arial"/>
                <w:sz w:val="20"/>
              </w:rPr>
              <w:t>report</w:t>
            </w:r>
            <w:r w:rsidR="000C0226">
              <w:rPr>
                <w:rFonts w:cs="Arial"/>
                <w:sz w:val="20"/>
              </w:rPr>
              <w:t>s</w:t>
            </w:r>
            <w:r w:rsidR="003137A0">
              <w:rPr>
                <w:rFonts w:cs="Arial"/>
                <w:sz w:val="20"/>
              </w:rPr>
              <w:t xml:space="preserve"> about </w:t>
            </w:r>
            <w:r w:rsidR="00D7584B">
              <w:rPr>
                <w:rFonts w:cs="Arial"/>
                <w:sz w:val="20"/>
              </w:rPr>
              <w:t>the ECO</w:t>
            </w:r>
            <w:r>
              <w:rPr>
                <w:rFonts w:cs="Arial"/>
                <w:sz w:val="20"/>
              </w:rPr>
              <w:t xml:space="preserve"> activity on research projects since the ECC meeting in Viln</w:t>
            </w:r>
            <w:r w:rsidR="000C0226">
              <w:rPr>
                <w:rFonts w:cs="Arial"/>
                <w:sz w:val="20"/>
              </w:rPr>
              <w:t>i</w:t>
            </w:r>
            <w:r>
              <w:rPr>
                <w:rFonts w:cs="Arial"/>
                <w:sz w:val="20"/>
              </w:rPr>
              <w:t xml:space="preserve">us (October 2012).  </w:t>
            </w:r>
          </w:p>
          <w:p w:rsidR="009E1745" w:rsidRPr="009E1745" w:rsidRDefault="009E1745" w:rsidP="009E1745">
            <w:pPr>
              <w:rPr>
                <w:rFonts w:cs="Arial"/>
                <w:sz w:val="20"/>
              </w:rPr>
            </w:pPr>
            <w:r w:rsidRPr="009E1745">
              <w:rPr>
                <w:rFonts w:cs="Arial"/>
                <w:sz w:val="20"/>
              </w:rPr>
              <w:t>After consultation with the ECC and its constituent bodies, the ECO decided to focus on five areas of research activity which in the short term could influence the ECC work programme. This pr</w:t>
            </w:r>
            <w:r>
              <w:rPr>
                <w:rFonts w:cs="Arial"/>
                <w:sz w:val="20"/>
              </w:rPr>
              <w:t>ocess has</w:t>
            </w:r>
            <w:r w:rsidRPr="009E1745">
              <w:rPr>
                <w:rFonts w:cs="Arial"/>
                <w:sz w:val="20"/>
              </w:rPr>
              <w:t xml:space="preserve"> led to an increased and more direct involvement from academia in the ECC activities. </w:t>
            </w:r>
            <w:r w:rsidR="000C0226">
              <w:rPr>
                <w:rFonts w:cs="Arial"/>
                <w:sz w:val="20"/>
              </w:rPr>
              <w:t>Representatives from a</w:t>
            </w:r>
            <w:r w:rsidRPr="009E1745">
              <w:rPr>
                <w:rFonts w:cs="Arial"/>
                <w:sz w:val="20"/>
              </w:rPr>
              <w:t>cademi</w:t>
            </w:r>
            <w:r w:rsidR="000C0226">
              <w:rPr>
                <w:rFonts w:cs="Arial"/>
                <w:sz w:val="20"/>
              </w:rPr>
              <w:t xml:space="preserve">c institutions </w:t>
            </w:r>
            <w:r w:rsidRPr="009E1745">
              <w:rPr>
                <w:rFonts w:cs="Arial"/>
                <w:sz w:val="20"/>
              </w:rPr>
              <w:t xml:space="preserve">are </w:t>
            </w:r>
            <w:r w:rsidR="000C0226">
              <w:rPr>
                <w:rFonts w:cs="Arial"/>
                <w:sz w:val="20"/>
              </w:rPr>
              <w:t xml:space="preserve">now </w:t>
            </w:r>
            <w:r w:rsidRPr="009E1745">
              <w:rPr>
                <w:rFonts w:cs="Arial"/>
                <w:sz w:val="20"/>
              </w:rPr>
              <w:t>taking part in the meetings</w:t>
            </w:r>
            <w:r w:rsidR="003137A0">
              <w:rPr>
                <w:rFonts w:cs="Arial"/>
                <w:sz w:val="20"/>
              </w:rPr>
              <w:t xml:space="preserve"> of </w:t>
            </w:r>
            <w:r w:rsidRPr="009E1745">
              <w:rPr>
                <w:rFonts w:cs="Arial"/>
                <w:sz w:val="20"/>
              </w:rPr>
              <w:t xml:space="preserve"> </w:t>
            </w:r>
            <w:r w:rsidR="003137A0">
              <w:rPr>
                <w:rFonts w:cs="Arial"/>
                <w:sz w:val="20"/>
              </w:rPr>
              <w:t xml:space="preserve">PT </w:t>
            </w:r>
            <w:r w:rsidR="003137A0" w:rsidRPr="009E1745">
              <w:rPr>
                <w:rFonts w:cs="Arial"/>
                <w:sz w:val="20"/>
              </w:rPr>
              <w:t xml:space="preserve">SE24, </w:t>
            </w:r>
            <w:r w:rsidR="003137A0">
              <w:rPr>
                <w:rFonts w:cs="Arial"/>
                <w:sz w:val="20"/>
              </w:rPr>
              <w:t>PT SE43, SRD/</w:t>
            </w:r>
            <w:r w:rsidR="003137A0" w:rsidRPr="009E1745">
              <w:rPr>
                <w:rFonts w:cs="Arial"/>
                <w:sz w:val="20"/>
              </w:rPr>
              <w:t>MG, ECC PT1</w:t>
            </w:r>
            <w:r w:rsidR="003137A0">
              <w:rPr>
                <w:rFonts w:cs="Arial"/>
                <w:sz w:val="20"/>
              </w:rPr>
              <w:t xml:space="preserve"> on a regular basis</w:t>
            </w:r>
            <w:r w:rsidRPr="009E1745">
              <w:rPr>
                <w:rFonts w:cs="Arial"/>
                <w:sz w:val="20"/>
              </w:rPr>
              <w:t xml:space="preserve">. </w:t>
            </w:r>
          </w:p>
          <w:p w:rsidR="009E1745" w:rsidRPr="009E1745" w:rsidRDefault="009E1745" w:rsidP="000C0226">
            <w:pPr>
              <w:rPr>
                <w:rFonts w:cs="Arial"/>
                <w:sz w:val="20"/>
              </w:rPr>
            </w:pPr>
            <w:r>
              <w:rPr>
                <w:rFonts w:cs="Arial"/>
                <w:sz w:val="20"/>
              </w:rPr>
              <w:t xml:space="preserve">ECO representatives attended </w:t>
            </w:r>
            <w:r w:rsidR="000C0226">
              <w:rPr>
                <w:rFonts w:cs="Arial"/>
                <w:sz w:val="20"/>
              </w:rPr>
              <w:t xml:space="preserve">a </w:t>
            </w:r>
            <w:r>
              <w:rPr>
                <w:rFonts w:cs="Arial"/>
                <w:sz w:val="20"/>
              </w:rPr>
              <w:t xml:space="preserve">number of </w:t>
            </w:r>
            <w:r w:rsidR="000C0226">
              <w:rPr>
                <w:rFonts w:cs="Arial"/>
                <w:sz w:val="20"/>
              </w:rPr>
              <w:t xml:space="preserve">relevant </w:t>
            </w:r>
            <w:r w:rsidR="003137A0">
              <w:rPr>
                <w:rFonts w:cs="Arial"/>
                <w:sz w:val="20"/>
              </w:rPr>
              <w:t>Conferences and W</w:t>
            </w:r>
            <w:r>
              <w:rPr>
                <w:rFonts w:cs="Arial"/>
                <w:sz w:val="20"/>
              </w:rPr>
              <w:t xml:space="preserve">orkshops and </w:t>
            </w:r>
            <w:r w:rsidR="000C0226">
              <w:rPr>
                <w:rFonts w:cs="Arial"/>
                <w:sz w:val="20"/>
              </w:rPr>
              <w:t xml:space="preserve">have </w:t>
            </w:r>
            <w:r>
              <w:rPr>
                <w:rFonts w:cs="Arial"/>
                <w:sz w:val="20"/>
              </w:rPr>
              <w:t>developed some further contacts with research projects</w:t>
            </w:r>
            <w:r w:rsidR="003137A0">
              <w:rPr>
                <w:rFonts w:cs="Arial"/>
                <w:sz w:val="20"/>
              </w:rPr>
              <w:t xml:space="preserve"> and academia</w:t>
            </w:r>
            <w:r>
              <w:rPr>
                <w:rFonts w:cs="Arial"/>
                <w:sz w:val="20"/>
              </w:rPr>
              <w:t xml:space="preserve">.  </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Default="001E0E49" w:rsidP="001E0E49">
            <w:pPr>
              <w:pStyle w:val="Kopfzeile1"/>
              <w:rPr>
                <w:lang w:val="en-US"/>
              </w:rPr>
            </w:pPr>
            <w:r>
              <w:rPr>
                <w:lang w:val="en-US"/>
              </w:rPr>
              <w:t xml:space="preserve">Proposal: </w:t>
            </w:r>
          </w:p>
        </w:tc>
      </w:tr>
      <w:tr w:rsidR="001E0E49" w:rsidTr="000F1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1"/>
        </w:trPr>
        <w:tc>
          <w:tcPr>
            <w:tcW w:w="9640" w:type="dxa"/>
            <w:gridSpan w:val="4"/>
            <w:tcBorders>
              <w:top w:val="nil"/>
              <w:bottom w:val="single" w:sz="4" w:space="0" w:color="auto"/>
            </w:tcBorders>
          </w:tcPr>
          <w:p w:rsidR="001E0E49" w:rsidRPr="000F1906" w:rsidRDefault="000F1906" w:rsidP="00421927">
            <w:pPr>
              <w:rPr>
                <w:lang w:val="en-US"/>
              </w:rPr>
            </w:pPr>
            <w:r>
              <w:rPr>
                <w:rFonts w:cs="Arial"/>
                <w:sz w:val="20"/>
              </w:rPr>
              <w:t xml:space="preserve">The ECC meeting is invited to </w:t>
            </w:r>
            <w:r w:rsidR="00421927">
              <w:rPr>
                <w:rFonts w:cs="Arial"/>
                <w:sz w:val="20"/>
              </w:rPr>
              <w:t xml:space="preserve">note </w:t>
            </w:r>
            <w:r>
              <w:rPr>
                <w:rFonts w:cs="Arial"/>
                <w:sz w:val="20"/>
              </w:rPr>
              <w:t>the presented document</w:t>
            </w:r>
            <w:r w:rsidR="00421927">
              <w:rPr>
                <w:rFonts w:cs="Arial"/>
                <w:sz w:val="20"/>
              </w:rPr>
              <w:t>, and comment as it wishes</w:t>
            </w:r>
            <w:r>
              <w:rPr>
                <w:rFonts w:cs="Arial"/>
                <w:sz w:val="20"/>
              </w:rPr>
              <w:t>.</w:t>
            </w:r>
            <w:r w:rsidR="00421927">
              <w:rPr>
                <w:rFonts w:cs="Arial"/>
                <w:sz w:val="20"/>
              </w:rPr>
              <w:t xml:space="preserve">  It was presented to the Steering Group at its meeting on May 27-28th 2013</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Default="001E0E49" w:rsidP="001E0E49">
            <w:pPr>
              <w:pStyle w:val="Kopfzeile1"/>
              <w:rPr>
                <w:lang w:val="en-US"/>
              </w:rPr>
            </w:pPr>
            <w:r>
              <w:rPr>
                <w:lang w:val="en-US"/>
              </w:rPr>
              <w:t>Background:</w:t>
            </w:r>
            <w:r w:rsidR="00ED7AEC">
              <w:rPr>
                <w:lang w:val="en-US"/>
              </w:rPr>
              <w:t xml:space="preserve"> </w:t>
            </w:r>
          </w:p>
        </w:tc>
      </w:tr>
      <w:tr w:rsidR="00EF65FD" w:rsidRPr="00E305F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EF65FD" w:rsidRPr="005A765A" w:rsidRDefault="00EF65FD" w:rsidP="00EF65FD">
            <w:pPr>
              <w:rPr>
                <w:rFonts w:cs="Arial"/>
                <w:sz w:val="20"/>
                <w:lang w:val="en-US"/>
              </w:rPr>
            </w:pPr>
            <w:r w:rsidRPr="005A765A">
              <w:rPr>
                <w:rFonts w:cs="Arial"/>
                <w:sz w:val="20"/>
              </w:rPr>
              <w:t xml:space="preserve">The ECC </w:t>
            </w:r>
            <w:r w:rsidRPr="005A765A">
              <w:rPr>
                <w:rFonts w:cs="Arial"/>
                <w:bCs/>
                <w:sz w:val="20"/>
              </w:rPr>
              <w:t>published its Strategic Plan in March 2010.</w:t>
            </w:r>
            <w:r w:rsidRPr="005A765A">
              <w:rPr>
                <w:rFonts w:cs="Arial"/>
                <w:sz w:val="20"/>
              </w:rPr>
              <w:t xml:space="preserve"> Within this five year strategy, the ECO’s tasks include to “develop relations with universities and relevant scientific institutes that would be willing to do research in spectrum management</w:t>
            </w:r>
            <w:r w:rsidR="000C0226">
              <w:rPr>
                <w:rFonts w:cs="Arial"/>
                <w:sz w:val="20"/>
              </w:rPr>
              <w:t xml:space="preserve">, </w:t>
            </w:r>
            <w:r w:rsidRPr="005A765A">
              <w:rPr>
                <w:rFonts w:cs="Arial"/>
                <w:sz w:val="20"/>
              </w:rPr>
              <w:t xml:space="preserve">and </w:t>
            </w:r>
            <w:r w:rsidR="000C0226">
              <w:rPr>
                <w:rFonts w:cs="Arial"/>
                <w:sz w:val="20"/>
              </w:rPr>
              <w:t xml:space="preserve">(to) </w:t>
            </w:r>
            <w:r w:rsidRPr="005A765A">
              <w:rPr>
                <w:rFonts w:cs="Arial"/>
                <w:sz w:val="20"/>
              </w:rPr>
              <w:t>give advice to research institutes on issues to investigate or on specific research” and to “</w:t>
            </w:r>
            <w:r w:rsidRPr="005A765A">
              <w:rPr>
                <w:rFonts w:cs="Arial"/>
                <w:sz w:val="20"/>
                <w:lang w:val="en-US"/>
              </w:rPr>
              <w:t xml:space="preserve">explore relationships with European research </w:t>
            </w:r>
            <w:proofErr w:type="spellStart"/>
            <w:r w:rsidRPr="005A765A">
              <w:rPr>
                <w:rFonts w:cs="Arial"/>
                <w:sz w:val="20"/>
                <w:lang w:val="en-US"/>
              </w:rPr>
              <w:t>programmes</w:t>
            </w:r>
            <w:proofErr w:type="spellEnd"/>
            <w:r w:rsidRPr="005A765A">
              <w:rPr>
                <w:rFonts w:cs="Arial"/>
                <w:sz w:val="20"/>
                <w:lang w:val="en-US"/>
              </w:rPr>
              <w:t>”.</w:t>
            </w:r>
          </w:p>
          <w:p w:rsidR="00EF65FD" w:rsidRPr="005A765A" w:rsidRDefault="00EF65FD" w:rsidP="00EF65FD">
            <w:pPr>
              <w:rPr>
                <w:rFonts w:cs="Arial"/>
                <w:sz w:val="20"/>
                <w:lang w:val="en-US"/>
              </w:rPr>
            </w:pPr>
            <w:r w:rsidRPr="005A765A">
              <w:rPr>
                <w:rFonts w:cs="Arial"/>
                <w:sz w:val="20"/>
                <w:lang w:val="en-US"/>
              </w:rPr>
              <w:t xml:space="preserve">The Office is adopting a step-by step approach to developing these </w:t>
            </w:r>
            <w:proofErr w:type="gramStart"/>
            <w:r w:rsidRPr="005A765A">
              <w:rPr>
                <w:rFonts w:cs="Arial"/>
                <w:sz w:val="20"/>
                <w:lang w:val="en-US"/>
              </w:rPr>
              <w:t>relationships,</w:t>
            </w:r>
            <w:proofErr w:type="gramEnd"/>
            <w:r w:rsidRPr="005A765A">
              <w:rPr>
                <w:rFonts w:cs="Arial"/>
                <w:sz w:val="20"/>
                <w:lang w:val="en-US"/>
              </w:rPr>
              <w:t xml:space="preserve"> </w:t>
            </w:r>
            <w:r w:rsidR="00C765AD">
              <w:rPr>
                <w:rFonts w:cs="Arial"/>
                <w:sz w:val="20"/>
                <w:lang w:val="en-US"/>
              </w:rPr>
              <w:t>presenting progress reports at the</w:t>
            </w:r>
            <w:r w:rsidRPr="005A765A">
              <w:rPr>
                <w:rFonts w:cs="Arial"/>
                <w:sz w:val="20"/>
                <w:lang w:val="en-US"/>
              </w:rPr>
              <w:t xml:space="preserve"> ECC subordinate bodies</w:t>
            </w:r>
            <w:r w:rsidR="000C0226">
              <w:rPr>
                <w:rFonts w:cs="Arial"/>
                <w:sz w:val="20"/>
                <w:lang w:val="en-US"/>
              </w:rPr>
              <w:t>’</w:t>
            </w:r>
            <w:r w:rsidR="00C765AD">
              <w:rPr>
                <w:rFonts w:cs="Arial"/>
                <w:sz w:val="20"/>
                <w:lang w:val="en-US"/>
              </w:rPr>
              <w:t xml:space="preserve"> meetings. </w:t>
            </w:r>
          </w:p>
          <w:p w:rsidR="00EF65FD" w:rsidRPr="005A765A" w:rsidRDefault="00EF65FD" w:rsidP="00EF65FD">
            <w:pPr>
              <w:rPr>
                <w:rFonts w:cs="Arial"/>
                <w:sz w:val="20"/>
              </w:rPr>
            </w:pPr>
            <w:r w:rsidRPr="005A765A">
              <w:rPr>
                <w:rFonts w:cs="Arial"/>
                <w:sz w:val="20"/>
              </w:rPr>
              <w:t xml:space="preserve">The research activity page </w:t>
            </w:r>
            <w:r w:rsidR="000C0226">
              <w:rPr>
                <w:rFonts w:cs="Arial"/>
                <w:sz w:val="20"/>
              </w:rPr>
              <w:t>of</w:t>
            </w:r>
            <w:r w:rsidRPr="005A765A">
              <w:rPr>
                <w:rFonts w:cs="Arial"/>
                <w:sz w:val="20"/>
              </w:rPr>
              <w:t xml:space="preserve"> the CEPT</w:t>
            </w:r>
            <w:r w:rsidR="000C0226">
              <w:rPr>
                <w:rFonts w:cs="Arial"/>
                <w:sz w:val="20"/>
              </w:rPr>
              <w:t xml:space="preserve">/ECC </w:t>
            </w:r>
            <w:r w:rsidRPr="005A765A">
              <w:rPr>
                <w:rFonts w:cs="Arial"/>
                <w:sz w:val="20"/>
              </w:rPr>
              <w:t xml:space="preserve">web-site </w:t>
            </w:r>
            <w:r w:rsidR="000C0226">
              <w:rPr>
                <w:rFonts w:cs="Arial"/>
                <w:sz w:val="20"/>
              </w:rPr>
              <w:t>gives a s</w:t>
            </w:r>
            <w:r w:rsidRPr="005A765A">
              <w:rPr>
                <w:rFonts w:cs="Arial"/>
                <w:sz w:val="20"/>
              </w:rPr>
              <w:t>ummar</w:t>
            </w:r>
            <w:r w:rsidR="000C0226">
              <w:rPr>
                <w:rFonts w:cs="Arial"/>
                <w:sz w:val="20"/>
              </w:rPr>
              <w:t>y</w:t>
            </w:r>
            <w:r w:rsidRPr="005A765A">
              <w:rPr>
                <w:rFonts w:cs="Arial"/>
                <w:sz w:val="20"/>
              </w:rPr>
              <w:t xml:space="preserve"> at </w:t>
            </w:r>
            <w:r w:rsidR="00B738F8">
              <w:fldChar w:fldCharType="begin"/>
            </w:r>
            <w:r w:rsidR="00B738F8">
              <w:instrText xml:space="preserve"> HYPERLINK "http://www.cept.org/ecc/topics/research-activity" </w:instrText>
            </w:r>
            <w:r w:rsidR="00B738F8">
              <w:fldChar w:fldCharType="separate"/>
            </w:r>
            <w:r w:rsidRPr="005A765A">
              <w:rPr>
                <w:rStyle w:val="Lienhypertexte"/>
                <w:rFonts w:cs="Arial"/>
                <w:sz w:val="20"/>
              </w:rPr>
              <w:t>http://www.cept.org/ecc/topics/research-activity</w:t>
            </w:r>
            <w:r w:rsidR="00B738F8">
              <w:rPr>
                <w:rStyle w:val="Lienhypertexte"/>
                <w:rFonts w:cs="Arial"/>
                <w:sz w:val="20"/>
              </w:rPr>
              <w:fldChar w:fldCharType="end"/>
            </w:r>
            <w:r w:rsidRPr="005A765A">
              <w:rPr>
                <w:rFonts w:cs="Arial"/>
                <w:sz w:val="20"/>
              </w:rPr>
              <w:t>.</w:t>
            </w:r>
          </w:p>
          <w:p w:rsidR="00EF65FD" w:rsidRPr="00EB4BBE" w:rsidRDefault="00EF65FD" w:rsidP="00C765AD">
            <w:pPr>
              <w:pStyle w:val="Paragraphedeliste"/>
            </w:pPr>
          </w:p>
        </w:tc>
      </w:tr>
    </w:tbl>
    <w:p w:rsidR="00DE5E01" w:rsidRDefault="00DE5E01" w:rsidP="00DE5E01">
      <w:pPr>
        <w:rPr>
          <w:lang w:val="en-GB"/>
        </w:rPr>
      </w:pPr>
    </w:p>
    <w:p w:rsidR="00897B90" w:rsidRDefault="00897B90" w:rsidP="00DE5E01">
      <w:pPr>
        <w:rPr>
          <w:lang w:val="en-GB"/>
        </w:rPr>
      </w:pPr>
    </w:p>
    <w:p w:rsidR="00897B90" w:rsidRDefault="00897B90" w:rsidP="00DE5E01">
      <w:pPr>
        <w:rPr>
          <w:lang w:val="en-GB"/>
        </w:rPr>
      </w:pPr>
    </w:p>
    <w:p w:rsidR="007A3F94" w:rsidRDefault="007A3F94" w:rsidP="00DE5E01">
      <w:pPr>
        <w:rPr>
          <w:lang w:val="en-GB"/>
        </w:rPr>
      </w:pPr>
    </w:p>
    <w:p w:rsidR="003137A0" w:rsidRDefault="003137A0" w:rsidP="00DE5E01">
      <w:pPr>
        <w:rPr>
          <w:lang w:val="en-GB"/>
        </w:rPr>
      </w:pPr>
    </w:p>
    <w:p w:rsidR="007A3F94" w:rsidRDefault="007A3F94" w:rsidP="007A3F94">
      <w:pPr>
        <w:rPr>
          <w:szCs w:val="22"/>
          <w:lang w:val="en-US"/>
        </w:rPr>
      </w:pPr>
    </w:p>
    <w:p w:rsidR="00DD0578" w:rsidRDefault="00DD0578" w:rsidP="007A3F94">
      <w:pPr>
        <w:rPr>
          <w:rFonts w:cs="Arial"/>
          <w:sz w:val="20"/>
          <w:lang w:val="en-US"/>
        </w:rPr>
      </w:pPr>
    </w:p>
    <w:p w:rsidR="00DD0578" w:rsidRDefault="00DD0578" w:rsidP="007A3F94">
      <w:pPr>
        <w:rPr>
          <w:rFonts w:cs="Arial"/>
          <w:sz w:val="20"/>
          <w:lang w:val="en-US"/>
        </w:rPr>
      </w:pPr>
    </w:p>
    <w:p w:rsidR="00DD0578" w:rsidRDefault="00132BD5" w:rsidP="00DD0578">
      <w:pPr>
        <w:jc w:val="center"/>
        <w:rPr>
          <w:rFonts w:cs="Arial"/>
          <w:sz w:val="20"/>
        </w:rPr>
      </w:pPr>
      <w:r>
        <w:rPr>
          <w:rFonts w:cs="Arial"/>
          <w:b/>
          <w:sz w:val="20"/>
        </w:rPr>
        <w:lastRenderedPageBreak/>
        <w:t xml:space="preserve">Progress report on the </w:t>
      </w:r>
      <w:r w:rsidR="00DD0578">
        <w:rPr>
          <w:rFonts w:cs="Arial"/>
          <w:b/>
          <w:sz w:val="20"/>
        </w:rPr>
        <w:t>ECO activity on research projects</w:t>
      </w:r>
    </w:p>
    <w:p w:rsidR="006A609E" w:rsidRDefault="006A609E" w:rsidP="007A3F94">
      <w:pPr>
        <w:rPr>
          <w:rFonts w:cs="Arial"/>
          <w:sz w:val="20"/>
          <w:lang w:val="en-US"/>
        </w:rPr>
      </w:pPr>
    </w:p>
    <w:p w:rsidR="004E7C50" w:rsidRDefault="006A609E" w:rsidP="004E7C50">
      <w:pPr>
        <w:rPr>
          <w:rFonts w:cs="Arial"/>
          <w:sz w:val="20"/>
          <w:lang w:val="en-US"/>
        </w:rPr>
      </w:pPr>
      <w:r w:rsidRPr="007A3F94">
        <w:rPr>
          <w:rFonts w:cs="Arial"/>
          <w:sz w:val="20"/>
          <w:lang w:val="en-US"/>
        </w:rPr>
        <w:t>The ECC meeting (October 2012) has revised the paper describing ECO</w:t>
      </w:r>
      <w:r w:rsidR="00CC2071">
        <w:rPr>
          <w:rFonts w:cs="Arial"/>
          <w:sz w:val="20"/>
          <w:lang w:val="en-US"/>
        </w:rPr>
        <w:t>’s</w:t>
      </w:r>
      <w:r w:rsidRPr="007A3F94">
        <w:rPr>
          <w:rFonts w:cs="Arial"/>
          <w:sz w:val="20"/>
          <w:lang w:val="en-US"/>
        </w:rPr>
        <w:t xml:space="preserve"> step-by-step approach to develop relationships with research </w:t>
      </w:r>
      <w:proofErr w:type="spellStart"/>
      <w:r w:rsidRPr="007A3F94">
        <w:rPr>
          <w:rFonts w:cs="Arial"/>
          <w:sz w:val="20"/>
          <w:lang w:val="en-US"/>
        </w:rPr>
        <w:t>organisations</w:t>
      </w:r>
      <w:proofErr w:type="spellEnd"/>
      <w:r w:rsidRPr="007A3F94">
        <w:rPr>
          <w:rFonts w:cs="Arial"/>
          <w:sz w:val="20"/>
          <w:lang w:val="en-US"/>
        </w:rPr>
        <w:t xml:space="preserve">. The ECC endorsed the Office proposal and recommend its subordinate bodies to review their Work </w:t>
      </w:r>
      <w:proofErr w:type="spellStart"/>
      <w:r w:rsidRPr="007A3F94">
        <w:rPr>
          <w:rFonts w:cs="Arial"/>
          <w:sz w:val="20"/>
          <w:lang w:val="en-US"/>
        </w:rPr>
        <w:t>Programme</w:t>
      </w:r>
      <w:r w:rsidR="00CC2071">
        <w:rPr>
          <w:rFonts w:cs="Arial"/>
          <w:sz w:val="20"/>
          <w:lang w:val="en-US"/>
        </w:rPr>
        <w:t>s</w:t>
      </w:r>
      <w:proofErr w:type="spellEnd"/>
      <w:r w:rsidRPr="007A3F94">
        <w:rPr>
          <w:rFonts w:cs="Arial"/>
          <w:sz w:val="20"/>
          <w:lang w:val="en-US"/>
        </w:rPr>
        <w:t xml:space="preserve"> in order to identify areas to be considered for more close cooperation with research institutions. </w:t>
      </w:r>
      <w:r w:rsidR="00CC2071">
        <w:rPr>
          <w:rFonts w:cs="Arial"/>
          <w:sz w:val="20"/>
          <w:lang w:val="en-US"/>
        </w:rPr>
        <w:t xml:space="preserve">Therefore, </w:t>
      </w:r>
      <w:r w:rsidR="004E7C50" w:rsidRPr="006C27D3">
        <w:rPr>
          <w:rFonts w:cs="Arial"/>
          <w:sz w:val="20"/>
          <w:lang w:val="en-US"/>
        </w:rPr>
        <w:t>ECC (12)050</w:t>
      </w:r>
      <w:r w:rsidR="004E7C50">
        <w:rPr>
          <w:rFonts w:cs="Arial"/>
          <w:sz w:val="20"/>
          <w:lang w:val="en-US"/>
        </w:rPr>
        <w:t xml:space="preserve"> was presented </w:t>
      </w:r>
      <w:r w:rsidR="00CC2071">
        <w:rPr>
          <w:rFonts w:cs="Arial"/>
          <w:sz w:val="20"/>
          <w:lang w:val="en-US"/>
        </w:rPr>
        <w:t>to</w:t>
      </w:r>
      <w:r w:rsidR="004E7C50">
        <w:rPr>
          <w:rFonts w:cs="Arial"/>
          <w:sz w:val="20"/>
          <w:lang w:val="en-US"/>
        </w:rPr>
        <w:t xml:space="preserve"> WGSE, WGFM and a number of their </w:t>
      </w:r>
      <w:proofErr w:type="spellStart"/>
      <w:r w:rsidR="004E7C50">
        <w:rPr>
          <w:rFonts w:cs="Arial"/>
          <w:sz w:val="20"/>
          <w:lang w:val="en-US"/>
        </w:rPr>
        <w:t>PTs.</w:t>
      </w:r>
      <w:proofErr w:type="spellEnd"/>
      <w:r w:rsidR="004E7C50">
        <w:rPr>
          <w:rFonts w:cs="Arial"/>
          <w:sz w:val="20"/>
          <w:lang w:val="en-US"/>
        </w:rPr>
        <w:t xml:space="preserve"> </w:t>
      </w:r>
    </w:p>
    <w:p w:rsidR="006A609E" w:rsidRDefault="006A609E" w:rsidP="007A3F94">
      <w:pPr>
        <w:rPr>
          <w:rFonts w:cs="Arial"/>
          <w:sz w:val="20"/>
          <w:lang w:val="en-US"/>
        </w:rPr>
      </w:pPr>
    </w:p>
    <w:p w:rsidR="005B4997" w:rsidRDefault="004A08C3" w:rsidP="00132BD5">
      <w:pPr>
        <w:pStyle w:val="Paragraphedeliste"/>
        <w:numPr>
          <w:ilvl w:val="0"/>
          <w:numId w:val="18"/>
        </w:numPr>
        <w:ind w:left="360"/>
        <w:rPr>
          <w:rFonts w:ascii="Arial" w:hAnsi="Arial" w:cs="Arial"/>
          <w:b/>
          <w:sz w:val="20"/>
          <w:lang w:val="en-US"/>
        </w:rPr>
      </w:pPr>
      <w:r>
        <w:rPr>
          <w:rFonts w:ascii="Arial" w:hAnsi="Arial" w:cs="Arial"/>
          <w:b/>
          <w:sz w:val="20"/>
          <w:lang w:val="en-US"/>
        </w:rPr>
        <w:t xml:space="preserve">Discussions at the </w:t>
      </w:r>
      <w:r w:rsidR="005B4997" w:rsidRPr="005B4997">
        <w:rPr>
          <w:rFonts w:ascii="Arial" w:hAnsi="Arial" w:cs="Arial"/>
          <w:b/>
          <w:sz w:val="20"/>
          <w:lang w:val="en-US"/>
        </w:rPr>
        <w:t xml:space="preserve">Working groups </w:t>
      </w:r>
      <w:r w:rsidR="005B4997">
        <w:rPr>
          <w:rFonts w:ascii="Arial" w:hAnsi="Arial" w:cs="Arial"/>
          <w:b/>
          <w:sz w:val="20"/>
          <w:lang w:val="en-US"/>
        </w:rPr>
        <w:t>and P</w:t>
      </w:r>
      <w:r w:rsidR="005B4997" w:rsidRPr="005B4997">
        <w:rPr>
          <w:rFonts w:ascii="Arial" w:hAnsi="Arial" w:cs="Arial"/>
          <w:b/>
          <w:sz w:val="20"/>
          <w:lang w:val="en-US"/>
        </w:rPr>
        <w:t xml:space="preserve">roject teams </w:t>
      </w:r>
      <w:r>
        <w:rPr>
          <w:rFonts w:ascii="Arial" w:hAnsi="Arial" w:cs="Arial"/>
          <w:b/>
          <w:sz w:val="20"/>
          <w:lang w:val="en-US"/>
        </w:rPr>
        <w:t>level</w:t>
      </w:r>
    </w:p>
    <w:p w:rsidR="00B97C41" w:rsidRDefault="00B97C41" w:rsidP="00B97C41">
      <w:pPr>
        <w:rPr>
          <w:rFonts w:cs="Arial"/>
          <w:sz w:val="20"/>
          <w:lang w:val="en-US"/>
        </w:rPr>
      </w:pPr>
    </w:p>
    <w:p w:rsidR="00B97C41" w:rsidRPr="00C57966" w:rsidRDefault="004A08C3" w:rsidP="004E7C50">
      <w:pPr>
        <w:pStyle w:val="Paragraphedeliste"/>
        <w:numPr>
          <w:ilvl w:val="0"/>
          <w:numId w:val="23"/>
        </w:numPr>
        <w:jc w:val="both"/>
        <w:rPr>
          <w:rFonts w:ascii="Arial" w:hAnsi="Arial" w:cs="Arial"/>
          <w:sz w:val="20"/>
          <w:szCs w:val="20"/>
          <w:lang w:val="en-US"/>
        </w:rPr>
      </w:pPr>
      <w:r w:rsidRPr="00C57966">
        <w:rPr>
          <w:rFonts w:ascii="Arial" w:hAnsi="Arial" w:cs="Arial"/>
          <w:sz w:val="20"/>
          <w:szCs w:val="20"/>
          <w:lang w:val="en-US"/>
        </w:rPr>
        <w:t>SE7 at their February 2013 meeting has reviewed t</w:t>
      </w:r>
      <w:r w:rsidR="00B97C41" w:rsidRPr="00C57966">
        <w:rPr>
          <w:rFonts w:ascii="Arial" w:hAnsi="Arial" w:cs="Arial"/>
          <w:sz w:val="20"/>
          <w:szCs w:val="20"/>
          <w:lang w:val="en-US"/>
        </w:rPr>
        <w:t>he ECO research activity paper</w:t>
      </w:r>
      <w:r w:rsidR="004E7C50" w:rsidRPr="00C57966">
        <w:rPr>
          <w:rFonts w:ascii="Arial" w:hAnsi="Arial" w:cs="Arial"/>
          <w:sz w:val="20"/>
          <w:szCs w:val="20"/>
          <w:lang w:val="en-US"/>
        </w:rPr>
        <w:t xml:space="preserve"> (doc. ECC (12)050)</w:t>
      </w:r>
      <w:r w:rsidR="00B97C41" w:rsidRPr="00C57966">
        <w:rPr>
          <w:rFonts w:ascii="Arial" w:hAnsi="Arial" w:cs="Arial"/>
          <w:sz w:val="20"/>
          <w:szCs w:val="20"/>
          <w:lang w:val="en-US"/>
        </w:rPr>
        <w:t>. The comment was made by the SE7 chairman about current Finnish project RFI (</w:t>
      </w:r>
      <w:hyperlink r:id="rId10" w:history="1">
        <w:r w:rsidR="00B97C41" w:rsidRPr="00C57966">
          <w:rPr>
            <w:rStyle w:val="Lienhypertexte"/>
            <w:rFonts w:ascii="Arial" w:hAnsi="Arial" w:cs="Arial"/>
            <w:sz w:val="20"/>
            <w:szCs w:val="20"/>
            <w:lang w:val="en-US"/>
          </w:rPr>
          <w:t>http://radio.aalto.fi/en/research/space_technology/rfi-detection_and_classification_of_radio_frequency_interference/</w:t>
        </w:r>
      </w:hyperlink>
      <w:r w:rsidR="00B97C41" w:rsidRPr="00C57966">
        <w:rPr>
          <w:rFonts w:ascii="Arial" w:hAnsi="Arial" w:cs="Arial"/>
          <w:sz w:val="20"/>
          <w:szCs w:val="20"/>
          <w:lang w:val="en-US"/>
        </w:rPr>
        <w:t xml:space="preserve">) dealing with measuring of unwanted emissions </w:t>
      </w:r>
      <w:r w:rsidR="00ED1C62" w:rsidRPr="00C57966">
        <w:rPr>
          <w:rFonts w:ascii="Arial" w:hAnsi="Arial" w:cs="Arial"/>
          <w:sz w:val="20"/>
          <w:szCs w:val="20"/>
          <w:lang w:val="en-US"/>
        </w:rPr>
        <w:t xml:space="preserve">under the territory of Finland and Denmark </w:t>
      </w:r>
      <w:r w:rsidR="00B97C41" w:rsidRPr="00C57966">
        <w:rPr>
          <w:rFonts w:ascii="Arial" w:hAnsi="Arial" w:cs="Arial"/>
          <w:sz w:val="20"/>
          <w:szCs w:val="20"/>
          <w:lang w:val="en-US"/>
        </w:rPr>
        <w:t>in the passive band 1.4 GHz where all emissions are prohibited</w:t>
      </w:r>
      <w:r w:rsidR="00F85A9B" w:rsidRPr="00C57966">
        <w:rPr>
          <w:rFonts w:ascii="Arial" w:hAnsi="Arial" w:cs="Arial"/>
          <w:sz w:val="20"/>
          <w:szCs w:val="20"/>
          <w:lang w:val="en-US"/>
        </w:rPr>
        <w:t xml:space="preserve"> in accordance with the RR footnote 5.340</w:t>
      </w:r>
      <w:r w:rsidR="00B97C41" w:rsidRPr="00C57966">
        <w:rPr>
          <w:rFonts w:ascii="Arial" w:hAnsi="Arial" w:cs="Arial"/>
          <w:sz w:val="20"/>
          <w:szCs w:val="20"/>
          <w:lang w:val="en-US"/>
        </w:rPr>
        <w:t>.</w:t>
      </w:r>
    </w:p>
    <w:p w:rsidR="00B97C41" w:rsidRPr="007A3F94" w:rsidRDefault="00B97C41" w:rsidP="00B97C41">
      <w:pPr>
        <w:rPr>
          <w:rFonts w:cs="Arial"/>
          <w:sz w:val="20"/>
          <w:lang w:val="en-US"/>
        </w:rPr>
      </w:pPr>
    </w:p>
    <w:p w:rsidR="004423C5" w:rsidRDefault="00B97C41" w:rsidP="004423C5">
      <w:pPr>
        <w:pStyle w:val="Paragraphedeliste"/>
        <w:numPr>
          <w:ilvl w:val="0"/>
          <w:numId w:val="23"/>
        </w:numPr>
        <w:rPr>
          <w:rFonts w:ascii="Arial" w:hAnsi="Arial" w:cs="Arial"/>
          <w:sz w:val="20"/>
          <w:lang w:val="en-US"/>
        </w:rPr>
      </w:pPr>
      <w:r w:rsidRPr="00D14E2D">
        <w:rPr>
          <w:rFonts w:ascii="Arial" w:hAnsi="Arial" w:cs="Arial"/>
          <w:sz w:val="20"/>
          <w:lang w:val="en-US"/>
        </w:rPr>
        <w:t xml:space="preserve">WGFM and SRD/MG received information from the EU project </w:t>
      </w:r>
      <w:proofErr w:type="spellStart"/>
      <w:r w:rsidRPr="00D14E2D">
        <w:rPr>
          <w:rFonts w:ascii="Arial" w:hAnsi="Arial" w:cs="Arial"/>
          <w:sz w:val="20"/>
          <w:lang w:val="en-US"/>
        </w:rPr>
        <w:t>Mozarim</w:t>
      </w:r>
      <w:proofErr w:type="spellEnd"/>
      <w:r w:rsidRPr="00D14E2D">
        <w:rPr>
          <w:rFonts w:ascii="Arial" w:hAnsi="Arial" w:cs="Arial"/>
          <w:sz w:val="20"/>
          <w:lang w:val="en-US"/>
        </w:rPr>
        <w:t xml:space="preserve"> (</w:t>
      </w:r>
      <w:proofErr w:type="spellStart"/>
      <w:r w:rsidRPr="00D14E2D">
        <w:rPr>
          <w:rFonts w:ascii="Arial" w:hAnsi="Arial" w:cs="Arial"/>
          <w:sz w:val="20"/>
          <w:lang w:val="en-US"/>
        </w:rPr>
        <w:t>MOre</w:t>
      </w:r>
      <w:proofErr w:type="spellEnd"/>
      <w:r w:rsidRPr="00D14E2D">
        <w:rPr>
          <w:rFonts w:ascii="Arial" w:hAnsi="Arial" w:cs="Arial"/>
          <w:sz w:val="20"/>
          <w:lang w:val="en-US"/>
        </w:rPr>
        <w:t xml:space="preserve"> Safety for All by Radar Interference Mitigation) Test Campaign (2012), about field measurements concerning the compatibility between 76-77 GHz  fixed surveillance radar installations along </w:t>
      </w:r>
      <w:proofErr w:type="spellStart"/>
      <w:r w:rsidRPr="00D14E2D">
        <w:rPr>
          <w:rFonts w:ascii="Arial" w:hAnsi="Arial" w:cs="Arial"/>
          <w:sz w:val="20"/>
          <w:lang w:val="en-US"/>
        </w:rPr>
        <w:t>roadsites</w:t>
      </w:r>
      <w:proofErr w:type="spellEnd"/>
      <w:r w:rsidRPr="00D14E2D">
        <w:rPr>
          <w:rFonts w:ascii="Arial" w:hAnsi="Arial" w:cs="Arial"/>
          <w:sz w:val="20"/>
          <w:lang w:val="en-US"/>
        </w:rPr>
        <w:t xml:space="preserve"> and automotive applications such as the 76-77 GHz Long Range Radar application. ETSI is preparing </w:t>
      </w:r>
      <w:proofErr w:type="spellStart"/>
      <w:r w:rsidRPr="00D14E2D">
        <w:rPr>
          <w:rFonts w:ascii="Arial" w:hAnsi="Arial" w:cs="Arial"/>
          <w:sz w:val="20"/>
          <w:lang w:val="en-US"/>
        </w:rPr>
        <w:t>SRdoc</w:t>
      </w:r>
      <w:proofErr w:type="spellEnd"/>
      <w:r w:rsidRPr="00D14E2D">
        <w:rPr>
          <w:rFonts w:ascii="Arial" w:hAnsi="Arial" w:cs="Arial"/>
          <w:sz w:val="20"/>
          <w:lang w:val="en-US"/>
        </w:rPr>
        <w:t xml:space="preserve"> on fixed applications and SE24 </w:t>
      </w:r>
      <w:r w:rsidR="002A1771">
        <w:rPr>
          <w:rFonts w:ascii="Arial" w:hAnsi="Arial" w:cs="Arial"/>
          <w:sz w:val="20"/>
          <w:lang w:val="en-US"/>
        </w:rPr>
        <w:t xml:space="preserve">is </w:t>
      </w:r>
      <w:r w:rsidRPr="00D14E2D">
        <w:rPr>
          <w:rFonts w:ascii="Arial" w:hAnsi="Arial" w:cs="Arial"/>
          <w:sz w:val="20"/>
          <w:lang w:val="en-US"/>
        </w:rPr>
        <w:t>expected to conduct studies in the future.  </w:t>
      </w:r>
    </w:p>
    <w:p w:rsidR="004423C5" w:rsidRPr="004423C5" w:rsidRDefault="004423C5" w:rsidP="004423C5">
      <w:pPr>
        <w:pStyle w:val="Paragraphedeliste"/>
        <w:rPr>
          <w:rFonts w:ascii="Arial" w:hAnsi="Arial" w:cs="Arial"/>
          <w:sz w:val="20"/>
          <w:lang w:val="en-US"/>
        </w:rPr>
      </w:pPr>
    </w:p>
    <w:p w:rsidR="00B97C41" w:rsidRDefault="004423C5" w:rsidP="004423C5">
      <w:pPr>
        <w:pStyle w:val="Paragraphedeliste"/>
        <w:numPr>
          <w:ilvl w:val="0"/>
          <w:numId w:val="23"/>
        </w:numPr>
        <w:rPr>
          <w:rFonts w:ascii="Arial" w:hAnsi="Arial" w:cs="Arial"/>
          <w:sz w:val="20"/>
          <w:lang w:val="en-US"/>
        </w:rPr>
      </w:pPr>
      <w:r w:rsidRPr="004423C5">
        <w:rPr>
          <w:rFonts w:ascii="Arial" w:hAnsi="Arial" w:cs="Arial"/>
          <w:sz w:val="20"/>
          <w:lang w:val="en-US"/>
        </w:rPr>
        <w:t>WGFM</w:t>
      </w:r>
      <w:r>
        <w:rPr>
          <w:rFonts w:ascii="Arial" w:hAnsi="Arial" w:cs="Arial"/>
          <w:sz w:val="20"/>
          <w:lang w:val="en-US"/>
        </w:rPr>
        <w:t xml:space="preserve"> at their </w:t>
      </w:r>
      <w:r w:rsidRPr="004423C5">
        <w:rPr>
          <w:rFonts w:ascii="Arial" w:hAnsi="Arial" w:cs="Arial"/>
          <w:sz w:val="20"/>
          <w:lang w:val="en-US"/>
        </w:rPr>
        <w:t>76</w:t>
      </w:r>
      <w:r w:rsidRPr="004423C5">
        <w:rPr>
          <w:rFonts w:ascii="Arial" w:hAnsi="Arial" w:cs="Arial"/>
          <w:sz w:val="20"/>
          <w:vertAlign w:val="superscript"/>
          <w:lang w:val="en-US"/>
        </w:rPr>
        <w:t>th</w:t>
      </w:r>
      <w:r>
        <w:rPr>
          <w:rFonts w:ascii="Arial" w:hAnsi="Arial" w:cs="Arial"/>
          <w:sz w:val="20"/>
          <w:lang w:val="en-US"/>
        </w:rPr>
        <w:t xml:space="preserve"> meeting received a presentation </w:t>
      </w:r>
      <w:r w:rsidRPr="004423C5">
        <w:rPr>
          <w:rFonts w:ascii="Arial" w:hAnsi="Arial" w:cs="Arial"/>
          <w:sz w:val="20"/>
          <w:lang w:val="en-US"/>
        </w:rPr>
        <w:t xml:space="preserve">containing results of SAPHYRE project with respect to the resource sharing in mobile networks. SAPHYRE </w:t>
      </w:r>
      <w:r>
        <w:rPr>
          <w:rFonts w:ascii="Arial" w:hAnsi="Arial" w:cs="Arial"/>
          <w:sz w:val="20"/>
          <w:lang w:val="en-US"/>
        </w:rPr>
        <w:t xml:space="preserve">is </w:t>
      </w:r>
      <w:proofErr w:type="spellStart"/>
      <w:r>
        <w:rPr>
          <w:rFonts w:ascii="Arial" w:hAnsi="Arial" w:cs="Arial"/>
          <w:sz w:val="20"/>
          <w:lang w:val="en-US"/>
        </w:rPr>
        <w:t>analysing</w:t>
      </w:r>
      <w:proofErr w:type="spellEnd"/>
      <w:r>
        <w:rPr>
          <w:rFonts w:ascii="Arial" w:hAnsi="Arial" w:cs="Arial"/>
          <w:sz w:val="20"/>
          <w:lang w:val="en-US"/>
        </w:rPr>
        <w:t xml:space="preserve"> </w:t>
      </w:r>
      <w:r w:rsidRPr="004423C5">
        <w:rPr>
          <w:rFonts w:ascii="Arial" w:hAnsi="Arial" w:cs="Arial"/>
          <w:sz w:val="20"/>
          <w:lang w:val="en-US"/>
        </w:rPr>
        <w:t>the most advanced forms of spectrum sharing: orthogonal spectrum sharing and non-orthogonal spectrum sharing.</w:t>
      </w:r>
      <w:r>
        <w:rPr>
          <w:rFonts w:ascii="Arial" w:hAnsi="Arial" w:cs="Arial"/>
          <w:sz w:val="20"/>
          <w:lang w:val="en-US"/>
        </w:rPr>
        <w:t xml:space="preserve"> </w:t>
      </w:r>
      <w:r w:rsidR="00C00B7E">
        <w:rPr>
          <w:rFonts w:ascii="Arial" w:hAnsi="Arial" w:cs="Arial"/>
          <w:sz w:val="20"/>
          <w:lang w:val="en-US"/>
        </w:rPr>
        <w:t>Results of the study show</w:t>
      </w:r>
      <w:r w:rsidRPr="004423C5">
        <w:rPr>
          <w:rFonts w:ascii="Arial" w:hAnsi="Arial" w:cs="Arial"/>
          <w:sz w:val="20"/>
          <w:lang w:val="en-US"/>
        </w:rPr>
        <w:t xml:space="preserve"> that gain through orthogonal sharing with symmetric traffic loads seems modest and decreases sharply when more spectrum becomes available for the networks. The gain through non-orthogonal sharing is substantial. Results of the study show that spectrum sharing is promising, but actual gain depends on many factors.</w:t>
      </w:r>
    </w:p>
    <w:p w:rsidR="009D1B2B" w:rsidRPr="009D1B2B" w:rsidRDefault="009D1B2B" w:rsidP="009D1B2B">
      <w:pPr>
        <w:pStyle w:val="Paragraphedeliste"/>
        <w:rPr>
          <w:rFonts w:ascii="Arial" w:hAnsi="Arial" w:cs="Arial"/>
          <w:sz w:val="20"/>
          <w:lang w:val="en-US"/>
        </w:rPr>
      </w:pPr>
    </w:p>
    <w:p w:rsidR="00C152A9" w:rsidRDefault="00C152A9" w:rsidP="00C152A9">
      <w:pPr>
        <w:pStyle w:val="Paragraphedeliste"/>
        <w:numPr>
          <w:ilvl w:val="0"/>
          <w:numId w:val="23"/>
        </w:numPr>
        <w:rPr>
          <w:rFonts w:ascii="Arial" w:hAnsi="Arial" w:cs="Arial"/>
          <w:sz w:val="20"/>
          <w:lang w:val="en-US"/>
        </w:rPr>
      </w:pPr>
      <w:r w:rsidRPr="00C152A9">
        <w:rPr>
          <w:rFonts w:ascii="Arial" w:hAnsi="Arial" w:cs="Arial"/>
          <w:sz w:val="20"/>
          <w:lang w:val="en-US"/>
        </w:rPr>
        <w:t>The University of Dortmund has indicated to provide additional results of their studies regarding propagation conditions for the bands under study for Smart Metering/Smart Grids to SRD/MG when these become available.</w:t>
      </w:r>
    </w:p>
    <w:p w:rsidR="00EB100F" w:rsidRPr="00EB100F" w:rsidRDefault="00EB100F" w:rsidP="00EB100F">
      <w:pPr>
        <w:pStyle w:val="Paragraphedeliste"/>
        <w:rPr>
          <w:rFonts w:ascii="Arial" w:hAnsi="Arial" w:cs="Arial"/>
          <w:sz w:val="20"/>
          <w:lang w:val="en-US"/>
        </w:rPr>
      </w:pPr>
    </w:p>
    <w:p w:rsidR="00EB100F" w:rsidRPr="00EB100F" w:rsidRDefault="00EB100F" w:rsidP="00EB100F">
      <w:pPr>
        <w:pStyle w:val="Paragraphedeliste"/>
        <w:numPr>
          <w:ilvl w:val="0"/>
          <w:numId w:val="23"/>
        </w:numPr>
        <w:rPr>
          <w:rFonts w:ascii="Arial" w:hAnsi="Arial" w:cs="Arial"/>
          <w:sz w:val="20"/>
          <w:lang w:val="en-US"/>
        </w:rPr>
      </w:pPr>
      <w:r w:rsidRPr="00EB100F">
        <w:rPr>
          <w:rFonts w:ascii="Arial" w:hAnsi="Arial" w:cs="Arial"/>
          <w:sz w:val="20"/>
          <w:lang w:val="en-US"/>
        </w:rPr>
        <w:t xml:space="preserve">PT FM53 </w:t>
      </w:r>
      <w:r>
        <w:rPr>
          <w:rFonts w:ascii="Arial" w:hAnsi="Arial" w:cs="Arial"/>
          <w:sz w:val="20"/>
          <w:lang w:val="en-US"/>
        </w:rPr>
        <w:t xml:space="preserve">at their next </w:t>
      </w:r>
      <w:r w:rsidRPr="00EB100F">
        <w:rPr>
          <w:rFonts w:ascii="Arial" w:hAnsi="Arial" w:cs="Arial"/>
          <w:sz w:val="20"/>
          <w:lang w:val="en-US"/>
        </w:rPr>
        <w:t xml:space="preserve">meeting in Helsinki, Finland in September 2013 </w:t>
      </w:r>
      <w:r>
        <w:rPr>
          <w:rFonts w:ascii="Arial" w:hAnsi="Arial" w:cs="Arial"/>
          <w:sz w:val="20"/>
          <w:lang w:val="en-US"/>
        </w:rPr>
        <w:t>is expecting to receive a</w:t>
      </w:r>
      <w:r w:rsidRPr="00EB100F">
        <w:rPr>
          <w:rFonts w:ascii="Arial" w:hAnsi="Arial" w:cs="Arial"/>
          <w:sz w:val="20"/>
          <w:lang w:val="en-US"/>
        </w:rPr>
        <w:t xml:space="preserve"> presentation of the Finnish TVWSD trial </w:t>
      </w:r>
      <w:r w:rsidR="00B73176">
        <w:rPr>
          <w:rFonts w:ascii="Arial" w:hAnsi="Arial" w:cs="Arial"/>
          <w:sz w:val="20"/>
          <w:lang w:val="en-US"/>
        </w:rPr>
        <w:t>i</w:t>
      </w:r>
      <w:r w:rsidRPr="00EB100F">
        <w:rPr>
          <w:rFonts w:ascii="Arial" w:hAnsi="Arial" w:cs="Arial"/>
          <w:sz w:val="20"/>
          <w:lang w:val="en-US"/>
        </w:rPr>
        <w:t>n relation to activities in Finland such as the VTT Technical Research Centre of Finland.</w:t>
      </w:r>
    </w:p>
    <w:p w:rsidR="004A5789" w:rsidRDefault="004A5789" w:rsidP="00B97C41">
      <w:pPr>
        <w:rPr>
          <w:rFonts w:cs="Arial"/>
          <w:sz w:val="20"/>
          <w:lang w:val="en-US"/>
        </w:rPr>
      </w:pPr>
    </w:p>
    <w:p w:rsidR="005B4997" w:rsidRPr="00D14E2D" w:rsidRDefault="005B4997" w:rsidP="00132BD5">
      <w:pPr>
        <w:pStyle w:val="Paragraphedeliste"/>
        <w:numPr>
          <w:ilvl w:val="0"/>
          <w:numId w:val="18"/>
        </w:numPr>
        <w:ind w:left="360"/>
        <w:rPr>
          <w:rFonts w:ascii="Arial" w:hAnsi="Arial" w:cs="Arial"/>
          <w:b/>
          <w:iCs/>
          <w:sz w:val="20"/>
          <w:szCs w:val="20"/>
          <w:lang w:val="en-US"/>
        </w:rPr>
      </w:pPr>
      <w:r w:rsidRPr="00D14E2D">
        <w:rPr>
          <w:rFonts w:ascii="Arial" w:hAnsi="Arial" w:cs="Arial"/>
          <w:b/>
          <w:iCs/>
          <w:sz w:val="20"/>
          <w:szCs w:val="20"/>
          <w:lang w:val="en-US"/>
        </w:rPr>
        <w:t xml:space="preserve">Outcome of the meeting with Microsoft Spectrum Observatory representatives </w:t>
      </w:r>
    </w:p>
    <w:p w:rsidR="005B4997" w:rsidRDefault="005B4997" w:rsidP="00132BD5">
      <w:pPr>
        <w:rPr>
          <w:b/>
          <w:iCs/>
          <w:lang w:val="en-US"/>
        </w:rPr>
      </w:pPr>
    </w:p>
    <w:p w:rsidR="00C765AD" w:rsidRDefault="00337377" w:rsidP="00132BD5">
      <w:pPr>
        <w:rPr>
          <w:iCs/>
          <w:sz w:val="20"/>
          <w:lang w:val="en-US"/>
        </w:rPr>
      </w:pPr>
      <w:r>
        <w:rPr>
          <w:iCs/>
          <w:sz w:val="20"/>
          <w:lang w:val="en-US"/>
        </w:rPr>
        <w:t>The EC</w:t>
      </w:r>
      <w:r w:rsidR="00EC5241">
        <w:rPr>
          <w:iCs/>
          <w:sz w:val="20"/>
          <w:lang w:val="en-US"/>
        </w:rPr>
        <w:t>O</w:t>
      </w:r>
      <w:r>
        <w:rPr>
          <w:iCs/>
          <w:sz w:val="20"/>
          <w:lang w:val="en-US"/>
        </w:rPr>
        <w:t xml:space="preserve"> attended </w:t>
      </w:r>
      <w:r w:rsidR="001F28BF">
        <w:rPr>
          <w:iCs/>
          <w:sz w:val="20"/>
          <w:lang w:val="en-US"/>
        </w:rPr>
        <w:t xml:space="preserve">the </w:t>
      </w:r>
      <w:r w:rsidR="00502138" w:rsidRPr="00502138">
        <w:rPr>
          <w:iCs/>
          <w:sz w:val="20"/>
          <w:lang w:val="en-US"/>
        </w:rPr>
        <w:t>WISE TV White Space workshop sponsored by TEKES on 10</w:t>
      </w:r>
      <w:r w:rsidRPr="00337377">
        <w:rPr>
          <w:iCs/>
          <w:sz w:val="20"/>
          <w:vertAlign w:val="superscript"/>
          <w:lang w:val="en-US"/>
        </w:rPr>
        <w:t>th</w:t>
      </w:r>
      <w:r w:rsidR="00502138" w:rsidRPr="00502138">
        <w:rPr>
          <w:iCs/>
          <w:sz w:val="20"/>
          <w:lang w:val="en-US"/>
        </w:rPr>
        <w:t xml:space="preserve"> December</w:t>
      </w:r>
      <w:r>
        <w:rPr>
          <w:iCs/>
          <w:sz w:val="20"/>
          <w:lang w:val="en-US"/>
        </w:rPr>
        <w:t xml:space="preserve"> 2012</w:t>
      </w:r>
      <w:r w:rsidR="00C765AD">
        <w:rPr>
          <w:iCs/>
          <w:sz w:val="20"/>
          <w:lang w:val="en-US"/>
        </w:rPr>
        <w:t xml:space="preserve"> in Helsinki, Finland where the presentation was made by </w:t>
      </w:r>
      <w:r w:rsidR="00BB17E1">
        <w:rPr>
          <w:iCs/>
          <w:sz w:val="20"/>
          <w:lang w:val="en-US"/>
        </w:rPr>
        <w:t xml:space="preserve">Microsoft </w:t>
      </w:r>
      <w:r w:rsidR="001F28BF">
        <w:rPr>
          <w:iCs/>
          <w:sz w:val="20"/>
          <w:lang w:val="en-US"/>
        </w:rPr>
        <w:t>S</w:t>
      </w:r>
      <w:r w:rsidR="00BB17E1">
        <w:rPr>
          <w:iCs/>
          <w:sz w:val="20"/>
          <w:lang w:val="en-US"/>
        </w:rPr>
        <w:t xml:space="preserve">pectrum </w:t>
      </w:r>
      <w:r w:rsidR="001F28BF">
        <w:rPr>
          <w:iCs/>
          <w:sz w:val="20"/>
          <w:lang w:val="en-US"/>
        </w:rPr>
        <w:t>O</w:t>
      </w:r>
      <w:r w:rsidR="00BB17E1">
        <w:rPr>
          <w:iCs/>
          <w:sz w:val="20"/>
          <w:lang w:val="en-US"/>
        </w:rPr>
        <w:t xml:space="preserve">bservatory </w:t>
      </w:r>
      <w:r w:rsidR="008D45F7" w:rsidRPr="008D45F7">
        <w:rPr>
          <w:iCs/>
          <w:sz w:val="20"/>
          <w:lang w:val="en-US"/>
        </w:rPr>
        <w:t>dealing with measurements of spectrum occupancy in the range from 30MHz to 6000MHz.</w:t>
      </w:r>
    </w:p>
    <w:p w:rsidR="00115A54" w:rsidRDefault="000268AC" w:rsidP="00132BD5">
      <w:pPr>
        <w:rPr>
          <w:rFonts w:cs="Arial"/>
          <w:sz w:val="20"/>
          <w:lang w:val="en-US"/>
        </w:rPr>
      </w:pPr>
      <w:r>
        <w:rPr>
          <w:rFonts w:cs="Arial"/>
          <w:sz w:val="20"/>
          <w:lang w:val="en-US"/>
        </w:rPr>
        <w:t xml:space="preserve">The </w:t>
      </w:r>
      <w:r w:rsidR="00132BD5" w:rsidRPr="007A3F94">
        <w:rPr>
          <w:rFonts w:cs="Arial"/>
          <w:sz w:val="20"/>
          <w:lang w:val="en-US"/>
        </w:rPr>
        <w:t xml:space="preserve">ECO was visited by the representative of Microsoft on 31 January 2013. </w:t>
      </w:r>
    </w:p>
    <w:p w:rsidR="00115A54" w:rsidRDefault="00115A54" w:rsidP="00132BD5">
      <w:pPr>
        <w:rPr>
          <w:rFonts w:cs="Arial"/>
          <w:sz w:val="20"/>
          <w:lang w:val="en-US"/>
        </w:rPr>
      </w:pPr>
      <w:r w:rsidRPr="00115A54">
        <w:rPr>
          <w:rFonts w:cs="Arial"/>
          <w:sz w:val="20"/>
          <w:lang w:val="en-US"/>
        </w:rPr>
        <w:t>The Microsoft Spectrum Observatory</w:t>
      </w:r>
      <w:r>
        <w:rPr>
          <w:rFonts w:cs="Arial"/>
          <w:sz w:val="20"/>
          <w:lang w:val="en-US"/>
        </w:rPr>
        <w:t xml:space="preserve"> made a presentation regarding</w:t>
      </w:r>
      <w:r w:rsidRPr="00115A54">
        <w:rPr>
          <w:rFonts w:cs="Arial"/>
          <w:sz w:val="20"/>
          <w:lang w:val="en-US"/>
        </w:rPr>
        <w:t xml:space="preserve"> </w:t>
      </w:r>
      <w:r>
        <w:rPr>
          <w:rFonts w:cs="Arial"/>
          <w:sz w:val="20"/>
          <w:lang w:val="en-US"/>
        </w:rPr>
        <w:t xml:space="preserve">their concept </w:t>
      </w:r>
      <w:r w:rsidR="00EC5241">
        <w:rPr>
          <w:rFonts w:cs="Arial"/>
          <w:sz w:val="20"/>
          <w:lang w:val="en-US"/>
        </w:rPr>
        <w:t>of</w:t>
      </w:r>
      <w:r>
        <w:rPr>
          <w:rFonts w:cs="Arial"/>
          <w:sz w:val="20"/>
          <w:lang w:val="en-US"/>
        </w:rPr>
        <w:t xml:space="preserve"> spectrum </w:t>
      </w:r>
      <w:r w:rsidRPr="00115A54">
        <w:rPr>
          <w:rFonts w:cs="Arial"/>
          <w:sz w:val="20"/>
          <w:lang w:val="en-US"/>
        </w:rPr>
        <w:t xml:space="preserve">occupancy </w:t>
      </w:r>
      <w:r w:rsidR="00EC5241">
        <w:rPr>
          <w:rFonts w:cs="Arial"/>
          <w:sz w:val="20"/>
          <w:lang w:val="en-US"/>
        </w:rPr>
        <w:t>measurements</w:t>
      </w:r>
      <w:r w:rsidR="00EC5241" w:rsidRPr="00115A54">
        <w:rPr>
          <w:rFonts w:cs="Arial"/>
          <w:sz w:val="20"/>
          <w:lang w:val="en-US"/>
        </w:rPr>
        <w:t xml:space="preserve"> </w:t>
      </w:r>
      <w:r w:rsidRPr="00115A54">
        <w:rPr>
          <w:rFonts w:cs="Arial"/>
          <w:sz w:val="20"/>
          <w:lang w:val="en-US"/>
        </w:rPr>
        <w:t>at fixed locations across a wide frequency range (30 to 6000 GHz)</w:t>
      </w:r>
      <w:r>
        <w:rPr>
          <w:rFonts w:cs="Arial"/>
          <w:sz w:val="20"/>
          <w:lang w:val="en-US"/>
        </w:rPr>
        <w:t xml:space="preserve">. The received data should become available </w:t>
      </w:r>
      <w:r w:rsidRPr="00115A54">
        <w:rPr>
          <w:rFonts w:cs="Arial"/>
          <w:sz w:val="20"/>
          <w:lang w:val="en-US"/>
        </w:rPr>
        <w:t xml:space="preserve">via a web interface in three different </w:t>
      </w:r>
      <w:proofErr w:type="spellStart"/>
      <w:r w:rsidRPr="00115A54">
        <w:rPr>
          <w:rFonts w:cs="Arial"/>
          <w:sz w:val="20"/>
          <w:lang w:val="en-US"/>
        </w:rPr>
        <w:t>visualisations</w:t>
      </w:r>
      <w:proofErr w:type="spellEnd"/>
      <w:r w:rsidRPr="00115A54">
        <w:rPr>
          <w:rFonts w:cs="Arial"/>
          <w:sz w:val="20"/>
          <w:lang w:val="en-US"/>
        </w:rPr>
        <w:t xml:space="preserve"> with individual frequency and time scales – as a spectrum (PSD graph), a spect</w:t>
      </w:r>
      <w:r>
        <w:rPr>
          <w:rFonts w:cs="Arial"/>
          <w:sz w:val="20"/>
          <w:lang w:val="en-US"/>
        </w:rPr>
        <w:t xml:space="preserve">rogram and an occupancy chart. </w:t>
      </w:r>
      <w:r w:rsidRPr="00115A54">
        <w:rPr>
          <w:rFonts w:cs="Arial"/>
          <w:sz w:val="20"/>
          <w:lang w:val="en-US"/>
        </w:rPr>
        <w:t>A new measurement station has been installed at the Executive Briefing Center in Brussels, Belgium to support this effort by collecting spectrum usage data.</w:t>
      </w:r>
      <w:r>
        <w:rPr>
          <w:rFonts w:cs="Arial"/>
          <w:sz w:val="20"/>
          <w:lang w:val="en-US"/>
        </w:rPr>
        <w:t xml:space="preserve"> </w:t>
      </w:r>
    </w:p>
    <w:p w:rsidR="00115A54" w:rsidRDefault="00115A54" w:rsidP="00132BD5">
      <w:pPr>
        <w:rPr>
          <w:rFonts w:cs="Arial"/>
          <w:sz w:val="20"/>
          <w:lang w:val="en-US"/>
        </w:rPr>
      </w:pPr>
    </w:p>
    <w:p w:rsidR="00115A54" w:rsidRDefault="00115A54" w:rsidP="00132BD5">
      <w:pPr>
        <w:rPr>
          <w:rFonts w:cs="Arial"/>
          <w:sz w:val="20"/>
          <w:lang w:val="en-US"/>
        </w:rPr>
      </w:pPr>
    </w:p>
    <w:p w:rsidR="00115A54" w:rsidRDefault="00115A54" w:rsidP="00132BD5">
      <w:pPr>
        <w:rPr>
          <w:rFonts w:cs="Arial"/>
          <w:sz w:val="20"/>
          <w:lang w:val="en-US"/>
        </w:rPr>
      </w:pPr>
    </w:p>
    <w:p w:rsidR="00115A54" w:rsidRDefault="00115A54" w:rsidP="00132BD5">
      <w:pPr>
        <w:rPr>
          <w:rFonts w:cs="Arial"/>
          <w:sz w:val="20"/>
          <w:lang w:val="en-US"/>
        </w:rPr>
      </w:pPr>
    </w:p>
    <w:p w:rsidR="00115A54" w:rsidRDefault="00115A54" w:rsidP="00132BD5">
      <w:pPr>
        <w:rPr>
          <w:rFonts w:cs="Arial"/>
          <w:sz w:val="20"/>
          <w:lang w:val="en-US"/>
        </w:rPr>
      </w:pPr>
    </w:p>
    <w:p w:rsidR="00502138" w:rsidRDefault="000268AC" w:rsidP="00132BD5">
      <w:pPr>
        <w:rPr>
          <w:rFonts w:cs="Arial"/>
          <w:sz w:val="20"/>
          <w:lang w:val="en-US"/>
        </w:rPr>
      </w:pPr>
      <w:r>
        <w:rPr>
          <w:rFonts w:cs="Arial"/>
          <w:sz w:val="20"/>
          <w:lang w:val="en-US"/>
        </w:rPr>
        <w:t xml:space="preserve">The ECO has recommended to present description of Microsoft Spectrum Observatory to the FM22 meeting.  </w:t>
      </w:r>
    </w:p>
    <w:p w:rsidR="00132BD5" w:rsidRDefault="000268AC" w:rsidP="00F721A7">
      <w:pPr>
        <w:rPr>
          <w:rFonts w:cs="Arial"/>
          <w:sz w:val="20"/>
          <w:lang w:val="en-US"/>
        </w:rPr>
      </w:pPr>
      <w:r>
        <w:rPr>
          <w:rFonts w:cs="Arial"/>
          <w:sz w:val="20"/>
          <w:lang w:val="en-US"/>
        </w:rPr>
        <w:t xml:space="preserve">Follow the ECO recommendation Microsoft has presented </w:t>
      </w:r>
      <w:r w:rsidR="00EC5241">
        <w:rPr>
          <w:rFonts w:cs="Arial"/>
          <w:sz w:val="20"/>
          <w:lang w:val="en-US"/>
        </w:rPr>
        <w:t xml:space="preserve">a </w:t>
      </w:r>
      <w:r>
        <w:rPr>
          <w:rFonts w:cs="Arial"/>
          <w:sz w:val="20"/>
          <w:lang w:val="en-US"/>
        </w:rPr>
        <w:t xml:space="preserve">contribution for the </w:t>
      </w:r>
      <w:r w:rsidR="00F721A7">
        <w:rPr>
          <w:rFonts w:cs="Arial"/>
          <w:sz w:val="20"/>
          <w:lang w:val="en-US"/>
        </w:rPr>
        <w:t>April 2013 meeting of FM22. F</w:t>
      </w:r>
      <w:r w:rsidR="00132BD5" w:rsidRPr="007A3F94">
        <w:rPr>
          <w:rFonts w:cs="Arial"/>
          <w:sz w:val="20"/>
          <w:lang w:val="en-US"/>
        </w:rPr>
        <w:t>M22 review</w:t>
      </w:r>
      <w:r>
        <w:rPr>
          <w:rFonts w:cs="Arial"/>
          <w:sz w:val="20"/>
          <w:lang w:val="en-US"/>
        </w:rPr>
        <w:t xml:space="preserve">ed </w:t>
      </w:r>
      <w:r w:rsidR="00132BD5" w:rsidRPr="007A3F94">
        <w:rPr>
          <w:rFonts w:cs="Arial"/>
          <w:sz w:val="20"/>
          <w:lang w:val="en-US"/>
        </w:rPr>
        <w:t>implications of Microsoft Spectrum Observatory</w:t>
      </w:r>
      <w:r w:rsidR="001F28BF">
        <w:rPr>
          <w:rFonts w:cs="Arial"/>
          <w:sz w:val="20"/>
          <w:lang w:val="en-US"/>
        </w:rPr>
        <w:t xml:space="preserve">’s approach – its potential and its limitations </w:t>
      </w:r>
      <w:proofErr w:type="gramStart"/>
      <w:r w:rsidR="001F28BF">
        <w:rPr>
          <w:rFonts w:cs="Arial"/>
          <w:sz w:val="20"/>
          <w:lang w:val="en-US"/>
        </w:rPr>
        <w:t xml:space="preserve">- </w:t>
      </w:r>
      <w:r w:rsidR="00132BD5" w:rsidRPr="007A3F94">
        <w:rPr>
          <w:rFonts w:cs="Arial"/>
          <w:sz w:val="20"/>
          <w:lang w:val="en-US"/>
        </w:rPr>
        <w:t xml:space="preserve"> and</w:t>
      </w:r>
      <w:proofErr w:type="gramEnd"/>
      <w:r w:rsidR="00132BD5" w:rsidRPr="007A3F94">
        <w:rPr>
          <w:rFonts w:cs="Arial"/>
          <w:sz w:val="20"/>
          <w:lang w:val="en-US"/>
        </w:rPr>
        <w:t xml:space="preserve"> will report to WGFM and ECC.</w:t>
      </w:r>
    </w:p>
    <w:p w:rsidR="00132BD5" w:rsidRDefault="00132BD5" w:rsidP="00F721A7">
      <w:pPr>
        <w:rPr>
          <w:rFonts w:cs="Arial"/>
          <w:sz w:val="20"/>
          <w:lang w:val="en-US"/>
        </w:rPr>
      </w:pPr>
      <w:r w:rsidRPr="00F721A7">
        <w:rPr>
          <w:rFonts w:cs="Arial"/>
          <w:sz w:val="20"/>
          <w:lang w:val="en-US"/>
        </w:rPr>
        <w:t>ECO</w:t>
      </w:r>
      <w:r w:rsidR="000268AC" w:rsidRPr="00F721A7">
        <w:rPr>
          <w:rFonts w:cs="Arial"/>
          <w:sz w:val="20"/>
          <w:lang w:val="en-US"/>
        </w:rPr>
        <w:t xml:space="preserve"> was invited to </w:t>
      </w:r>
      <w:r w:rsidRPr="00F721A7">
        <w:rPr>
          <w:rFonts w:cs="Arial"/>
          <w:sz w:val="20"/>
          <w:lang w:val="en-US"/>
        </w:rPr>
        <w:t xml:space="preserve">attend a workshop on 9 May 2013 hosted by Squire Sanders and Allied Spectrum Associates, The Centre for White Space Communications, </w:t>
      </w:r>
      <w:proofErr w:type="spellStart"/>
      <w:r w:rsidRPr="00F721A7">
        <w:rPr>
          <w:rFonts w:cs="Arial"/>
          <w:sz w:val="20"/>
          <w:lang w:val="en-US"/>
        </w:rPr>
        <w:t>Fairspectrum</w:t>
      </w:r>
      <w:proofErr w:type="spellEnd"/>
      <w:r w:rsidRPr="00F721A7">
        <w:rPr>
          <w:rFonts w:cs="Arial"/>
          <w:sz w:val="20"/>
          <w:lang w:val="en-US"/>
        </w:rPr>
        <w:t xml:space="preserve">, Microsoft, </w:t>
      </w:r>
      <w:proofErr w:type="spellStart"/>
      <w:r w:rsidRPr="00F721A7">
        <w:rPr>
          <w:rFonts w:cs="Arial"/>
          <w:sz w:val="20"/>
          <w:lang w:val="en-US"/>
        </w:rPr>
        <w:t>Neul</w:t>
      </w:r>
      <w:proofErr w:type="spellEnd"/>
      <w:r w:rsidRPr="00F721A7">
        <w:rPr>
          <w:rFonts w:cs="Arial"/>
          <w:sz w:val="20"/>
          <w:lang w:val="en-US"/>
        </w:rPr>
        <w:t xml:space="preserve">, Sky and Spectrum Bridge in Berlin. </w:t>
      </w:r>
      <w:r w:rsidR="00F721A7">
        <w:rPr>
          <w:rFonts w:cs="Arial"/>
          <w:sz w:val="20"/>
          <w:lang w:val="en-US"/>
        </w:rPr>
        <w:t xml:space="preserve">At this workshop </w:t>
      </w:r>
      <w:r w:rsidRPr="000268AC">
        <w:rPr>
          <w:rFonts w:cs="Arial"/>
          <w:sz w:val="20"/>
          <w:lang w:val="en-US"/>
        </w:rPr>
        <w:t>Microsoft clearly indicated that the market for their white space “</w:t>
      </w:r>
      <w:r w:rsidR="003C0E79">
        <w:rPr>
          <w:rFonts w:cs="Arial"/>
          <w:sz w:val="20"/>
          <w:lang w:val="en-US"/>
        </w:rPr>
        <w:t>Wi-Fi</w:t>
      </w:r>
      <w:r w:rsidRPr="000268AC">
        <w:rPr>
          <w:rFonts w:cs="Arial"/>
          <w:sz w:val="20"/>
          <w:lang w:val="en-US"/>
        </w:rPr>
        <w:t xml:space="preserve">” - applications is more seen in developing countries than e.g. in Europe. </w:t>
      </w:r>
    </w:p>
    <w:p w:rsidR="00F721A7" w:rsidRPr="000268AC" w:rsidRDefault="00F721A7" w:rsidP="00F721A7">
      <w:pPr>
        <w:rPr>
          <w:rFonts w:cs="Arial"/>
          <w:sz w:val="20"/>
          <w:lang w:val="en-US"/>
        </w:rPr>
      </w:pPr>
    </w:p>
    <w:p w:rsidR="004A08C3" w:rsidRDefault="004A08C3" w:rsidP="00132BD5">
      <w:pPr>
        <w:pStyle w:val="Paragraphedeliste"/>
        <w:numPr>
          <w:ilvl w:val="0"/>
          <w:numId w:val="18"/>
        </w:numPr>
        <w:ind w:left="360"/>
        <w:rPr>
          <w:b/>
          <w:iCs/>
          <w:lang w:val="en-US"/>
        </w:rPr>
      </w:pPr>
      <w:r>
        <w:rPr>
          <w:b/>
          <w:iCs/>
          <w:lang w:val="en-US"/>
        </w:rPr>
        <w:t xml:space="preserve">ECO </w:t>
      </w:r>
      <w:r w:rsidR="00A91000">
        <w:rPr>
          <w:b/>
          <w:iCs/>
          <w:lang w:val="en-US"/>
        </w:rPr>
        <w:t xml:space="preserve">involvement </w:t>
      </w:r>
      <w:r>
        <w:rPr>
          <w:b/>
          <w:iCs/>
          <w:lang w:val="en-US"/>
        </w:rPr>
        <w:t xml:space="preserve">in the Projects and Conferences </w:t>
      </w:r>
    </w:p>
    <w:p w:rsidR="004A08C3" w:rsidRDefault="004A08C3" w:rsidP="004A08C3">
      <w:pPr>
        <w:rPr>
          <w:b/>
          <w:iCs/>
          <w:lang w:val="en-US"/>
        </w:rPr>
      </w:pPr>
    </w:p>
    <w:p w:rsidR="005B4997" w:rsidRPr="004A08C3" w:rsidRDefault="005B4997" w:rsidP="004A08C3">
      <w:pPr>
        <w:pStyle w:val="Paragraphedeliste"/>
        <w:numPr>
          <w:ilvl w:val="1"/>
          <w:numId w:val="18"/>
        </w:numPr>
        <w:ind w:left="426" w:hanging="426"/>
        <w:rPr>
          <w:b/>
          <w:iCs/>
          <w:lang w:val="en-US"/>
        </w:rPr>
      </w:pPr>
      <w:r w:rsidRPr="004A08C3">
        <w:rPr>
          <w:b/>
          <w:iCs/>
          <w:lang w:val="en-US"/>
        </w:rPr>
        <w:t>ECO participation in the external advisory board of FP7-ICT project ABSOL</w:t>
      </w:r>
      <w:r w:rsidR="00132BD5" w:rsidRPr="004A08C3">
        <w:rPr>
          <w:b/>
          <w:iCs/>
          <w:lang w:val="en-US"/>
        </w:rPr>
        <w:t>U</w:t>
      </w:r>
      <w:r w:rsidRPr="004A08C3">
        <w:rPr>
          <w:b/>
          <w:iCs/>
          <w:lang w:val="en-US"/>
        </w:rPr>
        <w:t>TE</w:t>
      </w:r>
    </w:p>
    <w:p w:rsidR="005B4997" w:rsidRPr="005B4997" w:rsidRDefault="005B4997" w:rsidP="005B4997">
      <w:pPr>
        <w:ind w:left="360"/>
        <w:rPr>
          <w:rFonts w:cs="Arial"/>
          <w:b/>
          <w:sz w:val="20"/>
          <w:lang w:val="en-US"/>
        </w:rPr>
      </w:pPr>
    </w:p>
    <w:p w:rsidR="00132BD5" w:rsidRPr="005B4997" w:rsidRDefault="00132BD5" w:rsidP="00132BD5">
      <w:pPr>
        <w:rPr>
          <w:iCs/>
          <w:sz w:val="20"/>
          <w:lang w:val="en-US"/>
        </w:rPr>
      </w:pPr>
      <w:r w:rsidRPr="005B4997">
        <w:rPr>
          <w:iCs/>
          <w:sz w:val="20"/>
          <w:lang w:val="en-US"/>
        </w:rPr>
        <w:t>ECO is participating in the FP7-ICT project ABSOL</w:t>
      </w:r>
      <w:r>
        <w:rPr>
          <w:iCs/>
          <w:sz w:val="20"/>
          <w:lang w:val="en-US"/>
        </w:rPr>
        <w:t>U</w:t>
      </w:r>
      <w:r w:rsidR="00345474">
        <w:rPr>
          <w:iCs/>
          <w:sz w:val="20"/>
          <w:lang w:val="en-US"/>
        </w:rPr>
        <w:t xml:space="preserve">TE external </w:t>
      </w:r>
      <w:r w:rsidRPr="005B4997">
        <w:rPr>
          <w:iCs/>
          <w:sz w:val="20"/>
          <w:lang w:val="en-US"/>
        </w:rPr>
        <w:t>advisory board</w:t>
      </w:r>
      <w:r w:rsidR="001F28BF">
        <w:rPr>
          <w:iCs/>
          <w:sz w:val="20"/>
          <w:lang w:val="en-US"/>
        </w:rPr>
        <w:t xml:space="preserve"> as an advisor, consistent with previous guidance from ECC (to assist projects to understand the regulatory environment)</w:t>
      </w:r>
      <w:r w:rsidRPr="005B4997">
        <w:rPr>
          <w:iCs/>
          <w:sz w:val="20"/>
          <w:lang w:val="en-US"/>
        </w:rPr>
        <w:t>.</w:t>
      </w:r>
    </w:p>
    <w:p w:rsidR="00132BD5" w:rsidRDefault="00132BD5" w:rsidP="00132BD5">
      <w:pPr>
        <w:rPr>
          <w:iCs/>
          <w:sz w:val="20"/>
          <w:lang w:val="en-US"/>
        </w:rPr>
      </w:pPr>
      <w:r w:rsidRPr="005B4997">
        <w:rPr>
          <w:iCs/>
          <w:sz w:val="20"/>
          <w:lang w:val="en-US"/>
        </w:rPr>
        <w:t xml:space="preserve">A factsheet about the project is provided here: </w:t>
      </w:r>
    </w:p>
    <w:p w:rsidR="00132BD5" w:rsidRDefault="00345474" w:rsidP="00345474">
      <w:pPr>
        <w:jc w:val="center"/>
        <w:rPr>
          <w:iCs/>
          <w:sz w:val="20"/>
          <w:lang w:val="en-US"/>
        </w:rPr>
      </w:pPr>
      <w:r>
        <w:rPr>
          <w:iCs/>
          <w:sz w:val="20"/>
          <w:lang w:val="en-US"/>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11" o:title=""/>
          </v:shape>
          <o:OLEObject Type="Embed" ProgID="AcroExch.Document.11" ShapeID="_x0000_i1025" DrawAspect="Icon" ObjectID="_1432470927" r:id="rId12"/>
        </w:object>
      </w:r>
    </w:p>
    <w:p w:rsidR="00132BD5" w:rsidRPr="005B4997" w:rsidRDefault="00132BD5" w:rsidP="00132BD5">
      <w:pPr>
        <w:rPr>
          <w:iCs/>
          <w:sz w:val="20"/>
          <w:lang w:val="en-US"/>
        </w:rPr>
      </w:pPr>
    </w:p>
    <w:p w:rsidR="00132BD5" w:rsidRPr="005B4997" w:rsidRDefault="00132BD5" w:rsidP="00132BD5">
      <w:pPr>
        <w:rPr>
          <w:iCs/>
          <w:sz w:val="20"/>
          <w:lang w:val="en-US"/>
        </w:rPr>
      </w:pPr>
      <w:r w:rsidRPr="005B4997">
        <w:rPr>
          <w:iCs/>
          <w:sz w:val="20"/>
          <w:lang w:val="en-US"/>
        </w:rPr>
        <w:t>The project tries to describe a flexible platform based on LTE-A solutions for emergency communications by developing a quick and reconfigurable network with high capacity impact.</w:t>
      </w:r>
    </w:p>
    <w:p w:rsidR="00132BD5" w:rsidRPr="005B4997" w:rsidRDefault="00132BD5" w:rsidP="00132BD5">
      <w:pPr>
        <w:rPr>
          <w:iCs/>
          <w:sz w:val="20"/>
          <w:lang w:val="en-US"/>
        </w:rPr>
      </w:pPr>
      <w:r w:rsidRPr="005B4997">
        <w:rPr>
          <w:iCs/>
          <w:sz w:val="20"/>
          <w:lang w:val="en-US"/>
        </w:rPr>
        <w:t xml:space="preserve">This can typically be achieved via geostationary satellites in L-, S-Band, and for backhauling in </w:t>
      </w:r>
      <w:proofErr w:type="spellStart"/>
      <w:r w:rsidRPr="005B4997">
        <w:rPr>
          <w:iCs/>
          <w:sz w:val="20"/>
          <w:lang w:val="en-US"/>
        </w:rPr>
        <w:t>Ka</w:t>
      </w:r>
      <w:proofErr w:type="spellEnd"/>
      <w:r w:rsidRPr="005B4997">
        <w:rPr>
          <w:iCs/>
          <w:sz w:val="20"/>
          <w:lang w:val="en-US"/>
        </w:rPr>
        <w:t xml:space="preserve">-Band, with dynamic spectrum management capabilities. </w:t>
      </w:r>
    </w:p>
    <w:p w:rsidR="00132BD5" w:rsidRPr="005B4997" w:rsidRDefault="00132BD5" w:rsidP="00132BD5">
      <w:pPr>
        <w:rPr>
          <w:iCs/>
          <w:sz w:val="20"/>
          <w:lang w:val="en-US"/>
        </w:rPr>
      </w:pPr>
      <w:r w:rsidRPr="005B4997">
        <w:rPr>
          <w:iCs/>
          <w:sz w:val="20"/>
          <w:lang w:val="en-US"/>
        </w:rPr>
        <w:t xml:space="preserve">A presentation from </w:t>
      </w:r>
      <w:r w:rsidR="00C57966">
        <w:rPr>
          <w:iCs/>
          <w:sz w:val="20"/>
          <w:lang w:val="en-US"/>
        </w:rPr>
        <w:t xml:space="preserve">the </w:t>
      </w:r>
      <w:r w:rsidRPr="005B4997">
        <w:rPr>
          <w:iCs/>
          <w:sz w:val="20"/>
          <w:lang w:val="en-US"/>
        </w:rPr>
        <w:t>ECO was provided to the first ABSOLUTE external advisory board meeting on 18</w:t>
      </w:r>
      <w:r w:rsidR="004A08C3" w:rsidRPr="004A08C3">
        <w:rPr>
          <w:iCs/>
          <w:sz w:val="20"/>
          <w:vertAlign w:val="superscript"/>
          <w:lang w:val="en-US"/>
        </w:rPr>
        <w:t>th</w:t>
      </w:r>
      <w:r w:rsidR="004A08C3">
        <w:rPr>
          <w:iCs/>
          <w:sz w:val="20"/>
          <w:lang w:val="en-US"/>
        </w:rPr>
        <w:t xml:space="preserve"> </w:t>
      </w:r>
      <w:r w:rsidRPr="005B4997">
        <w:rPr>
          <w:iCs/>
          <w:sz w:val="20"/>
          <w:lang w:val="en-US"/>
        </w:rPr>
        <w:t xml:space="preserve"> February 2013 and informed the project participants about the existing </w:t>
      </w:r>
      <w:r w:rsidR="004A08C3">
        <w:rPr>
          <w:iCs/>
          <w:sz w:val="20"/>
          <w:lang w:val="en-US"/>
        </w:rPr>
        <w:t>framework and CEPT/ECC deliverables regarding w</w:t>
      </w:r>
      <w:r w:rsidRPr="005B4997">
        <w:rPr>
          <w:iCs/>
          <w:sz w:val="20"/>
          <w:lang w:val="en-US"/>
        </w:rPr>
        <w:t xml:space="preserve">ork on PPDR </w:t>
      </w:r>
      <w:r w:rsidR="004A08C3">
        <w:rPr>
          <w:iCs/>
          <w:sz w:val="20"/>
          <w:lang w:val="en-US"/>
        </w:rPr>
        <w:t>and in particular about the ong</w:t>
      </w:r>
      <w:r w:rsidRPr="005B4997">
        <w:rPr>
          <w:iCs/>
          <w:sz w:val="20"/>
          <w:lang w:val="en-US"/>
        </w:rPr>
        <w:t>oing work on BB-PPDR in CEPT (WGFM/PT FM49).</w:t>
      </w:r>
    </w:p>
    <w:p w:rsidR="00132BD5" w:rsidRPr="005B4997" w:rsidRDefault="001754B7" w:rsidP="00132BD5">
      <w:pPr>
        <w:rPr>
          <w:iCs/>
          <w:sz w:val="20"/>
          <w:lang w:val="en-US"/>
        </w:rPr>
      </w:pPr>
      <w:r>
        <w:rPr>
          <w:iCs/>
          <w:sz w:val="20"/>
          <w:lang w:val="en-US"/>
        </w:rPr>
        <w:t xml:space="preserve">The </w:t>
      </w:r>
      <w:r w:rsidR="00132BD5" w:rsidRPr="005B4997">
        <w:rPr>
          <w:iCs/>
          <w:sz w:val="20"/>
          <w:lang w:val="en-US"/>
        </w:rPr>
        <w:t xml:space="preserve">ECO has also been requested in this context to provide a presentation to the Future Network and Mobile Summit in Lisbon on 4 July 2013 </w:t>
      </w:r>
      <w:r w:rsidR="00345474">
        <w:rPr>
          <w:iCs/>
          <w:sz w:val="20"/>
          <w:lang w:val="en-US"/>
        </w:rPr>
        <w:t>regarding</w:t>
      </w:r>
      <w:r w:rsidR="00132BD5" w:rsidRPr="005B4997">
        <w:rPr>
          <w:iCs/>
          <w:sz w:val="20"/>
          <w:lang w:val="en-US"/>
        </w:rPr>
        <w:t xml:space="preserve"> f</w:t>
      </w:r>
      <w:r w:rsidR="00345474">
        <w:rPr>
          <w:iCs/>
          <w:sz w:val="20"/>
          <w:lang w:val="en-US"/>
        </w:rPr>
        <w:t>actual information about the on</w:t>
      </w:r>
      <w:r w:rsidR="00132BD5" w:rsidRPr="005B4997">
        <w:rPr>
          <w:iCs/>
          <w:sz w:val="20"/>
          <w:lang w:val="en-US"/>
        </w:rPr>
        <w:t xml:space="preserve">going activities on BB-PPDR. </w:t>
      </w:r>
    </w:p>
    <w:p w:rsidR="00132BD5" w:rsidRPr="005B4997" w:rsidRDefault="001754B7" w:rsidP="00132BD5">
      <w:pPr>
        <w:rPr>
          <w:iCs/>
          <w:sz w:val="20"/>
          <w:lang w:val="en-US"/>
        </w:rPr>
      </w:pPr>
      <w:r>
        <w:rPr>
          <w:iCs/>
          <w:sz w:val="20"/>
          <w:lang w:val="en-US"/>
        </w:rPr>
        <w:t xml:space="preserve">The </w:t>
      </w:r>
      <w:r w:rsidR="00132BD5" w:rsidRPr="005B4997">
        <w:rPr>
          <w:iCs/>
          <w:sz w:val="20"/>
          <w:lang w:val="en-US"/>
        </w:rPr>
        <w:t>ECO intends to provide information about this project at the PT FM49 meeting 13-14 June 2013.</w:t>
      </w:r>
    </w:p>
    <w:p w:rsidR="00132BD5" w:rsidRDefault="00132BD5" w:rsidP="007A3F94">
      <w:pPr>
        <w:rPr>
          <w:rFonts w:cs="Arial"/>
          <w:sz w:val="20"/>
          <w:lang w:val="en-US"/>
        </w:rPr>
      </w:pPr>
    </w:p>
    <w:p w:rsidR="00132BD5" w:rsidRDefault="004A08C3" w:rsidP="003B308C">
      <w:pPr>
        <w:pStyle w:val="Paragraphedeliste"/>
        <w:numPr>
          <w:ilvl w:val="1"/>
          <w:numId w:val="18"/>
        </w:numPr>
        <w:ind w:left="567" w:hanging="567"/>
        <w:rPr>
          <w:rFonts w:ascii="Arial" w:hAnsi="Arial" w:cs="Arial"/>
          <w:sz w:val="20"/>
          <w:lang w:val="en-US"/>
        </w:rPr>
      </w:pPr>
      <w:r w:rsidRPr="004A08C3">
        <w:rPr>
          <w:rFonts w:ascii="Arial" w:hAnsi="Arial" w:cs="Arial"/>
          <w:sz w:val="20"/>
          <w:lang w:val="en-US"/>
        </w:rPr>
        <w:t xml:space="preserve">ECO is planning to attend the C-PMSE Demonstration Workshop, May, 29th 2013 in Berlin, see information about C-PMSE </w:t>
      </w:r>
      <w:proofErr w:type="gramStart"/>
      <w:r w:rsidRPr="004A08C3">
        <w:rPr>
          <w:rFonts w:ascii="Arial" w:hAnsi="Arial" w:cs="Arial"/>
          <w:sz w:val="20"/>
          <w:lang w:val="en-US"/>
        </w:rPr>
        <w:t xml:space="preserve">project  </w:t>
      </w:r>
      <w:proofErr w:type="gramEnd"/>
      <w:hyperlink r:id="rId13" w:history="1">
        <w:r w:rsidRPr="004A08C3">
          <w:rPr>
            <w:rStyle w:val="Lienhypertexte"/>
            <w:rFonts w:ascii="Arial" w:hAnsi="Arial" w:cs="Arial"/>
            <w:sz w:val="20"/>
            <w:szCs w:val="20"/>
            <w:lang w:val="en-US"/>
          </w:rPr>
          <w:t>http://www.c-pmse.research-project.de/index.php/en/about-pmse</w:t>
        </w:r>
      </w:hyperlink>
      <w:r w:rsidR="003A2A39">
        <w:rPr>
          <w:rFonts w:ascii="Arial" w:hAnsi="Arial" w:cs="Arial"/>
          <w:sz w:val="20"/>
          <w:lang w:val="en-US"/>
        </w:rPr>
        <w:t xml:space="preserve">. Information from this project can be provided to WGSE and WGFM </w:t>
      </w:r>
      <w:proofErr w:type="spellStart"/>
      <w:r w:rsidR="003A2A39">
        <w:rPr>
          <w:rFonts w:ascii="Arial" w:hAnsi="Arial" w:cs="Arial"/>
          <w:sz w:val="20"/>
          <w:lang w:val="en-US"/>
        </w:rPr>
        <w:t>PTs.</w:t>
      </w:r>
      <w:proofErr w:type="spellEnd"/>
      <w:r w:rsidR="003A2A39">
        <w:rPr>
          <w:rFonts w:ascii="Arial" w:hAnsi="Arial" w:cs="Arial"/>
          <w:sz w:val="20"/>
          <w:lang w:val="en-US"/>
        </w:rPr>
        <w:t xml:space="preserve"> </w:t>
      </w:r>
    </w:p>
    <w:p w:rsidR="003B308C" w:rsidRDefault="003B308C" w:rsidP="003B308C">
      <w:pPr>
        <w:pStyle w:val="Paragraphedeliste"/>
        <w:ind w:left="567"/>
        <w:rPr>
          <w:rFonts w:ascii="Arial" w:hAnsi="Arial" w:cs="Arial"/>
          <w:sz w:val="20"/>
          <w:lang w:val="en-US"/>
        </w:rPr>
      </w:pPr>
    </w:p>
    <w:p w:rsidR="003B308C" w:rsidRPr="003B308C" w:rsidRDefault="003B308C" w:rsidP="003B308C">
      <w:pPr>
        <w:pStyle w:val="Paragraphedeliste"/>
        <w:numPr>
          <w:ilvl w:val="1"/>
          <w:numId w:val="18"/>
        </w:numPr>
        <w:ind w:left="567" w:hanging="567"/>
        <w:rPr>
          <w:rFonts w:ascii="Arial" w:hAnsi="Arial" w:cs="Arial"/>
          <w:sz w:val="20"/>
          <w:lang w:val="en-US"/>
        </w:rPr>
      </w:pPr>
      <w:r>
        <w:rPr>
          <w:rFonts w:ascii="Arial" w:hAnsi="Arial" w:cs="Arial"/>
          <w:sz w:val="20"/>
          <w:lang w:val="en-US"/>
        </w:rPr>
        <w:t xml:space="preserve">ECO has also undertaken to offer advice on the regulatory environment to another FP7 project (Corpus), which has applied for EU funding in that framework.  This is concerned with the application of cognitive radio techniques to the PPDR environment. The ECO has underlined the limitations on its available resources as part of its dialogue to date.  </w:t>
      </w:r>
    </w:p>
    <w:p w:rsidR="00132BD5" w:rsidRDefault="00132BD5" w:rsidP="007A3F94">
      <w:pPr>
        <w:rPr>
          <w:rFonts w:cs="Arial"/>
          <w:sz w:val="20"/>
          <w:lang w:val="en-US"/>
        </w:rPr>
      </w:pPr>
    </w:p>
    <w:p w:rsidR="00132BD5" w:rsidRDefault="00132BD5" w:rsidP="007A3F94">
      <w:pPr>
        <w:rPr>
          <w:rFonts w:cs="Arial"/>
          <w:sz w:val="20"/>
          <w:lang w:val="en-US"/>
        </w:rPr>
      </w:pPr>
    </w:p>
    <w:p w:rsidR="00C73D6C" w:rsidRDefault="00C73D6C" w:rsidP="00C73D6C">
      <w:pPr>
        <w:rPr>
          <w:i/>
          <w:iCs/>
          <w:lang w:val="en-US"/>
        </w:rPr>
      </w:pPr>
    </w:p>
    <w:p w:rsidR="00C73D6C" w:rsidRDefault="00C73D6C" w:rsidP="00C73D6C">
      <w:pPr>
        <w:rPr>
          <w:lang w:val="en-US"/>
        </w:rPr>
      </w:pPr>
    </w:p>
    <w:p w:rsidR="007A3F94" w:rsidRDefault="007A3F94" w:rsidP="00DE5E01">
      <w:pPr>
        <w:rPr>
          <w:lang w:val="en-US"/>
        </w:rPr>
      </w:pPr>
    </w:p>
    <w:sectPr w:rsidR="007A3F94" w:rsidSect="008F677F">
      <w:footerReference w:type="even" r:id="rId14"/>
      <w:footerReference w:type="default" r:id="rId15"/>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81" w:rsidRDefault="008B1C81">
      <w:r>
        <w:separator/>
      </w:r>
    </w:p>
  </w:endnote>
  <w:endnote w:type="continuationSeparator" w:id="0">
    <w:p w:rsidR="008B1C81" w:rsidRDefault="008B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3E6C3A">
      <w:rPr>
        <w:rStyle w:val="Numrodepage"/>
        <w:noProof/>
        <w:sz w:val="20"/>
      </w:rPr>
      <w:t>2</w:t>
    </w:r>
    <w:r>
      <w:rPr>
        <w:rStyle w:val="Numrodepage"/>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81" w:rsidRDefault="008B1C81">
      <w:r>
        <w:separator/>
      </w:r>
    </w:p>
  </w:footnote>
  <w:footnote w:type="continuationSeparator" w:id="0">
    <w:p w:rsidR="008B1C81" w:rsidRDefault="008B1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CA121D0"/>
    <w:multiLevelType w:val="hybridMultilevel"/>
    <w:tmpl w:val="A826271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2">
    <w:nsid w:val="108206C7"/>
    <w:multiLevelType w:val="multilevel"/>
    <w:tmpl w:val="17EE784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11A76C06"/>
    <w:multiLevelType w:val="hybridMultilevel"/>
    <w:tmpl w:val="0138173E"/>
    <w:lvl w:ilvl="0" w:tplc="08090001">
      <w:start w:val="1"/>
      <w:numFmt w:val="bullet"/>
      <w:lvlText w:val=""/>
      <w:lvlJc w:val="left"/>
      <w:pPr>
        <w:ind w:left="360" w:hanging="360"/>
      </w:pPr>
      <w:rPr>
        <w:rFonts w:ascii="Symbol" w:hAnsi="Symbol" w:hint="default"/>
      </w:r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4">
    <w:nsid w:val="16D52D94"/>
    <w:multiLevelType w:val="hybridMultilevel"/>
    <w:tmpl w:val="69AE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7">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
    <w:nsid w:val="3C5A7AFC"/>
    <w:multiLevelType w:val="hybridMultilevel"/>
    <w:tmpl w:val="47DE9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AC31BD"/>
    <w:multiLevelType w:val="hybridMultilevel"/>
    <w:tmpl w:val="FBA80C5E"/>
    <w:lvl w:ilvl="0" w:tplc="F8628D16">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2">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6DE008C8"/>
    <w:multiLevelType w:val="hybridMultilevel"/>
    <w:tmpl w:val="317A9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70716E07"/>
    <w:multiLevelType w:val="hybridMultilevel"/>
    <w:tmpl w:val="5804E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13"/>
  </w:num>
  <w:num w:numId="2">
    <w:abstractNumId w:val="0"/>
  </w:num>
  <w:num w:numId="3">
    <w:abstractNumId w:val="17"/>
  </w:num>
  <w:num w:numId="4">
    <w:abstractNumId w:val="17"/>
  </w:num>
  <w:num w:numId="5">
    <w:abstractNumId w:val="17"/>
  </w:num>
  <w:num w:numId="6">
    <w:abstractNumId w:val="14"/>
  </w:num>
  <w:num w:numId="7">
    <w:abstractNumId w:val="17"/>
  </w:num>
  <w:num w:numId="8">
    <w:abstractNumId w:val="17"/>
  </w:num>
  <w:num w:numId="9">
    <w:abstractNumId w:val="6"/>
  </w:num>
  <w:num w:numId="10">
    <w:abstractNumId w:val="11"/>
  </w:num>
  <w:num w:numId="11">
    <w:abstractNumId w:val="8"/>
  </w:num>
  <w:num w:numId="12">
    <w:abstractNumId w:val="12"/>
  </w:num>
  <w:num w:numId="13">
    <w:abstractNumId w:val="7"/>
  </w:num>
  <w:num w:numId="14">
    <w:abstractNumId w:val="5"/>
  </w:num>
  <w:num w:numId="15">
    <w:abstractNumId w:val="1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
  </w:num>
  <w:num w:numId="19">
    <w:abstractNumId w:val="1"/>
  </w:num>
  <w:num w:numId="20">
    <w:abstractNumId w:val="3"/>
  </w:num>
  <w:num w:numId="21">
    <w:abstractNumId w:val="4"/>
  </w:num>
  <w:num w:numId="22">
    <w:abstractNumId w:val="10"/>
  </w:num>
  <w:num w:numId="23">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68"/>
    <w:rsid w:val="000233C6"/>
    <w:rsid w:val="000268AC"/>
    <w:rsid w:val="00033112"/>
    <w:rsid w:val="000364E2"/>
    <w:rsid w:val="00042E6D"/>
    <w:rsid w:val="000641A7"/>
    <w:rsid w:val="00083464"/>
    <w:rsid w:val="00086867"/>
    <w:rsid w:val="00095D52"/>
    <w:rsid w:val="00097E34"/>
    <w:rsid w:val="000B0905"/>
    <w:rsid w:val="000C0226"/>
    <w:rsid w:val="000D0F3C"/>
    <w:rsid w:val="000E346F"/>
    <w:rsid w:val="000E72A2"/>
    <w:rsid w:val="000F1373"/>
    <w:rsid w:val="000F1906"/>
    <w:rsid w:val="00106047"/>
    <w:rsid w:val="00113B49"/>
    <w:rsid w:val="00115A54"/>
    <w:rsid w:val="00123BB2"/>
    <w:rsid w:val="00132BD5"/>
    <w:rsid w:val="0013434B"/>
    <w:rsid w:val="00135FE7"/>
    <w:rsid w:val="00161D26"/>
    <w:rsid w:val="00162CBB"/>
    <w:rsid w:val="0016435A"/>
    <w:rsid w:val="00165782"/>
    <w:rsid w:val="001754B7"/>
    <w:rsid w:val="001A3BB5"/>
    <w:rsid w:val="001D181E"/>
    <w:rsid w:val="001E0E49"/>
    <w:rsid w:val="001F2614"/>
    <w:rsid w:val="001F28BF"/>
    <w:rsid w:val="00213E53"/>
    <w:rsid w:val="00215746"/>
    <w:rsid w:val="00222F7B"/>
    <w:rsid w:val="00260D98"/>
    <w:rsid w:val="0026766F"/>
    <w:rsid w:val="00277BC1"/>
    <w:rsid w:val="0028051D"/>
    <w:rsid w:val="00294331"/>
    <w:rsid w:val="002A02A3"/>
    <w:rsid w:val="002A1771"/>
    <w:rsid w:val="002B169D"/>
    <w:rsid w:val="002B47FC"/>
    <w:rsid w:val="002B683F"/>
    <w:rsid w:val="002D4BF7"/>
    <w:rsid w:val="003137A0"/>
    <w:rsid w:val="00314E5E"/>
    <w:rsid w:val="00326C68"/>
    <w:rsid w:val="00337377"/>
    <w:rsid w:val="00345474"/>
    <w:rsid w:val="00346C62"/>
    <w:rsid w:val="00357A5F"/>
    <w:rsid w:val="0039030E"/>
    <w:rsid w:val="0039723A"/>
    <w:rsid w:val="003A2A39"/>
    <w:rsid w:val="003A57CC"/>
    <w:rsid w:val="003B1654"/>
    <w:rsid w:val="003B308C"/>
    <w:rsid w:val="003C0E79"/>
    <w:rsid w:val="003C2268"/>
    <w:rsid w:val="003C4848"/>
    <w:rsid w:val="003C53D0"/>
    <w:rsid w:val="003E6C3A"/>
    <w:rsid w:val="003E76E9"/>
    <w:rsid w:val="003F214B"/>
    <w:rsid w:val="003F73E2"/>
    <w:rsid w:val="004002F7"/>
    <w:rsid w:val="00421927"/>
    <w:rsid w:val="00430369"/>
    <w:rsid w:val="00431D12"/>
    <w:rsid w:val="004369DC"/>
    <w:rsid w:val="004423C5"/>
    <w:rsid w:val="00443C40"/>
    <w:rsid w:val="004645BE"/>
    <w:rsid w:val="004648A4"/>
    <w:rsid w:val="004662F9"/>
    <w:rsid w:val="00484A17"/>
    <w:rsid w:val="00486369"/>
    <w:rsid w:val="00493F86"/>
    <w:rsid w:val="004A08C3"/>
    <w:rsid w:val="004A099D"/>
    <w:rsid w:val="004A47FF"/>
    <w:rsid w:val="004A5789"/>
    <w:rsid w:val="004B23D3"/>
    <w:rsid w:val="004E7C50"/>
    <w:rsid w:val="004F061E"/>
    <w:rsid w:val="004F2824"/>
    <w:rsid w:val="004F2E89"/>
    <w:rsid w:val="00500553"/>
    <w:rsid w:val="00502138"/>
    <w:rsid w:val="005269EA"/>
    <w:rsid w:val="0053015C"/>
    <w:rsid w:val="00533846"/>
    <w:rsid w:val="005348B2"/>
    <w:rsid w:val="005434C4"/>
    <w:rsid w:val="00554550"/>
    <w:rsid w:val="005549FF"/>
    <w:rsid w:val="00562E1E"/>
    <w:rsid w:val="005761BB"/>
    <w:rsid w:val="005B4997"/>
    <w:rsid w:val="005C0667"/>
    <w:rsid w:val="005F1C1F"/>
    <w:rsid w:val="00616265"/>
    <w:rsid w:val="0063524D"/>
    <w:rsid w:val="00641497"/>
    <w:rsid w:val="006542C3"/>
    <w:rsid w:val="0065588F"/>
    <w:rsid w:val="00664805"/>
    <w:rsid w:val="006674EA"/>
    <w:rsid w:val="00684589"/>
    <w:rsid w:val="006845C9"/>
    <w:rsid w:val="006902F9"/>
    <w:rsid w:val="00690B4B"/>
    <w:rsid w:val="0069180A"/>
    <w:rsid w:val="006A609E"/>
    <w:rsid w:val="006C27D3"/>
    <w:rsid w:val="006C4BCC"/>
    <w:rsid w:val="006C6E61"/>
    <w:rsid w:val="006D1EAC"/>
    <w:rsid w:val="006E1FA9"/>
    <w:rsid w:val="0070740D"/>
    <w:rsid w:val="007538DB"/>
    <w:rsid w:val="0075560F"/>
    <w:rsid w:val="007642D5"/>
    <w:rsid w:val="00782F34"/>
    <w:rsid w:val="007925CA"/>
    <w:rsid w:val="00793843"/>
    <w:rsid w:val="007A1831"/>
    <w:rsid w:val="007A3F94"/>
    <w:rsid w:val="007A49AD"/>
    <w:rsid w:val="00802521"/>
    <w:rsid w:val="00807AA2"/>
    <w:rsid w:val="00807F54"/>
    <w:rsid w:val="00820168"/>
    <w:rsid w:val="00875EBF"/>
    <w:rsid w:val="00884205"/>
    <w:rsid w:val="00897B90"/>
    <w:rsid w:val="008A37BA"/>
    <w:rsid w:val="008B1C81"/>
    <w:rsid w:val="008D2718"/>
    <w:rsid w:val="008D45F7"/>
    <w:rsid w:val="008D4942"/>
    <w:rsid w:val="008D763E"/>
    <w:rsid w:val="008F33D5"/>
    <w:rsid w:val="008F5596"/>
    <w:rsid w:val="008F5ECB"/>
    <w:rsid w:val="008F677F"/>
    <w:rsid w:val="00905CC2"/>
    <w:rsid w:val="00983C7A"/>
    <w:rsid w:val="009852E6"/>
    <w:rsid w:val="0098621D"/>
    <w:rsid w:val="00997A4D"/>
    <w:rsid w:val="009B3CB6"/>
    <w:rsid w:val="009C2F3B"/>
    <w:rsid w:val="009D06D0"/>
    <w:rsid w:val="009D1B2B"/>
    <w:rsid w:val="009D242F"/>
    <w:rsid w:val="009D4B2F"/>
    <w:rsid w:val="009E1745"/>
    <w:rsid w:val="00A024A8"/>
    <w:rsid w:val="00A267CE"/>
    <w:rsid w:val="00A477F3"/>
    <w:rsid w:val="00A64708"/>
    <w:rsid w:val="00A64930"/>
    <w:rsid w:val="00A77E89"/>
    <w:rsid w:val="00A87C8C"/>
    <w:rsid w:val="00A91000"/>
    <w:rsid w:val="00A95309"/>
    <w:rsid w:val="00AA26E7"/>
    <w:rsid w:val="00AA3CFD"/>
    <w:rsid w:val="00AA59E8"/>
    <w:rsid w:val="00AC0304"/>
    <w:rsid w:val="00AC345D"/>
    <w:rsid w:val="00AD241F"/>
    <w:rsid w:val="00AE7906"/>
    <w:rsid w:val="00B0161E"/>
    <w:rsid w:val="00B1073A"/>
    <w:rsid w:val="00B15CAC"/>
    <w:rsid w:val="00B1660B"/>
    <w:rsid w:val="00B6512A"/>
    <w:rsid w:val="00B70CD3"/>
    <w:rsid w:val="00B73176"/>
    <w:rsid w:val="00B738F8"/>
    <w:rsid w:val="00B90507"/>
    <w:rsid w:val="00B97C41"/>
    <w:rsid w:val="00BB17E1"/>
    <w:rsid w:val="00BB27C5"/>
    <w:rsid w:val="00BC2918"/>
    <w:rsid w:val="00BE4CC9"/>
    <w:rsid w:val="00BF2999"/>
    <w:rsid w:val="00BF7F24"/>
    <w:rsid w:val="00C00B7E"/>
    <w:rsid w:val="00C1172A"/>
    <w:rsid w:val="00C152A9"/>
    <w:rsid w:val="00C154C2"/>
    <w:rsid w:val="00C309B1"/>
    <w:rsid w:val="00C43796"/>
    <w:rsid w:val="00C47BE9"/>
    <w:rsid w:val="00C5418E"/>
    <w:rsid w:val="00C57966"/>
    <w:rsid w:val="00C60D46"/>
    <w:rsid w:val="00C62218"/>
    <w:rsid w:val="00C73D6C"/>
    <w:rsid w:val="00C75E0E"/>
    <w:rsid w:val="00C765AD"/>
    <w:rsid w:val="00C82BC5"/>
    <w:rsid w:val="00CB0BBB"/>
    <w:rsid w:val="00CC2071"/>
    <w:rsid w:val="00CD4FA2"/>
    <w:rsid w:val="00CD51FD"/>
    <w:rsid w:val="00CE40EE"/>
    <w:rsid w:val="00CE6591"/>
    <w:rsid w:val="00D004D0"/>
    <w:rsid w:val="00D00B4F"/>
    <w:rsid w:val="00D14191"/>
    <w:rsid w:val="00D149DA"/>
    <w:rsid w:val="00D14E2D"/>
    <w:rsid w:val="00D34708"/>
    <w:rsid w:val="00D53B5D"/>
    <w:rsid w:val="00D671A5"/>
    <w:rsid w:val="00D7584B"/>
    <w:rsid w:val="00DD0578"/>
    <w:rsid w:val="00DD08BA"/>
    <w:rsid w:val="00DE5E01"/>
    <w:rsid w:val="00DF2A80"/>
    <w:rsid w:val="00E00786"/>
    <w:rsid w:val="00E232D3"/>
    <w:rsid w:val="00E2796D"/>
    <w:rsid w:val="00E27C6A"/>
    <w:rsid w:val="00E40873"/>
    <w:rsid w:val="00E561B8"/>
    <w:rsid w:val="00E577A4"/>
    <w:rsid w:val="00E779E2"/>
    <w:rsid w:val="00E87AEF"/>
    <w:rsid w:val="00E93323"/>
    <w:rsid w:val="00E95CFE"/>
    <w:rsid w:val="00EB100F"/>
    <w:rsid w:val="00EC5241"/>
    <w:rsid w:val="00ED1C62"/>
    <w:rsid w:val="00ED7AEC"/>
    <w:rsid w:val="00EE07DC"/>
    <w:rsid w:val="00EE376C"/>
    <w:rsid w:val="00EE6D93"/>
    <w:rsid w:val="00EF1568"/>
    <w:rsid w:val="00EF6040"/>
    <w:rsid w:val="00EF65FD"/>
    <w:rsid w:val="00F05B26"/>
    <w:rsid w:val="00F22950"/>
    <w:rsid w:val="00F311FB"/>
    <w:rsid w:val="00F37A73"/>
    <w:rsid w:val="00F43BE8"/>
    <w:rsid w:val="00F51657"/>
    <w:rsid w:val="00F53012"/>
    <w:rsid w:val="00F721A7"/>
    <w:rsid w:val="00F85A9B"/>
    <w:rsid w:val="00FA15BA"/>
    <w:rsid w:val="00FA6EBF"/>
    <w:rsid w:val="00FA7FC5"/>
    <w:rsid w:val="00FC06AC"/>
    <w:rsid w:val="00FD0B6D"/>
    <w:rsid w:val="00FD7E46"/>
    <w:rsid w:val="00FE1DCB"/>
    <w:rsid w:val="00FE61C8"/>
    <w:rsid w:val="00FF13DD"/>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customStyle="1" w:styleId="Header2">
    <w:name w:val="Header2"/>
    <w:basedOn w:val="En-tte"/>
    <w:rsid w:val="00EF65FD"/>
  </w:style>
  <w:style w:type="paragraph" w:styleId="Paragraphedeliste">
    <w:name w:val="List Paragraph"/>
    <w:basedOn w:val="Normal"/>
    <w:uiPriority w:val="34"/>
    <w:qFormat/>
    <w:rsid w:val="00EF65FD"/>
    <w:pPr>
      <w:spacing w:after="0"/>
      <w:ind w:left="720"/>
      <w:contextualSpacing/>
      <w:jc w:val="left"/>
    </w:pPr>
    <w:rPr>
      <w:rFonts w:ascii="Calibri" w:eastAsia="Calibri" w:hAnsi="Calibri" w:cs="Calibri"/>
      <w:szCs w:val="22"/>
      <w:lang w:val="en-GB" w:eastAsia="en-US"/>
    </w:rPr>
  </w:style>
  <w:style w:type="paragraph" w:styleId="Textedebulles">
    <w:name w:val="Balloon Text"/>
    <w:basedOn w:val="Normal"/>
    <w:link w:val="TextedebullesCar"/>
    <w:rsid w:val="000C0226"/>
    <w:pPr>
      <w:spacing w:after="0"/>
    </w:pPr>
    <w:rPr>
      <w:rFonts w:ascii="Tahoma" w:hAnsi="Tahoma" w:cs="Tahoma"/>
      <w:sz w:val="16"/>
      <w:szCs w:val="16"/>
    </w:rPr>
  </w:style>
  <w:style w:type="character" w:customStyle="1" w:styleId="TextedebullesCar">
    <w:name w:val="Texte de bulles Car"/>
    <w:basedOn w:val="Policepardfaut"/>
    <w:link w:val="Textedebulles"/>
    <w:rsid w:val="000C0226"/>
    <w:rPr>
      <w:rFonts w:ascii="Tahoma" w:hAnsi="Tahoma" w:cs="Tahoma"/>
      <w:sz w:val="16"/>
      <w:szCs w:val="16"/>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customStyle="1" w:styleId="Header2">
    <w:name w:val="Header2"/>
    <w:basedOn w:val="En-tte"/>
    <w:rsid w:val="00EF65FD"/>
  </w:style>
  <w:style w:type="paragraph" w:styleId="Paragraphedeliste">
    <w:name w:val="List Paragraph"/>
    <w:basedOn w:val="Normal"/>
    <w:uiPriority w:val="34"/>
    <w:qFormat/>
    <w:rsid w:val="00EF65FD"/>
    <w:pPr>
      <w:spacing w:after="0"/>
      <w:ind w:left="720"/>
      <w:contextualSpacing/>
      <w:jc w:val="left"/>
    </w:pPr>
    <w:rPr>
      <w:rFonts w:ascii="Calibri" w:eastAsia="Calibri" w:hAnsi="Calibri" w:cs="Calibri"/>
      <w:szCs w:val="22"/>
      <w:lang w:val="en-GB" w:eastAsia="en-US"/>
    </w:rPr>
  </w:style>
  <w:style w:type="paragraph" w:styleId="Textedebulles">
    <w:name w:val="Balloon Text"/>
    <w:basedOn w:val="Normal"/>
    <w:link w:val="TextedebullesCar"/>
    <w:rsid w:val="000C0226"/>
    <w:pPr>
      <w:spacing w:after="0"/>
    </w:pPr>
    <w:rPr>
      <w:rFonts w:ascii="Tahoma" w:hAnsi="Tahoma" w:cs="Tahoma"/>
      <w:sz w:val="16"/>
      <w:szCs w:val="16"/>
    </w:rPr>
  </w:style>
  <w:style w:type="character" w:customStyle="1" w:styleId="TextedebullesCar">
    <w:name w:val="Texte de bulles Car"/>
    <w:basedOn w:val="Policepardfaut"/>
    <w:link w:val="Textedebulles"/>
    <w:rsid w:val="000C0226"/>
    <w:rPr>
      <w:rFonts w:ascii="Tahoma" w:hAnsi="Tahoma" w:cs="Tahoma"/>
      <w:sz w:val="16"/>
      <w:szCs w:val="16"/>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92839">
      <w:bodyDiv w:val="1"/>
      <w:marLeft w:val="0"/>
      <w:marRight w:val="0"/>
      <w:marTop w:val="0"/>
      <w:marBottom w:val="0"/>
      <w:divBdr>
        <w:top w:val="none" w:sz="0" w:space="0" w:color="auto"/>
        <w:left w:val="none" w:sz="0" w:space="0" w:color="auto"/>
        <w:bottom w:val="none" w:sz="0" w:space="0" w:color="auto"/>
        <w:right w:val="none" w:sz="0" w:space="0" w:color="auto"/>
      </w:divBdr>
    </w:div>
    <w:div w:id="1152522727">
      <w:bodyDiv w:val="1"/>
      <w:marLeft w:val="0"/>
      <w:marRight w:val="0"/>
      <w:marTop w:val="0"/>
      <w:marBottom w:val="0"/>
      <w:divBdr>
        <w:top w:val="none" w:sz="0" w:space="0" w:color="auto"/>
        <w:left w:val="none" w:sz="0" w:space="0" w:color="auto"/>
        <w:bottom w:val="none" w:sz="0" w:space="0" w:color="auto"/>
        <w:right w:val="none" w:sz="0" w:space="0" w:color="auto"/>
      </w:divBdr>
    </w:div>
    <w:div w:id="1233346381">
      <w:bodyDiv w:val="1"/>
      <w:marLeft w:val="0"/>
      <w:marRight w:val="0"/>
      <w:marTop w:val="0"/>
      <w:marBottom w:val="0"/>
      <w:divBdr>
        <w:top w:val="none" w:sz="0" w:space="0" w:color="auto"/>
        <w:left w:val="none" w:sz="0" w:space="0" w:color="auto"/>
        <w:bottom w:val="none" w:sz="0" w:space="0" w:color="auto"/>
        <w:right w:val="none" w:sz="0" w:space="0" w:color="auto"/>
      </w:divBdr>
    </w:div>
    <w:div w:id="1382049808">
      <w:bodyDiv w:val="1"/>
      <w:marLeft w:val="0"/>
      <w:marRight w:val="0"/>
      <w:marTop w:val="0"/>
      <w:marBottom w:val="0"/>
      <w:divBdr>
        <w:top w:val="none" w:sz="0" w:space="0" w:color="auto"/>
        <w:left w:val="none" w:sz="0" w:space="0" w:color="auto"/>
        <w:bottom w:val="none" w:sz="0" w:space="0" w:color="auto"/>
        <w:right w:val="none" w:sz="0" w:space="0" w:color="auto"/>
      </w:divBdr>
    </w:div>
    <w:div w:id="1461339860">
      <w:bodyDiv w:val="1"/>
      <w:marLeft w:val="0"/>
      <w:marRight w:val="0"/>
      <w:marTop w:val="0"/>
      <w:marBottom w:val="0"/>
      <w:divBdr>
        <w:top w:val="none" w:sz="0" w:space="0" w:color="auto"/>
        <w:left w:val="none" w:sz="0" w:space="0" w:color="auto"/>
        <w:bottom w:val="none" w:sz="0" w:space="0" w:color="auto"/>
        <w:right w:val="none" w:sz="0" w:space="0" w:color="auto"/>
      </w:divBdr>
    </w:div>
    <w:div w:id="1894342852">
      <w:bodyDiv w:val="1"/>
      <w:marLeft w:val="0"/>
      <w:marRight w:val="0"/>
      <w:marTop w:val="0"/>
      <w:marBottom w:val="0"/>
      <w:divBdr>
        <w:top w:val="none" w:sz="0" w:space="0" w:color="auto"/>
        <w:left w:val="none" w:sz="0" w:space="0" w:color="auto"/>
        <w:bottom w:val="none" w:sz="0" w:space="0" w:color="auto"/>
        <w:right w:val="none" w:sz="0" w:space="0" w:color="auto"/>
      </w:divBdr>
    </w:div>
    <w:div w:id="2029788047">
      <w:bodyDiv w:val="1"/>
      <w:marLeft w:val="0"/>
      <w:marRight w:val="0"/>
      <w:marTop w:val="0"/>
      <w:marBottom w:val="0"/>
      <w:divBdr>
        <w:top w:val="none" w:sz="0" w:space="0" w:color="auto"/>
        <w:left w:val="none" w:sz="0" w:space="0" w:color="auto"/>
        <w:bottom w:val="none" w:sz="0" w:space="0" w:color="auto"/>
        <w:right w:val="none" w:sz="0" w:space="0" w:color="auto"/>
      </w:divBdr>
    </w:div>
    <w:div w:id="21022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mse.research-project.de/index.php/en/about-pm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radio.aalto.fi/en/research/space_technology/rfi-detection_and_classification_of_radio_frequency_interferenc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A714-3209-4289-AB68-A6508AFC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FORM01_Input_contribution[1]</Template>
  <TotalTime>0</TotalTime>
  <Pages>3</Pages>
  <Words>1281</Words>
  <Characters>7049</Characters>
  <Application>Microsoft Office Word</Application>
  <DocSecurity>0</DocSecurity>
  <Lines>58</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Expert</cp:lastModifiedBy>
  <cp:revision>3</cp:revision>
  <cp:lastPrinted>1999-09-27T13:20:00Z</cp:lastPrinted>
  <dcterms:created xsi:type="dcterms:W3CDTF">2013-06-11T10:00:00Z</dcterms:created>
  <dcterms:modified xsi:type="dcterms:W3CDTF">2013-06-11T13:49:00Z</dcterms:modified>
</cp:coreProperties>
</file>