
<file path=[Content_Types].xml><?xml version="1.0" encoding="utf-8"?>
<Types xmlns="http://schemas.openxmlformats.org/package/2006/content-types">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346C62" w:rsidRPr="0098621D">
        <w:trPr>
          <w:cantSplit/>
        </w:trPr>
        <w:tc>
          <w:tcPr>
            <w:tcW w:w="6071" w:type="dxa"/>
            <w:gridSpan w:val="3"/>
            <w:tcBorders>
              <w:top w:val="nil"/>
              <w:left w:val="nil"/>
              <w:bottom w:val="nil"/>
              <w:right w:val="nil"/>
            </w:tcBorders>
          </w:tcPr>
          <w:p w:rsidR="00346C62" w:rsidRPr="0098621D" w:rsidRDefault="0005190E" w:rsidP="00215746">
            <w:pPr>
              <w:pStyle w:val="Kopfzeile1"/>
            </w:pPr>
            <w:r>
              <w:rPr>
                <w:noProof/>
                <w:lang w:val="fr-FR" w:eastAsia="fr-FR"/>
              </w:rPr>
              <w:drawing>
                <wp:inline distT="0" distB="0" distL="0" distR="0">
                  <wp:extent cx="1619250" cy="8286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828675"/>
                          </a:xfrm>
                          <a:prstGeom prst="rect">
                            <a:avLst/>
                          </a:prstGeom>
                          <a:noFill/>
                          <a:ln>
                            <a:noFill/>
                          </a:ln>
                        </pic:spPr>
                      </pic:pic>
                    </a:graphicData>
                  </a:graphic>
                </wp:inline>
              </w:drawing>
            </w:r>
            <w:r w:rsidR="00ED7AEC">
              <w:t>Plenary</w:t>
            </w:r>
          </w:p>
          <w:p w:rsidR="00346C62" w:rsidRPr="0098621D" w:rsidRDefault="00346C62" w:rsidP="00215746">
            <w:pPr>
              <w:pStyle w:val="Kopfzeile1"/>
              <w:rPr>
                <w:rFonts w:cs="Arial"/>
                <w:color w:val="000000"/>
                <w:lang w:val="en-GB"/>
              </w:rPr>
            </w:pPr>
          </w:p>
        </w:tc>
        <w:tc>
          <w:tcPr>
            <w:tcW w:w="3569" w:type="dxa"/>
            <w:tcBorders>
              <w:top w:val="nil"/>
              <w:left w:val="nil"/>
              <w:bottom w:val="nil"/>
              <w:right w:val="nil"/>
            </w:tcBorders>
          </w:tcPr>
          <w:p w:rsidR="00346C62" w:rsidRPr="00346C62" w:rsidRDefault="0098621D" w:rsidP="00787FCF">
            <w:pPr>
              <w:pStyle w:val="Kopfzeile1"/>
              <w:tabs>
                <w:tab w:val="clear" w:pos="4536"/>
                <w:tab w:val="right" w:pos="3357"/>
              </w:tabs>
            </w:pPr>
            <w:r>
              <w:tab/>
            </w:r>
            <w:r w:rsidR="00533846">
              <w:t>Doc</w:t>
            </w:r>
            <w:r w:rsidR="00ED7AEC">
              <w:t>. ECC(1</w:t>
            </w:r>
            <w:r w:rsidR="00D149DA">
              <w:t>3</w:t>
            </w:r>
            <w:r w:rsidR="00ED7AEC">
              <w:t>)</w:t>
            </w:r>
            <w:r w:rsidR="00787FCF">
              <w:t>043</w:t>
            </w:r>
            <w:bookmarkStart w:id="0" w:name="_GoBack"/>
            <w:bookmarkEnd w:id="0"/>
          </w:p>
        </w:tc>
      </w:tr>
      <w:tr w:rsidR="00346C62"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D149DA" w:rsidRDefault="00D149DA" w:rsidP="00484A17">
            <w:pPr>
              <w:pStyle w:val="Kopfzeile1"/>
              <w:rPr>
                <w:lang w:val="en-GB"/>
              </w:rPr>
            </w:pPr>
            <w:r>
              <w:rPr>
                <w:lang w:val="en-GB"/>
              </w:rPr>
              <w:t>3</w:t>
            </w:r>
            <w:r w:rsidR="00484A17">
              <w:rPr>
                <w:lang w:val="en-GB"/>
              </w:rPr>
              <w:t>4</w:t>
            </w:r>
            <w:r w:rsidR="00484A17" w:rsidRPr="00484A17">
              <w:rPr>
                <w:vertAlign w:val="superscript"/>
                <w:lang w:val="en-GB"/>
              </w:rPr>
              <w:t>th</w:t>
            </w:r>
            <w:r w:rsidR="00484A17">
              <w:rPr>
                <w:lang w:val="en-GB"/>
              </w:rPr>
              <w:t xml:space="preserve"> </w:t>
            </w:r>
            <w:r w:rsidR="001E0E49" w:rsidRPr="00D149DA">
              <w:rPr>
                <w:lang w:val="en-GB"/>
              </w:rPr>
              <w:t>Meeting</w:t>
            </w:r>
          </w:p>
        </w:tc>
        <w:tc>
          <w:tcPr>
            <w:tcW w:w="5300" w:type="dxa"/>
            <w:gridSpan w:val="2"/>
            <w:tcBorders>
              <w:top w:val="nil"/>
              <w:left w:val="nil"/>
              <w:bottom w:val="nil"/>
              <w:right w:val="nil"/>
            </w:tcBorders>
            <w:vAlign w:val="center"/>
          </w:tcPr>
          <w:p w:rsidR="00346C62" w:rsidRPr="0098621D" w:rsidRDefault="00346C62" w:rsidP="00215746">
            <w:pPr>
              <w:pStyle w:val="Kopfzeile1"/>
              <w:rPr>
                <w:lang w:val="en-GB"/>
              </w:rPr>
            </w:pPr>
          </w:p>
        </w:tc>
      </w:tr>
      <w:tr w:rsidR="00346C62"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D149DA" w:rsidRDefault="00484A17" w:rsidP="00484A17">
            <w:pPr>
              <w:pStyle w:val="Kopfzeile1"/>
              <w:rPr>
                <w:lang w:val="en-GB"/>
              </w:rPr>
            </w:pPr>
            <w:r>
              <w:rPr>
                <w:lang w:val="en-GB"/>
              </w:rPr>
              <w:t>Toulouse, 18</w:t>
            </w:r>
            <w:r w:rsidRPr="00484A17">
              <w:rPr>
                <w:vertAlign w:val="superscript"/>
                <w:lang w:val="en-GB"/>
              </w:rPr>
              <w:t>th</w:t>
            </w:r>
            <w:r>
              <w:rPr>
                <w:vertAlign w:val="superscript"/>
                <w:lang w:val="en-GB"/>
              </w:rPr>
              <w:t xml:space="preserve"> </w:t>
            </w:r>
            <w:r w:rsidR="00A64930" w:rsidRPr="00D149DA">
              <w:rPr>
                <w:lang w:val="en-GB"/>
              </w:rPr>
              <w:t>–</w:t>
            </w:r>
            <w:r>
              <w:rPr>
                <w:lang w:val="en-GB"/>
              </w:rPr>
              <w:t xml:space="preserve"> 21</w:t>
            </w:r>
            <w:r w:rsidRPr="00484A17">
              <w:rPr>
                <w:vertAlign w:val="superscript"/>
                <w:lang w:val="en-GB"/>
              </w:rPr>
              <w:t>st</w:t>
            </w:r>
            <w:r>
              <w:rPr>
                <w:lang w:val="en-GB"/>
              </w:rPr>
              <w:t xml:space="preserve"> June</w:t>
            </w:r>
            <w:r w:rsidR="00500553" w:rsidRPr="00D149DA">
              <w:rPr>
                <w:lang w:val="en-GB"/>
              </w:rPr>
              <w:t xml:space="preserve"> 2013</w:t>
            </w:r>
          </w:p>
        </w:tc>
        <w:tc>
          <w:tcPr>
            <w:tcW w:w="5300" w:type="dxa"/>
            <w:gridSpan w:val="2"/>
            <w:tcBorders>
              <w:top w:val="nil"/>
              <w:left w:val="nil"/>
              <w:bottom w:val="nil"/>
              <w:right w:val="nil"/>
            </w:tcBorders>
            <w:vAlign w:val="center"/>
          </w:tcPr>
          <w:p w:rsidR="00346C62" w:rsidRPr="0098621D" w:rsidRDefault="00346C62" w:rsidP="00215746">
            <w:pPr>
              <w:pStyle w:val="Kopfzeile1"/>
              <w:rPr>
                <w:lang w:val="en-GB"/>
              </w:rPr>
            </w:pPr>
          </w:p>
        </w:tc>
      </w:tr>
      <w:tr w:rsidR="00F05B26" w:rsidRPr="0098621D">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D149DA" w:rsidRDefault="00F05B26" w:rsidP="00215746">
            <w:pPr>
              <w:pStyle w:val="Kopfzeile1"/>
              <w:rPr>
                <w:sz w:val="8"/>
                <w:lang w:val="en-GB"/>
              </w:rPr>
            </w:pPr>
          </w:p>
        </w:tc>
        <w:tc>
          <w:tcPr>
            <w:tcW w:w="5300" w:type="dxa"/>
            <w:gridSpan w:val="2"/>
            <w:tcBorders>
              <w:top w:val="nil"/>
              <w:left w:val="nil"/>
              <w:bottom w:val="nil"/>
              <w:right w:val="nil"/>
            </w:tcBorders>
            <w:vAlign w:val="center"/>
          </w:tcPr>
          <w:p w:rsidR="00F05B26" w:rsidRPr="0098621D" w:rsidRDefault="00F05B26" w:rsidP="00215746">
            <w:pPr>
              <w:pStyle w:val="Kopfzeile1"/>
              <w:rPr>
                <w:sz w:val="8"/>
                <w:lang w:val="en-GB"/>
              </w:rPr>
            </w:pP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49DA" w:rsidRDefault="00F05B26" w:rsidP="00215746">
            <w:pPr>
              <w:pStyle w:val="Kopfzeile1"/>
              <w:rPr>
                <w:lang w:val="en-GB"/>
              </w:rPr>
            </w:pPr>
            <w:r w:rsidRPr="00D149DA">
              <w:rPr>
                <w:lang w:val="en-GB"/>
              </w:rPr>
              <w:t>Date issued:</w:t>
            </w:r>
            <w:r w:rsidR="005269EA" w:rsidRPr="00D149DA">
              <w:rPr>
                <w:lang w:val="en-GB"/>
              </w:rPr>
              <w:t xml:space="preserve"> </w:t>
            </w:r>
          </w:p>
        </w:tc>
        <w:tc>
          <w:tcPr>
            <w:tcW w:w="7797" w:type="dxa"/>
            <w:gridSpan w:val="3"/>
            <w:tcBorders>
              <w:top w:val="nil"/>
              <w:left w:val="nil"/>
              <w:bottom w:val="nil"/>
              <w:right w:val="nil"/>
            </w:tcBorders>
            <w:vAlign w:val="center"/>
          </w:tcPr>
          <w:p w:rsidR="00F05B26" w:rsidRPr="0098621D" w:rsidRDefault="0048770B" w:rsidP="00215746">
            <w:pPr>
              <w:pStyle w:val="Kopfzeile1"/>
              <w:rPr>
                <w:lang w:val="en-GB"/>
              </w:rPr>
            </w:pPr>
            <w:r>
              <w:rPr>
                <w:lang w:val="en-GB"/>
              </w:rPr>
              <w:t>11</w:t>
            </w:r>
            <w:r w:rsidR="007F5BA6">
              <w:rPr>
                <w:lang w:val="en-GB"/>
              </w:rPr>
              <w:t xml:space="preserve"> June 2013</w:t>
            </w: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49DA" w:rsidRDefault="00F05B26" w:rsidP="00215746">
            <w:pPr>
              <w:pStyle w:val="Kopfzeile1"/>
              <w:rPr>
                <w:lang w:val="en-GB"/>
              </w:rPr>
            </w:pPr>
            <w:r w:rsidRPr="00D149DA">
              <w:rPr>
                <w:lang w:val="en-GB"/>
              </w:rPr>
              <w:t>Source:</w:t>
            </w:r>
            <w:r w:rsidR="00ED7AEC" w:rsidRPr="00D149DA">
              <w:rPr>
                <w:lang w:val="en-GB"/>
              </w:rPr>
              <w:t xml:space="preserve"> </w:t>
            </w:r>
          </w:p>
        </w:tc>
        <w:tc>
          <w:tcPr>
            <w:tcW w:w="7797" w:type="dxa"/>
            <w:gridSpan w:val="3"/>
            <w:tcBorders>
              <w:top w:val="nil"/>
              <w:left w:val="nil"/>
              <w:bottom w:val="nil"/>
              <w:right w:val="nil"/>
            </w:tcBorders>
            <w:vAlign w:val="center"/>
          </w:tcPr>
          <w:p w:rsidR="00F05B26" w:rsidRPr="0098621D" w:rsidRDefault="007F5BA6" w:rsidP="00215746">
            <w:pPr>
              <w:pStyle w:val="Kopfzeile1"/>
              <w:rPr>
                <w:lang w:val="en-GB"/>
              </w:rPr>
            </w:pPr>
            <w:r>
              <w:rPr>
                <w:lang w:val="en-GB"/>
              </w:rPr>
              <w:t>ECO</w:t>
            </w: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49DA" w:rsidRDefault="00F05B26" w:rsidP="00215746">
            <w:pPr>
              <w:pStyle w:val="Kopfzeile1"/>
              <w:rPr>
                <w:lang w:val="en-GB"/>
              </w:rPr>
            </w:pPr>
            <w:r w:rsidRPr="00D149DA">
              <w:rPr>
                <w:lang w:val="en-GB"/>
              </w:rPr>
              <w:t>Subject:</w:t>
            </w:r>
            <w:r w:rsidR="005269EA" w:rsidRPr="00D149DA">
              <w:rPr>
                <w:lang w:val="en-GB"/>
              </w:rPr>
              <w:t xml:space="preserve"> </w:t>
            </w:r>
          </w:p>
        </w:tc>
        <w:tc>
          <w:tcPr>
            <w:tcW w:w="7797" w:type="dxa"/>
            <w:gridSpan w:val="3"/>
            <w:tcBorders>
              <w:top w:val="nil"/>
              <w:left w:val="nil"/>
              <w:bottom w:val="nil"/>
              <w:right w:val="nil"/>
            </w:tcBorders>
            <w:vAlign w:val="center"/>
          </w:tcPr>
          <w:p w:rsidR="00F05B26" w:rsidRPr="001E0E49" w:rsidRDefault="007F5BA6" w:rsidP="001E0E49">
            <w:pPr>
              <w:pStyle w:val="Kopfzeile1"/>
              <w:rPr>
                <w:lang w:val="en-GB"/>
              </w:rPr>
            </w:pPr>
            <w:r w:rsidRPr="007F5BA6">
              <w:rPr>
                <w:lang w:val="en-GB"/>
              </w:rPr>
              <w:t>Publication of the Implementation Status of ECC Decisions and Recommendations - Update</w:t>
            </w:r>
          </w:p>
        </w:tc>
      </w:tr>
      <w:tr w:rsidR="00493F86" w:rsidRPr="0098621D"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493F86" w:rsidRPr="006D7413" w:rsidRDefault="0005190E" w:rsidP="00FF320E">
            <w:pPr>
              <w:rPr>
                <w:rFonts w:cs="Arial"/>
                <w:szCs w:val="24"/>
                <w:lang w:val="en-GB"/>
              </w:rPr>
            </w:pPr>
            <w:r>
              <w:rPr>
                <w:noProof/>
                <w:lang w:val="fr-FR" w:eastAsia="fr-FR"/>
              </w:rPr>
              <mc:AlternateContent>
                <mc:Choice Requires="wps">
                  <w:drawing>
                    <wp:anchor distT="0" distB="0" distL="114300" distR="114300" simplePos="0" relativeHeight="251657728" behindDoc="1" locked="0" layoutInCell="1" allowOverlap="1">
                      <wp:simplePos x="0" y="0"/>
                      <wp:positionH relativeFrom="column">
                        <wp:posOffset>3263900</wp:posOffset>
                      </wp:positionH>
                      <wp:positionV relativeFrom="paragraph">
                        <wp:posOffset>193675</wp:posOffset>
                      </wp:positionV>
                      <wp:extent cx="457200" cy="271145"/>
                      <wp:effectExtent l="0" t="0" r="19050" b="14605"/>
                      <wp:wrapTight wrapText="bothSides">
                        <wp:wrapPolygon edited="0">
                          <wp:start x="0" y="0"/>
                          <wp:lineTo x="0" y="21246"/>
                          <wp:lineTo x="21600" y="2124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5269EA" w:rsidRPr="00254FD9" w:rsidRDefault="005269EA"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7pt;margin-top:15.25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">
                      <v:textbox>
                        <w:txbxContent>
                          <w:p w:rsidR="005269EA" w:rsidRPr="00254FD9" w:rsidRDefault="005269EA" w:rsidP="005348B2">
                            <w:pPr>
                              <w:spacing w:after="0"/>
                              <w:jc w:val="center"/>
                              <w:rPr>
                                <w:rFonts w:cs="Arial"/>
                                <w:szCs w:val="24"/>
                                <w:lang w:val="de-DE"/>
                              </w:rPr>
                            </w:pPr>
                            <w:r>
                              <w:rPr>
                                <w:rFonts w:cs="Arial"/>
                                <w:szCs w:val="24"/>
                                <w:lang w:val="de-DE"/>
                              </w:rPr>
                              <w:t>N</w:t>
                            </w:r>
                          </w:p>
                        </w:txbxContent>
                      </v:textbox>
                      <w10:wrap type="tight"/>
                    </v:shape>
                  </w:pict>
                </mc:Fallback>
              </mc:AlternateContent>
            </w:r>
          </w:p>
          <w:p w:rsidR="00493F86" w:rsidRDefault="001D181E" w:rsidP="00FF320E">
            <w:pPr>
              <w:rPr>
                <w:lang w:val="en-GB"/>
              </w:rPr>
            </w:pPr>
            <w:r>
              <w:rPr>
                <w:lang w:val="en-GB"/>
              </w:rPr>
              <w:t>Group membership</w:t>
            </w:r>
            <w:r w:rsidR="00493F86" w:rsidRPr="0016435A">
              <w:rPr>
                <w:lang w:val="en-GB"/>
              </w:rPr>
              <w:t xml:space="preserve"> required</w:t>
            </w:r>
            <w:r>
              <w:rPr>
                <w:lang w:val="en-GB"/>
              </w:rPr>
              <w:t xml:space="preserve"> </w:t>
            </w:r>
            <w:proofErr w:type="gramStart"/>
            <w:r>
              <w:rPr>
                <w:lang w:val="en-GB"/>
              </w:rPr>
              <w:t>to read</w:t>
            </w:r>
            <w:proofErr w:type="gramEnd"/>
            <w:r>
              <w:rPr>
                <w:lang w:val="en-GB"/>
              </w:rPr>
              <w:t>? (Y/N)</w:t>
            </w:r>
          </w:p>
          <w:p w:rsidR="00493F86" w:rsidRPr="00DD103C" w:rsidRDefault="00493F86" w:rsidP="00FF320E">
            <w:pPr>
              <w:pStyle w:val="Header1"/>
              <w:rPr>
                <w:lang w:val="en-GB"/>
              </w:rPr>
            </w:pPr>
          </w:p>
        </w:tc>
      </w:tr>
      <w:tr w:rsidR="00493F86" w:rsidRPr="0098621D"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493F86" w:rsidRPr="003D778B" w:rsidRDefault="00493F86" w:rsidP="00FF320E">
            <w:pPr>
              <w:pStyle w:val="Header1"/>
            </w:pPr>
          </w:p>
          <w:p w:rsidR="00493F86" w:rsidRPr="0098621D" w:rsidRDefault="00493F86" w:rsidP="00FF320E">
            <w:pPr>
              <w:pStyle w:val="Header1"/>
              <w:rPr>
                <w:sz w:val="8"/>
              </w:rPr>
            </w:pP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7F5BA6" w:rsidRDefault="001E0E49" w:rsidP="001E0E49">
            <w:pPr>
              <w:pStyle w:val="Kopfzeile1"/>
              <w:rPr>
                <w:lang w:val="en-US"/>
              </w:rPr>
            </w:pPr>
            <w:r w:rsidRPr="001E0E49">
              <w:rPr>
                <w:lang w:val="en-US"/>
              </w:rPr>
              <w:t>Summary:</w:t>
            </w:r>
          </w:p>
          <w:p w:rsidR="001E0E49" w:rsidRDefault="001E0E49" w:rsidP="001E0E49">
            <w:pPr>
              <w:pStyle w:val="Kopfzeile1"/>
              <w:rPr>
                <w:lang w:val="en-US"/>
              </w:rPr>
            </w:pPr>
            <w:r>
              <w:rPr>
                <w:lang w:val="en-US"/>
              </w:rPr>
              <w:t xml:space="preserve"> </w:t>
            </w:r>
          </w:p>
          <w:p w:rsidR="007F5BA6" w:rsidRPr="007F5BA6" w:rsidRDefault="007F5BA6" w:rsidP="00EF4B75">
            <w:pPr>
              <w:pStyle w:val="Kopfzeile1"/>
              <w:rPr>
                <w:b w:val="0"/>
                <w:lang w:val="en-US"/>
              </w:rPr>
            </w:pPr>
            <w:r w:rsidRPr="007F5BA6">
              <w:rPr>
                <w:b w:val="0"/>
                <w:lang w:val="en-US"/>
              </w:rPr>
              <w:t xml:space="preserve">This document updates the ECC on developments concerning the published implementation status of Decisions and Recommendations on the Deliverables Library, consequent to the </w:t>
            </w:r>
            <w:r w:rsidR="00EF4B75">
              <w:rPr>
                <w:b w:val="0"/>
                <w:lang w:val="en-US"/>
              </w:rPr>
              <w:t>March</w:t>
            </w:r>
            <w:r w:rsidRPr="007F5BA6">
              <w:rPr>
                <w:b w:val="0"/>
                <w:lang w:val="en-US"/>
              </w:rPr>
              <w:t xml:space="preserve"> ECC Plenary meeting</w:t>
            </w:r>
            <w:r w:rsidR="00EF4B75">
              <w:rPr>
                <w:b w:val="0"/>
                <w:lang w:val="en-US"/>
              </w:rPr>
              <w:t xml:space="preserve"> (Bratislava)</w:t>
            </w:r>
            <w:r w:rsidRPr="007F5BA6">
              <w:rPr>
                <w:b w:val="0"/>
                <w:lang w:val="en-US"/>
              </w:rPr>
              <w:t>.</w:t>
            </w:r>
          </w:p>
        </w:tc>
      </w:tr>
      <w:tr w:rsidR="001E0E49" w:rsidRPr="00D44060" w:rsidTr="007F5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1"/>
        </w:trPr>
        <w:tc>
          <w:tcPr>
            <w:tcW w:w="9640" w:type="dxa"/>
            <w:gridSpan w:val="4"/>
            <w:tcBorders>
              <w:top w:val="nil"/>
              <w:bottom w:val="single" w:sz="4" w:space="0" w:color="auto"/>
            </w:tcBorders>
          </w:tcPr>
          <w:p w:rsidR="001E0E49" w:rsidRPr="001E0E49" w:rsidRDefault="001E0E49" w:rsidP="001E0E49"/>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1E0E49" w:rsidRDefault="001E0E49" w:rsidP="001E0E49">
            <w:pPr>
              <w:pStyle w:val="Kopfzeile1"/>
              <w:rPr>
                <w:lang w:val="en-US"/>
              </w:rPr>
            </w:pPr>
            <w:r>
              <w:rPr>
                <w:lang w:val="en-US"/>
              </w:rPr>
              <w:t xml:space="preserve">Proposal: </w:t>
            </w: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bottom w:val="single" w:sz="4" w:space="0" w:color="auto"/>
            </w:tcBorders>
          </w:tcPr>
          <w:p w:rsidR="007F5BA6" w:rsidRPr="007F5BA6" w:rsidRDefault="007F5BA6" w:rsidP="007F5BA6">
            <w:pPr>
              <w:rPr>
                <w:lang w:val="en-US"/>
              </w:rPr>
            </w:pPr>
            <w:r w:rsidRPr="007F5BA6">
              <w:rPr>
                <w:lang w:val="en-US"/>
              </w:rPr>
              <w:t>The ECC</w:t>
            </w:r>
            <w:r>
              <w:rPr>
                <w:lang w:val="en-US"/>
              </w:rPr>
              <w:t xml:space="preserve"> </w:t>
            </w:r>
            <w:r w:rsidRPr="007F5BA6">
              <w:rPr>
                <w:lang w:val="en-US"/>
              </w:rPr>
              <w:t>is invited to:</w:t>
            </w:r>
          </w:p>
          <w:p w:rsidR="007F5BA6" w:rsidRPr="007F5BA6" w:rsidRDefault="007F5BA6" w:rsidP="007F5BA6">
            <w:pPr>
              <w:numPr>
                <w:ilvl w:val="0"/>
                <w:numId w:val="17"/>
              </w:numPr>
              <w:ind w:left="781"/>
              <w:rPr>
                <w:lang w:val="en-US"/>
              </w:rPr>
            </w:pPr>
            <w:r w:rsidRPr="007F5BA6">
              <w:rPr>
                <w:lang w:val="en-US"/>
              </w:rPr>
              <w:t xml:space="preserve">note the list of Recommendations for which implementation status </w:t>
            </w:r>
            <w:r w:rsidR="0048770B">
              <w:rPr>
                <w:lang w:val="en-US"/>
              </w:rPr>
              <w:t>remains published in the deliverables library (the ‘</w:t>
            </w:r>
            <w:proofErr w:type="spellStart"/>
            <w:r w:rsidR="00535A49">
              <w:rPr>
                <w:lang w:val="en-US"/>
              </w:rPr>
              <w:t>DocDB</w:t>
            </w:r>
            <w:proofErr w:type="spellEnd"/>
            <w:r w:rsidR="0048770B">
              <w:rPr>
                <w:lang w:val="en-US"/>
              </w:rPr>
              <w:t>’), and the complementary list or Recommendations where the implementation status is not to be shown</w:t>
            </w:r>
            <w:r w:rsidRPr="007F5BA6">
              <w:rPr>
                <w:lang w:val="en-US"/>
              </w:rPr>
              <w:t>;</w:t>
            </w:r>
          </w:p>
          <w:p w:rsidR="007F5BA6" w:rsidRDefault="007F5BA6" w:rsidP="007F5BA6">
            <w:pPr>
              <w:numPr>
                <w:ilvl w:val="0"/>
                <w:numId w:val="17"/>
              </w:numPr>
              <w:ind w:left="781"/>
              <w:rPr>
                <w:lang w:val="en-US"/>
              </w:rPr>
            </w:pPr>
            <w:r w:rsidRPr="007F5BA6">
              <w:rPr>
                <w:lang w:val="en-US"/>
              </w:rPr>
              <w:t xml:space="preserve">comment as appropriate on the status of ECC Recommendations on cross-border coordination (the </w:t>
            </w:r>
            <w:r>
              <w:rPr>
                <w:lang w:val="en-US"/>
              </w:rPr>
              <w:t xml:space="preserve">last </w:t>
            </w:r>
            <w:r w:rsidRPr="007F5BA6">
              <w:rPr>
                <w:lang w:val="en-US"/>
              </w:rPr>
              <w:t>ECC Plenary resolved to review this);</w:t>
            </w:r>
          </w:p>
          <w:p w:rsidR="001E0E49" w:rsidRDefault="0005190E" w:rsidP="0005190E">
            <w:pPr>
              <w:numPr>
                <w:ilvl w:val="0"/>
                <w:numId w:val="17"/>
              </w:numPr>
              <w:ind w:left="781"/>
              <w:rPr>
                <w:lang w:val="en-US"/>
              </w:rPr>
            </w:pPr>
            <w:proofErr w:type="gramStart"/>
            <w:r>
              <w:rPr>
                <w:lang w:val="en-US"/>
              </w:rPr>
              <w:t>offer</w:t>
            </w:r>
            <w:proofErr w:type="gramEnd"/>
            <w:r>
              <w:rPr>
                <w:lang w:val="en-US"/>
              </w:rPr>
              <w:t xml:space="preserve"> any further advice which it considers appropriate.</w:t>
            </w: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1E0E49" w:rsidRDefault="001E0E49" w:rsidP="001E0E49">
            <w:pPr>
              <w:pStyle w:val="Kopfzeile1"/>
              <w:rPr>
                <w:lang w:val="en-US"/>
              </w:rPr>
            </w:pPr>
            <w:r>
              <w:rPr>
                <w:lang w:val="en-US"/>
              </w:rPr>
              <w:t>Background:</w:t>
            </w:r>
            <w:r w:rsidR="00ED7AEC">
              <w:rPr>
                <w:lang w:val="en-US"/>
              </w:rPr>
              <w:t xml:space="preserve"> </w:t>
            </w:r>
          </w:p>
        </w:tc>
      </w:tr>
      <w:tr w:rsidR="001E0E49" w:rsidRPr="00E305FF"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bottom w:val="single" w:sz="4" w:space="0" w:color="auto"/>
            </w:tcBorders>
          </w:tcPr>
          <w:p w:rsidR="007F5BA6" w:rsidRPr="007F5BA6" w:rsidRDefault="007F5BA6" w:rsidP="007F5BA6">
            <w:pPr>
              <w:rPr>
                <w:bCs/>
                <w:szCs w:val="24"/>
                <w:lang w:val="en-GB"/>
              </w:rPr>
            </w:pPr>
            <w:r w:rsidRPr="007F5BA6">
              <w:rPr>
                <w:bCs/>
                <w:szCs w:val="24"/>
                <w:lang w:val="en-GB"/>
              </w:rPr>
              <w:t>The 33rd ECC meeting in Bratislava (March 2013) approved that the Office should:</w:t>
            </w:r>
          </w:p>
          <w:p w:rsidR="007F5BA6" w:rsidRPr="007F5BA6" w:rsidRDefault="007F5BA6" w:rsidP="007F5BA6">
            <w:pPr>
              <w:rPr>
                <w:bCs/>
                <w:szCs w:val="24"/>
                <w:lang w:val="en-GB"/>
              </w:rPr>
            </w:pPr>
            <w:r w:rsidRPr="007F5BA6">
              <w:rPr>
                <w:bCs/>
                <w:szCs w:val="24"/>
                <w:lang w:val="en-GB"/>
              </w:rPr>
              <w:t>(a) apply a new routine (as proposed in Doc. ECC(13)10Rev1) for securing accurate and up to date implementation information for ECC Decisions in the Deliverables Library;</w:t>
            </w:r>
          </w:p>
          <w:p w:rsidR="007F5BA6" w:rsidRPr="007F5BA6" w:rsidRDefault="007F5BA6" w:rsidP="007F5BA6">
            <w:pPr>
              <w:rPr>
                <w:bCs/>
                <w:szCs w:val="24"/>
                <w:lang w:val="en-GB"/>
              </w:rPr>
            </w:pPr>
            <w:r w:rsidRPr="007F5BA6">
              <w:rPr>
                <w:bCs/>
                <w:szCs w:val="24"/>
                <w:lang w:val="en-GB"/>
              </w:rPr>
              <w:t>(b) withdraw implementation information for ECC Recommendations in the Library, with the exception of certain specific Recommendations where the implementation information is an important part of the application of the Recommendation itself;</w:t>
            </w:r>
          </w:p>
          <w:p w:rsidR="007F5BA6" w:rsidRPr="007F5BA6" w:rsidRDefault="007F5BA6" w:rsidP="007F5BA6">
            <w:pPr>
              <w:rPr>
                <w:bCs/>
                <w:szCs w:val="24"/>
                <w:lang w:val="en-GB"/>
              </w:rPr>
            </w:pPr>
            <w:r w:rsidRPr="007F5BA6">
              <w:rPr>
                <w:bCs/>
                <w:szCs w:val="24"/>
                <w:lang w:val="en-GB"/>
              </w:rPr>
              <w:t xml:space="preserve">(c) </w:t>
            </w:r>
            <w:proofErr w:type="gramStart"/>
            <w:r w:rsidRPr="007F5BA6">
              <w:rPr>
                <w:bCs/>
                <w:szCs w:val="24"/>
                <w:lang w:val="en-GB"/>
              </w:rPr>
              <w:t>modify</w:t>
            </w:r>
            <w:proofErr w:type="gramEnd"/>
            <w:r w:rsidRPr="007F5BA6">
              <w:rPr>
                <w:bCs/>
                <w:szCs w:val="24"/>
                <w:lang w:val="en-GB"/>
              </w:rPr>
              <w:t xml:space="preserve"> the Working Methods as proposed in Doc. ECC(13)10Rev1, to reflect the new policy concerning implementation status of Recommendations.</w:t>
            </w:r>
          </w:p>
          <w:p w:rsidR="001E0E49" w:rsidRPr="00E305FF" w:rsidRDefault="007F5BA6" w:rsidP="0048770B">
            <w:pPr>
              <w:rPr>
                <w:bCs/>
                <w:szCs w:val="24"/>
                <w:lang w:val="en-GB"/>
              </w:rPr>
            </w:pPr>
            <w:r w:rsidRPr="007F5BA6">
              <w:rPr>
                <w:bCs/>
                <w:szCs w:val="24"/>
                <w:lang w:val="en-GB"/>
              </w:rPr>
              <w:t xml:space="preserve">The </w:t>
            </w:r>
            <w:r>
              <w:rPr>
                <w:bCs/>
                <w:szCs w:val="24"/>
                <w:lang w:val="en-GB"/>
              </w:rPr>
              <w:t xml:space="preserve">last </w:t>
            </w:r>
            <w:r w:rsidRPr="007F5BA6">
              <w:rPr>
                <w:bCs/>
                <w:szCs w:val="24"/>
                <w:lang w:val="en-GB"/>
              </w:rPr>
              <w:t xml:space="preserve">ECC </w:t>
            </w:r>
            <w:r>
              <w:rPr>
                <w:bCs/>
                <w:szCs w:val="24"/>
                <w:lang w:val="en-GB"/>
              </w:rPr>
              <w:t xml:space="preserve">Plenary </w:t>
            </w:r>
            <w:r w:rsidRPr="007F5BA6">
              <w:rPr>
                <w:bCs/>
                <w:szCs w:val="24"/>
                <w:lang w:val="en-GB"/>
              </w:rPr>
              <w:t xml:space="preserve">also requested the Office to add a disclaimer text in the deliverables library, in respect of the legal status of implementation status of Decisions, and to seek approval from the Steering Group concerning the wording of this.  </w:t>
            </w:r>
            <w:r>
              <w:rPr>
                <w:bCs/>
                <w:szCs w:val="24"/>
                <w:lang w:val="en-GB"/>
              </w:rPr>
              <w:t>The ECC Steering Group</w:t>
            </w:r>
            <w:r w:rsidR="0048770B">
              <w:rPr>
                <w:bCs/>
                <w:szCs w:val="24"/>
                <w:lang w:val="en-GB"/>
              </w:rPr>
              <w:t xml:space="preserve"> approved the  </w:t>
            </w:r>
            <w:r>
              <w:rPr>
                <w:bCs/>
                <w:szCs w:val="24"/>
                <w:lang w:val="en-GB"/>
              </w:rPr>
              <w:t xml:space="preserve"> </w:t>
            </w:r>
            <w:hyperlink r:id="rId9" w:history="1">
              <w:r w:rsidR="0048770B" w:rsidRPr="0048770B">
                <w:rPr>
                  <w:rStyle w:val="Lienhypertexte"/>
                  <w:bCs/>
                  <w:szCs w:val="24"/>
                  <w:lang w:val="en-GB"/>
                </w:rPr>
                <w:t>wording of the disclaimer</w:t>
              </w:r>
            </w:hyperlink>
            <w:r>
              <w:rPr>
                <w:bCs/>
                <w:szCs w:val="24"/>
                <w:lang w:val="en-GB"/>
              </w:rPr>
              <w:t xml:space="preserve"> as proposed by the Office</w:t>
            </w:r>
            <w:r w:rsidR="00D814D7">
              <w:rPr>
                <w:bCs/>
                <w:szCs w:val="24"/>
                <w:lang w:val="en-GB"/>
              </w:rPr>
              <w:t xml:space="preserve"> (Doc. </w:t>
            </w:r>
            <w:proofErr w:type="gramStart"/>
            <w:r w:rsidR="00D814D7">
              <w:rPr>
                <w:bCs/>
                <w:szCs w:val="24"/>
                <w:lang w:val="en-GB"/>
              </w:rPr>
              <w:t>ECC(</w:t>
            </w:r>
            <w:proofErr w:type="gramEnd"/>
            <w:r w:rsidR="00D814D7">
              <w:rPr>
                <w:bCs/>
                <w:szCs w:val="24"/>
                <w:lang w:val="en-GB"/>
              </w:rPr>
              <w:t>13)031 refers)</w:t>
            </w:r>
            <w:r>
              <w:rPr>
                <w:bCs/>
                <w:szCs w:val="24"/>
                <w:lang w:val="en-GB"/>
              </w:rPr>
              <w:t>.</w:t>
            </w:r>
          </w:p>
        </w:tc>
      </w:tr>
    </w:tbl>
    <w:p w:rsidR="007F5BA6" w:rsidRDefault="007F5BA6" w:rsidP="00DE5E01">
      <w:pPr>
        <w:rPr>
          <w:lang w:val="en-GB"/>
        </w:rPr>
      </w:pPr>
    </w:p>
    <w:p w:rsidR="00B30D49" w:rsidRDefault="00B30D49" w:rsidP="00DE5E01">
      <w:pPr>
        <w:rPr>
          <w:lang w:val="en-GB"/>
        </w:rPr>
      </w:pPr>
    </w:p>
    <w:p w:rsidR="00B30D49" w:rsidRDefault="00B30D49" w:rsidP="00DE5E01">
      <w:pPr>
        <w:rPr>
          <w:lang w:val="en-GB"/>
        </w:rPr>
      </w:pPr>
    </w:p>
    <w:p w:rsidR="007F5BA6" w:rsidRPr="007F5BA6" w:rsidRDefault="007F5BA6" w:rsidP="007F5BA6">
      <w:pPr>
        <w:numPr>
          <w:ilvl w:val="0"/>
          <w:numId w:val="19"/>
        </w:numPr>
        <w:rPr>
          <w:bCs/>
          <w:lang w:val="en-GB"/>
        </w:rPr>
      </w:pPr>
      <w:r w:rsidRPr="007F5BA6">
        <w:rPr>
          <w:b/>
          <w:lang w:val="en-GB"/>
        </w:rPr>
        <w:lastRenderedPageBreak/>
        <w:t xml:space="preserve">  </w:t>
      </w:r>
      <w:r>
        <w:rPr>
          <w:b/>
          <w:lang w:val="en-GB"/>
        </w:rPr>
        <w:t>This pa</w:t>
      </w:r>
      <w:r w:rsidRPr="007F5BA6">
        <w:rPr>
          <w:b/>
          <w:lang w:val="en-GB"/>
        </w:rPr>
        <w:t>per</w:t>
      </w:r>
      <w:r>
        <w:rPr>
          <w:b/>
          <w:lang w:val="en-GB"/>
        </w:rPr>
        <w:t xml:space="preserve"> is submitted </w:t>
      </w:r>
      <w:r w:rsidRPr="007F5BA6">
        <w:rPr>
          <w:b/>
          <w:lang w:val="en-GB"/>
        </w:rPr>
        <w:t>to the ECC Plenary</w:t>
      </w:r>
      <w:r>
        <w:rPr>
          <w:b/>
          <w:lang w:val="en-GB"/>
        </w:rPr>
        <w:t xml:space="preserve"> with the following purpose:</w:t>
      </w:r>
    </w:p>
    <w:p w:rsidR="007F5BA6" w:rsidRPr="007F5BA6" w:rsidRDefault="007F5BA6" w:rsidP="007F5BA6">
      <w:pPr>
        <w:numPr>
          <w:ilvl w:val="0"/>
          <w:numId w:val="18"/>
        </w:numPr>
        <w:rPr>
          <w:lang w:val="en-GB"/>
        </w:rPr>
      </w:pPr>
      <w:r>
        <w:rPr>
          <w:lang w:val="en-GB"/>
        </w:rPr>
        <w:t xml:space="preserve"> to </w:t>
      </w:r>
      <w:r w:rsidRPr="007F5BA6">
        <w:rPr>
          <w:lang w:val="en-GB"/>
        </w:rPr>
        <w:t>report that the ECC Working Methods have been amended as agreed (a minor change to Annex 4 Part 3 concerning updating of Implementation Status of Recommendations)</w:t>
      </w:r>
    </w:p>
    <w:p w:rsidR="007F5BA6" w:rsidRPr="00B30D49" w:rsidRDefault="007F5BA6" w:rsidP="00B30D49">
      <w:pPr>
        <w:numPr>
          <w:ilvl w:val="0"/>
          <w:numId w:val="18"/>
        </w:numPr>
        <w:rPr>
          <w:lang w:val="en-GB"/>
        </w:rPr>
      </w:pPr>
      <w:r w:rsidRPr="007F5BA6">
        <w:rPr>
          <w:lang w:val="en-GB"/>
        </w:rPr>
        <w:t xml:space="preserve"> </w:t>
      </w:r>
      <w:r>
        <w:rPr>
          <w:lang w:val="en-GB"/>
        </w:rPr>
        <w:t xml:space="preserve">to </w:t>
      </w:r>
      <w:r w:rsidRPr="007F5BA6">
        <w:rPr>
          <w:lang w:val="en-GB"/>
        </w:rPr>
        <w:t>report that implementation information for ECC Recommendations</w:t>
      </w:r>
      <w:r w:rsidR="00535A49">
        <w:rPr>
          <w:lang w:val="en-GB"/>
        </w:rPr>
        <w:t xml:space="preserve"> listed in the Annex</w:t>
      </w:r>
      <w:r w:rsidR="00B30D49">
        <w:rPr>
          <w:lang w:val="en-GB"/>
        </w:rPr>
        <w:t xml:space="preserve"> embedded in this document</w:t>
      </w:r>
      <w:r w:rsidRPr="007F5BA6">
        <w:rPr>
          <w:lang w:val="en-GB"/>
        </w:rPr>
        <w:t xml:space="preserve"> </w:t>
      </w:r>
      <w:r w:rsidR="00B30D49">
        <w:rPr>
          <w:lang w:val="en-GB"/>
        </w:rPr>
        <w:t>are being</w:t>
      </w:r>
      <w:r w:rsidRPr="007F5BA6">
        <w:rPr>
          <w:lang w:val="en-GB"/>
        </w:rPr>
        <w:t xml:space="preserve"> withdrawn (technically, hidden from view</w:t>
      </w:r>
      <w:r w:rsidR="00535A49">
        <w:rPr>
          <w:lang w:val="en-GB"/>
        </w:rPr>
        <w:t>)</w:t>
      </w:r>
      <w:r w:rsidRPr="00B30D49">
        <w:rPr>
          <w:lang w:val="en-GB"/>
        </w:rPr>
        <w:t xml:space="preserve"> </w:t>
      </w:r>
    </w:p>
    <w:p w:rsidR="00B30D49" w:rsidRDefault="007F5BA6" w:rsidP="007F5BA6">
      <w:pPr>
        <w:numPr>
          <w:ilvl w:val="0"/>
          <w:numId w:val="18"/>
        </w:numPr>
        <w:rPr>
          <w:lang w:val="en-GB"/>
        </w:rPr>
      </w:pPr>
      <w:r w:rsidRPr="007F5BA6">
        <w:rPr>
          <w:lang w:val="en-GB"/>
        </w:rPr>
        <w:t xml:space="preserve"> </w:t>
      </w:r>
      <w:r>
        <w:rPr>
          <w:lang w:val="en-GB"/>
        </w:rPr>
        <w:t xml:space="preserve">to </w:t>
      </w:r>
      <w:r w:rsidRPr="007F5BA6">
        <w:rPr>
          <w:lang w:val="en-GB"/>
        </w:rPr>
        <w:t>invite the Plenary to consider the Recommendations on cross-border coordination, and whether it wishes to maintain the publi</w:t>
      </w:r>
      <w:r w:rsidR="00535A49">
        <w:rPr>
          <w:lang w:val="en-GB"/>
        </w:rPr>
        <w:t>cation of implementation status</w:t>
      </w:r>
    </w:p>
    <w:p w:rsidR="007F5BA6" w:rsidRPr="00B30D49" w:rsidRDefault="00B30D49" w:rsidP="007F5BA6">
      <w:pPr>
        <w:numPr>
          <w:ilvl w:val="0"/>
          <w:numId w:val="18"/>
        </w:numPr>
        <w:rPr>
          <w:lang w:val="en-GB"/>
        </w:rPr>
      </w:pPr>
      <w:r w:rsidRPr="00B30D49">
        <w:rPr>
          <w:lang w:val="en-GB"/>
        </w:rPr>
        <w:t xml:space="preserve"> </w:t>
      </w:r>
      <w:r>
        <w:rPr>
          <w:lang w:val="en-GB"/>
        </w:rPr>
        <w:t xml:space="preserve">to </w:t>
      </w:r>
      <w:r w:rsidRPr="007F5BA6">
        <w:rPr>
          <w:lang w:val="en-GB"/>
        </w:rPr>
        <w:t>note that the Office is now applying its new process for updating the published Implementation Status of Decisions, but that the first significant noticeable change will be the Office’s summer update process, which will be an invitation to check existing data and notify changes rather than ,as before, to complete a ‘bottom up’ review;</w:t>
      </w:r>
      <w:r w:rsidR="007F5BA6" w:rsidRPr="007F5BA6">
        <w:rPr>
          <w:lang w:val="en-GB"/>
        </w:rPr>
        <w:t xml:space="preserve">.     </w:t>
      </w:r>
    </w:p>
    <w:p w:rsidR="007F5BA6" w:rsidRPr="007F5BA6" w:rsidRDefault="007F5BA6" w:rsidP="007F5BA6">
      <w:pPr>
        <w:rPr>
          <w:lang w:val="en-GB"/>
        </w:rPr>
      </w:pPr>
      <w:r w:rsidRPr="007F5BA6">
        <w:rPr>
          <w:lang w:val="en-GB"/>
        </w:rPr>
        <w:t>The basic information gathering under (</w:t>
      </w:r>
      <w:r w:rsidR="00B30D49">
        <w:rPr>
          <w:lang w:val="en-GB"/>
        </w:rPr>
        <w:t>d</w:t>
      </w:r>
      <w:r w:rsidRPr="007F5BA6">
        <w:rPr>
          <w:lang w:val="en-GB"/>
        </w:rPr>
        <w:t>) is based on EFIS data and questionnaire returns (whether or not designed specifically for updating the information table).</w:t>
      </w:r>
    </w:p>
    <w:p w:rsidR="007F5BA6" w:rsidRPr="007F5BA6" w:rsidRDefault="007F5BA6" w:rsidP="007F5BA6">
      <w:pPr>
        <w:rPr>
          <w:lang w:val="en-GB"/>
        </w:rPr>
      </w:pPr>
    </w:p>
    <w:p w:rsidR="007F5BA6" w:rsidRPr="00535A49" w:rsidRDefault="007F5BA6" w:rsidP="00535A49">
      <w:pPr>
        <w:numPr>
          <w:ilvl w:val="0"/>
          <w:numId w:val="19"/>
        </w:numPr>
        <w:rPr>
          <w:b/>
          <w:lang w:val="en-GB"/>
        </w:rPr>
      </w:pPr>
      <w:r w:rsidRPr="007F5BA6">
        <w:rPr>
          <w:b/>
          <w:lang w:val="en-GB"/>
        </w:rPr>
        <w:t xml:space="preserve">Recommendations for which implementation status is </w:t>
      </w:r>
      <w:r w:rsidR="00B30D49">
        <w:rPr>
          <w:b/>
          <w:lang w:val="en-GB"/>
        </w:rPr>
        <w:t xml:space="preserve">retained </w:t>
      </w:r>
      <w:r w:rsidRPr="00535A49">
        <w:rPr>
          <w:b/>
          <w:lang w:val="en-GB"/>
        </w:rPr>
        <w:t>in the Deliverables Library (</w:t>
      </w:r>
      <w:proofErr w:type="spellStart"/>
      <w:r w:rsidRPr="00535A49">
        <w:rPr>
          <w:b/>
          <w:lang w:val="en-GB"/>
        </w:rPr>
        <w:t>DocDB</w:t>
      </w:r>
      <w:proofErr w:type="spellEnd"/>
      <w:r w:rsidRPr="00535A49">
        <w:rPr>
          <w:b/>
          <w:lang w:val="en-GB"/>
        </w:rPr>
        <w:t>)</w:t>
      </w:r>
    </w:p>
    <w:p w:rsidR="00B30D49" w:rsidRDefault="00B30D49" w:rsidP="007F5BA6">
      <w:pPr>
        <w:rPr>
          <w:lang w:val="en-GB"/>
        </w:rPr>
      </w:pPr>
      <w:r w:rsidRPr="00B30D49">
        <w:rPr>
          <w:lang w:val="en-GB"/>
        </w:rPr>
        <w:t>The list is rather longer than may have been anticipated the last ECC meeting, which indicates that a useful discussion has been promoted by the general proposal to remove implementation information.</w:t>
      </w:r>
    </w:p>
    <w:p w:rsidR="007F5BA6" w:rsidRPr="007F5BA6" w:rsidRDefault="007F5BA6" w:rsidP="007F5BA6">
      <w:pPr>
        <w:rPr>
          <w:lang w:val="en-GB"/>
        </w:rPr>
      </w:pPr>
      <w:r w:rsidRPr="007F5BA6">
        <w:rPr>
          <w:lang w:val="en-GB"/>
        </w:rPr>
        <w:t xml:space="preserve">The implementation status </w:t>
      </w:r>
      <w:r w:rsidR="00F4216F">
        <w:rPr>
          <w:lang w:val="en-GB"/>
        </w:rPr>
        <w:t>of maritime and amateur radio R</w:t>
      </w:r>
      <w:r w:rsidRPr="007F5BA6">
        <w:rPr>
          <w:lang w:val="en-GB"/>
        </w:rPr>
        <w:t xml:space="preserve">ecommendations are </w:t>
      </w:r>
      <w:r w:rsidR="00F4216F">
        <w:rPr>
          <w:lang w:val="en-GB"/>
        </w:rPr>
        <w:t>an important part of the R</w:t>
      </w:r>
      <w:r w:rsidRPr="007F5BA6">
        <w:rPr>
          <w:lang w:val="en-GB"/>
        </w:rPr>
        <w:t xml:space="preserve">ecommendations themselves.  The implementation </w:t>
      </w:r>
      <w:r w:rsidR="00F4216F">
        <w:rPr>
          <w:lang w:val="en-GB"/>
        </w:rPr>
        <w:t>of cross-border R</w:t>
      </w:r>
      <w:r w:rsidRPr="007F5BA6">
        <w:rPr>
          <w:lang w:val="en-GB"/>
        </w:rPr>
        <w:t xml:space="preserve">ecommendations is </w:t>
      </w:r>
      <w:r w:rsidR="00F4216F">
        <w:rPr>
          <w:lang w:val="en-GB"/>
        </w:rPr>
        <w:t xml:space="preserve">also </w:t>
      </w:r>
      <w:r w:rsidRPr="007F5BA6">
        <w:rPr>
          <w:lang w:val="en-GB"/>
        </w:rPr>
        <w:t xml:space="preserve">an important factor to consider in that process. </w:t>
      </w:r>
      <w:proofErr w:type="gramStart"/>
      <w:r w:rsidRPr="007F5BA6">
        <w:rPr>
          <w:lang w:val="en-GB"/>
        </w:rPr>
        <w:t>Again, an intrinsic relationship.</w:t>
      </w:r>
      <w:proofErr w:type="gramEnd"/>
      <w:r w:rsidRPr="007F5BA6">
        <w:rPr>
          <w:lang w:val="en-GB"/>
        </w:rPr>
        <w:t xml:space="preserve">  The extent of </w:t>
      </w:r>
      <w:r w:rsidR="00F4216F">
        <w:rPr>
          <w:lang w:val="en-GB"/>
        </w:rPr>
        <w:t>implementation of four or five R</w:t>
      </w:r>
      <w:r w:rsidRPr="007F5BA6">
        <w:rPr>
          <w:lang w:val="en-GB"/>
        </w:rPr>
        <w:t xml:space="preserve">ecommendations on spectrum </w:t>
      </w:r>
      <w:r w:rsidR="00F4216F">
        <w:rPr>
          <w:lang w:val="en-GB"/>
        </w:rPr>
        <w:t>designations</w:t>
      </w:r>
      <w:r w:rsidR="00F9470E">
        <w:rPr>
          <w:lang w:val="en-GB"/>
        </w:rPr>
        <w:t xml:space="preserve"> is an important part of those R</w:t>
      </w:r>
      <w:r w:rsidRPr="007F5BA6">
        <w:rPr>
          <w:lang w:val="en-GB"/>
        </w:rPr>
        <w:t>ecommendations’ significance, and therefore is retained.</w:t>
      </w:r>
    </w:p>
    <w:p w:rsidR="007F5BA6" w:rsidRDefault="007F5BA6" w:rsidP="007F5BA6">
      <w:pPr>
        <w:rPr>
          <w:lang w:val="en-GB"/>
        </w:rPr>
      </w:pPr>
      <w:r w:rsidRPr="007F5BA6">
        <w:rPr>
          <w:lang w:val="en-GB"/>
        </w:rPr>
        <w:t>The</w:t>
      </w:r>
      <w:r w:rsidR="00B30D49">
        <w:rPr>
          <w:lang w:val="en-GB"/>
        </w:rPr>
        <w:t xml:space="preserve">re are a large number </w:t>
      </w:r>
      <w:r w:rsidRPr="007F5BA6">
        <w:rPr>
          <w:lang w:val="en-GB"/>
        </w:rPr>
        <w:t>of retained fixed link</w:t>
      </w:r>
      <w:r w:rsidR="00F4216F">
        <w:rPr>
          <w:lang w:val="en-GB"/>
        </w:rPr>
        <w:t>s R</w:t>
      </w:r>
      <w:r w:rsidRPr="007F5BA6">
        <w:rPr>
          <w:lang w:val="en-GB"/>
        </w:rPr>
        <w:t>ecommendations – and it reflects the considered view of WG SE, at least for the short term.  In the longer term, a more efficient approach which reduces the requirements for administrations (given the need also in relation to EFIS) effort may be worthwhile, although there is no firm proposal for the time being.</w:t>
      </w:r>
    </w:p>
    <w:p w:rsidR="00EF4B75" w:rsidRPr="007F5BA6" w:rsidRDefault="00EF4B75" w:rsidP="007F5BA6">
      <w:pPr>
        <w:rPr>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462"/>
      </w:tblGrid>
      <w:tr w:rsidR="00B30D49" w:rsidRPr="00590879" w:rsidTr="008A7B0B">
        <w:trPr>
          <w:trHeight w:val="449"/>
        </w:trPr>
        <w:tc>
          <w:tcPr>
            <w:tcW w:w="2285" w:type="dxa"/>
            <w:shd w:val="clear" w:color="auto" w:fill="C2D69B"/>
          </w:tcPr>
          <w:p w:rsidR="00B30D49" w:rsidRPr="00590879" w:rsidRDefault="00B30D49" w:rsidP="008A7B0B">
            <w:pPr>
              <w:rPr>
                <w:b/>
                <w:lang w:val="en-GB"/>
              </w:rPr>
            </w:pPr>
            <w:r w:rsidRPr="00590879">
              <w:rPr>
                <w:b/>
                <w:lang w:val="en-GB"/>
              </w:rPr>
              <w:t>Rec No</w:t>
            </w:r>
          </w:p>
        </w:tc>
        <w:tc>
          <w:tcPr>
            <w:tcW w:w="7462" w:type="dxa"/>
            <w:shd w:val="clear" w:color="auto" w:fill="C2D69B"/>
          </w:tcPr>
          <w:p w:rsidR="00B30D49" w:rsidRPr="00590879" w:rsidRDefault="00B30D49" w:rsidP="008A7B0B">
            <w:pPr>
              <w:rPr>
                <w:b/>
                <w:lang w:val="en-GB"/>
              </w:rPr>
            </w:pPr>
            <w:r w:rsidRPr="00590879">
              <w:rPr>
                <w:b/>
                <w:lang w:val="en-GB"/>
              </w:rPr>
              <w:t>Title</w:t>
            </w:r>
          </w:p>
        </w:tc>
      </w:tr>
      <w:tr w:rsidR="00B30D49" w:rsidRPr="00590879" w:rsidTr="008A7B0B">
        <w:trPr>
          <w:trHeight w:val="449"/>
        </w:trPr>
        <w:tc>
          <w:tcPr>
            <w:tcW w:w="9747" w:type="dxa"/>
            <w:gridSpan w:val="2"/>
            <w:shd w:val="clear" w:color="auto" w:fill="auto"/>
          </w:tcPr>
          <w:p w:rsidR="00B30D49" w:rsidRPr="00590879" w:rsidRDefault="00B30D49" w:rsidP="008A7B0B">
            <w:pPr>
              <w:rPr>
                <w:b/>
                <w:lang w:val="en-GB"/>
              </w:rPr>
            </w:pPr>
            <w:r w:rsidRPr="00590879">
              <w:rPr>
                <w:b/>
                <w:lang w:val="en-GB"/>
              </w:rPr>
              <w:t>Maritime radio recommendations</w:t>
            </w:r>
          </w:p>
        </w:tc>
      </w:tr>
      <w:tr w:rsidR="00B30D49" w:rsidRPr="00590879" w:rsidTr="008A7B0B">
        <w:tc>
          <w:tcPr>
            <w:tcW w:w="2285" w:type="dxa"/>
            <w:shd w:val="clear" w:color="auto" w:fill="auto"/>
          </w:tcPr>
          <w:p w:rsidR="00B30D49" w:rsidRPr="00590879" w:rsidRDefault="00B30D49" w:rsidP="008A7B0B">
            <w:pPr>
              <w:rPr>
                <w:lang w:val="en-GB"/>
              </w:rPr>
            </w:pPr>
            <w:r w:rsidRPr="00590879">
              <w:rPr>
                <w:lang w:val="en-GB"/>
              </w:rPr>
              <w:t>ERC/REC 31-06</w:t>
            </w:r>
          </w:p>
        </w:tc>
        <w:tc>
          <w:tcPr>
            <w:tcW w:w="7462" w:type="dxa"/>
            <w:shd w:val="clear" w:color="auto" w:fill="auto"/>
          </w:tcPr>
          <w:p w:rsidR="00B30D49" w:rsidRPr="00590879" w:rsidRDefault="00B30D49" w:rsidP="008A7B0B">
            <w:pPr>
              <w:rPr>
                <w:lang w:val="en-GB"/>
              </w:rPr>
            </w:pPr>
            <w:r w:rsidRPr="00590879">
              <w:rPr>
                <w:lang w:val="en-GB"/>
              </w:rPr>
              <w:t>The harmonised content of certificates issued by administrations for the GOC and ROC to facilitate the mutual recognition of these certificates</w:t>
            </w:r>
          </w:p>
        </w:tc>
      </w:tr>
      <w:tr w:rsidR="00B30D49" w:rsidRPr="00590879" w:rsidTr="008A7B0B">
        <w:tc>
          <w:tcPr>
            <w:tcW w:w="2285" w:type="dxa"/>
            <w:shd w:val="clear" w:color="auto" w:fill="auto"/>
          </w:tcPr>
          <w:p w:rsidR="00B30D49" w:rsidRPr="00590879" w:rsidRDefault="00B30D49" w:rsidP="008A7B0B">
            <w:pPr>
              <w:rPr>
                <w:lang w:val="en-GB"/>
              </w:rPr>
            </w:pPr>
            <w:r w:rsidRPr="00590879">
              <w:rPr>
                <w:lang w:val="en-GB"/>
              </w:rPr>
              <w:t>ECC/REC/(10)03</w:t>
            </w:r>
          </w:p>
        </w:tc>
        <w:tc>
          <w:tcPr>
            <w:tcW w:w="7462" w:type="dxa"/>
            <w:shd w:val="clear" w:color="auto" w:fill="auto"/>
          </w:tcPr>
          <w:p w:rsidR="00B30D49" w:rsidRPr="00590879" w:rsidRDefault="00B30D49" w:rsidP="008A7B0B">
            <w:pPr>
              <w:rPr>
                <w:lang w:val="en-GB"/>
              </w:rPr>
            </w:pPr>
            <w:r w:rsidRPr="00590879">
              <w:rPr>
                <w:lang w:val="en-GB"/>
              </w:rPr>
              <w:t>Harmonised CEPT examination procedures for the Long Range Certificate (LRC) for non-</w:t>
            </w:r>
            <w:r>
              <w:rPr>
                <w:lang w:val="en-GB"/>
              </w:rPr>
              <w:t>SOLAS</w:t>
            </w:r>
            <w:r w:rsidRPr="00590879">
              <w:rPr>
                <w:lang w:val="en-GB"/>
              </w:rPr>
              <w:t xml:space="preserve"> vessels</w:t>
            </w:r>
          </w:p>
        </w:tc>
      </w:tr>
      <w:tr w:rsidR="00B30D49" w:rsidRPr="00590879" w:rsidTr="008A7B0B">
        <w:tc>
          <w:tcPr>
            <w:tcW w:w="2285" w:type="dxa"/>
            <w:shd w:val="clear" w:color="auto" w:fill="auto"/>
          </w:tcPr>
          <w:p w:rsidR="00B30D49" w:rsidRPr="00590879" w:rsidRDefault="00B30D49" w:rsidP="008A7B0B">
            <w:pPr>
              <w:rPr>
                <w:lang w:val="en-GB"/>
              </w:rPr>
            </w:pPr>
            <w:r w:rsidRPr="00590879">
              <w:rPr>
                <w:lang w:val="en-GB"/>
              </w:rPr>
              <w:t>ERC/REC/31-04</w:t>
            </w:r>
          </w:p>
        </w:tc>
        <w:tc>
          <w:tcPr>
            <w:tcW w:w="7462" w:type="dxa"/>
            <w:shd w:val="clear" w:color="auto" w:fill="auto"/>
          </w:tcPr>
          <w:p w:rsidR="00B30D49" w:rsidRPr="00590879" w:rsidRDefault="00B30D49" w:rsidP="008A7B0B">
            <w:pPr>
              <w:rPr>
                <w:lang w:val="en-GB"/>
              </w:rPr>
            </w:pPr>
            <w:r w:rsidRPr="00590879">
              <w:rPr>
                <w:lang w:val="en-GB"/>
              </w:rPr>
              <w:t>Harmonised CEPT examination procedures for the Short Range Certificate (SRC) for NON-SOLAS vessels</w:t>
            </w:r>
          </w:p>
        </w:tc>
      </w:tr>
      <w:tr w:rsidR="00B30D49" w:rsidRPr="00590879" w:rsidTr="008A7B0B">
        <w:tc>
          <w:tcPr>
            <w:tcW w:w="9747" w:type="dxa"/>
            <w:gridSpan w:val="2"/>
            <w:shd w:val="clear" w:color="auto" w:fill="auto"/>
          </w:tcPr>
          <w:p w:rsidR="00B30D49" w:rsidRPr="00590879" w:rsidRDefault="00B30D49" w:rsidP="008A7B0B">
            <w:pPr>
              <w:rPr>
                <w:b/>
                <w:lang w:val="en-GB"/>
              </w:rPr>
            </w:pPr>
            <w:r w:rsidRPr="00590879">
              <w:rPr>
                <w:b/>
                <w:lang w:val="en-GB"/>
              </w:rPr>
              <w:t>Amateur radio recommendations</w:t>
            </w:r>
          </w:p>
        </w:tc>
      </w:tr>
      <w:tr w:rsidR="00B30D49" w:rsidRPr="00DB4BE3" w:rsidTr="008A7B0B">
        <w:tc>
          <w:tcPr>
            <w:tcW w:w="2285" w:type="dxa"/>
            <w:shd w:val="clear" w:color="auto" w:fill="auto"/>
          </w:tcPr>
          <w:p w:rsidR="00B30D49" w:rsidRPr="00590879" w:rsidRDefault="00B30D49" w:rsidP="008A7B0B">
            <w:pPr>
              <w:rPr>
                <w:lang w:val="en-GB"/>
              </w:rPr>
            </w:pPr>
            <w:r w:rsidRPr="00590879">
              <w:rPr>
                <w:lang w:val="en-GB"/>
              </w:rPr>
              <w:t>ECC/REC/(05)06</w:t>
            </w:r>
          </w:p>
        </w:tc>
        <w:tc>
          <w:tcPr>
            <w:tcW w:w="7462" w:type="dxa"/>
            <w:shd w:val="clear" w:color="auto" w:fill="auto"/>
          </w:tcPr>
          <w:p w:rsidR="00B30D49" w:rsidRPr="00DB4BE3" w:rsidRDefault="00B30D49" w:rsidP="008A7B0B">
            <w:pPr>
              <w:rPr>
                <w:lang w:val="fr-FR"/>
              </w:rPr>
            </w:pPr>
            <w:r w:rsidRPr="00DB4BE3">
              <w:rPr>
                <w:lang w:val="fr-FR"/>
              </w:rPr>
              <w:t>CEPT Novice Radio Amateur Licence</w:t>
            </w:r>
          </w:p>
        </w:tc>
      </w:tr>
      <w:tr w:rsidR="00B30D49" w:rsidRPr="00590879" w:rsidTr="008A7B0B">
        <w:tc>
          <w:tcPr>
            <w:tcW w:w="2285" w:type="dxa"/>
            <w:shd w:val="clear" w:color="auto" w:fill="auto"/>
          </w:tcPr>
          <w:p w:rsidR="00B30D49" w:rsidRPr="00590879" w:rsidRDefault="00B30D49" w:rsidP="008A7B0B">
            <w:pPr>
              <w:rPr>
                <w:lang w:val="en-GB"/>
              </w:rPr>
            </w:pPr>
            <w:r w:rsidRPr="00590879">
              <w:rPr>
                <w:lang w:val="en-GB"/>
              </w:rPr>
              <w:t>T/R 61-02</w:t>
            </w:r>
          </w:p>
        </w:tc>
        <w:tc>
          <w:tcPr>
            <w:tcW w:w="7462" w:type="dxa"/>
            <w:shd w:val="clear" w:color="auto" w:fill="auto"/>
          </w:tcPr>
          <w:p w:rsidR="00B30D49" w:rsidRPr="00590879" w:rsidRDefault="00B30D49" w:rsidP="008A7B0B">
            <w:pPr>
              <w:rPr>
                <w:lang w:val="en-GB"/>
              </w:rPr>
            </w:pPr>
            <w:r w:rsidRPr="00590879">
              <w:rPr>
                <w:lang w:val="en-GB"/>
              </w:rPr>
              <w:t>Harmonised amateur radio examination certificates</w:t>
            </w:r>
          </w:p>
        </w:tc>
      </w:tr>
      <w:tr w:rsidR="00B30D49" w:rsidRPr="00590879" w:rsidTr="008A7B0B">
        <w:tc>
          <w:tcPr>
            <w:tcW w:w="2285" w:type="dxa"/>
            <w:shd w:val="clear" w:color="auto" w:fill="auto"/>
          </w:tcPr>
          <w:p w:rsidR="00B30D49" w:rsidRPr="00590879" w:rsidRDefault="00B30D49" w:rsidP="008A7B0B">
            <w:pPr>
              <w:rPr>
                <w:lang w:val="en-GB"/>
              </w:rPr>
            </w:pPr>
            <w:r w:rsidRPr="00590879">
              <w:rPr>
                <w:lang w:val="en-GB"/>
              </w:rPr>
              <w:t>T/R 61-01</w:t>
            </w:r>
          </w:p>
        </w:tc>
        <w:tc>
          <w:tcPr>
            <w:tcW w:w="7462" w:type="dxa"/>
            <w:shd w:val="clear" w:color="auto" w:fill="auto"/>
          </w:tcPr>
          <w:p w:rsidR="00B30D49" w:rsidRPr="00590879" w:rsidRDefault="00B30D49" w:rsidP="008A7B0B">
            <w:pPr>
              <w:rPr>
                <w:lang w:val="en-GB"/>
              </w:rPr>
            </w:pPr>
            <w:r w:rsidRPr="00590879">
              <w:rPr>
                <w:lang w:val="en-GB"/>
              </w:rPr>
              <w:t>CEPT Radio Amateur Licence</w:t>
            </w:r>
          </w:p>
        </w:tc>
      </w:tr>
      <w:tr w:rsidR="00B30D49" w:rsidRPr="00590879" w:rsidTr="008A7B0B">
        <w:tc>
          <w:tcPr>
            <w:tcW w:w="9747" w:type="dxa"/>
            <w:gridSpan w:val="2"/>
            <w:shd w:val="clear" w:color="auto" w:fill="auto"/>
          </w:tcPr>
          <w:p w:rsidR="00B30D49" w:rsidRPr="00590879" w:rsidRDefault="00B30D49" w:rsidP="008A7B0B">
            <w:pPr>
              <w:rPr>
                <w:b/>
                <w:lang w:val="en-GB"/>
              </w:rPr>
            </w:pPr>
            <w:r w:rsidRPr="00590879">
              <w:rPr>
                <w:b/>
                <w:lang w:val="en-GB"/>
              </w:rPr>
              <w:t>Cross border agreement recommendations</w:t>
            </w:r>
          </w:p>
        </w:tc>
      </w:tr>
      <w:tr w:rsidR="00B30D49" w:rsidRPr="00590879" w:rsidTr="008A7B0B">
        <w:tc>
          <w:tcPr>
            <w:tcW w:w="2285" w:type="dxa"/>
            <w:shd w:val="clear" w:color="auto" w:fill="auto"/>
          </w:tcPr>
          <w:p w:rsidR="00B30D49" w:rsidRPr="00590879" w:rsidRDefault="00B30D49" w:rsidP="008A7B0B">
            <w:pPr>
              <w:rPr>
                <w:lang w:val="en-GB"/>
              </w:rPr>
            </w:pPr>
            <w:r w:rsidRPr="00590879">
              <w:rPr>
                <w:lang w:val="en-GB"/>
              </w:rPr>
              <w:t>ECC/REC/(11)05</w:t>
            </w:r>
          </w:p>
        </w:tc>
        <w:tc>
          <w:tcPr>
            <w:tcW w:w="7462" w:type="dxa"/>
            <w:shd w:val="clear" w:color="auto" w:fill="auto"/>
          </w:tcPr>
          <w:p w:rsidR="00B30D49" w:rsidRPr="00590879" w:rsidRDefault="00B30D49" w:rsidP="008A7B0B">
            <w:pPr>
              <w:rPr>
                <w:lang w:val="en-GB"/>
              </w:rPr>
            </w:pPr>
            <w:r w:rsidRPr="00590879">
              <w:rPr>
                <w:lang w:val="en-GB"/>
              </w:rPr>
              <w:t xml:space="preserve">Frequency planning and frequency coordination for terrestrial systems for Mobile Fixed Communications Networks in the frequency band 2500-2690 </w:t>
            </w:r>
            <w:r w:rsidRPr="00590879">
              <w:rPr>
                <w:lang w:val="en-GB"/>
              </w:rPr>
              <w:lastRenderedPageBreak/>
              <w:t>MHz</w:t>
            </w:r>
          </w:p>
        </w:tc>
      </w:tr>
      <w:tr w:rsidR="00B30D49" w:rsidRPr="00590879" w:rsidTr="008A7B0B">
        <w:tc>
          <w:tcPr>
            <w:tcW w:w="2285" w:type="dxa"/>
            <w:shd w:val="clear" w:color="auto" w:fill="auto"/>
          </w:tcPr>
          <w:p w:rsidR="00B30D49" w:rsidRPr="00590879" w:rsidRDefault="00B30D49" w:rsidP="008A7B0B">
            <w:pPr>
              <w:rPr>
                <w:lang w:val="en-GB"/>
              </w:rPr>
            </w:pPr>
            <w:r w:rsidRPr="00590879">
              <w:rPr>
                <w:lang w:val="en-GB"/>
              </w:rPr>
              <w:lastRenderedPageBreak/>
              <w:t>ECC/REC/(11)04</w:t>
            </w:r>
          </w:p>
        </w:tc>
        <w:tc>
          <w:tcPr>
            <w:tcW w:w="7462" w:type="dxa"/>
            <w:shd w:val="clear" w:color="auto" w:fill="auto"/>
          </w:tcPr>
          <w:p w:rsidR="00B30D49" w:rsidRPr="00590879" w:rsidRDefault="00B30D49" w:rsidP="008A7B0B">
            <w:pPr>
              <w:rPr>
                <w:lang w:val="en-GB"/>
              </w:rPr>
            </w:pPr>
            <w:r w:rsidRPr="00590879">
              <w:rPr>
                <w:lang w:val="en-GB"/>
              </w:rPr>
              <w:t>Frequency planning and frequency coordination for terrestrial systems for Mobile Fixed Communications Networks in the frequency band 790-862 MHz</w:t>
            </w:r>
          </w:p>
        </w:tc>
      </w:tr>
      <w:tr w:rsidR="00B30D49" w:rsidRPr="00590879" w:rsidTr="008A7B0B">
        <w:tc>
          <w:tcPr>
            <w:tcW w:w="2285" w:type="dxa"/>
            <w:shd w:val="clear" w:color="auto" w:fill="auto"/>
          </w:tcPr>
          <w:p w:rsidR="00B30D49" w:rsidRPr="00590879" w:rsidRDefault="00B30D49" w:rsidP="008A7B0B">
            <w:pPr>
              <w:rPr>
                <w:lang w:val="en-GB"/>
              </w:rPr>
            </w:pPr>
            <w:r w:rsidRPr="00590879">
              <w:rPr>
                <w:lang w:val="en-GB"/>
              </w:rPr>
              <w:t xml:space="preserve">ECC/REC/(08)02 </w:t>
            </w:r>
          </w:p>
          <w:p w:rsidR="00B30D49" w:rsidRPr="00590879" w:rsidRDefault="00B30D49" w:rsidP="008A7B0B">
            <w:pPr>
              <w:rPr>
                <w:lang w:val="en-GB"/>
              </w:rPr>
            </w:pPr>
          </w:p>
          <w:p w:rsidR="00B30D49" w:rsidRPr="00590879" w:rsidRDefault="00B30D49" w:rsidP="008A7B0B">
            <w:pPr>
              <w:rPr>
                <w:lang w:val="en-GB"/>
              </w:rPr>
            </w:pPr>
          </w:p>
        </w:tc>
        <w:tc>
          <w:tcPr>
            <w:tcW w:w="7462" w:type="dxa"/>
            <w:shd w:val="clear" w:color="auto" w:fill="auto"/>
          </w:tcPr>
          <w:p w:rsidR="00B30D49" w:rsidRPr="00590879" w:rsidRDefault="00B30D49" w:rsidP="008A7B0B">
            <w:pPr>
              <w:rPr>
                <w:lang w:val="en-GB"/>
              </w:rPr>
            </w:pPr>
            <w:r w:rsidRPr="00590879">
              <w:rPr>
                <w:lang w:val="en-GB"/>
              </w:rPr>
              <w:t xml:space="preserve">Frequency planning and frequency coordination for GSM / UMTS / LTE / </w:t>
            </w:r>
            <w:proofErr w:type="spellStart"/>
            <w:r w:rsidRPr="00590879">
              <w:rPr>
                <w:lang w:val="en-GB"/>
              </w:rPr>
              <w:t>WiMAX</w:t>
            </w:r>
            <w:proofErr w:type="spellEnd"/>
            <w:r w:rsidRPr="00590879">
              <w:rPr>
                <w:lang w:val="en-GB"/>
              </w:rPr>
              <w:t xml:space="preserve"> Land Mobile systems operating within the 900 and 1800 MHz bands</w:t>
            </w:r>
          </w:p>
        </w:tc>
      </w:tr>
      <w:tr w:rsidR="00B30D49" w:rsidRPr="00590879" w:rsidTr="008A7B0B">
        <w:tc>
          <w:tcPr>
            <w:tcW w:w="2285" w:type="dxa"/>
            <w:shd w:val="clear" w:color="auto" w:fill="auto"/>
          </w:tcPr>
          <w:p w:rsidR="00B30D49" w:rsidRPr="00590879" w:rsidRDefault="00B30D49" w:rsidP="008A7B0B">
            <w:pPr>
              <w:rPr>
                <w:lang w:val="en-GB"/>
              </w:rPr>
            </w:pPr>
            <w:r w:rsidRPr="00590879">
              <w:rPr>
                <w:lang w:val="en-GB"/>
              </w:rPr>
              <w:t xml:space="preserve">ECC/REC/(05)08 </w:t>
            </w:r>
          </w:p>
        </w:tc>
        <w:tc>
          <w:tcPr>
            <w:tcW w:w="7462" w:type="dxa"/>
            <w:shd w:val="clear" w:color="auto" w:fill="auto"/>
          </w:tcPr>
          <w:p w:rsidR="00B30D49" w:rsidRPr="00590879" w:rsidRDefault="00B30D49" w:rsidP="008A7B0B">
            <w:pPr>
              <w:rPr>
                <w:lang w:val="en-GB"/>
              </w:rPr>
            </w:pPr>
            <w:r w:rsidRPr="00590879">
              <w:rPr>
                <w:lang w:val="en-GB"/>
              </w:rPr>
              <w:t>GSM 900, GSM 1800, E-GSM and GSM-R Land Mobile Systems</w:t>
            </w:r>
          </w:p>
        </w:tc>
      </w:tr>
      <w:tr w:rsidR="00B30D49" w:rsidRPr="00590879" w:rsidTr="008A7B0B">
        <w:tc>
          <w:tcPr>
            <w:tcW w:w="2285" w:type="dxa"/>
            <w:shd w:val="clear" w:color="auto" w:fill="auto"/>
          </w:tcPr>
          <w:p w:rsidR="00B30D49" w:rsidRPr="00590879" w:rsidRDefault="00B30D49" w:rsidP="008A7B0B">
            <w:pPr>
              <w:rPr>
                <w:lang w:val="en-GB"/>
              </w:rPr>
            </w:pPr>
            <w:r w:rsidRPr="00590879">
              <w:rPr>
                <w:lang w:val="en-GB"/>
              </w:rPr>
              <w:t xml:space="preserve">ERC/REC 01-09 </w:t>
            </w:r>
          </w:p>
        </w:tc>
        <w:tc>
          <w:tcPr>
            <w:tcW w:w="7462" w:type="dxa"/>
            <w:shd w:val="clear" w:color="auto" w:fill="auto"/>
          </w:tcPr>
          <w:p w:rsidR="00B30D49" w:rsidRPr="00590879" w:rsidRDefault="00B30D49" w:rsidP="008A7B0B">
            <w:pPr>
              <w:rPr>
                <w:lang w:val="en-GB"/>
              </w:rPr>
            </w:pPr>
            <w:r w:rsidRPr="00590879">
              <w:rPr>
                <w:lang w:val="en-GB"/>
              </w:rPr>
              <w:t>Model cross border agreement on radio monitoring</w:t>
            </w:r>
          </w:p>
        </w:tc>
      </w:tr>
      <w:tr w:rsidR="00B30D49" w:rsidRPr="00590879" w:rsidTr="008A7B0B">
        <w:tc>
          <w:tcPr>
            <w:tcW w:w="9747" w:type="dxa"/>
            <w:gridSpan w:val="2"/>
            <w:shd w:val="clear" w:color="auto" w:fill="auto"/>
          </w:tcPr>
          <w:p w:rsidR="00B30D49" w:rsidRPr="001D2BF4" w:rsidRDefault="00B30D49" w:rsidP="008A7B0B">
            <w:pPr>
              <w:rPr>
                <w:b/>
                <w:lang w:val="en-GB"/>
              </w:rPr>
            </w:pPr>
            <w:r w:rsidRPr="001D2BF4">
              <w:rPr>
                <w:b/>
                <w:lang w:val="en-GB"/>
              </w:rPr>
              <w:t>Recommendations used for identifying spectrum (character similar to FM Decisions)</w:t>
            </w:r>
          </w:p>
        </w:tc>
      </w:tr>
      <w:tr w:rsidR="00B30D49" w:rsidRPr="00590879" w:rsidTr="008A7B0B">
        <w:tc>
          <w:tcPr>
            <w:tcW w:w="2285" w:type="dxa"/>
            <w:shd w:val="clear" w:color="auto" w:fill="auto"/>
          </w:tcPr>
          <w:p w:rsidR="00B30D49" w:rsidRPr="00590879" w:rsidRDefault="00B30D49" w:rsidP="008A7B0B">
            <w:pPr>
              <w:rPr>
                <w:lang w:val="en-GB"/>
              </w:rPr>
            </w:pPr>
            <w:r w:rsidRPr="001D2BF4">
              <w:rPr>
                <w:lang w:val="en-GB"/>
              </w:rPr>
              <w:t>ECC/REC/(06)04</w:t>
            </w:r>
          </w:p>
        </w:tc>
        <w:tc>
          <w:tcPr>
            <w:tcW w:w="7462" w:type="dxa"/>
            <w:shd w:val="clear" w:color="auto" w:fill="auto"/>
          </w:tcPr>
          <w:p w:rsidR="00B30D49" w:rsidRPr="00590879" w:rsidRDefault="00B30D49" w:rsidP="008A7B0B">
            <w:pPr>
              <w:rPr>
                <w:lang w:val="en-GB"/>
              </w:rPr>
            </w:pPr>
            <w:r w:rsidRPr="001D2BF4">
              <w:rPr>
                <w:lang w:val="en-GB"/>
              </w:rPr>
              <w:t>Use of the band 5 725–5 875 MHz for Broadband Fixed Wireless Access (BFWA)</w:t>
            </w:r>
          </w:p>
        </w:tc>
      </w:tr>
      <w:tr w:rsidR="006C4D88" w:rsidRPr="00590879" w:rsidTr="008A7B0B">
        <w:tc>
          <w:tcPr>
            <w:tcW w:w="2285" w:type="dxa"/>
            <w:shd w:val="clear" w:color="auto" w:fill="auto"/>
          </w:tcPr>
          <w:p w:rsidR="006C4D88" w:rsidRPr="001D2BF4" w:rsidRDefault="006C4D88" w:rsidP="008A7B0B">
            <w:pPr>
              <w:rPr>
                <w:lang w:val="en-GB"/>
              </w:rPr>
            </w:pPr>
            <w:r>
              <w:rPr>
                <w:lang w:val="en-GB"/>
              </w:rPr>
              <w:t>ECC/REC/(08)01</w:t>
            </w:r>
          </w:p>
        </w:tc>
        <w:tc>
          <w:tcPr>
            <w:tcW w:w="7462" w:type="dxa"/>
            <w:shd w:val="clear" w:color="auto" w:fill="auto"/>
          </w:tcPr>
          <w:p w:rsidR="006C4D88" w:rsidRPr="001D2BF4" w:rsidRDefault="00D814D7" w:rsidP="008A7B0B">
            <w:pPr>
              <w:rPr>
                <w:lang w:val="en-GB"/>
              </w:rPr>
            </w:pPr>
            <w:r>
              <w:rPr>
                <w:lang w:val="en-GB"/>
              </w:rPr>
              <w:t>Use of the band 5855-5875 MHz for Intelligent Transport Systems</w:t>
            </w:r>
          </w:p>
        </w:tc>
      </w:tr>
      <w:tr w:rsidR="00B30D49" w:rsidRPr="00590879" w:rsidTr="008A7B0B">
        <w:tc>
          <w:tcPr>
            <w:tcW w:w="2285" w:type="dxa"/>
            <w:shd w:val="clear" w:color="auto" w:fill="auto"/>
          </w:tcPr>
          <w:p w:rsidR="00B30D49" w:rsidRPr="00590879" w:rsidRDefault="00B30D49" w:rsidP="008A7B0B">
            <w:pPr>
              <w:rPr>
                <w:lang w:val="en-GB"/>
              </w:rPr>
            </w:pPr>
            <w:r w:rsidRPr="001D2BF4">
              <w:rPr>
                <w:lang w:val="en-GB"/>
              </w:rPr>
              <w:t>ECC/REC/(08)04</w:t>
            </w:r>
          </w:p>
        </w:tc>
        <w:tc>
          <w:tcPr>
            <w:tcW w:w="7462" w:type="dxa"/>
            <w:shd w:val="clear" w:color="auto" w:fill="auto"/>
          </w:tcPr>
          <w:p w:rsidR="00B30D49" w:rsidRPr="00590879" w:rsidRDefault="00B30D49" w:rsidP="008A7B0B">
            <w:pPr>
              <w:rPr>
                <w:lang w:val="en-GB"/>
              </w:rPr>
            </w:pPr>
            <w:r w:rsidRPr="001D2BF4">
              <w:rPr>
                <w:lang w:val="en-GB"/>
              </w:rPr>
              <w:t>The identification of frequency bands for the implementation of Broad Band Disaster Relief (BBDR) radio applications in the 5 GHz frequency range</w:t>
            </w:r>
          </w:p>
        </w:tc>
      </w:tr>
      <w:tr w:rsidR="00B30D49" w:rsidRPr="00590879" w:rsidTr="008A7B0B">
        <w:tc>
          <w:tcPr>
            <w:tcW w:w="2285" w:type="dxa"/>
            <w:shd w:val="clear" w:color="auto" w:fill="auto"/>
          </w:tcPr>
          <w:p w:rsidR="00B30D49" w:rsidRPr="001D2BF4" w:rsidRDefault="00B30D49" w:rsidP="008A7B0B">
            <w:pPr>
              <w:rPr>
                <w:lang w:val="en-GB"/>
              </w:rPr>
            </w:pPr>
            <w:r w:rsidRPr="001D2BF4">
              <w:rPr>
                <w:lang w:val="en-GB"/>
              </w:rPr>
              <w:t>ECC/REC/(11)09</w:t>
            </w:r>
          </w:p>
          <w:p w:rsidR="00B30D49" w:rsidRPr="00590879" w:rsidRDefault="00B30D49" w:rsidP="008A7B0B">
            <w:pPr>
              <w:rPr>
                <w:lang w:val="en-GB"/>
              </w:rPr>
            </w:pPr>
            <w:r w:rsidRPr="001D2BF4">
              <w:rPr>
                <w:lang w:val="en-GB"/>
              </w:rPr>
              <w:t>WG FM</w:t>
            </w:r>
          </w:p>
        </w:tc>
        <w:tc>
          <w:tcPr>
            <w:tcW w:w="7462" w:type="dxa"/>
            <w:shd w:val="clear" w:color="auto" w:fill="auto"/>
          </w:tcPr>
          <w:p w:rsidR="00B30D49" w:rsidRPr="00590879" w:rsidRDefault="00B30D49" w:rsidP="008A7B0B">
            <w:pPr>
              <w:rPr>
                <w:lang w:val="en-GB"/>
              </w:rPr>
            </w:pPr>
            <w:r w:rsidRPr="001D2BF4">
              <w:rPr>
                <w:lang w:val="en-GB"/>
              </w:rPr>
              <w:t>UWB Location Tracking Systems Type 2 (LT2)</w:t>
            </w:r>
          </w:p>
        </w:tc>
      </w:tr>
      <w:tr w:rsidR="00B30D49" w:rsidRPr="00590879" w:rsidTr="008A7B0B">
        <w:tc>
          <w:tcPr>
            <w:tcW w:w="2285" w:type="dxa"/>
            <w:shd w:val="clear" w:color="auto" w:fill="auto"/>
          </w:tcPr>
          <w:p w:rsidR="00B30D49" w:rsidRPr="001D2BF4" w:rsidRDefault="00B30D49" w:rsidP="008A7B0B">
            <w:pPr>
              <w:rPr>
                <w:lang w:val="en-GB"/>
              </w:rPr>
            </w:pPr>
            <w:r w:rsidRPr="001D2BF4">
              <w:rPr>
                <w:lang w:val="en-GB"/>
              </w:rPr>
              <w:t>ECC/REC/(11)10</w:t>
            </w:r>
          </w:p>
          <w:p w:rsidR="00B30D49" w:rsidRPr="00590879" w:rsidRDefault="00B30D49" w:rsidP="008A7B0B">
            <w:pPr>
              <w:rPr>
                <w:lang w:val="en-GB"/>
              </w:rPr>
            </w:pPr>
            <w:r w:rsidRPr="001D2BF4">
              <w:rPr>
                <w:lang w:val="en-GB"/>
              </w:rPr>
              <w:t>WG FM</w:t>
            </w:r>
          </w:p>
        </w:tc>
        <w:tc>
          <w:tcPr>
            <w:tcW w:w="7462" w:type="dxa"/>
            <w:shd w:val="clear" w:color="auto" w:fill="auto"/>
          </w:tcPr>
          <w:p w:rsidR="00B30D49" w:rsidRPr="00590879" w:rsidRDefault="00B30D49" w:rsidP="008A7B0B">
            <w:pPr>
              <w:rPr>
                <w:lang w:val="en-GB"/>
              </w:rPr>
            </w:pPr>
            <w:r w:rsidRPr="001D2BF4">
              <w:rPr>
                <w:lang w:val="en-GB"/>
              </w:rPr>
              <w:t>Location Tracking Application for emergency and disaster situations</w:t>
            </w:r>
          </w:p>
        </w:tc>
      </w:tr>
      <w:tr w:rsidR="00B30D49" w:rsidRPr="00590879" w:rsidTr="008A7B0B">
        <w:tc>
          <w:tcPr>
            <w:tcW w:w="2285" w:type="dxa"/>
            <w:shd w:val="clear" w:color="auto" w:fill="auto"/>
          </w:tcPr>
          <w:p w:rsidR="00B30D49" w:rsidRPr="00590879" w:rsidRDefault="00B30D49" w:rsidP="008A7B0B">
            <w:pPr>
              <w:rPr>
                <w:lang w:val="en-GB"/>
              </w:rPr>
            </w:pPr>
            <w:r w:rsidRPr="001D2BF4">
              <w:rPr>
                <w:lang w:val="en-GB"/>
              </w:rPr>
              <w:t>ECC/REC/(11)08</w:t>
            </w:r>
          </w:p>
        </w:tc>
        <w:tc>
          <w:tcPr>
            <w:tcW w:w="7462" w:type="dxa"/>
            <w:shd w:val="clear" w:color="auto" w:fill="auto"/>
          </w:tcPr>
          <w:p w:rsidR="00B30D49" w:rsidRDefault="00B30D49" w:rsidP="008A7B0B">
            <w:pPr>
              <w:rPr>
                <w:lang w:val="en-GB"/>
              </w:rPr>
            </w:pPr>
            <w:r w:rsidRPr="001D2BF4">
              <w:rPr>
                <w:lang w:val="en-GB"/>
              </w:rPr>
              <w:t xml:space="preserve">Framework for authorization regime of indoor Global Navigation Satellite System (GNSS) </w:t>
            </w:r>
            <w:proofErr w:type="spellStart"/>
            <w:r w:rsidRPr="001D2BF4">
              <w:rPr>
                <w:lang w:val="en-GB"/>
              </w:rPr>
              <w:t>Pseudolites</w:t>
            </w:r>
            <w:proofErr w:type="spellEnd"/>
            <w:r w:rsidRPr="001D2BF4">
              <w:rPr>
                <w:lang w:val="en-GB"/>
              </w:rPr>
              <w:t xml:space="preserve"> in the band 1559-1610 MHz</w:t>
            </w:r>
          </w:p>
          <w:p w:rsidR="00B30D49" w:rsidRPr="00590879" w:rsidRDefault="00B30D49" w:rsidP="008A7B0B">
            <w:pPr>
              <w:rPr>
                <w:lang w:val="en-GB"/>
              </w:rPr>
            </w:pPr>
            <w:r>
              <w:rPr>
                <w:lang w:val="en-GB"/>
              </w:rPr>
              <w:t>(pending confirmation with WG FM44)</w:t>
            </w:r>
          </w:p>
        </w:tc>
      </w:tr>
      <w:tr w:rsidR="00B30D49" w:rsidRPr="00590879" w:rsidTr="008A7B0B">
        <w:tc>
          <w:tcPr>
            <w:tcW w:w="9747" w:type="dxa"/>
            <w:gridSpan w:val="2"/>
            <w:shd w:val="clear" w:color="auto" w:fill="auto"/>
          </w:tcPr>
          <w:p w:rsidR="00B30D49" w:rsidRPr="001D2BF4" w:rsidRDefault="00B30D49" w:rsidP="008A7B0B">
            <w:pPr>
              <w:rPr>
                <w:b/>
                <w:lang w:val="en-GB"/>
              </w:rPr>
            </w:pPr>
            <w:r w:rsidRPr="001D2BF4">
              <w:rPr>
                <w:b/>
                <w:lang w:val="en-GB"/>
              </w:rPr>
              <w:t>Fixed service recommendations</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fr-FR"/>
              </w:rPr>
            </w:pPr>
            <w:r>
              <w:rPr>
                <w:lang w:val="fr-FR"/>
              </w:rPr>
              <w:t>T/R 13-01</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Preferred channel arrangements for fixed service systems operating in the frequency range 1-2.3 GHz</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rStyle w:val="apple-style-span"/>
              </w:rPr>
            </w:pPr>
            <w:r>
              <w:rPr>
                <w:rStyle w:val="apple-style-span"/>
                <w:lang w:val="en-GB"/>
              </w:rPr>
              <w:t>ERC/REC 14-03</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Harmonised radio frequency channel arrangements for low and medium capacity systems in the band 3400 MHz to 3600 MHz</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rStyle w:val="apple-style-span"/>
              </w:rPr>
            </w:pPr>
            <w:r>
              <w:rPr>
                <w:rStyle w:val="apple-style-span"/>
                <w:lang w:val="en-GB"/>
              </w:rPr>
              <w:t>ERC/REC 12-08</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Harmonised radio frequency channel arrangements and block allocations for low, medium and high capacity systems in the band 3600 MHz to 4200 MHz</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en-GB"/>
              </w:rPr>
            </w:pPr>
            <w:r>
              <w:rPr>
                <w:lang w:val="en-GB"/>
              </w:rPr>
              <w:t>ECC/REC/(06)04</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Use of the band 5725-5875 MHz for Broadband Fixed Wireless Access (BFWA)</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en-GB"/>
              </w:rPr>
            </w:pPr>
            <w:r>
              <w:rPr>
                <w:lang w:val="en-GB"/>
              </w:rPr>
              <w:t>ERC/REC 14-01</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Radio-frequency channel arrangements for high capacity analogue and digital radio-relay systems operating in the band 5925 MHz - 6425 MHz</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en-GB"/>
              </w:rPr>
            </w:pPr>
            <w:r>
              <w:rPr>
                <w:lang w:val="en-GB"/>
              </w:rPr>
              <w:t>ERC/REC 14-02</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Radio-frequency channel arrangements for high, medium and low capacity digital Fixed Service systems operating in the band 6425 - 7125 MHz</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en-GB"/>
              </w:rPr>
            </w:pPr>
            <w:r>
              <w:rPr>
                <w:lang w:val="en-GB"/>
              </w:rPr>
              <w:t xml:space="preserve">ECC/REC/(02)06 </w:t>
            </w:r>
          </w:p>
        </w:tc>
        <w:tc>
          <w:tcPr>
            <w:tcW w:w="7462" w:type="dxa"/>
            <w:tcBorders>
              <w:top w:val="single" w:sz="4" w:space="0" w:color="auto"/>
              <w:left w:val="single" w:sz="4" w:space="0" w:color="auto"/>
              <w:bottom w:val="single" w:sz="4" w:space="0" w:color="auto"/>
              <w:right w:val="single" w:sz="4" w:space="0" w:color="auto"/>
            </w:tcBorders>
          </w:tcPr>
          <w:p w:rsidR="00B30D49" w:rsidRDefault="00B30D49" w:rsidP="008A7B0B">
            <w:pPr>
              <w:rPr>
                <w:lang w:val="en-GB"/>
              </w:rPr>
            </w:pPr>
            <w:r>
              <w:rPr>
                <w:lang w:val="en-GB"/>
              </w:rPr>
              <w:t>Preferred channel arrangements for digital Fixed Service Systems operating in the frequency range 7125-8500 MHz</w:t>
            </w:r>
          </w:p>
          <w:p w:rsidR="00B30D49" w:rsidRDefault="00B30D49" w:rsidP="008A7B0B">
            <w:pPr>
              <w:rPr>
                <w:lang w:val="en-GB"/>
              </w:rPr>
            </w:pP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en-GB"/>
              </w:rPr>
            </w:pPr>
            <w:r>
              <w:rPr>
                <w:lang w:val="en-GB"/>
              </w:rPr>
              <w:t>ERC/REC 12-05</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Harmonised radio frequency channel arrangements for digital terrestrial fixed systems operating in the band 10.0 - 10.68 GHz</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en-GB"/>
              </w:rPr>
            </w:pPr>
            <w:r>
              <w:rPr>
                <w:lang w:val="en-GB"/>
              </w:rPr>
              <w:lastRenderedPageBreak/>
              <w:t>ERC/REC 12-06</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Preferred channel arrangements for fixed service systems operating in the frequency band 10.7-11.7 GHz</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en-GB"/>
              </w:rPr>
            </w:pPr>
            <w:r>
              <w:rPr>
                <w:lang w:val="en-GB"/>
              </w:rPr>
              <w:t>ERC/REC 12-02</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Harmonised radio frequency channel arrangements for analogue and digital terrestrial fixed systems operating in the band 12.75 GHz to 13.25 GHz</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en-GB"/>
              </w:rPr>
            </w:pPr>
            <w:r>
              <w:rPr>
                <w:lang w:val="en-GB"/>
              </w:rPr>
              <w:t>ERC/REC 12-07</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Harmonised radio frequency channel arrangements for digital terrestrial fixed systems operating in the band 14.5 - 14.62 GHz paired with 15.23 - 15.35 GHz</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en-GB"/>
              </w:rPr>
            </w:pPr>
            <w:r>
              <w:rPr>
                <w:lang w:val="en-GB"/>
              </w:rPr>
              <w:t>ERC/REC 12-03</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Harmonised radio frequency channel arrangements for digital terrestrial fixed systems operating in the band 17.7 GHz to 19.7 GHz</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fr-FR"/>
              </w:rPr>
            </w:pPr>
            <w:r>
              <w:rPr>
                <w:lang w:val="fr-FR"/>
              </w:rPr>
              <w:t xml:space="preserve">T/R 13-02 </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Preferred channel arrangements for fixed service systems in the frequency range 22.0-29.5 GHz</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en-GB"/>
              </w:rPr>
            </w:pPr>
            <w:r>
              <w:rPr>
                <w:lang w:val="en-GB"/>
              </w:rPr>
              <w:t xml:space="preserve">ECC/REC/(11)01 </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Guidelines for assignment of frequency blocks for Fixed Wireless Systems in the bands 24.5-26.5 GHz, 27.5-29.5 GHz and 31.8-33.4 GHz.</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en-GB"/>
              </w:rPr>
            </w:pPr>
            <w:r>
              <w:rPr>
                <w:lang w:val="en-GB"/>
              </w:rPr>
              <w:t>ECC/REC/(02)02</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Preferred channel arrangements for fixed service systems (point-to-point and point-to-multipoint) operating in the frequency band 31.0-31.3 GHz</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en-GB"/>
              </w:rPr>
            </w:pPr>
            <w:r>
              <w:rPr>
                <w:lang w:val="en-GB"/>
              </w:rPr>
              <w:t>ERC/REC/(01)02</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Preferred channel arrangement for fixed service systems operating in the frequency band 31.8 - 33.4 GHz</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en-GB"/>
              </w:rPr>
            </w:pPr>
            <w:r>
              <w:rPr>
                <w:lang w:val="en-GB"/>
              </w:rPr>
              <w:t xml:space="preserve">ECC/REC/(11)01 </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Guidelines for assignment of frequency blocks for Fixed Wireless Systems in the bands 24.5-26.5 GHz, 27.5-29.5 GHz and 31.8-33.4 GHz.</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fr-FR"/>
              </w:rPr>
            </w:pPr>
            <w:r>
              <w:rPr>
                <w:lang w:val="fr-FR"/>
              </w:rPr>
              <w:t>T/R 12-01</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Preferred channel arrangements for fixed service systems operating in the frequency band 37.0-39.5 GHz</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en-GB"/>
              </w:rPr>
            </w:pPr>
            <w:r>
              <w:rPr>
                <w:lang w:val="en-GB"/>
              </w:rPr>
              <w:t>ECC/REC/(01)04</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Recommended guidelines for the accommodation and assignment of Multimedia Wireless Systems (MWS) and Point-to-Point (P-P) Fixed Wireless Systems in the frequency band 40.5 - 43.5 GHz</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fr-FR"/>
              </w:rPr>
            </w:pPr>
            <w:r>
              <w:rPr>
                <w:lang w:val="fr-FR"/>
              </w:rPr>
              <w:t>ERC/REC 12-10</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Harmonised radio frequency arrangements for digital systems operating in the band 48.5 GHz - 50.2 GHz</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fr-FR"/>
              </w:rPr>
            </w:pPr>
            <w:r>
              <w:rPr>
                <w:lang w:val="fr-FR"/>
              </w:rPr>
              <w:t>ERC/REC 12-11</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Radio frequency channel arrangement for fixed service systems operating in the band 51.4 - 52.6 GHz</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en-GB"/>
              </w:rPr>
            </w:pPr>
            <w:r>
              <w:rPr>
                <w:lang w:val="en-GB"/>
              </w:rPr>
              <w:t>ERC/REC 12-12</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Radio frequency channel arrangement for fixed service systems operating in the band 55.78 - 57.0 GHz</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en-GB"/>
              </w:rPr>
            </w:pPr>
            <w:r>
              <w:rPr>
                <w:lang w:val="en-GB"/>
              </w:rPr>
              <w:t>ECC/REC/(09)01</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Use of the 57-64 GHz frequency band for point-to-point Fixed Wireless Systems.</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en-GB"/>
              </w:rPr>
            </w:pPr>
            <w:r>
              <w:rPr>
                <w:lang w:val="en-GB"/>
              </w:rPr>
              <w:t>ECC/REC/(05)02</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Use of the 64-66 GHz frequency band for Fixed Service</w:t>
            </w:r>
          </w:p>
        </w:tc>
      </w:tr>
      <w:tr w:rsidR="00B30D49" w:rsidTr="008A7B0B">
        <w:tc>
          <w:tcPr>
            <w:tcW w:w="2285" w:type="dxa"/>
            <w:tcBorders>
              <w:top w:val="single" w:sz="4" w:space="0" w:color="auto"/>
              <w:left w:val="single" w:sz="4" w:space="0" w:color="auto"/>
              <w:bottom w:val="single" w:sz="4" w:space="0" w:color="auto"/>
              <w:right w:val="single" w:sz="4" w:space="0" w:color="auto"/>
            </w:tcBorders>
            <w:vAlign w:val="center"/>
            <w:hideMark/>
          </w:tcPr>
          <w:p w:rsidR="00B30D49" w:rsidRDefault="00B30D49" w:rsidP="008A7B0B">
            <w:pPr>
              <w:jc w:val="center"/>
              <w:rPr>
                <w:lang w:val="en-GB"/>
              </w:rPr>
            </w:pPr>
            <w:r>
              <w:rPr>
                <w:lang w:val="en-GB"/>
              </w:rPr>
              <w:t>ECC/REC/(05)07</w:t>
            </w:r>
          </w:p>
        </w:tc>
        <w:tc>
          <w:tcPr>
            <w:tcW w:w="7462" w:type="dxa"/>
            <w:tcBorders>
              <w:top w:val="single" w:sz="4" w:space="0" w:color="auto"/>
              <w:left w:val="single" w:sz="4" w:space="0" w:color="auto"/>
              <w:bottom w:val="single" w:sz="4" w:space="0" w:color="auto"/>
              <w:right w:val="single" w:sz="4" w:space="0" w:color="auto"/>
            </w:tcBorders>
            <w:hideMark/>
          </w:tcPr>
          <w:p w:rsidR="00B30D49" w:rsidRDefault="00B30D49" w:rsidP="008A7B0B">
            <w:pPr>
              <w:rPr>
                <w:lang w:val="en-GB"/>
              </w:rPr>
            </w:pPr>
            <w:r>
              <w:rPr>
                <w:lang w:val="en-GB"/>
              </w:rPr>
              <w:t>Radio frequency channel arrangements for Fixed Service Systems operating in the bands 71 - 76 GHz and 81 - 86 GHz</w:t>
            </w:r>
          </w:p>
        </w:tc>
      </w:tr>
    </w:tbl>
    <w:p w:rsidR="00B30D49" w:rsidRDefault="00B30D49" w:rsidP="00B30D49">
      <w:pPr>
        <w:rPr>
          <w:lang w:val="en-GB"/>
        </w:rPr>
      </w:pPr>
    </w:p>
    <w:p w:rsidR="00B30D49" w:rsidRDefault="00B30D49" w:rsidP="00B30D49">
      <w:pPr>
        <w:rPr>
          <w:lang w:val="en-GB"/>
        </w:rPr>
      </w:pPr>
      <w:r w:rsidRPr="00652BCD">
        <w:rPr>
          <w:u w:val="single"/>
          <w:lang w:val="en-GB"/>
        </w:rPr>
        <w:t>Note that</w:t>
      </w:r>
      <w:r>
        <w:rPr>
          <w:u w:val="single"/>
          <w:lang w:val="en-GB"/>
        </w:rPr>
        <w:t xml:space="preserve"> </w:t>
      </w:r>
      <w:r>
        <w:rPr>
          <w:lang w:val="en-GB"/>
        </w:rPr>
        <w:t>Rec 70-03 has implementation status included and maintained as an integral part of the document.</w:t>
      </w:r>
    </w:p>
    <w:p w:rsidR="00B30D49" w:rsidRDefault="00B30D49" w:rsidP="00B30D49">
      <w:pPr>
        <w:rPr>
          <w:lang w:val="en-GB"/>
        </w:rPr>
      </w:pPr>
    </w:p>
    <w:p w:rsidR="00B30D49" w:rsidRDefault="00B30D49" w:rsidP="00B30D49">
      <w:pPr>
        <w:rPr>
          <w:lang w:val="en-GB"/>
        </w:rPr>
      </w:pPr>
      <w:r>
        <w:rPr>
          <w:lang w:val="en-GB"/>
        </w:rPr>
        <w:t xml:space="preserve">The following embedded </w:t>
      </w:r>
      <w:proofErr w:type="spellStart"/>
      <w:r>
        <w:rPr>
          <w:lang w:val="en-GB"/>
        </w:rPr>
        <w:t>spreadsheet</w:t>
      </w:r>
      <w:proofErr w:type="spellEnd"/>
      <w:r>
        <w:rPr>
          <w:lang w:val="en-GB"/>
        </w:rPr>
        <w:t xml:space="preserve"> identifies the Recommendations for which implementation status will no longer be given.</w:t>
      </w:r>
    </w:p>
    <w:bookmarkStart w:id="1" w:name="_MON_1432455667"/>
    <w:bookmarkEnd w:id="1"/>
    <w:p w:rsidR="00535A49" w:rsidRPr="00DE5E01" w:rsidRDefault="00F0015E" w:rsidP="00DE5E01">
      <w:pPr>
        <w:rPr>
          <w:lang w:val="en-GB"/>
        </w:rPr>
      </w:pPr>
      <w:r>
        <w:rPr>
          <w:lang w:val="en-GB"/>
        </w:rPr>
        <w:object w:dxaOrig="2520" w:dyaOrig="1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54.75pt" o:ole="">
            <v:imagedata r:id="rId10" o:title=""/>
          </v:shape>
          <o:OLEObject Type="Embed" ProgID="Excel.Sheet.8" ShapeID="_x0000_i1025" DrawAspect="Icon" ObjectID="_1432471176" r:id="rId11"/>
        </w:object>
      </w:r>
    </w:p>
    <w:sectPr w:rsidR="00535A49" w:rsidRPr="00DE5E01" w:rsidSect="008F677F">
      <w:footerReference w:type="even" r:id="rId12"/>
      <w:footerReference w:type="default" r:id="rId13"/>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AB4" w:rsidRDefault="000C0AB4">
      <w:r>
        <w:separator/>
      </w:r>
    </w:p>
  </w:endnote>
  <w:endnote w:type="continuationSeparator" w:id="0">
    <w:p w:rsidR="000C0AB4" w:rsidRDefault="000C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269EA" w:rsidRDefault="005269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787FCF">
      <w:rPr>
        <w:rStyle w:val="Numrodepage"/>
        <w:noProof/>
        <w:sz w:val="20"/>
      </w:rPr>
      <w:t>4</w:t>
    </w:r>
    <w:r>
      <w:rPr>
        <w:rStyle w:val="Numrodepage"/>
        <w:sz w:val="20"/>
      </w:rPr>
      <w:fldChar w:fldCharType="end"/>
    </w:r>
  </w:p>
  <w:p w:rsidR="005269EA" w:rsidRDefault="005269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AB4" w:rsidRDefault="000C0AB4">
      <w:r>
        <w:separator/>
      </w:r>
    </w:p>
  </w:footnote>
  <w:footnote w:type="continuationSeparator" w:id="0">
    <w:p w:rsidR="000C0AB4" w:rsidRDefault="000C0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39566324"/>
    <w:multiLevelType w:val="hybridMultilevel"/>
    <w:tmpl w:val="6A8C1A8C"/>
    <w:lvl w:ilvl="0" w:tplc="04060001">
      <w:start w:val="1"/>
      <w:numFmt w:val="bullet"/>
      <w:lvlText w:val=""/>
      <w:lvlJc w:val="left"/>
      <w:pPr>
        <w:ind w:left="924" w:hanging="56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7">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5B4242AF"/>
    <w:multiLevelType w:val="hybridMultilevel"/>
    <w:tmpl w:val="E4063B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6F8B6C15"/>
    <w:multiLevelType w:val="hybridMultilevel"/>
    <w:tmpl w:val="F63AC896"/>
    <w:lvl w:ilvl="0" w:tplc="7CC059F8">
      <w:numFmt w:val="bullet"/>
      <w:lvlText w:val="•"/>
      <w:lvlJc w:val="left"/>
      <w:pPr>
        <w:ind w:left="924" w:hanging="564"/>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707767BF"/>
    <w:multiLevelType w:val="multilevel"/>
    <w:tmpl w:val="7060B3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3">
    <w:nsid w:val="718122C6"/>
    <w:multiLevelType w:val="hybridMultilevel"/>
    <w:tmpl w:val="4F0A8474"/>
    <w:lvl w:ilvl="0" w:tplc="F69A28C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7D613748"/>
    <w:multiLevelType w:val="hybridMultilevel"/>
    <w:tmpl w:val="12D86F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2"/>
  </w:num>
  <w:num w:numId="4">
    <w:abstractNumId w:val="12"/>
  </w:num>
  <w:num w:numId="5">
    <w:abstractNumId w:val="12"/>
  </w:num>
  <w:num w:numId="6">
    <w:abstractNumId w:val="10"/>
  </w:num>
  <w:num w:numId="7">
    <w:abstractNumId w:val="12"/>
  </w:num>
  <w:num w:numId="8">
    <w:abstractNumId w:val="12"/>
  </w:num>
  <w:num w:numId="9">
    <w:abstractNumId w:val="2"/>
  </w:num>
  <w:num w:numId="10">
    <w:abstractNumId w:val="6"/>
  </w:num>
  <w:num w:numId="11">
    <w:abstractNumId w:val="4"/>
  </w:num>
  <w:num w:numId="12">
    <w:abstractNumId w:val="7"/>
  </w:num>
  <w:num w:numId="13">
    <w:abstractNumId w:val="3"/>
  </w:num>
  <w:num w:numId="14">
    <w:abstractNumId w:val="1"/>
  </w:num>
  <w:num w:numId="15">
    <w:abstractNumId w:val="14"/>
  </w:num>
  <w:num w:numId="16">
    <w:abstractNumId w:val="11"/>
  </w:num>
  <w:num w:numId="17">
    <w:abstractNumId w:val="5"/>
  </w:num>
  <w:num w:numId="18">
    <w:abstractNumId w:val="8"/>
  </w:num>
  <w:num w:numId="19">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68"/>
    <w:rsid w:val="000233C6"/>
    <w:rsid w:val="00033112"/>
    <w:rsid w:val="000364E2"/>
    <w:rsid w:val="00042E6D"/>
    <w:rsid w:val="0005190E"/>
    <w:rsid w:val="000641A7"/>
    <w:rsid w:val="00086867"/>
    <w:rsid w:val="00095D52"/>
    <w:rsid w:val="00097E34"/>
    <w:rsid w:val="000B0905"/>
    <w:rsid w:val="000C0AB4"/>
    <w:rsid w:val="000D0F3C"/>
    <w:rsid w:val="000E346F"/>
    <w:rsid w:val="000F1373"/>
    <w:rsid w:val="00106047"/>
    <w:rsid w:val="00113B49"/>
    <w:rsid w:val="00135FE7"/>
    <w:rsid w:val="00161D26"/>
    <w:rsid w:val="00162CBB"/>
    <w:rsid w:val="0016435A"/>
    <w:rsid w:val="001D181E"/>
    <w:rsid w:val="001E0E49"/>
    <w:rsid w:val="001F2614"/>
    <w:rsid w:val="00215746"/>
    <w:rsid w:val="00222F7B"/>
    <w:rsid w:val="00260D98"/>
    <w:rsid w:val="0026766F"/>
    <w:rsid w:val="00277BC1"/>
    <w:rsid w:val="0028051D"/>
    <w:rsid w:val="00294331"/>
    <w:rsid w:val="002A02A3"/>
    <w:rsid w:val="002B169D"/>
    <w:rsid w:val="002B47FC"/>
    <w:rsid w:val="002B683F"/>
    <w:rsid w:val="00314E5E"/>
    <w:rsid w:val="00326C68"/>
    <w:rsid w:val="00346C62"/>
    <w:rsid w:val="00357A5F"/>
    <w:rsid w:val="0039030E"/>
    <w:rsid w:val="003A57CC"/>
    <w:rsid w:val="003B1654"/>
    <w:rsid w:val="003C2268"/>
    <w:rsid w:val="003C4848"/>
    <w:rsid w:val="003C53D0"/>
    <w:rsid w:val="003E76E9"/>
    <w:rsid w:val="003F73E2"/>
    <w:rsid w:val="004002F7"/>
    <w:rsid w:val="00430369"/>
    <w:rsid w:val="00431D12"/>
    <w:rsid w:val="004369DC"/>
    <w:rsid w:val="00443C40"/>
    <w:rsid w:val="004648A4"/>
    <w:rsid w:val="004662F9"/>
    <w:rsid w:val="00484A17"/>
    <w:rsid w:val="00486369"/>
    <w:rsid w:val="0048770B"/>
    <w:rsid w:val="00493F86"/>
    <w:rsid w:val="004A099D"/>
    <w:rsid w:val="004A47FF"/>
    <w:rsid w:val="004B23D3"/>
    <w:rsid w:val="004F061E"/>
    <w:rsid w:val="004F2824"/>
    <w:rsid w:val="004F2E89"/>
    <w:rsid w:val="00500553"/>
    <w:rsid w:val="00525A23"/>
    <w:rsid w:val="005269EA"/>
    <w:rsid w:val="0053015C"/>
    <w:rsid w:val="00533846"/>
    <w:rsid w:val="005348B2"/>
    <w:rsid w:val="00535A49"/>
    <w:rsid w:val="005434C4"/>
    <w:rsid w:val="00554550"/>
    <w:rsid w:val="005549FF"/>
    <w:rsid w:val="00562E1E"/>
    <w:rsid w:val="005761BB"/>
    <w:rsid w:val="005F1C1F"/>
    <w:rsid w:val="00616265"/>
    <w:rsid w:val="0063524D"/>
    <w:rsid w:val="006542C3"/>
    <w:rsid w:val="0065588F"/>
    <w:rsid w:val="00664805"/>
    <w:rsid w:val="00684589"/>
    <w:rsid w:val="006845C9"/>
    <w:rsid w:val="006902F9"/>
    <w:rsid w:val="00690B4B"/>
    <w:rsid w:val="0069180A"/>
    <w:rsid w:val="006C4BCC"/>
    <w:rsid w:val="006C4D88"/>
    <w:rsid w:val="006D1EAC"/>
    <w:rsid w:val="006E1FA9"/>
    <w:rsid w:val="0070740D"/>
    <w:rsid w:val="007538DB"/>
    <w:rsid w:val="0075560F"/>
    <w:rsid w:val="00782F34"/>
    <w:rsid w:val="00787FCF"/>
    <w:rsid w:val="007925CA"/>
    <w:rsid w:val="00793843"/>
    <w:rsid w:val="007A1831"/>
    <w:rsid w:val="007A49AD"/>
    <w:rsid w:val="007F5BA6"/>
    <w:rsid w:val="00802521"/>
    <w:rsid w:val="00807AA2"/>
    <w:rsid w:val="00807F54"/>
    <w:rsid w:val="00820168"/>
    <w:rsid w:val="00884205"/>
    <w:rsid w:val="008A37BA"/>
    <w:rsid w:val="008D2718"/>
    <w:rsid w:val="008D4942"/>
    <w:rsid w:val="008D763E"/>
    <w:rsid w:val="008F33D5"/>
    <w:rsid w:val="008F5596"/>
    <w:rsid w:val="008F5ECB"/>
    <w:rsid w:val="008F677F"/>
    <w:rsid w:val="00936B72"/>
    <w:rsid w:val="00983C7A"/>
    <w:rsid w:val="009852E6"/>
    <w:rsid w:val="0098621D"/>
    <w:rsid w:val="00997A4D"/>
    <w:rsid w:val="009B3CB6"/>
    <w:rsid w:val="009C2F3B"/>
    <w:rsid w:val="009D242F"/>
    <w:rsid w:val="009D4B2F"/>
    <w:rsid w:val="00A024A8"/>
    <w:rsid w:val="00A267CE"/>
    <w:rsid w:val="00A477F3"/>
    <w:rsid w:val="00A64930"/>
    <w:rsid w:val="00A77E89"/>
    <w:rsid w:val="00A87C8C"/>
    <w:rsid w:val="00A95309"/>
    <w:rsid w:val="00AA26E7"/>
    <w:rsid w:val="00AA3CFD"/>
    <w:rsid w:val="00AA59E8"/>
    <w:rsid w:val="00AC0304"/>
    <w:rsid w:val="00AC345D"/>
    <w:rsid w:val="00AD241F"/>
    <w:rsid w:val="00AE7906"/>
    <w:rsid w:val="00B0161E"/>
    <w:rsid w:val="00B1073A"/>
    <w:rsid w:val="00B1660B"/>
    <w:rsid w:val="00B30D49"/>
    <w:rsid w:val="00B6512A"/>
    <w:rsid w:val="00B70CD3"/>
    <w:rsid w:val="00B90507"/>
    <w:rsid w:val="00BB27C5"/>
    <w:rsid w:val="00BC2918"/>
    <w:rsid w:val="00BE4CC9"/>
    <w:rsid w:val="00BF2999"/>
    <w:rsid w:val="00C154C2"/>
    <w:rsid w:val="00C309B1"/>
    <w:rsid w:val="00C43796"/>
    <w:rsid w:val="00C47BE9"/>
    <w:rsid w:val="00C5418E"/>
    <w:rsid w:val="00C60D46"/>
    <w:rsid w:val="00C62218"/>
    <w:rsid w:val="00C75E0E"/>
    <w:rsid w:val="00C82BC5"/>
    <w:rsid w:val="00CB0BBB"/>
    <w:rsid w:val="00CD4FA2"/>
    <w:rsid w:val="00CD51FD"/>
    <w:rsid w:val="00CE40EE"/>
    <w:rsid w:val="00CE6591"/>
    <w:rsid w:val="00D004D0"/>
    <w:rsid w:val="00D00B4F"/>
    <w:rsid w:val="00D14191"/>
    <w:rsid w:val="00D149DA"/>
    <w:rsid w:val="00D34708"/>
    <w:rsid w:val="00D53B5D"/>
    <w:rsid w:val="00D671A5"/>
    <w:rsid w:val="00D814D7"/>
    <w:rsid w:val="00DD08BA"/>
    <w:rsid w:val="00DE5E01"/>
    <w:rsid w:val="00DF2A80"/>
    <w:rsid w:val="00E232D3"/>
    <w:rsid w:val="00E2796D"/>
    <w:rsid w:val="00E27C6A"/>
    <w:rsid w:val="00E40873"/>
    <w:rsid w:val="00E561B8"/>
    <w:rsid w:val="00E577A4"/>
    <w:rsid w:val="00E779E2"/>
    <w:rsid w:val="00E87AEF"/>
    <w:rsid w:val="00E93323"/>
    <w:rsid w:val="00E95CFE"/>
    <w:rsid w:val="00ED7AEC"/>
    <w:rsid w:val="00EE07DC"/>
    <w:rsid w:val="00EE6D93"/>
    <w:rsid w:val="00EF1568"/>
    <w:rsid w:val="00EF4B75"/>
    <w:rsid w:val="00F0015E"/>
    <w:rsid w:val="00F05B26"/>
    <w:rsid w:val="00F22950"/>
    <w:rsid w:val="00F311FB"/>
    <w:rsid w:val="00F37A73"/>
    <w:rsid w:val="00F4216F"/>
    <w:rsid w:val="00F43BE8"/>
    <w:rsid w:val="00F53012"/>
    <w:rsid w:val="00F9470E"/>
    <w:rsid w:val="00FA15BA"/>
    <w:rsid w:val="00FA6EBF"/>
    <w:rsid w:val="00FA7FC5"/>
    <w:rsid w:val="00FB5BF8"/>
    <w:rsid w:val="00FD0B6D"/>
    <w:rsid w:val="00FD7E46"/>
    <w:rsid w:val="00FE1DCB"/>
    <w:rsid w:val="00FE61C8"/>
    <w:rsid w:val="00FF320E"/>
    <w:rsid w:val="00FF3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Kopfzeile1">
    <w:name w:val="Kopfzeile1"/>
    <w:basedOn w:val="En-tte"/>
    <w:rsid w:val="00215746"/>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character" w:styleId="Lienhypertextesuivivisit">
    <w:name w:val="FollowedHyperlink"/>
    <w:rsid w:val="007F5BA6"/>
    <w:rPr>
      <w:color w:val="800080"/>
      <w:u w:val="single"/>
    </w:rPr>
  </w:style>
  <w:style w:type="character" w:customStyle="1" w:styleId="apple-style-span">
    <w:name w:val="apple-style-span"/>
    <w:rsid w:val="00B30D49"/>
  </w:style>
  <w:style w:type="paragraph" w:styleId="Textedebulles">
    <w:name w:val="Balloon Text"/>
    <w:basedOn w:val="Normal"/>
    <w:link w:val="TextedebullesCar"/>
    <w:rsid w:val="006C4D88"/>
    <w:pPr>
      <w:spacing w:after="0"/>
    </w:pPr>
    <w:rPr>
      <w:rFonts w:ascii="Tahoma" w:hAnsi="Tahoma" w:cs="Tahoma"/>
      <w:sz w:val="16"/>
      <w:szCs w:val="16"/>
    </w:rPr>
  </w:style>
  <w:style w:type="character" w:customStyle="1" w:styleId="TextedebullesCar">
    <w:name w:val="Texte de bulles Car"/>
    <w:basedOn w:val="Policepardfaut"/>
    <w:link w:val="Textedebulles"/>
    <w:rsid w:val="006C4D88"/>
    <w:rPr>
      <w:rFonts w:ascii="Tahoma" w:hAnsi="Tahoma" w:cs="Tahoma"/>
      <w:sz w:val="16"/>
      <w:szCs w:val="16"/>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Kopfzeile1">
    <w:name w:val="Kopfzeile1"/>
    <w:basedOn w:val="En-tte"/>
    <w:rsid w:val="00215746"/>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character" w:styleId="Lienhypertextesuivivisit">
    <w:name w:val="FollowedHyperlink"/>
    <w:rsid w:val="007F5BA6"/>
    <w:rPr>
      <w:color w:val="800080"/>
      <w:u w:val="single"/>
    </w:rPr>
  </w:style>
  <w:style w:type="character" w:customStyle="1" w:styleId="apple-style-span">
    <w:name w:val="apple-style-span"/>
    <w:rsid w:val="00B30D49"/>
  </w:style>
  <w:style w:type="paragraph" w:styleId="Textedebulles">
    <w:name w:val="Balloon Text"/>
    <w:basedOn w:val="Normal"/>
    <w:link w:val="TextedebullesCar"/>
    <w:rsid w:val="006C4D88"/>
    <w:pPr>
      <w:spacing w:after="0"/>
    </w:pPr>
    <w:rPr>
      <w:rFonts w:ascii="Tahoma" w:hAnsi="Tahoma" w:cs="Tahoma"/>
      <w:sz w:val="16"/>
      <w:szCs w:val="16"/>
    </w:rPr>
  </w:style>
  <w:style w:type="character" w:customStyle="1" w:styleId="TextedebullesCar">
    <w:name w:val="Texte de bulles Car"/>
    <w:basedOn w:val="Policepardfaut"/>
    <w:link w:val="Textedebulles"/>
    <w:rsid w:val="006C4D88"/>
    <w:rPr>
      <w:rFonts w:ascii="Tahoma" w:hAnsi="Tahoma" w:cs="Tahoma"/>
      <w:sz w:val="16"/>
      <w:szCs w:val="16"/>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ecodocdb.dk/doks/doccategoryECC.aspx?doccatid=1"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1c\Lokale%20Einstellungen\Temporary%20Internet%20Files\Content.IE5\39AY32B9\FORM01_Input_contribution%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FORM01_Input_contribution[1]</Template>
  <TotalTime>0</TotalTime>
  <Pages>4</Pages>
  <Words>1514</Words>
  <Characters>8331</Characters>
  <Application>Microsoft Office Word</Application>
  <DocSecurity>0</DocSecurity>
  <Lines>69</Lines>
  <Paragraphs>19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Cover page</vt:lpstr>
      <vt:lpstr>Cover page</vt:lpstr>
      <vt:lpstr>Cover page</vt:lpstr>
    </vt:vector>
  </TitlesOfParts>
  <Company>BNetzA</Company>
  <LinksUpToDate>false</LinksUpToDate>
  <CharactersWithSpaces>9826</CharactersWithSpaces>
  <SharedDoc>false</SharedDoc>
  <HLinks>
    <vt:vector size="6" baseType="variant">
      <vt:variant>
        <vt:i4>2556000</vt:i4>
      </vt:variant>
      <vt:variant>
        <vt:i4>0</vt:i4>
      </vt:variant>
      <vt:variant>
        <vt:i4>0</vt:i4>
      </vt:variant>
      <vt:variant>
        <vt:i4>5</vt:i4>
      </vt:variant>
      <vt:variant>
        <vt:lpwstr>http://www.ecodocdb.dk/doks/doccategoryECC.aspx?doccatid=1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221-1c</dc:creator>
  <cp:keywords>ECC, CEPT, Template</cp:keywords>
  <cp:lastModifiedBy>Expert</cp:lastModifiedBy>
  <cp:revision>2</cp:revision>
  <cp:lastPrinted>1999-09-27T13:20:00Z</cp:lastPrinted>
  <dcterms:created xsi:type="dcterms:W3CDTF">2013-06-11T13:53:00Z</dcterms:created>
  <dcterms:modified xsi:type="dcterms:W3CDTF">2013-06-11T13:53:00Z</dcterms:modified>
</cp:coreProperties>
</file>