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DE" w:rsidRDefault="002B42DE" w:rsidP="002B42DE">
      <w:pPr>
        <w:pStyle w:val="En-tte1"/>
        <w:jc w:val="right"/>
      </w:pPr>
      <w:r w:rsidRPr="006E7DD5">
        <w:rPr>
          <w:lang w:val="en-GB"/>
        </w:rPr>
        <w:t xml:space="preserve"> ECC</w:t>
      </w:r>
      <w:r>
        <w:t>(14)00</w:t>
      </w:r>
      <w:r>
        <w:t>8 Annex 05</w:t>
      </w:r>
      <w:bookmarkStart w:id="0" w:name="_GoBack"/>
      <w:bookmarkEnd w:id="0"/>
      <w:r>
        <w:t xml:space="preserve"> </w:t>
      </w:r>
    </w:p>
    <w:p w:rsidR="001B2EAB" w:rsidRPr="002B42DE" w:rsidRDefault="001B2EAB" w:rsidP="00607E59">
      <w:pPr>
        <w:jc w:val="right"/>
        <w:rPr>
          <w:rFonts w:ascii="Arial" w:hAnsi="Arial" w:cs="Arial"/>
          <w:b/>
          <w:bCs/>
          <w:sz w:val="24"/>
          <w:szCs w:val="24"/>
          <w:lang w:val="nb-NO"/>
        </w:rPr>
      </w:pPr>
    </w:p>
    <w:p w:rsidR="001B2EAB" w:rsidRPr="00927447" w:rsidRDefault="001B2EAB" w:rsidP="00607E59">
      <w:pPr>
        <w:jc w:val="right"/>
        <w:rPr>
          <w:b/>
          <w:bCs/>
          <w:sz w:val="28"/>
          <w:szCs w:val="28"/>
          <w:lang w:val="en-US"/>
        </w:rPr>
      </w:pPr>
    </w:p>
    <w:p w:rsidR="000C31E6" w:rsidRDefault="000C31E6" w:rsidP="000C31E6">
      <w:pPr>
        <w:jc w:val="center"/>
        <w:rPr>
          <w:b/>
          <w:bCs/>
          <w:sz w:val="28"/>
          <w:szCs w:val="28"/>
        </w:rPr>
      </w:pPr>
      <w:r w:rsidRPr="00A71011">
        <w:rPr>
          <w:b/>
          <w:bCs/>
          <w:sz w:val="28"/>
          <w:szCs w:val="28"/>
        </w:rPr>
        <w:t xml:space="preserve">List of ERC/ECC Decisions </w:t>
      </w:r>
      <w:r w:rsidR="00431FB7">
        <w:rPr>
          <w:b/>
          <w:bCs/>
          <w:sz w:val="28"/>
          <w:szCs w:val="28"/>
        </w:rPr>
        <w:t>for regular review process</w:t>
      </w:r>
    </w:p>
    <w:p w:rsidR="00F70E28" w:rsidRDefault="00F70E28" w:rsidP="000C31E6">
      <w:pPr>
        <w:jc w:val="center"/>
        <w:rPr>
          <w:b/>
          <w:bCs/>
          <w:sz w:val="28"/>
          <w:szCs w:val="28"/>
        </w:rPr>
      </w:pPr>
    </w:p>
    <w:p w:rsidR="00B5121D" w:rsidRDefault="00B5121D" w:rsidP="00A8102E">
      <w:pPr>
        <w:rPr>
          <w:bCs/>
          <w:i/>
          <w:sz w:val="28"/>
          <w:szCs w:val="28"/>
          <w:lang w:val="en-US"/>
        </w:rPr>
      </w:pPr>
    </w:p>
    <w:p w:rsidR="00A8102E" w:rsidRPr="000E1FAF" w:rsidRDefault="000E1FAF" w:rsidP="00A8102E">
      <w:pPr>
        <w:rPr>
          <w:bCs/>
          <w:i/>
          <w:sz w:val="24"/>
          <w:szCs w:val="24"/>
          <w:lang w:val="en-US"/>
        </w:rPr>
      </w:pPr>
      <w:r w:rsidRPr="000E1FAF">
        <w:rPr>
          <w:bCs/>
          <w:i/>
          <w:sz w:val="24"/>
          <w:szCs w:val="24"/>
          <w:lang w:val="en-US"/>
        </w:rPr>
        <w:t>[</w:t>
      </w:r>
      <w:r w:rsidR="00A8102E" w:rsidRPr="000E1FAF">
        <w:rPr>
          <w:bCs/>
          <w:i/>
          <w:sz w:val="24"/>
          <w:szCs w:val="24"/>
          <w:lang w:val="en-US"/>
        </w:rPr>
        <w:t xml:space="preserve">Sources: </w:t>
      </w:r>
      <w:proofErr w:type="gramStart"/>
      <w:r w:rsidR="00A8102E" w:rsidRPr="000E1FAF">
        <w:rPr>
          <w:bCs/>
          <w:i/>
          <w:sz w:val="24"/>
          <w:szCs w:val="24"/>
          <w:lang w:val="en-US"/>
        </w:rPr>
        <w:t>FM(</w:t>
      </w:r>
      <w:proofErr w:type="gramEnd"/>
      <w:r w:rsidR="00A8102E" w:rsidRPr="000E1FAF">
        <w:rPr>
          <w:bCs/>
          <w:i/>
          <w:sz w:val="24"/>
          <w:szCs w:val="24"/>
          <w:lang w:val="en-US"/>
        </w:rPr>
        <w:t xml:space="preserve">14)054 Annex 28 and </w:t>
      </w:r>
      <w:r w:rsidR="00E17765" w:rsidRPr="000E1FAF">
        <w:rPr>
          <w:bCs/>
          <w:i/>
          <w:sz w:val="24"/>
          <w:szCs w:val="24"/>
          <w:lang w:val="en-US"/>
        </w:rPr>
        <w:t>ECC(14)006 Annex 7 (</w:t>
      </w:r>
      <w:r w:rsidR="00A8102E" w:rsidRPr="000E1FAF">
        <w:rPr>
          <w:bCs/>
          <w:i/>
          <w:sz w:val="24"/>
          <w:szCs w:val="24"/>
          <w:lang w:val="en-US"/>
        </w:rPr>
        <w:t xml:space="preserve">ECC PT1 </w:t>
      </w:r>
      <w:r w:rsidR="00E17765" w:rsidRPr="000E1FAF">
        <w:rPr>
          <w:bCs/>
          <w:i/>
          <w:sz w:val="24"/>
          <w:szCs w:val="24"/>
          <w:lang w:val="en-US"/>
        </w:rPr>
        <w:t>Progress report)</w:t>
      </w:r>
      <w:r w:rsidRPr="000E1FAF">
        <w:rPr>
          <w:bCs/>
          <w:i/>
          <w:sz w:val="24"/>
          <w:szCs w:val="24"/>
          <w:lang w:val="en-US"/>
        </w:rPr>
        <w:t>]</w:t>
      </w:r>
    </w:p>
    <w:p w:rsidR="00A8102E" w:rsidRDefault="00A8102E" w:rsidP="000C31E6">
      <w:pPr>
        <w:jc w:val="center"/>
        <w:rPr>
          <w:b/>
          <w:bCs/>
          <w:sz w:val="28"/>
          <w:szCs w:val="28"/>
        </w:rPr>
      </w:pPr>
    </w:p>
    <w:tbl>
      <w:tblPr>
        <w:tblW w:w="14570"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6852"/>
        <w:gridCol w:w="1341"/>
        <w:gridCol w:w="1719"/>
        <w:gridCol w:w="1136"/>
        <w:gridCol w:w="1216"/>
        <w:gridCol w:w="644"/>
        <w:gridCol w:w="552"/>
        <w:gridCol w:w="555"/>
        <w:gridCol w:w="555"/>
      </w:tblGrid>
      <w:tr w:rsidR="000E1FAF" w:rsidRPr="00A71011" w:rsidTr="0090128C">
        <w:trPr>
          <w:tblHeader/>
        </w:trPr>
        <w:tc>
          <w:tcPr>
            <w:tcW w:w="6852" w:type="dxa"/>
            <w:shd w:val="clear" w:color="auto" w:fill="D9D9D9"/>
          </w:tcPr>
          <w:p w:rsidR="005B2E2B" w:rsidRPr="00015567" w:rsidRDefault="005B2E2B" w:rsidP="00002117">
            <w:pPr>
              <w:jc w:val="center"/>
              <w:rPr>
                <w:b/>
                <w:sz w:val="22"/>
                <w:szCs w:val="22"/>
                <w:lang w:val="en-US"/>
              </w:rPr>
            </w:pPr>
            <w:r w:rsidRPr="00015567">
              <w:rPr>
                <w:b/>
                <w:sz w:val="22"/>
                <w:szCs w:val="22"/>
              </w:rPr>
              <w:t>Decision</w:t>
            </w:r>
          </w:p>
        </w:tc>
        <w:tc>
          <w:tcPr>
            <w:tcW w:w="1341" w:type="dxa"/>
            <w:shd w:val="clear" w:color="auto" w:fill="D9D9D9"/>
          </w:tcPr>
          <w:p w:rsidR="005B2E2B" w:rsidRPr="00A71011" w:rsidRDefault="005B2E2B" w:rsidP="00002117">
            <w:pPr>
              <w:jc w:val="center"/>
              <w:rPr>
                <w:b/>
                <w:sz w:val="22"/>
                <w:szCs w:val="22"/>
              </w:rPr>
            </w:pPr>
            <w:r w:rsidRPr="00A71011">
              <w:rPr>
                <w:b/>
                <w:sz w:val="22"/>
                <w:szCs w:val="22"/>
              </w:rPr>
              <w:t>Responsible</w:t>
            </w:r>
          </w:p>
        </w:tc>
        <w:tc>
          <w:tcPr>
            <w:tcW w:w="1719" w:type="dxa"/>
            <w:shd w:val="clear" w:color="auto" w:fill="D9D9D9"/>
          </w:tcPr>
          <w:p w:rsidR="005B2E2B" w:rsidRPr="000D145D" w:rsidRDefault="005B2E2B" w:rsidP="004B1DDD">
            <w:pPr>
              <w:jc w:val="center"/>
              <w:rPr>
                <w:b/>
                <w:sz w:val="22"/>
                <w:szCs w:val="22"/>
              </w:rPr>
            </w:pPr>
            <w:r w:rsidRPr="000D145D">
              <w:rPr>
                <w:b/>
                <w:sz w:val="22"/>
                <w:szCs w:val="22"/>
              </w:rPr>
              <w:t>Action</w:t>
            </w:r>
            <w:r w:rsidRPr="000D145D">
              <w:rPr>
                <w:rStyle w:val="Appelnotedebasdep"/>
                <w:b/>
                <w:sz w:val="22"/>
                <w:szCs w:val="22"/>
              </w:rPr>
              <w:footnoteReference w:id="1"/>
            </w:r>
          </w:p>
        </w:tc>
        <w:tc>
          <w:tcPr>
            <w:tcW w:w="1136" w:type="dxa"/>
            <w:shd w:val="clear" w:color="auto" w:fill="D9D9D9"/>
          </w:tcPr>
          <w:p w:rsidR="005B2E2B" w:rsidRPr="00A71011" w:rsidRDefault="005B2E2B" w:rsidP="00002117">
            <w:pPr>
              <w:jc w:val="center"/>
              <w:rPr>
                <w:b/>
                <w:sz w:val="22"/>
                <w:szCs w:val="22"/>
              </w:rPr>
            </w:pPr>
            <w:r w:rsidRPr="00A71011">
              <w:rPr>
                <w:b/>
                <w:sz w:val="22"/>
                <w:szCs w:val="22"/>
              </w:rPr>
              <w:t>Date</w:t>
            </w:r>
          </w:p>
        </w:tc>
        <w:tc>
          <w:tcPr>
            <w:tcW w:w="1216" w:type="dxa"/>
            <w:shd w:val="clear" w:color="auto" w:fill="D9D9D9" w:themeFill="background1" w:themeFillShade="D9"/>
          </w:tcPr>
          <w:p w:rsidR="005B2E2B" w:rsidRPr="00EB1645" w:rsidRDefault="005B2E2B" w:rsidP="00002117">
            <w:pPr>
              <w:jc w:val="center"/>
              <w:rPr>
                <w:b/>
                <w:bCs/>
                <w:sz w:val="22"/>
                <w:szCs w:val="22"/>
                <w:lang w:val="en-US"/>
              </w:rPr>
            </w:pPr>
            <w:commentRangeStart w:id="1"/>
            <w:r w:rsidRPr="00EB1645">
              <w:rPr>
                <w:b/>
                <w:bCs/>
                <w:sz w:val="22"/>
                <w:szCs w:val="22"/>
                <w:lang w:val="en-US"/>
              </w:rPr>
              <w:t xml:space="preserve">Impact on </w:t>
            </w:r>
            <w:commentRangeEnd w:id="1"/>
            <w:r w:rsidR="006607D7" w:rsidRPr="00EB1645">
              <w:rPr>
                <w:rStyle w:val="Marquedecommentaire"/>
              </w:rPr>
              <w:commentReference w:id="1"/>
            </w:r>
            <w:r w:rsidRPr="00EB1645">
              <w:rPr>
                <w:b/>
                <w:bCs/>
                <w:sz w:val="22"/>
                <w:szCs w:val="22"/>
                <w:lang w:val="en-US"/>
              </w:rPr>
              <w:t>ETSI standards</w:t>
            </w:r>
            <w:r w:rsidR="000250FB" w:rsidRPr="00EB1645">
              <w:rPr>
                <w:b/>
                <w:bCs/>
                <w:sz w:val="22"/>
                <w:szCs w:val="22"/>
                <w:vertAlign w:val="superscript"/>
                <w:lang w:val="en-US"/>
              </w:rPr>
              <w:t>6</w:t>
            </w:r>
          </w:p>
        </w:tc>
        <w:tc>
          <w:tcPr>
            <w:tcW w:w="644" w:type="dxa"/>
            <w:shd w:val="clear" w:color="auto" w:fill="D9D9D9"/>
          </w:tcPr>
          <w:p w:rsidR="005B2E2B" w:rsidRPr="00A71011" w:rsidRDefault="005B2E2B" w:rsidP="00002117">
            <w:pPr>
              <w:jc w:val="center"/>
              <w:rPr>
                <w:b/>
                <w:bCs/>
                <w:sz w:val="22"/>
                <w:szCs w:val="22"/>
              </w:rPr>
            </w:pPr>
            <w:proofErr w:type="spellStart"/>
            <w:r w:rsidRPr="00A71011">
              <w:rPr>
                <w:b/>
                <w:bCs/>
                <w:sz w:val="22"/>
                <w:szCs w:val="22"/>
              </w:rPr>
              <w:t>Im</w:t>
            </w:r>
            <w:proofErr w:type="spellEnd"/>
            <w:r w:rsidRPr="00A71011">
              <w:rPr>
                <w:rStyle w:val="Appelnotedebasdep"/>
                <w:b/>
                <w:bCs/>
                <w:sz w:val="22"/>
                <w:szCs w:val="22"/>
              </w:rPr>
              <w:footnoteReference w:id="2"/>
            </w:r>
          </w:p>
        </w:tc>
        <w:tc>
          <w:tcPr>
            <w:tcW w:w="552" w:type="dxa"/>
            <w:shd w:val="clear" w:color="auto" w:fill="D9D9D9"/>
          </w:tcPr>
          <w:p w:rsidR="005B2E2B" w:rsidRPr="00A71011" w:rsidRDefault="005B2E2B" w:rsidP="00002117">
            <w:pPr>
              <w:jc w:val="center"/>
              <w:rPr>
                <w:b/>
                <w:sz w:val="22"/>
                <w:szCs w:val="22"/>
              </w:rPr>
            </w:pPr>
            <w:r w:rsidRPr="00A71011">
              <w:rPr>
                <w:b/>
                <w:sz w:val="22"/>
                <w:szCs w:val="22"/>
              </w:rPr>
              <w:t>Pl</w:t>
            </w:r>
            <w:r w:rsidRPr="00A71011">
              <w:rPr>
                <w:rStyle w:val="Appelnotedebasdep"/>
                <w:b/>
                <w:sz w:val="22"/>
                <w:szCs w:val="22"/>
              </w:rPr>
              <w:footnoteReference w:id="3"/>
            </w:r>
          </w:p>
        </w:tc>
        <w:tc>
          <w:tcPr>
            <w:tcW w:w="555" w:type="dxa"/>
            <w:shd w:val="clear" w:color="auto" w:fill="D9D9D9"/>
          </w:tcPr>
          <w:p w:rsidR="005B2E2B" w:rsidRPr="00A71011" w:rsidRDefault="005B2E2B" w:rsidP="00002117">
            <w:pPr>
              <w:jc w:val="center"/>
              <w:rPr>
                <w:b/>
                <w:sz w:val="22"/>
                <w:szCs w:val="22"/>
              </w:rPr>
            </w:pPr>
            <w:r w:rsidRPr="00A71011">
              <w:rPr>
                <w:b/>
                <w:sz w:val="22"/>
                <w:szCs w:val="22"/>
              </w:rPr>
              <w:t>No</w:t>
            </w:r>
            <w:r w:rsidRPr="00A71011">
              <w:rPr>
                <w:rStyle w:val="Appelnotedebasdep"/>
                <w:b/>
                <w:sz w:val="22"/>
                <w:szCs w:val="22"/>
              </w:rPr>
              <w:footnoteReference w:id="4"/>
            </w:r>
          </w:p>
        </w:tc>
        <w:tc>
          <w:tcPr>
            <w:tcW w:w="555" w:type="dxa"/>
            <w:shd w:val="clear" w:color="auto" w:fill="D9D9D9"/>
          </w:tcPr>
          <w:p w:rsidR="005B2E2B" w:rsidRPr="00A71011" w:rsidRDefault="005B2E2B" w:rsidP="00002117">
            <w:pPr>
              <w:jc w:val="center"/>
              <w:rPr>
                <w:b/>
                <w:sz w:val="22"/>
                <w:szCs w:val="22"/>
              </w:rPr>
            </w:pPr>
            <w:r w:rsidRPr="00A71011">
              <w:rPr>
                <w:b/>
                <w:sz w:val="22"/>
                <w:szCs w:val="22"/>
              </w:rPr>
              <w:t>Ni</w:t>
            </w:r>
            <w:r w:rsidRPr="00A71011">
              <w:rPr>
                <w:rStyle w:val="Appelnotedebasdep"/>
                <w:b/>
                <w:sz w:val="22"/>
                <w:szCs w:val="22"/>
              </w:rPr>
              <w:footnoteReference w:id="5"/>
            </w:r>
          </w:p>
        </w:tc>
      </w:tr>
      <w:tr w:rsidR="000E1FAF" w:rsidRPr="00A71011" w:rsidTr="0090128C">
        <w:tc>
          <w:tcPr>
            <w:tcW w:w="6852" w:type="dxa"/>
            <w:shd w:val="clear" w:color="auto" w:fill="92D050"/>
          </w:tcPr>
          <w:p w:rsidR="005B2E2B" w:rsidRPr="00015567" w:rsidRDefault="005B2E2B" w:rsidP="00042E75">
            <w:pPr>
              <w:rPr>
                <w:b/>
                <w:bCs/>
                <w:i/>
                <w:sz w:val="22"/>
                <w:szCs w:val="22"/>
              </w:rPr>
            </w:pPr>
            <w:r w:rsidRPr="00015567">
              <w:rPr>
                <w:b/>
                <w:i/>
                <w:sz w:val="22"/>
                <w:szCs w:val="22"/>
                <w:lang w:val="en-US"/>
              </w:rPr>
              <w:t>Decisions for future revision</w:t>
            </w:r>
          </w:p>
        </w:tc>
        <w:tc>
          <w:tcPr>
            <w:tcW w:w="1341" w:type="dxa"/>
            <w:shd w:val="clear" w:color="auto" w:fill="92D050"/>
          </w:tcPr>
          <w:p w:rsidR="005B2E2B" w:rsidRPr="00A71011" w:rsidRDefault="005B2E2B" w:rsidP="00D62556">
            <w:pPr>
              <w:rPr>
                <w:sz w:val="22"/>
                <w:szCs w:val="22"/>
              </w:rPr>
            </w:pPr>
          </w:p>
        </w:tc>
        <w:tc>
          <w:tcPr>
            <w:tcW w:w="1719" w:type="dxa"/>
            <w:shd w:val="clear" w:color="auto" w:fill="92D050"/>
          </w:tcPr>
          <w:p w:rsidR="005B2E2B" w:rsidRPr="000D145D" w:rsidRDefault="005B2E2B" w:rsidP="00D62556">
            <w:pPr>
              <w:rPr>
                <w:sz w:val="22"/>
                <w:szCs w:val="22"/>
                <w:lang w:val="en-US"/>
              </w:rPr>
            </w:pPr>
          </w:p>
        </w:tc>
        <w:tc>
          <w:tcPr>
            <w:tcW w:w="1136" w:type="dxa"/>
            <w:shd w:val="clear" w:color="auto" w:fill="92D050"/>
          </w:tcPr>
          <w:p w:rsidR="005B2E2B" w:rsidRPr="00A71011" w:rsidRDefault="005B2E2B" w:rsidP="00D62556">
            <w:pPr>
              <w:rPr>
                <w:sz w:val="22"/>
                <w:szCs w:val="22"/>
              </w:rPr>
            </w:pPr>
          </w:p>
        </w:tc>
        <w:tc>
          <w:tcPr>
            <w:tcW w:w="1216" w:type="dxa"/>
            <w:shd w:val="clear" w:color="auto" w:fill="92D050"/>
          </w:tcPr>
          <w:p w:rsidR="005B2E2B" w:rsidRPr="00EB1645" w:rsidRDefault="005B2E2B" w:rsidP="00D62556">
            <w:pPr>
              <w:jc w:val="center"/>
              <w:rPr>
                <w:bCs/>
                <w:sz w:val="22"/>
                <w:szCs w:val="22"/>
              </w:rPr>
            </w:pPr>
          </w:p>
        </w:tc>
        <w:tc>
          <w:tcPr>
            <w:tcW w:w="644" w:type="dxa"/>
            <w:shd w:val="clear" w:color="auto" w:fill="92D050"/>
          </w:tcPr>
          <w:p w:rsidR="005B2E2B" w:rsidRPr="00A71011" w:rsidRDefault="005B2E2B" w:rsidP="00D62556">
            <w:pPr>
              <w:jc w:val="center"/>
              <w:rPr>
                <w:bCs/>
                <w:sz w:val="22"/>
                <w:szCs w:val="22"/>
              </w:rPr>
            </w:pPr>
          </w:p>
        </w:tc>
        <w:tc>
          <w:tcPr>
            <w:tcW w:w="552" w:type="dxa"/>
            <w:shd w:val="clear" w:color="auto" w:fill="92D050"/>
          </w:tcPr>
          <w:p w:rsidR="005B2E2B" w:rsidRPr="00A71011" w:rsidRDefault="005B2E2B" w:rsidP="00D62556">
            <w:pPr>
              <w:jc w:val="center"/>
              <w:rPr>
                <w:sz w:val="22"/>
                <w:szCs w:val="22"/>
              </w:rPr>
            </w:pPr>
          </w:p>
        </w:tc>
        <w:tc>
          <w:tcPr>
            <w:tcW w:w="555" w:type="dxa"/>
            <w:shd w:val="clear" w:color="auto" w:fill="92D050"/>
          </w:tcPr>
          <w:p w:rsidR="005B2E2B" w:rsidRPr="00A71011" w:rsidRDefault="005B2E2B" w:rsidP="00D62556">
            <w:pPr>
              <w:jc w:val="center"/>
              <w:rPr>
                <w:sz w:val="22"/>
                <w:szCs w:val="22"/>
              </w:rPr>
            </w:pPr>
          </w:p>
        </w:tc>
        <w:tc>
          <w:tcPr>
            <w:tcW w:w="555" w:type="dxa"/>
            <w:shd w:val="clear" w:color="auto" w:fill="92D050"/>
          </w:tcPr>
          <w:p w:rsidR="005B2E2B" w:rsidRPr="00A71011" w:rsidRDefault="005B2E2B" w:rsidP="00D62556">
            <w:pPr>
              <w:jc w:val="center"/>
              <w:rPr>
                <w:sz w:val="22"/>
                <w:szCs w:val="22"/>
              </w:rPr>
            </w:pPr>
          </w:p>
        </w:tc>
      </w:tr>
      <w:tr w:rsidR="000E1FAF" w:rsidRPr="000E1FAF" w:rsidTr="0090128C">
        <w:tc>
          <w:tcPr>
            <w:tcW w:w="6852" w:type="dxa"/>
          </w:tcPr>
          <w:p w:rsidR="005B2E2B" w:rsidRPr="000E1FAF" w:rsidRDefault="005B2E2B" w:rsidP="00D62556">
            <w:pPr>
              <w:rPr>
                <w:sz w:val="22"/>
                <w:szCs w:val="22"/>
              </w:rPr>
            </w:pPr>
            <w:r w:rsidRPr="000E1FAF">
              <w:rPr>
                <w:b/>
                <w:bCs/>
                <w:sz w:val="22"/>
                <w:szCs w:val="22"/>
              </w:rPr>
              <w:t xml:space="preserve">ERC/DEC/(94)01 - </w:t>
            </w:r>
            <w:r w:rsidRPr="000E1FAF">
              <w:rPr>
                <w:bCs/>
                <w:sz w:val="22"/>
                <w:szCs w:val="22"/>
              </w:rPr>
              <w:t>ERC Decision of 24 October 1994 on the frequency bands to be designated for the coordinated introduction of the GSM digital pan-European communications system</w:t>
            </w:r>
          </w:p>
        </w:tc>
        <w:tc>
          <w:tcPr>
            <w:tcW w:w="1341" w:type="dxa"/>
          </w:tcPr>
          <w:p w:rsidR="005B2E2B" w:rsidRPr="000E1FAF" w:rsidRDefault="005B2E2B" w:rsidP="00D62556">
            <w:pPr>
              <w:rPr>
                <w:sz w:val="22"/>
                <w:szCs w:val="22"/>
              </w:rPr>
            </w:pPr>
            <w:r w:rsidRPr="000E1FAF">
              <w:rPr>
                <w:sz w:val="22"/>
                <w:szCs w:val="22"/>
              </w:rPr>
              <w:t>ECC PT1</w:t>
            </w:r>
          </w:p>
        </w:tc>
        <w:tc>
          <w:tcPr>
            <w:tcW w:w="1719" w:type="dxa"/>
          </w:tcPr>
          <w:p w:rsidR="005B2E2B" w:rsidRPr="000E1FAF" w:rsidRDefault="005B2E2B" w:rsidP="00D62556">
            <w:pPr>
              <w:rPr>
                <w:sz w:val="22"/>
                <w:szCs w:val="22"/>
                <w:lang w:val="en-US"/>
              </w:rPr>
            </w:pPr>
            <w:r w:rsidRPr="000E1FAF">
              <w:rPr>
                <w:sz w:val="22"/>
                <w:szCs w:val="22"/>
                <w:lang w:val="en-US"/>
              </w:rPr>
              <w:t>Retain</w:t>
            </w:r>
          </w:p>
        </w:tc>
        <w:tc>
          <w:tcPr>
            <w:tcW w:w="1136" w:type="dxa"/>
          </w:tcPr>
          <w:p w:rsidR="005B2E2B" w:rsidRPr="000E1FAF" w:rsidRDefault="005B2E2B" w:rsidP="00A87402">
            <w:pPr>
              <w:rPr>
                <w:sz w:val="22"/>
                <w:szCs w:val="22"/>
              </w:rPr>
            </w:pPr>
            <w:r w:rsidRPr="000E1FAF">
              <w:rPr>
                <w:sz w:val="22"/>
                <w:szCs w:val="22"/>
              </w:rPr>
              <w:t>2015</w:t>
            </w:r>
          </w:p>
        </w:tc>
        <w:tc>
          <w:tcPr>
            <w:tcW w:w="1216" w:type="dxa"/>
            <w:shd w:val="clear" w:color="auto" w:fill="auto"/>
          </w:tcPr>
          <w:p w:rsidR="005B2E2B" w:rsidRPr="000E1FAF" w:rsidRDefault="005B2E2B" w:rsidP="00D62556">
            <w:pPr>
              <w:jc w:val="center"/>
              <w:rPr>
                <w:sz w:val="22"/>
                <w:szCs w:val="22"/>
              </w:rPr>
            </w:pPr>
          </w:p>
        </w:tc>
        <w:tc>
          <w:tcPr>
            <w:tcW w:w="644" w:type="dxa"/>
          </w:tcPr>
          <w:p w:rsidR="005B2E2B" w:rsidRPr="000E1FAF" w:rsidRDefault="005B2E2B" w:rsidP="00D62556">
            <w:pPr>
              <w:jc w:val="center"/>
              <w:rPr>
                <w:sz w:val="22"/>
                <w:szCs w:val="22"/>
              </w:rPr>
            </w:pPr>
            <w:r w:rsidRPr="000E1FAF">
              <w:rPr>
                <w:sz w:val="22"/>
                <w:szCs w:val="22"/>
              </w:rPr>
              <w:t>40</w:t>
            </w:r>
          </w:p>
          <w:p w:rsidR="005B2E2B" w:rsidRPr="000E1FAF" w:rsidRDefault="005B2E2B" w:rsidP="00D62556">
            <w:pPr>
              <w:jc w:val="center"/>
              <w:rPr>
                <w:sz w:val="22"/>
                <w:szCs w:val="22"/>
              </w:rPr>
            </w:pPr>
          </w:p>
        </w:tc>
        <w:tc>
          <w:tcPr>
            <w:tcW w:w="552" w:type="dxa"/>
          </w:tcPr>
          <w:p w:rsidR="005B2E2B" w:rsidRPr="000E1FAF" w:rsidRDefault="005B2E2B" w:rsidP="00D62556">
            <w:pPr>
              <w:jc w:val="center"/>
              <w:rPr>
                <w:sz w:val="22"/>
                <w:szCs w:val="22"/>
              </w:rPr>
            </w:pPr>
            <w:r w:rsidRPr="000E1FAF">
              <w:rPr>
                <w:sz w:val="22"/>
                <w:szCs w:val="22"/>
              </w:rPr>
              <w:t>0</w:t>
            </w:r>
          </w:p>
        </w:tc>
        <w:tc>
          <w:tcPr>
            <w:tcW w:w="555" w:type="dxa"/>
          </w:tcPr>
          <w:p w:rsidR="005B2E2B" w:rsidRPr="000E1FAF" w:rsidRDefault="005B2E2B" w:rsidP="00D62556">
            <w:pPr>
              <w:jc w:val="center"/>
              <w:rPr>
                <w:sz w:val="22"/>
                <w:szCs w:val="22"/>
              </w:rPr>
            </w:pPr>
            <w:r w:rsidRPr="000E1FAF">
              <w:rPr>
                <w:sz w:val="22"/>
                <w:szCs w:val="22"/>
              </w:rPr>
              <w:t>1</w:t>
            </w:r>
          </w:p>
        </w:tc>
        <w:tc>
          <w:tcPr>
            <w:tcW w:w="555" w:type="dxa"/>
          </w:tcPr>
          <w:p w:rsidR="005B2E2B" w:rsidRPr="000E1FAF" w:rsidRDefault="005B2E2B" w:rsidP="005079F9">
            <w:pPr>
              <w:jc w:val="center"/>
              <w:rPr>
                <w:sz w:val="22"/>
                <w:szCs w:val="22"/>
              </w:rPr>
            </w:pPr>
            <w:r w:rsidRPr="000E1FAF">
              <w:rPr>
                <w:sz w:val="22"/>
                <w:szCs w:val="22"/>
              </w:rPr>
              <w:t>7</w:t>
            </w:r>
          </w:p>
        </w:tc>
      </w:tr>
      <w:tr w:rsidR="000E1FAF" w:rsidRPr="000E1FAF" w:rsidTr="0090128C">
        <w:tc>
          <w:tcPr>
            <w:tcW w:w="6852" w:type="dxa"/>
          </w:tcPr>
          <w:p w:rsidR="005B2E2B" w:rsidRPr="00F92C3E" w:rsidRDefault="005B2E2B" w:rsidP="00002117">
            <w:pPr>
              <w:rPr>
                <w:bCs/>
                <w:sz w:val="22"/>
                <w:szCs w:val="22"/>
                <w:lang w:val="en-US"/>
              </w:rPr>
            </w:pPr>
            <w:r w:rsidRPr="002B42DE">
              <w:rPr>
                <w:b/>
                <w:bCs/>
                <w:sz w:val="22"/>
                <w:szCs w:val="22"/>
                <w:lang w:val="en-US"/>
              </w:rPr>
              <w:t>ERC/DEC/(94)03</w:t>
            </w:r>
            <w:r w:rsidRPr="000E1FAF">
              <w:rPr>
                <w:b/>
                <w:bCs/>
                <w:sz w:val="22"/>
                <w:szCs w:val="22"/>
              </w:rPr>
              <w:t xml:space="preserve"> - </w:t>
            </w:r>
            <w:r w:rsidRPr="000E1FAF">
              <w:rPr>
                <w:bCs/>
                <w:sz w:val="22"/>
                <w:szCs w:val="22"/>
              </w:rPr>
              <w:t>ERC Decision of 24 October 1994 on the frequency band to be designated for the coordinated introduction of the Digital European Cordless Telecommunications system</w:t>
            </w:r>
          </w:p>
          <w:p w:rsidR="0055684D" w:rsidRPr="00F92C3E" w:rsidRDefault="0055684D" w:rsidP="000E1FAF">
            <w:pPr>
              <w:rPr>
                <w:i/>
                <w:sz w:val="22"/>
                <w:szCs w:val="22"/>
                <w:lang w:val="en-US"/>
              </w:rPr>
            </w:pPr>
            <w:r w:rsidRPr="000E1FAF">
              <w:rPr>
                <w:i/>
                <w:sz w:val="22"/>
                <w:szCs w:val="22"/>
                <w:lang w:val="en-US"/>
              </w:rPr>
              <w:t xml:space="preserve">Note: </w:t>
            </w:r>
            <w:r w:rsidRPr="000E1FAF">
              <w:rPr>
                <w:i/>
                <w:sz w:val="22"/>
                <w:szCs w:val="22"/>
              </w:rPr>
              <w:t>review in progress</w:t>
            </w:r>
          </w:p>
        </w:tc>
        <w:tc>
          <w:tcPr>
            <w:tcW w:w="1341" w:type="dxa"/>
          </w:tcPr>
          <w:p w:rsidR="005B2E2B" w:rsidRPr="000E1FAF" w:rsidRDefault="005B2E2B" w:rsidP="00002117">
            <w:pPr>
              <w:rPr>
                <w:sz w:val="22"/>
                <w:szCs w:val="22"/>
              </w:rPr>
            </w:pPr>
            <w:r w:rsidRPr="000E1FAF">
              <w:rPr>
                <w:sz w:val="22"/>
                <w:szCs w:val="22"/>
              </w:rPr>
              <w:t>ECC PT1</w:t>
            </w:r>
          </w:p>
        </w:tc>
        <w:tc>
          <w:tcPr>
            <w:tcW w:w="1719" w:type="dxa"/>
          </w:tcPr>
          <w:p w:rsidR="00256AB5" w:rsidRPr="000E1FAF" w:rsidRDefault="005B2E2B">
            <w:pPr>
              <w:rPr>
                <w:sz w:val="22"/>
                <w:szCs w:val="22"/>
              </w:rPr>
            </w:pPr>
            <w:r w:rsidRPr="000E1FAF">
              <w:rPr>
                <w:sz w:val="22"/>
                <w:szCs w:val="22"/>
                <w:lang w:val="en-US"/>
              </w:rPr>
              <w:t>Re</w:t>
            </w:r>
            <w:r w:rsidR="00ED1E3F" w:rsidRPr="000E1FAF">
              <w:rPr>
                <w:sz w:val="22"/>
                <w:szCs w:val="22"/>
                <w:lang w:val="en-US"/>
              </w:rPr>
              <w:t>view</w:t>
            </w:r>
          </w:p>
        </w:tc>
        <w:tc>
          <w:tcPr>
            <w:tcW w:w="1136" w:type="dxa"/>
          </w:tcPr>
          <w:p w:rsidR="005B2E2B" w:rsidRPr="000E1FAF" w:rsidRDefault="005B2E2B" w:rsidP="00A87402">
            <w:pPr>
              <w:rPr>
                <w:sz w:val="22"/>
                <w:szCs w:val="22"/>
              </w:rPr>
            </w:pPr>
            <w:r w:rsidRPr="000E1FAF">
              <w:rPr>
                <w:sz w:val="22"/>
                <w:szCs w:val="22"/>
              </w:rPr>
              <w:t>2014</w:t>
            </w:r>
          </w:p>
        </w:tc>
        <w:tc>
          <w:tcPr>
            <w:tcW w:w="1216" w:type="dxa"/>
            <w:shd w:val="clear" w:color="auto" w:fill="auto"/>
          </w:tcPr>
          <w:p w:rsidR="005B2E2B" w:rsidRPr="000E1FAF" w:rsidRDefault="00ED1E3F" w:rsidP="005079F9">
            <w:pPr>
              <w:jc w:val="center"/>
              <w:rPr>
                <w:bCs/>
                <w:sz w:val="22"/>
                <w:szCs w:val="22"/>
              </w:rPr>
            </w:pPr>
            <w:r w:rsidRPr="000E1FAF">
              <w:rPr>
                <w:bCs/>
                <w:sz w:val="22"/>
                <w:szCs w:val="22"/>
              </w:rPr>
              <w:t>Possible</w:t>
            </w:r>
          </w:p>
        </w:tc>
        <w:tc>
          <w:tcPr>
            <w:tcW w:w="644" w:type="dxa"/>
          </w:tcPr>
          <w:p w:rsidR="005B2E2B" w:rsidRPr="000E1FAF" w:rsidRDefault="005B2E2B" w:rsidP="005079F9">
            <w:pPr>
              <w:jc w:val="center"/>
              <w:rPr>
                <w:sz w:val="22"/>
                <w:szCs w:val="22"/>
              </w:rPr>
            </w:pPr>
            <w:r w:rsidRPr="000E1FAF">
              <w:rPr>
                <w:bCs/>
                <w:sz w:val="22"/>
                <w:szCs w:val="22"/>
              </w:rPr>
              <w:t>46</w:t>
            </w:r>
          </w:p>
        </w:tc>
        <w:tc>
          <w:tcPr>
            <w:tcW w:w="552" w:type="dxa"/>
          </w:tcPr>
          <w:p w:rsidR="005B2E2B" w:rsidRPr="000E1FAF" w:rsidRDefault="005B2E2B" w:rsidP="00002117">
            <w:pPr>
              <w:jc w:val="center"/>
              <w:rPr>
                <w:sz w:val="22"/>
                <w:szCs w:val="22"/>
              </w:rPr>
            </w:pPr>
            <w:r w:rsidRPr="000E1FAF">
              <w:rPr>
                <w:sz w:val="22"/>
                <w:szCs w:val="22"/>
              </w:rPr>
              <w:t>1</w:t>
            </w:r>
          </w:p>
        </w:tc>
        <w:tc>
          <w:tcPr>
            <w:tcW w:w="555" w:type="dxa"/>
          </w:tcPr>
          <w:p w:rsidR="005B2E2B" w:rsidRPr="000E1FAF" w:rsidRDefault="005B2E2B" w:rsidP="00002117">
            <w:pPr>
              <w:jc w:val="center"/>
              <w:rPr>
                <w:sz w:val="22"/>
                <w:szCs w:val="22"/>
              </w:rPr>
            </w:pPr>
            <w:r w:rsidRPr="000E1FAF">
              <w:rPr>
                <w:sz w:val="22"/>
                <w:szCs w:val="22"/>
              </w:rPr>
              <w:t>0</w:t>
            </w:r>
          </w:p>
        </w:tc>
        <w:tc>
          <w:tcPr>
            <w:tcW w:w="555" w:type="dxa"/>
          </w:tcPr>
          <w:p w:rsidR="005B2E2B" w:rsidRPr="000E1FAF" w:rsidRDefault="005B2E2B" w:rsidP="005079F9">
            <w:pPr>
              <w:jc w:val="center"/>
              <w:rPr>
                <w:sz w:val="22"/>
                <w:szCs w:val="22"/>
              </w:rPr>
            </w:pPr>
            <w:r w:rsidRPr="000E1FAF">
              <w:rPr>
                <w:sz w:val="22"/>
                <w:szCs w:val="22"/>
              </w:rPr>
              <w:t>1</w:t>
            </w:r>
          </w:p>
        </w:tc>
      </w:tr>
      <w:tr w:rsidR="000E1FAF" w:rsidRPr="000E1FAF" w:rsidTr="0090128C">
        <w:tc>
          <w:tcPr>
            <w:tcW w:w="6852" w:type="dxa"/>
            <w:tcBorders>
              <w:bottom w:val="single" w:sz="4" w:space="0" w:color="000000"/>
            </w:tcBorders>
          </w:tcPr>
          <w:p w:rsidR="005B2E2B" w:rsidRPr="000E1FAF" w:rsidRDefault="005B2E2B" w:rsidP="000E1FAF">
            <w:pPr>
              <w:rPr>
                <w:sz w:val="22"/>
                <w:szCs w:val="22"/>
              </w:rPr>
            </w:pPr>
            <w:r w:rsidRPr="000E1FAF">
              <w:rPr>
                <w:b/>
                <w:bCs/>
                <w:sz w:val="22"/>
                <w:szCs w:val="22"/>
              </w:rPr>
              <w:t xml:space="preserve">ERC/DEC/(95)01 - </w:t>
            </w:r>
            <w:r w:rsidRPr="000E1FAF">
              <w:rPr>
                <w:sz w:val="22"/>
                <w:szCs w:val="22"/>
              </w:rPr>
              <w:t>ERC Decision of 1st December 1995 amended by ECC 18 March 2005 and 14 March 2008 on the free circulation and use of certain radio equipment in CEPT member countries</w:t>
            </w:r>
          </w:p>
        </w:tc>
        <w:tc>
          <w:tcPr>
            <w:tcW w:w="1341" w:type="dxa"/>
            <w:tcBorders>
              <w:bottom w:val="single" w:sz="4" w:space="0" w:color="000000"/>
            </w:tcBorders>
          </w:tcPr>
          <w:p w:rsidR="005B2E2B" w:rsidRPr="000E1FAF" w:rsidRDefault="005B2E2B" w:rsidP="00002117">
            <w:pPr>
              <w:rPr>
                <w:sz w:val="22"/>
                <w:szCs w:val="22"/>
              </w:rPr>
            </w:pPr>
            <w:r w:rsidRPr="000E1FAF">
              <w:rPr>
                <w:sz w:val="22"/>
                <w:szCs w:val="22"/>
              </w:rPr>
              <w:t>FM</w:t>
            </w:r>
            <w:r w:rsidR="00FA0348" w:rsidRPr="000E1FAF">
              <w:rPr>
                <w:sz w:val="22"/>
                <w:szCs w:val="22"/>
              </w:rPr>
              <w:t>44</w:t>
            </w:r>
          </w:p>
          <w:p w:rsidR="005B2E2B" w:rsidRPr="000E1FAF" w:rsidRDefault="005B2E2B" w:rsidP="00E573A1">
            <w:pPr>
              <w:rPr>
                <w:sz w:val="22"/>
                <w:szCs w:val="22"/>
              </w:rPr>
            </w:pPr>
          </w:p>
        </w:tc>
        <w:tc>
          <w:tcPr>
            <w:tcW w:w="1719" w:type="dxa"/>
            <w:tcBorders>
              <w:bottom w:val="single" w:sz="4" w:space="0" w:color="000000"/>
            </w:tcBorders>
          </w:tcPr>
          <w:p w:rsidR="003F7E18" w:rsidRPr="000E1FAF" w:rsidRDefault="000250FB">
            <w:pPr>
              <w:rPr>
                <w:sz w:val="22"/>
                <w:szCs w:val="22"/>
                <w:lang w:val="en-US"/>
              </w:rPr>
            </w:pPr>
            <w:r w:rsidRPr="000E1FAF">
              <w:rPr>
                <w:sz w:val="22"/>
                <w:szCs w:val="22"/>
                <w:lang w:val="en-US"/>
              </w:rPr>
              <w:t>Re</w:t>
            </w:r>
            <w:r w:rsidR="00FA0348" w:rsidRPr="000E1FAF">
              <w:rPr>
                <w:sz w:val="22"/>
                <w:szCs w:val="22"/>
                <w:lang w:val="en-US"/>
              </w:rPr>
              <w:t>tain</w:t>
            </w:r>
          </w:p>
        </w:tc>
        <w:tc>
          <w:tcPr>
            <w:tcW w:w="1136" w:type="dxa"/>
            <w:tcBorders>
              <w:bottom w:val="single" w:sz="4" w:space="0" w:color="000000"/>
            </w:tcBorders>
          </w:tcPr>
          <w:p w:rsidR="005B2E2B" w:rsidRPr="000E1FAF" w:rsidRDefault="005B2E2B" w:rsidP="006E7677">
            <w:pPr>
              <w:rPr>
                <w:sz w:val="22"/>
                <w:szCs w:val="22"/>
              </w:rPr>
            </w:pPr>
            <w:r w:rsidRPr="000E1FAF">
              <w:rPr>
                <w:sz w:val="22"/>
                <w:szCs w:val="22"/>
              </w:rPr>
              <w:t>201</w:t>
            </w:r>
            <w:r w:rsidR="00FA0348" w:rsidRPr="000E1FAF">
              <w:rPr>
                <w:sz w:val="22"/>
                <w:szCs w:val="22"/>
              </w:rPr>
              <w:t>9</w:t>
            </w:r>
          </w:p>
        </w:tc>
        <w:tc>
          <w:tcPr>
            <w:tcW w:w="1216" w:type="dxa"/>
            <w:tcBorders>
              <w:bottom w:val="single" w:sz="4" w:space="0" w:color="000000"/>
            </w:tcBorders>
            <w:shd w:val="clear" w:color="auto" w:fill="auto"/>
          </w:tcPr>
          <w:p w:rsidR="005B2E2B" w:rsidRPr="000E1FAF" w:rsidRDefault="000B04E9" w:rsidP="005079F9">
            <w:pPr>
              <w:jc w:val="center"/>
              <w:rPr>
                <w:bCs/>
                <w:sz w:val="22"/>
                <w:szCs w:val="22"/>
              </w:rPr>
            </w:pPr>
            <w:r w:rsidRPr="000E1FAF">
              <w:rPr>
                <w:bCs/>
                <w:sz w:val="22"/>
                <w:szCs w:val="22"/>
              </w:rPr>
              <w:t>No</w:t>
            </w:r>
          </w:p>
        </w:tc>
        <w:tc>
          <w:tcPr>
            <w:tcW w:w="644" w:type="dxa"/>
            <w:tcBorders>
              <w:bottom w:val="single" w:sz="4" w:space="0" w:color="000000"/>
            </w:tcBorders>
          </w:tcPr>
          <w:p w:rsidR="005B2E2B" w:rsidRPr="000E1FAF" w:rsidRDefault="005B2E2B" w:rsidP="005079F9">
            <w:pPr>
              <w:jc w:val="center"/>
              <w:rPr>
                <w:sz w:val="22"/>
                <w:szCs w:val="22"/>
              </w:rPr>
            </w:pPr>
            <w:r w:rsidRPr="000E1FAF">
              <w:rPr>
                <w:bCs/>
                <w:sz w:val="22"/>
                <w:szCs w:val="22"/>
              </w:rPr>
              <w:t>35</w:t>
            </w:r>
          </w:p>
        </w:tc>
        <w:tc>
          <w:tcPr>
            <w:tcW w:w="552" w:type="dxa"/>
            <w:tcBorders>
              <w:bottom w:val="single" w:sz="4" w:space="0" w:color="000000"/>
            </w:tcBorders>
          </w:tcPr>
          <w:p w:rsidR="005B2E2B" w:rsidRPr="000E1FAF" w:rsidRDefault="005B2E2B" w:rsidP="00002117">
            <w:pPr>
              <w:jc w:val="center"/>
              <w:rPr>
                <w:bCs/>
                <w:sz w:val="22"/>
                <w:szCs w:val="22"/>
              </w:rPr>
            </w:pPr>
            <w:r w:rsidRPr="000E1FAF">
              <w:rPr>
                <w:bCs/>
                <w:sz w:val="22"/>
                <w:szCs w:val="22"/>
              </w:rPr>
              <w:t>0</w:t>
            </w:r>
          </w:p>
        </w:tc>
        <w:tc>
          <w:tcPr>
            <w:tcW w:w="555" w:type="dxa"/>
            <w:tcBorders>
              <w:bottom w:val="single" w:sz="4" w:space="0" w:color="000000"/>
            </w:tcBorders>
          </w:tcPr>
          <w:p w:rsidR="005B2E2B" w:rsidRPr="000E1FAF" w:rsidRDefault="005B2E2B" w:rsidP="00002117">
            <w:pPr>
              <w:jc w:val="center"/>
              <w:rPr>
                <w:bCs/>
                <w:sz w:val="22"/>
                <w:szCs w:val="22"/>
              </w:rPr>
            </w:pPr>
            <w:r w:rsidRPr="000E1FAF">
              <w:rPr>
                <w:bCs/>
                <w:sz w:val="22"/>
                <w:szCs w:val="22"/>
              </w:rPr>
              <w:t>3</w:t>
            </w:r>
          </w:p>
        </w:tc>
        <w:tc>
          <w:tcPr>
            <w:tcW w:w="555" w:type="dxa"/>
            <w:tcBorders>
              <w:bottom w:val="single" w:sz="4" w:space="0" w:color="000000"/>
            </w:tcBorders>
          </w:tcPr>
          <w:p w:rsidR="005B2E2B" w:rsidRPr="000E1FAF" w:rsidRDefault="005B2E2B" w:rsidP="006E6B9C">
            <w:pPr>
              <w:jc w:val="center"/>
              <w:rPr>
                <w:bCs/>
                <w:sz w:val="22"/>
                <w:szCs w:val="22"/>
              </w:rPr>
            </w:pPr>
            <w:r w:rsidRPr="000E1FAF">
              <w:rPr>
                <w:bCs/>
                <w:sz w:val="22"/>
                <w:szCs w:val="22"/>
              </w:rPr>
              <w:t>10</w:t>
            </w:r>
          </w:p>
        </w:tc>
      </w:tr>
      <w:tr w:rsidR="000E1FAF" w:rsidRPr="00A71011" w:rsidTr="0090128C">
        <w:tc>
          <w:tcPr>
            <w:tcW w:w="6852" w:type="dxa"/>
          </w:tcPr>
          <w:p w:rsidR="005B2E2B" w:rsidRPr="00015567" w:rsidRDefault="005B2E2B" w:rsidP="00002117">
            <w:pPr>
              <w:rPr>
                <w:bCs/>
                <w:sz w:val="22"/>
                <w:szCs w:val="22"/>
                <w:lang w:val="en-US"/>
              </w:rPr>
            </w:pPr>
            <w:r w:rsidRPr="002B42DE">
              <w:rPr>
                <w:b/>
                <w:bCs/>
                <w:sz w:val="22"/>
                <w:szCs w:val="22"/>
                <w:lang w:val="en-US"/>
              </w:rPr>
              <w:t xml:space="preserve">ERC/DEC/(95)03 </w:t>
            </w:r>
            <w:r w:rsidRPr="00015567">
              <w:rPr>
                <w:b/>
                <w:bCs/>
                <w:sz w:val="22"/>
                <w:szCs w:val="22"/>
              </w:rPr>
              <w:t xml:space="preserve">- </w:t>
            </w:r>
            <w:r w:rsidRPr="00015567">
              <w:rPr>
                <w:bCs/>
                <w:sz w:val="22"/>
                <w:szCs w:val="22"/>
                <w:lang w:val="en-US"/>
              </w:rPr>
              <w:t xml:space="preserve">ERC Decision of 1 December 1995 on the frequency bands to be designated for the introduction of DCS 1800 </w:t>
            </w:r>
          </w:p>
        </w:tc>
        <w:tc>
          <w:tcPr>
            <w:tcW w:w="1341" w:type="dxa"/>
          </w:tcPr>
          <w:p w:rsidR="005B2E2B" w:rsidRPr="00AC7C59" w:rsidRDefault="005B2E2B" w:rsidP="00002117">
            <w:pPr>
              <w:rPr>
                <w:sz w:val="22"/>
                <w:szCs w:val="22"/>
              </w:rPr>
            </w:pPr>
            <w:r w:rsidRPr="00AC7C59">
              <w:rPr>
                <w:sz w:val="22"/>
                <w:szCs w:val="22"/>
              </w:rPr>
              <w:t>ECC PT1</w:t>
            </w:r>
          </w:p>
        </w:tc>
        <w:tc>
          <w:tcPr>
            <w:tcW w:w="1719" w:type="dxa"/>
          </w:tcPr>
          <w:p w:rsidR="005B2E2B" w:rsidRPr="000D145D" w:rsidRDefault="005B2E2B" w:rsidP="00002117">
            <w:r w:rsidRPr="000D145D">
              <w:rPr>
                <w:sz w:val="22"/>
                <w:szCs w:val="22"/>
                <w:lang w:val="en-US"/>
              </w:rPr>
              <w:t>Retain</w:t>
            </w:r>
          </w:p>
        </w:tc>
        <w:tc>
          <w:tcPr>
            <w:tcW w:w="1136" w:type="dxa"/>
          </w:tcPr>
          <w:p w:rsidR="005B2E2B" w:rsidRPr="00AC7C59" w:rsidRDefault="005B2E2B" w:rsidP="00A87402">
            <w:r w:rsidRPr="00AC7C59">
              <w:rPr>
                <w:sz w:val="22"/>
                <w:szCs w:val="22"/>
              </w:rPr>
              <w:t>2015</w:t>
            </w:r>
          </w:p>
        </w:tc>
        <w:tc>
          <w:tcPr>
            <w:tcW w:w="1216" w:type="dxa"/>
            <w:shd w:val="clear" w:color="auto" w:fill="auto"/>
          </w:tcPr>
          <w:p w:rsidR="005B2E2B" w:rsidRPr="00EB1645" w:rsidRDefault="005B2E2B" w:rsidP="005079F9">
            <w:pPr>
              <w:jc w:val="center"/>
              <w:rPr>
                <w:bCs/>
                <w:sz w:val="22"/>
                <w:szCs w:val="22"/>
              </w:rPr>
            </w:pPr>
          </w:p>
        </w:tc>
        <w:tc>
          <w:tcPr>
            <w:tcW w:w="644" w:type="dxa"/>
          </w:tcPr>
          <w:p w:rsidR="005B2E2B" w:rsidRPr="00AC7C59" w:rsidRDefault="005B2E2B" w:rsidP="005079F9">
            <w:pPr>
              <w:jc w:val="center"/>
              <w:rPr>
                <w:sz w:val="22"/>
                <w:szCs w:val="22"/>
              </w:rPr>
            </w:pPr>
            <w:r>
              <w:rPr>
                <w:bCs/>
                <w:sz w:val="22"/>
                <w:szCs w:val="22"/>
              </w:rPr>
              <w:t>39</w:t>
            </w:r>
          </w:p>
        </w:tc>
        <w:tc>
          <w:tcPr>
            <w:tcW w:w="552" w:type="dxa"/>
          </w:tcPr>
          <w:p w:rsidR="005B2E2B" w:rsidRPr="00AC7C59" w:rsidRDefault="005B2E2B" w:rsidP="00002117">
            <w:pPr>
              <w:jc w:val="center"/>
              <w:rPr>
                <w:bCs/>
                <w:sz w:val="22"/>
                <w:szCs w:val="22"/>
              </w:rPr>
            </w:pPr>
            <w:r w:rsidRPr="00AC7C59">
              <w:rPr>
                <w:bCs/>
                <w:sz w:val="22"/>
                <w:szCs w:val="22"/>
              </w:rPr>
              <w:t>1</w:t>
            </w:r>
          </w:p>
        </w:tc>
        <w:tc>
          <w:tcPr>
            <w:tcW w:w="555" w:type="dxa"/>
          </w:tcPr>
          <w:p w:rsidR="005B2E2B" w:rsidRPr="00AC7C59" w:rsidRDefault="005B2E2B" w:rsidP="00002117">
            <w:pPr>
              <w:jc w:val="center"/>
              <w:rPr>
                <w:bCs/>
                <w:sz w:val="22"/>
                <w:szCs w:val="22"/>
              </w:rPr>
            </w:pPr>
            <w:r w:rsidRPr="00AC7C59">
              <w:rPr>
                <w:bCs/>
                <w:sz w:val="22"/>
                <w:szCs w:val="22"/>
              </w:rPr>
              <w:t>0</w:t>
            </w:r>
          </w:p>
        </w:tc>
        <w:tc>
          <w:tcPr>
            <w:tcW w:w="555" w:type="dxa"/>
          </w:tcPr>
          <w:p w:rsidR="005B2E2B" w:rsidRPr="00AC7C59" w:rsidRDefault="005B2E2B" w:rsidP="005079F9">
            <w:pPr>
              <w:jc w:val="center"/>
              <w:rPr>
                <w:bCs/>
                <w:sz w:val="22"/>
                <w:szCs w:val="22"/>
              </w:rPr>
            </w:pPr>
            <w:r>
              <w:rPr>
                <w:bCs/>
                <w:sz w:val="22"/>
                <w:szCs w:val="22"/>
              </w:rPr>
              <w:t>8</w:t>
            </w:r>
          </w:p>
        </w:tc>
      </w:tr>
      <w:tr w:rsidR="000E1FAF" w:rsidRPr="00A71011" w:rsidTr="0090128C">
        <w:tc>
          <w:tcPr>
            <w:tcW w:w="6852" w:type="dxa"/>
            <w:tcBorders>
              <w:bottom w:val="single" w:sz="4" w:space="0" w:color="000000"/>
            </w:tcBorders>
          </w:tcPr>
          <w:p w:rsidR="005B2E2B" w:rsidRDefault="005B2E2B" w:rsidP="00002117">
            <w:pPr>
              <w:rPr>
                <w:bCs/>
                <w:sz w:val="22"/>
                <w:szCs w:val="22"/>
              </w:rPr>
            </w:pPr>
            <w:r w:rsidRPr="002B42DE">
              <w:rPr>
                <w:b/>
                <w:bCs/>
                <w:sz w:val="22"/>
                <w:szCs w:val="22"/>
                <w:lang w:val="en-US"/>
              </w:rPr>
              <w:t xml:space="preserve">ERC/DEC/(97)02 </w:t>
            </w:r>
            <w:r w:rsidRPr="00015567">
              <w:rPr>
                <w:b/>
                <w:bCs/>
                <w:sz w:val="22"/>
                <w:szCs w:val="22"/>
              </w:rPr>
              <w:t xml:space="preserve">- </w:t>
            </w:r>
            <w:r w:rsidRPr="00015567">
              <w:rPr>
                <w:bCs/>
                <w:sz w:val="22"/>
                <w:szCs w:val="22"/>
              </w:rPr>
              <w:t>ERC Decision of 21 March 1997 on the extended frequency bands to be used for the GSM Digital Pan-European Communication System</w:t>
            </w:r>
          </w:p>
          <w:p w:rsidR="000E1FAF" w:rsidRPr="00015567" w:rsidRDefault="000E1FAF" w:rsidP="00002117">
            <w:pPr>
              <w:rPr>
                <w:sz w:val="22"/>
                <w:szCs w:val="22"/>
              </w:rPr>
            </w:pPr>
          </w:p>
        </w:tc>
        <w:tc>
          <w:tcPr>
            <w:tcW w:w="1341" w:type="dxa"/>
            <w:tcBorders>
              <w:bottom w:val="single" w:sz="4" w:space="0" w:color="000000"/>
            </w:tcBorders>
          </w:tcPr>
          <w:p w:rsidR="005B2E2B" w:rsidRPr="00AC7C59" w:rsidRDefault="005B2E2B" w:rsidP="00002117">
            <w:pPr>
              <w:rPr>
                <w:sz w:val="22"/>
                <w:szCs w:val="22"/>
              </w:rPr>
            </w:pPr>
            <w:r w:rsidRPr="00AC7C59">
              <w:rPr>
                <w:sz w:val="22"/>
                <w:szCs w:val="22"/>
              </w:rPr>
              <w:lastRenderedPageBreak/>
              <w:t>ECC PT1</w:t>
            </w:r>
          </w:p>
        </w:tc>
        <w:tc>
          <w:tcPr>
            <w:tcW w:w="1719" w:type="dxa"/>
            <w:tcBorders>
              <w:bottom w:val="single" w:sz="4" w:space="0" w:color="000000"/>
            </w:tcBorders>
          </w:tcPr>
          <w:p w:rsidR="005B2E2B" w:rsidRPr="000D145D" w:rsidRDefault="005B2E2B" w:rsidP="00002117">
            <w:r w:rsidRPr="000D145D">
              <w:rPr>
                <w:sz w:val="22"/>
                <w:szCs w:val="22"/>
                <w:lang w:val="en-US"/>
              </w:rPr>
              <w:t>Retain</w:t>
            </w:r>
          </w:p>
        </w:tc>
        <w:tc>
          <w:tcPr>
            <w:tcW w:w="1136" w:type="dxa"/>
            <w:tcBorders>
              <w:bottom w:val="single" w:sz="4" w:space="0" w:color="000000"/>
            </w:tcBorders>
          </w:tcPr>
          <w:p w:rsidR="005B2E2B" w:rsidRPr="00AC7C59" w:rsidRDefault="005B2E2B" w:rsidP="00A87402">
            <w:r w:rsidRPr="00AC7C59">
              <w:rPr>
                <w:sz w:val="22"/>
                <w:szCs w:val="22"/>
              </w:rPr>
              <w:t>2015</w:t>
            </w:r>
          </w:p>
        </w:tc>
        <w:tc>
          <w:tcPr>
            <w:tcW w:w="1216" w:type="dxa"/>
            <w:tcBorders>
              <w:bottom w:val="single" w:sz="4" w:space="0" w:color="000000"/>
            </w:tcBorders>
            <w:shd w:val="clear" w:color="auto" w:fill="auto"/>
          </w:tcPr>
          <w:p w:rsidR="005B2E2B" w:rsidRPr="00EB1645" w:rsidRDefault="005B2E2B" w:rsidP="005079F9">
            <w:pPr>
              <w:jc w:val="center"/>
              <w:rPr>
                <w:bCs/>
                <w:sz w:val="22"/>
                <w:szCs w:val="22"/>
              </w:rPr>
            </w:pPr>
          </w:p>
        </w:tc>
        <w:tc>
          <w:tcPr>
            <w:tcW w:w="644" w:type="dxa"/>
            <w:tcBorders>
              <w:bottom w:val="single" w:sz="4" w:space="0" w:color="000000"/>
            </w:tcBorders>
          </w:tcPr>
          <w:p w:rsidR="005B2E2B" w:rsidRPr="00AC7C59" w:rsidRDefault="005B2E2B" w:rsidP="005079F9">
            <w:pPr>
              <w:jc w:val="center"/>
              <w:rPr>
                <w:sz w:val="22"/>
                <w:szCs w:val="22"/>
              </w:rPr>
            </w:pPr>
            <w:r w:rsidRPr="00AC7C59">
              <w:rPr>
                <w:bCs/>
                <w:sz w:val="22"/>
                <w:szCs w:val="22"/>
              </w:rPr>
              <w:t>3</w:t>
            </w:r>
            <w:r>
              <w:rPr>
                <w:bCs/>
                <w:sz w:val="22"/>
                <w:szCs w:val="22"/>
              </w:rPr>
              <w:t>7</w:t>
            </w:r>
          </w:p>
        </w:tc>
        <w:tc>
          <w:tcPr>
            <w:tcW w:w="552" w:type="dxa"/>
            <w:tcBorders>
              <w:bottom w:val="single" w:sz="4" w:space="0" w:color="000000"/>
            </w:tcBorders>
          </w:tcPr>
          <w:p w:rsidR="005B2E2B" w:rsidRPr="00AC7C59" w:rsidRDefault="005B2E2B" w:rsidP="005079F9">
            <w:pPr>
              <w:jc w:val="center"/>
              <w:rPr>
                <w:bCs/>
                <w:sz w:val="22"/>
                <w:szCs w:val="22"/>
              </w:rPr>
            </w:pPr>
            <w:r>
              <w:rPr>
                <w:bCs/>
                <w:sz w:val="22"/>
                <w:szCs w:val="22"/>
              </w:rPr>
              <w:t>2</w:t>
            </w:r>
          </w:p>
        </w:tc>
        <w:tc>
          <w:tcPr>
            <w:tcW w:w="555" w:type="dxa"/>
            <w:tcBorders>
              <w:bottom w:val="single" w:sz="4" w:space="0" w:color="000000"/>
            </w:tcBorders>
          </w:tcPr>
          <w:p w:rsidR="005B2E2B" w:rsidRPr="00AC7C59" w:rsidRDefault="005B2E2B" w:rsidP="00002117">
            <w:pPr>
              <w:jc w:val="center"/>
              <w:rPr>
                <w:bCs/>
                <w:sz w:val="22"/>
                <w:szCs w:val="22"/>
              </w:rPr>
            </w:pPr>
            <w:r w:rsidRPr="00AC7C59">
              <w:rPr>
                <w:bCs/>
                <w:sz w:val="22"/>
                <w:szCs w:val="22"/>
              </w:rPr>
              <w:t>1</w:t>
            </w:r>
          </w:p>
        </w:tc>
        <w:tc>
          <w:tcPr>
            <w:tcW w:w="555" w:type="dxa"/>
            <w:tcBorders>
              <w:bottom w:val="single" w:sz="4" w:space="0" w:color="000000"/>
            </w:tcBorders>
          </w:tcPr>
          <w:p w:rsidR="005B2E2B" w:rsidRPr="00AC7C59" w:rsidRDefault="005B2E2B" w:rsidP="005079F9">
            <w:pPr>
              <w:jc w:val="center"/>
              <w:rPr>
                <w:bCs/>
                <w:sz w:val="22"/>
                <w:szCs w:val="22"/>
              </w:rPr>
            </w:pPr>
            <w:r>
              <w:rPr>
                <w:bCs/>
                <w:sz w:val="22"/>
                <w:szCs w:val="22"/>
              </w:rPr>
              <w:t>8</w:t>
            </w:r>
          </w:p>
        </w:tc>
      </w:tr>
      <w:tr w:rsidR="000E1FAF" w:rsidRPr="000E1FAF" w:rsidTr="0090128C">
        <w:tc>
          <w:tcPr>
            <w:tcW w:w="6852" w:type="dxa"/>
            <w:tcBorders>
              <w:bottom w:val="single" w:sz="4" w:space="0" w:color="000000"/>
            </w:tcBorders>
          </w:tcPr>
          <w:p w:rsidR="0055684D" w:rsidRPr="000E1FAF" w:rsidRDefault="0055684D" w:rsidP="0055684D">
            <w:pPr>
              <w:rPr>
                <w:bCs/>
                <w:sz w:val="22"/>
                <w:szCs w:val="22"/>
                <w:lang w:val="en-US"/>
              </w:rPr>
            </w:pPr>
            <w:r w:rsidRPr="000E1FAF">
              <w:rPr>
                <w:b/>
                <w:bCs/>
                <w:sz w:val="22"/>
                <w:szCs w:val="22"/>
              </w:rPr>
              <w:lastRenderedPageBreak/>
              <w:t xml:space="preserve">ERC/DEC/(97)11 - </w:t>
            </w:r>
            <w:r w:rsidRPr="000E1FAF">
              <w:rPr>
                <w:bCs/>
                <w:sz w:val="22"/>
                <w:szCs w:val="22"/>
                <w:lang w:val="en-US"/>
              </w:rPr>
              <w:t>ERC Decision of 5 December 1997 on free circulation and use of DCS 1800 mobile terminals in CEPT member countries enlarging the field of application of ERC/DEC/(95)01</w:t>
            </w:r>
          </w:p>
          <w:p w:rsidR="0090128C" w:rsidRPr="002B42DE" w:rsidRDefault="0055684D">
            <w:pPr>
              <w:rPr>
                <w:b/>
                <w:bCs/>
                <w:sz w:val="22"/>
                <w:szCs w:val="22"/>
                <w:lang w:val="en-US"/>
              </w:rPr>
            </w:pPr>
            <w:r w:rsidRPr="000E1FAF">
              <w:rPr>
                <w:i/>
                <w:color w:val="FF0000"/>
                <w:sz w:val="22"/>
                <w:szCs w:val="22"/>
              </w:rPr>
              <w:t>Note: this Decision is replaced by ECC/DEC/(12)01 and will be withdrawn on 14 June 2014</w:t>
            </w:r>
          </w:p>
        </w:tc>
        <w:tc>
          <w:tcPr>
            <w:tcW w:w="1341" w:type="dxa"/>
            <w:tcBorders>
              <w:bottom w:val="single" w:sz="4" w:space="0" w:color="000000"/>
            </w:tcBorders>
          </w:tcPr>
          <w:p w:rsidR="0055684D" w:rsidRPr="000E1FAF" w:rsidRDefault="0090128C" w:rsidP="00002117">
            <w:pPr>
              <w:rPr>
                <w:sz w:val="22"/>
                <w:szCs w:val="22"/>
              </w:rPr>
            </w:pPr>
            <w:r w:rsidRPr="000E1FAF">
              <w:rPr>
                <w:sz w:val="22"/>
                <w:szCs w:val="22"/>
              </w:rPr>
              <w:t>ECC PT1</w:t>
            </w:r>
          </w:p>
        </w:tc>
        <w:tc>
          <w:tcPr>
            <w:tcW w:w="1719" w:type="dxa"/>
            <w:tcBorders>
              <w:bottom w:val="single" w:sz="4" w:space="0" w:color="000000"/>
            </w:tcBorders>
          </w:tcPr>
          <w:p w:rsidR="0055684D" w:rsidRPr="00AA7B36" w:rsidRDefault="00136A6A" w:rsidP="00002117">
            <w:pPr>
              <w:rPr>
                <w:sz w:val="22"/>
                <w:szCs w:val="22"/>
                <w:lang w:val="ru-RU"/>
              </w:rPr>
            </w:pPr>
            <w:r w:rsidRPr="00AA7B36">
              <w:rPr>
                <w:sz w:val="22"/>
                <w:szCs w:val="22"/>
                <w:lang w:val="en-US"/>
              </w:rPr>
              <w:t>Abrogate</w:t>
            </w:r>
          </w:p>
        </w:tc>
        <w:tc>
          <w:tcPr>
            <w:tcW w:w="1136" w:type="dxa"/>
            <w:tcBorders>
              <w:bottom w:val="single" w:sz="4" w:space="0" w:color="000000"/>
            </w:tcBorders>
          </w:tcPr>
          <w:p w:rsidR="00136A6A" w:rsidRPr="00AA7B36" w:rsidRDefault="00136A6A" w:rsidP="00136A6A">
            <w:pPr>
              <w:rPr>
                <w:i/>
                <w:sz w:val="22"/>
                <w:szCs w:val="22"/>
              </w:rPr>
            </w:pPr>
            <w:r w:rsidRPr="00AA7B36">
              <w:rPr>
                <w:i/>
                <w:sz w:val="22"/>
                <w:szCs w:val="22"/>
                <w:lang w:val="en-US"/>
              </w:rPr>
              <w:t>2014</w:t>
            </w:r>
          </w:p>
          <w:p w:rsidR="0055684D" w:rsidRPr="00AA7B36" w:rsidRDefault="0055684D" w:rsidP="0090128C">
            <w:pPr>
              <w:rPr>
                <w:i/>
                <w:sz w:val="22"/>
                <w:szCs w:val="22"/>
              </w:rPr>
            </w:pPr>
          </w:p>
        </w:tc>
        <w:tc>
          <w:tcPr>
            <w:tcW w:w="1216" w:type="dxa"/>
            <w:tcBorders>
              <w:bottom w:val="single" w:sz="4" w:space="0" w:color="000000"/>
            </w:tcBorders>
            <w:shd w:val="clear" w:color="auto" w:fill="auto"/>
          </w:tcPr>
          <w:p w:rsidR="0055684D" w:rsidRPr="000E1FAF" w:rsidRDefault="0055684D" w:rsidP="005079F9">
            <w:pPr>
              <w:jc w:val="center"/>
              <w:rPr>
                <w:bCs/>
                <w:sz w:val="22"/>
                <w:szCs w:val="22"/>
              </w:rPr>
            </w:pPr>
          </w:p>
        </w:tc>
        <w:tc>
          <w:tcPr>
            <w:tcW w:w="644" w:type="dxa"/>
            <w:tcBorders>
              <w:bottom w:val="single" w:sz="4" w:space="0" w:color="000000"/>
            </w:tcBorders>
          </w:tcPr>
          <w:p w:rsidR="0055684D" w:rsidRPr="000E1FAF" w:rsidRDefault="0055684D" w:rsidP="005079F9">
            <w:pPr>
              <w:jc w:val="center"/>
              <w:rPr>
                <w:bCs/>
                <w:sz w:val="22"/>
                <w:szCs w:val="22"/>
              </w:rPr>
            </w:pPr>
          </w:p>
        </w:tc>
        <w:tc>
          <w:tcPr>
            <w:tcW w:w="552" w:type="dxa"/>
            <w:tcBorders>
              <w:bottom w:val="single" w:sz="4" w:space="0" w:color="000000"/>
            </w:tcBorders>
          </w:tcPr>
          <w:p w:rsidR="0055684D" w:rsidRPr="000E1FAF" w:rsidRDefault="0055684D" w:rsidP="005079F9">
            <w:pPr>
              <w:jc w:val="center"/>
              <w:rPr>
                <w:bCs/>
                <w:sz w:val="22"/>
                <w:szCs w:val="22"/>
              </w:rPr>
            </w:pPr>
          </w:p>
        </w:tc>
        <w:tc>
          <w:tcPr>
            <w:tcW w:w="555" w:type="dxa"/>
            <w:tcBorders>
              <w:bottom w:val="single" w:sz="4" w:space="0" w:color="000000"/>
            </w:tcBorders>
          </w:tcPr>
          <w:p w:rsidR="0055684D" w:rsidRPr="000E1FAF" w:rsidRDefault="0055684D" w:rsidP="00002117">
            <w:pPr>
              <w:jc w:val="center"/>
              <w:rPr>
                <w:bCs/>
                <w:sz w:val="22"/>
                <w:szCs w:val="22"/>
              </w:rPr>
            </w:pPr>
          </w:p>
        </w:tc>
        <w:tc>
          <w:tcPr>
            <w:tcW w:w="555" w:type="dxa"/>
            <w:tcBorders>
              <w:bottom w:val="single" w:sz="4" w:space="0" w:color="000000"/>
            </w:tcBorders>
          </w:tcPr>
          <w:p w:rsidR="0055684D" w:rsidRPr="000E1FAF" w:rsidRDefault="0055684D" w:rsidP="005079F9">
            <w:pPr>
              <w:jc w:val="center"/>
              <w:rPr>
                <w:bCs/>
                <w:sz w:val="22"/>
                <w:szCs w:val="22"/>
              </w:rPr>
            </w:pPr>
          </w:p>
        </w:tc>
      </w:tr>
      <w:tr w:rsidR="000E1FAF" w:rsidRPr="000E1FAF" w:rsidTr="0090128C">
        <w:tc>
          <w:tcPr>
            <w:tcW w:w="6852" w:type="dxa"/>
            <w:tcBorders>
              <w:bottom w:val="single" w:sz="4" w:space="0" w:color="000000"/>
            </w:tcBorders>
          </w:tcPr>
          <w:p w:rsidR="005B2E2B" w:rsidRPr="000E1FAF" w:rsidRDefault="005B2E2B" w:rsidP="00002117">
            <w:pPr>
              <w:rPr>
                <w:sz w:val="22"/>
                <w:szCs w:val="22"/>
                <w:lang w:val="en-US"/>
              </w:rPr>
            </w:pPr>
            <w:r w:rsidRPr="002B42DE">
              <w:rPr>
                <w:b/>
                <w:bCs/>
                <w:sz w:val="22"/>
                <w:szCs w:val="22"/>
                <w:lang w:val="en-US"/>
              </w:rPr>
              <w:t xml:space="preserve">ERC/DEC/(98)15 </w:t>
            </w:r>
            <w:r w:rsidRPr="000E1FAF">
              <w:rPr>
                <w:b/>
                <w:bCs/>
                <w:sz w:val="22"/>
                <w:szCs w:val="22"/>
              </w:rPr>
              <w:t xml:space="preserve">- </w:t>
            </w:r>
            <w:r w:rsidRPr="000E1FAF">
              <w:rPr>
                <w:sz w:val="22"/>
                <w:szCs w:val="22"/>
                <w:lang w:val="en-US"/>
              </w:rPr>
              <w:t xml:space="preserve">ERC Decision of 23 November 1998 on Exemption from Individual Licensing of </w:t>
            </w:r>
            <w:proofErr w:type="spellStart"/>
            <w:r w:rsidRPr="000E1FAF">
              <w:rPr>
                <w:sz w:val="22"/>
                <w:szCs w:val="22"/>
                <w:lang w:val="en-US"/>
              </w:rPr>
              <w:t>Omnitracs</w:t>
            </w:r>
            <w:proofErr w:type="spellEnd"/>
            <w:r w:rsidRPr="000E1FAF">
              <w:rPr>
                <w:sz w:val="22"/>
                <w:szCs w:val="22"/>
                <w:lang w:val="en-US"/>
              </w:rPr>
              <w:t xml:space="preserve"> terminals for the </w:t>
            </w:r>
            <w:proofErr w:type="spellStart"/>
            <w:r w:rsidRPr="000E1FAF">
              <w:rPr>
                <w:sz w:val="22"/>
                <w:szCs w:val="22"/>
                <w:lang w:val="en-US"/>
              </w:rPr>
              <w:t>Euteltracs</w:t>
            </w:r>
            <w:proofErr w:type="spellEnd"/>
            <w:r w:rsidRPr="000E1FAF">
              <w:rPr>
                <w:sz w:val="22"/>
                <w:szCs w:val="22"/>
                <w:lang w:val="en-US"/>
              </w:rPr>
              <w:t xml:space="preserve"> system </w:t>
            </w:r>
          </w:p>
        </w:tc>
        <w:tc>
          <w:tcPr>
            <w:tcW w:w="1341" w:type="dxa"/>
            <w:tcBorders>
              <w:bottom w:val="single" w:sz="4" w:space="0" w:color="000000"/>
            </w:tcBorders>
          </w:tcPr>
          <w:p w:rsidR="005B2E2B" w:rsidRPr="000E1FAF" w:rsidRDefault="005B2E2B" w:rsidP="00002117">
            <w:pPr>
              <w:rPr>
                <w:sz w:val="22"/>
                <w:szCs w:val="22"/>
              </w:rPr>
            </w:pPr>
            <w:r w:rsidRPr="000E1FAF">
              <w:rPr>
                <w:sz w:val="22"/>
                <w:szCs w:val="22"/>
              </w:rPr>
              <w:t>FM44</w:t>
            </w:r>
          </w:p>
        </w:tc>
        <w:tc>
          <w:tcPr>
            <w:tcW w:w="1719" w:type="dxa"/>
            <w:tcBorders>
              <w:bottom w:val="single" w:sz="4" w:space="0" w:color="000000"/>
            </w:tcBorders>
          </w:tcPr>
          <w:p w:rsidR="005B2E2B" w:rsidRPr="000E1FAF" w:rsidRDefault="005B2E2B" w:rsidP="00002117">
            <w:pPr>
              <w:rPr>
                <w:sz w:val="22"/>
                <w:szCs w:val="22"/>
              </w:rPr>
            </w:pPr>
            <w:r w:rsidRPr="000E1FAF">
              <w:rPr>
                <w:sz w:val="22"/>
                <w:szCs w:val="22"/>
                <w:lang w:val="en-US"/>
              </w:rPr>
              <w:t>Retain</w:t>
            </w:r>
          </w:p>
        </w:tc>
        <w:tc>
          <w:tcPr>
            <w:tcW w:w="1136" w:type="dxa"/>
            <w:tcBorders>
              <w:bottom w:val="single" w:sz="4" w:space="0" w:color="000000"/>
            </w:tcBorders>
          </w:tcPr>
          <w:p w:rsidR="005B2E2B" w:rsidRPr="000E1FAF" w:rsidRDefault="005B2E2B" w:rsidP="00002117">
            <w:pPr>
              <w:rPr>
                <w:i/>
                <w:sz w:val="22"/>
                <w:szCs w:val="22"/>
              </w:rPr>
            </w:pPr>
            <w:r w:rsidRPr="000E1FAF">
              <w:rPr>
                <w:i/>
                <w:sz w:val="22"/>
                <w:szCs w:val="22"/>
              </w:rPr>
              <w:t>2016</w:t>
            </w:r>
          </w:p>
        </w:tc>
        <w:tc>
          <w:tcPr>
            <w:tcW w:w="1216" w:type="dxa"/>
            <w:tcBorders>
              <w:bottom w:val="single" w:sz="4" w:space="0" w:color="000000"/>
            </w:tcBorders>
            <w:shd w:val="clear" w:color="auto" w:fill="auto"/>
          </w:tcPr>
          <w:p w:rsidR="005B2E2B" w:rsidRPr="000E1FAF" w:rsidRDefault="005B2E2B" w:rsidP="005079F9">
            <w:pPr>
              <w:jc w:val="center"/>
              <w:rPr>
                <w:bCs/>
                <w:sz w:val="22"/>
                <w:szCs w:val="22"/>
              </w:rPr>
            </w:pPr>
          </w:p>
        </w:tc>
        <w:tc>
          <w:tcPr>
            <w:tcW w:w="644" w:type="dxa"/>
            <w:tcBorders>
              <w:bottom w:val="single" w:sz="4" w:space="0" w:color="000000"/>
            </w:tcBorders>
          </w:tcPr>
          <w:p w:rsidR="005B2E2B" w:rsidRPr="000E1FAF" w:rsidRDefault="005B2E2B" w:rsidP="005079F9">
            <w:pPr>
              <w:jc w:val="center"/>
              <w:rPr>
                <w:sz w:val="22"/>
                <w:szCs w:val="22"/>
              </w:rPr>
            </w:pPr>
            <w:r w:rsidRPr="000E1FAF">
              <w:rPr>
                <w:bCs/>
                <w:sz w:val="22"/>
                <w:szCs w:val="22"/>
              </w:rPr>
              <w:t>34</w:t>
            </w:r>
          </w:p>
        </w:tc>
        <w:tc>
          <w:tcPr>
            <w:tcW w:w="552" w:type="dxa"/>
            <w:tcBorders>
              <w:bottom w:val="single" w:sz="4" w:space="0" w:color="000000"/>
            </w:tcBorders>
          </w:tcPr>
          <w:p w:rsidR="005B2E2B" w:rsidRPr="000E1FAF" w:rsidRDefault="005B2E2B" w:rsidP="004F34BD">
            <w:pPr>
              <w:jc w:val="center"/>
              <w:rPr>
                <w:sz w:val="22"/>
                <w:szCs w:val="22"/>
              </w:rPr>
            </w:pPr>
            <w:r w:rsidRPr="000E1FAF">
              <w:rPr>
                <w:sz w:val="22"/>
                <w:szCs w:val="22"/>
              </w:rPr>
              <w:t>1</w:t>
            </w:r>
          </w:p>
        </w:tc>
        <w:tc>
          <w:tcPr>
            <w:tcW w:w="555" w:type="dxa"/>
            <w:tcBorders>
              <w:bottom w:val="single" w:sz="4" w:space="0" w:color="000000"/>
            </w:tcBorders>
          </w:tcPr>
          <w:p w:rsidR="005B2E2B" w:rsidRPr="000E1FAF" w:rsidRDefault="005B2E2B" w:rsidP="005079F9">
            <w:pPr>
              <w:jc w:val="center"/>
              <w:rPr>
                <w:sz w:val="22"/>
                <w:szCs w:val="22"/>
              </w:rPr>
            </w:pPr>
            <w:r w:rsidRPr="000E1FAF">
              <w:rPr>
                <w:sz w:val="22"/>
                <w:szCs w:val="22"/>
              </w:rPr>
              <w:t>4</w:t>
            </w:r>
          </w:p>
        </w:tc>
        <w:tc>
          <w:tcPr>
            <w:tcW w:w="555" w:type="dxa"/>
            <w:tcBorders>
              <w:bottom w:val="single" w:sz="4" w:space="0" w:color="000000"/>
            </w:tcBorders>
          </w:tcPr>
          <w:p w:rsidR="005B2E2B" w:rsidRPr="000E1FAF" w:rsidRDefault="005B2E2B" w:rsidP="005079F9">
            <w:pPr>
              <w:jc w:val="center"/>
              <w:rPr>
                <w:sz w:val="22"/>
                <w:szCs w:val="22"/>
              </w:rPr>
            </w:pPr>
            <w:r w:rsidRPr="000E1FAF">
              <w:rPr>
                <w:sz w:val="22"/>
                <w:szCs w:val="22"/>
              </w:rPr>
              <w:t>9</w:t>
            </w:r>
          </w:p>
        </w:tc>
      </w:tr>
      <w:tr w:rsidR="000E1FAF" w:rsidRPr="000E1FAF" w:rsidTr="0090128C">
        <w:tc>
          <w:tcPr>
            <w:tcW w:w="6852" w:type="dxa"/>
            <w:tcBorders>
              <w:bottom w:val="single" w:sz="4" w:space="0" w:color="000000"/>
            </w:tcBorders>
          </w:tcPr>
          <w:p w:rsidR="0090128C" w:rsidRPr="000E1FAF" w:rsidRDefault="0090128C" w:rsidP="0090128C">
            <w:pPr>
              <w:rPr>
                <w:sz w:val="22"/>
                <w:szCs w:val="22"/>
                <w:lang w:val="en-US"/>
              </w:rPr>
            </w:pPr>
            <w:r w:rsidRPr="002B42DE">
              <w:rPr>
                <w:b/>
                <w:bCs/>
                <w:sz w:val="22"/>
                <w:szCs w:val="22"/>
                <w:lang w:val="en-US"/>
              </w:rPr>
              <w:t>ERC/DEC/(98)20</w:t>
            </w:r>
            <w:r w:rsidRPr="000E1FAF">
              <w:rPr>
                <w:b/>
                <w:bCs/>
                <w:sz w:val="22"/>
                <w:szCs w:val="22"/>
              </w:rPr>
              <w:t xml:space="preserve"> - </w:t>
            </w:r>
            <w:r w:rsidRPr="000E1FAF">
              <w:rPr>
                <w:sz w:val="22"/>
                <w:szCs w:val="22"/>
                <w:lang w:val="en-US"/>
              </w:rPr>
              <w:t>ERC Decision of 23 November 1998 on Exemption from Individual Licensing of GSM mobile terminals</w:t>
            </w:r>
          </w:p>
          <w:p w:rsidR="0090128C" w:rsidRPr="002B42DE" w:rsidRDefault="0090128C" w:rsidP="0090128C">
            <w:pPr>
              <w:rPr>
                <w:b/>
                <w:bCs/>
                <w:sz w:val="22"/>
                <w:szCs w:val="22"/>
                <w:lang w:val="en-US"/>
              </w:rPr>
            </w:pPr>
            <w:r w:rsidRPr="000E1FAF">
              <w:rPr>
                <w:i/>
                <w:color w:val="FF0000"/>
                <w:sz w:val="22"/>
                <w:szCs w:val="22"/>
              </w:rPr>
              <w:t>Note: this Decision is replaced by ECC/DEC/(12)01 and will be withdrawn on 14 June 2014</w:t>
            </w:r>
          </w:p>
        </w:tc>
        <w:tc>
          <w:tcPr>
            <w:tcW w:w="1341" w:type="dxa"/>
            <w:tcBorders>
              <w:bottom w:val="single" w:sz="4" w:space="0" w:color="000000"/>
            </w:tcBorders>
          </w:tcPr>
          <w:p w:rsidR="0090128C" w:rsidRPr="000E1FAF" w:rsidRDefault="0090128C" w:rsidP="00002117">
            <w:pPr>
              <w:rPr>
                <w:sz w:val="22"/>
                <w:szCs w:val="22"/>
              </w:rPr>
            </w:pPr>
            <w:r w:rsidRPr="000E1FAF">
              <w:rPr>
                <w:sz w:val="22"/>
                <w:szCs w:val="22"/>
              </w:rPr>
              <w:t>ECC PT1</w:t>
            </w:r>
          </w:p>
        </w:tc>
        <w:tc>
          <w:tcPr>
            <w:tcW w:w="1719" w:type="dxa"/>
            <w:tcBorders>
              <w:bottom w:val="single" w:sz="4" w:space="0" w:color="000000"/>
            </w:tcBorders>
          </w:tcPr>
          <w:p w:rsidR="0090128C" w:rsidRPr="00AA7B36" w:rsidRDefault="00136A6A" w:rsidP="00002117">
            <w:pPr>
              <w:rPr>
                <w:sz w:val="22"/>
                <w:szCs w:val="22"/>
                <w:lang w:val="en-US"/>
              </w:rPr>
            </w:pPr>
            <w:r w:rsidRPr="00AA7B36">
              <w:rPr>
                <w:sz w:val="22"/>
                <w:szCs w:val="22"/>
                <w:lang w:val="en-US"/>
              </w:rPr>
              <w:t>Abrogate</w:t>
            </w:r>
          </w:p>
        </w:tc>
        <w:tc>
          <w:tcPr>
            <w:tcW w:w="1136" w:type="dxa"/>
            <w:tcBorders>
              <w:bottom w:val="single" w:sz="4" w:space="0" w:color="000000"/>
            </w:tcBorders>
          </w:tcPr>
          <w:p w:rsidR="0090128C" w:rsidRPr="00AA7B36" w:rsidRDefault="00136A6A" w:rsidP="0090128C">
            <w:pPr>
              <w:rPr>
                <w:i/>
                <w:sz w:val="22"/>
                <w:szCs w:val="22"/>
              </w:rPr>
            </w:pPr>
            <w:r w:rsidRPr="00AA7B36">
              <w:rPr>
                <w:i/>
                <w:sz w:val="22"/>
                <w:szCs w:val="22"/>
              </w:rPr>
              <w:t>2014</w:t>
            </w:r>
          </w:p>
        </w:tc>
        <w:tc>
          <w:tcPr>
            <w:tcW w:w="1216" w:type="dxa"/>
            <w:tcBorders>
              <w:bottom w:val="single" w:sz="4" w:space="0" w:color="000000"/>
            </w:tcBorders>
            <w:shd w:val="clear" w:color="auto" w:fill="auto"/>
          </w:tcPr>
          <w:p w:rsidR="0090128C" w:rsidRPr="000E1FAF" w:rsidRDefault="0090128C" w:rsidP="005079F9">
            <w:pPr>
              <w:jc w:val="center"/>
              <w:rPr>
                <w:bCs/>
                <w:sz w:val="22"/>
                <w:szCs w:val="22"/>
              </w:rPr>
            </w:pPr>
          </w:p>
        </w:tc>
        <w:tc>
          <w:tcPr>
            <w:tcW w:w="644" w:type="dxa"/>
            <w:tcBorders>
              <w:bottom w:val="single" w:sz="4" w:space="0" w:color="000000"/>
            </w:tcBorders>
          </w:tcPr>
          <w:p w:rsidR="0090128C" w:rsidRPr="000E1FAF" w:rsidRDefault="0090128C" w:rsidP="005079F9">
            <w:pPr>
              <w:jc w:val="center"/>
              <w:rPr>
                <w:bCs/>
                <w:sz w:val="22"/>
                <w:szCs w:val="22"/>
              </w:rPr>
            </w:pPr>
          </w:p>
        </w:tc>
        <w:tc>
          <w:tcPr>
            <w:tcW w:w="552" w:type="dxa"/>
            <w:tcBorders>
              <w:bottom w:val="single" w:sz="4" w:space="0" w:color="000000"/>
            </w:tcBorders>
          </w:tcPr>
          <w:p w:rsidR="0090128C" w:rsidRPr="000E1FAF" w:rsidRDefault="0090128C" w:rsidP="004F34BD">
            <w:pPr>
              <w:jc w:val="center"/>
              <w:rPr>
                <w:sz w:val="22"/>
                <w:szCs w:val="22"/>
              </w:rPr>
            </w:pPr>
          </w:p>
        </w:tc>
        <w:tc>
          <w:tcPr>
            <w:tcW w:w="555" w:type="dxa"/>
            <w:tcBorders>
              <w:bottom w:val="single" w:sz="4" w:space="0" w:color="000000"/>
            </w:tcBorders>
          </w:tcPr>
          <w:p w:rsidR="0090128C" w:rsidRPr="000E1FAF" w:rsidRDefault="0090128C" w:rsidP="005079F9">
            <w:pPr>
              <w:jc w:val="center"/>
              <w:rPr>
                <w:sz w:val="22"/>
                <w:szCs w:val="22"/>
              </w:rPr>
            </w:pPr>
          </w:p>
        </w:tc>
        <w:tc>
          <w:tcPr>
            <w:tcW w:w="555" w:type="dxa"/>
            <w:tcBorders>
              <w:bottom w:val="single" w:sz="4" w:space="0" w:color="000000"/>
            </w:tcBorders>
          </w:tcPr>
          <w:p w:rsidR="0090128C" w:rsidRPr="000E1FAF" w:rsidRDefault="0090128C" w:rsidP="005079F9">
            <w:pPr>
              <w:jc w:val="center"/>
              <w:rPr>
                <w:sz w:val="22"/>
                <w:szCs w:val="22"/>
              </w:rPr>
            </w:pPr>
          </w:p>
        </w:tc>
      </w:tr>
      <w:tr w:rsidR="000E1FAF" w:rsidRPr="000E1FAF" w:rsidTr="0090128C">
        <w:tc>
          <w:tcPr>
            <w:tcW w:w="6852" w:type="dxa"/>
            <w:tcBorders>
              <w:bottom w:val="single" w:sz="4" w:space="0" w:color="000000"/>
            </w:tcBorders>
          </w:tcPr>
          <w:p w:rsidR="0090128C" w:rsidRPr="000E1FAF" w:rsidRDefault="0090128C" w:rsidP="0090128C">
            <w:pPr>
              <w:rPr>
                <w:bCs/>
                <w:sz w:val="22"/>
                <w:szCs w:val="22"/>
              </w:rPr>
            </w:pPr>
            <w:r w:rsidRPr="000E1FAF">
              <w:rPr>
                <w:b/>
                <w:bCs/>
                <w:sz w:val="22"/>
                <w:szCs w:val="22"/>
              </w:rPr>
              <w:t xml:space="preserve">ERC/DEC/(98)21 – </w:t>
            </w:r>
            <w:r w:rsidRPr="000E1FAF">
              <w:rPr>
                <w:bCs/>
                <w:sz w:val="22"/>
                <w:szCs w:val="22"/>
              </w:rPr>
              <w:t>ERC Decision of 23 November 1998 on Exemption from Individual Licensing of DCS 1800 (also known as GSM 1800) mobile terminals</w:t>
            </w:r>
          </w:p>
          <w:p w:rsidR="0090128C" w:rsidRPr="002B42DE" w:rsidRDefault="0090128C" w:rsidP="0090128C">
            <w:pPr>
              <w:rPr>
                <w:b/>
                <w:bCs/>
                <w:sz w:val="22"/>
                <w:szCs w:val="22"/>
                <w:lang w:val="en-US"/>
              </w:rPr>
            </w:pPr>
            <w:r w:rsidRPr="000E1FAF">
              <w:rPr>
                <w:i/>
                <w:color w:val="FF0000"/>
                <w:sz w:val="22"/>
                <w:szCs w:val="22"/>
              </w:rPr>
              <w:t>Note: this Decision is replaced by ECC/DEC/(12)01 and will be withdrawn on 14 June 2014</w:t>
            </w:r>
          </w:p>
        </w:tc>
        <w:tc>
          <w:tcPr>
            <w:tcW w:w="1341" w:type="dxa"/>
            <w:tcBorders>
              <w:bottom w:val="single" w:sz="4" w:space="0" w:color="000000"/>
            </w:tcBorders>
          </w:tcPr>
          <w:p w:rsidR="0090128C" w:rsidRPr="000E1FAF" w:rsidRDefault="0090128C" w:rsidP="00002117">
            <w:pPr>
              <w:rPr>
                <w:sz w:val="22"/>
                <w:szCs w:val="22"/>
              </w:rPr>
            </w:pPr>
            <w:r w:rsidRPr="000E1FAF">
              <w:rPr>
                <w:sz w:val="22"/>
                <w:szCs w:val="22"/>
              </w:rPr>
              <w:t>ECC PT1</w:t>
            </w:r>
          </w:p>
        </w:tc>
        <w:tc>
          <w:tcPr>
            <w:tcW w:w="1719" w:type="dxa"/>
            <w:tcBorders>
              <w:bottom w:val="single" w:sz="4" w:space="0" w:color="000000"/>
            </w:tcBorders>
          </w:tcPr>
          <w:p w:rsidR="0090128C" w:rsidRPr="00AA7B36" w:rsidRDefault="00136A6A" w:rsidP="00002117">
            <w:pPr>
              <w:rPr>
                <w:sz w:val="22"/>
                <w:szCs w:val="22"/>
                <w:lang w:val="en-US"/>
              </w:rPr>
            </w:pPr>
            <w:r w:rsidRPr="00AA7B36">
              <w:rPr>
                <w:sz w:val="22"/>
                <w:szCs w:val="22"/>
                <w:lang w:val="en-US"/>
              </w:rPr>
              <w:t>Abrogate</w:t>
            </w:r>
          </w:p>
        </w:tc>
        <w:tc>
          <w:tcPr>
            <w:tcW w:w="1136" w:type="dxa"/>
            <w:tcBorders>
              <w:bottom w:val="single" w:sz="4" w:space="0" w:color="000000"/>
            </w:tcBorders>
          </w:tcPr>
          <w:p w:rsidR="0090128C" w:rsidRPr="00AA7B36" w:rsidRDefault="00136A6A" w:rsidP="0090128C">
            <w:pPr>
              <w:rPr>
                <w:i/>
                <w:sz w:val="22"/>
                <w:szCs w:val="22"/>
              </w:rPr>
            </w:pPr>
            <w:r w:rsidRPr="00AA7B36">
              <w:rPr>
                <w:i/>
                <w:sz w:val="22"/>
                <w:szCs w:val="22"/>
              </w:rPr>
              <w:t>2014</w:t>
            </w:r>
          </w:p>
        </w:tc>
        <w:tc>
          <w:tcPr>
            <w:tcW w:w="1216" w:type="dxa"/>
            <w:tcBorders>
              <w:bottom w:val="single" w:sz="4" w:space="0" w:color="000000"/>
            </w:tcBorders>
            <w:shd w:val="clear" w:color="auto" w:fill="auto"/>
          </w:tcPr>
          <w:p w:rsidR="0090128C" w:rsidRPr="000E1FAF" w:rsidRDefault="0090128C" w:rsidP="005079F9">
            <w:pPr>
              <w:jc w:val="center"/>
              <w:rPr>
                <w:bCs/>
                <w:sz w:val="22"/>
                <w:szCs w:val="22"/>
              </w:rPr>
            </w:pPr>
          </w:p>
        </w:tc>
        <w:tc>
          <w:tcPr>
            <w:tcW w:w="644" w:type="dxa"/>
            <w:tcBorders>
              <w:bottom w:val="single" w:sz="4" w:space="0" w:color="000000"/>
            </w:tcBorders>
          </w:tcPr>
          <w:p w:rsidR="0090128C" w:rsidRPr="000E1FAF" w:rsidRDefault="0090128C" w:rsidP="005079F9">
            <w:pPr>
              <w:jc w:val="center"/>
              <w:rPr>
                <w:bCs/>
                <w:sz w:val="22"/>
                <w:szCs w:val="22"/>
              </w:rPr>
            </w:pPr>
          </w:p>
        </w:tc>
        <w:tc>
          <w:tcPr>
            <w:tcW w:w="552" w:type="dxa"/>
            <w:tcBorders>
              <w:bottom w:val="single" w:sz="4" w:space="0" w:color="000000"/>
            </w:tcBorders>
          </w:tcPr>
          <w:p w:rsidR="0090128C" w:rsidRPr="000E1FAF" w:rsidRDefault="0090128C" w:rsidP="004F34BD">
            <w:pPr>
              <w:jc w:val="center"/>
              <w:rPr>
                <w:sz w:val="22"/>
                <w:szCs w:val="22"/>
              </w:rPr>
            </w:pPr>
          </w:p>
        </w:tc>
        <w:tc>
          <w:tcPr>
            <w:tcW w:w="555" w:type="dxa"/>
            <w:tcBorders>
              <w:bottom w:val="single" w:sz="4" w:space="0" w:color="000000"/>
            </w:tcBorders>
          </w:tcPr>
          <w:p w:rsidR="0090128C" w:rsidRPr="000E1FAF" w:rsidRDefault="0090128C" w:rsidP="005079F9">
            <w:pPr>
              <w:jc w:val="center"/>
              <w:rPr>
                <w:sz w:val="22"/>
                <w:szCs w:val="22"/>
              </w:rPr>
            </w:pPr>
          </w:p>
        </w:tc>
        <w:tc>
          <w:tcPr>
            <w:tcW w:w="555" w:type="dxa"/>
            <w:tcBorders>
              <w:bottom w:val="single" w:sz="4" w:space="0" w:color="000000"/>
            </w:tcBorders>
          </w:tcPr>
          <w:p w:rsidR="0090128C" w:rsidRPr="000E1FAF" w:rsidRDefault="0090128C" w:rsidP="005079F9">
            <w:pPr>
              <w:jc w:val="center"/>
              <w:rPr>
                <w:sz w:val="22"/>
                <w:szCs w:val="22"/>
              </w:rPr>
            </w:pPr>
          </w:p>
        </w:tc>
      </w:tr>
      <w:tr w:rsidR="000E1FAF" w:rsidRPr="000E1FAF" w:rsidTr="0090128C">
        <w:tc>
          <w:tcPr>
            <w:tcW w:w="6852" w:type="dxa"/>
            <w:shd w:val="clear" w:color="auto" w:fill="auto"/>
          </w:tcPr>
          <w:p w:rsidR="005B2E2B" w:rsidRPr="000E1FAF" w:rsidRDefault="005B2E2B" w:rsidP="00CF5B5F">
            <w:pPr>
              <w:rPr>
                <w:i/>
                <w:sz w:val="22"/>
                <w:szCs w:val="22"/>
              </w:rPr>
            </w:pPr>
            <w:r w:rsidRPr="002B42DE">
              <w:rPr>
                <w:b/>
                <w:bCs/>
                <w:sz w:val="22"/>
                <w:szCs w:val="22"/>
                <w:lang w:val="en-US"/>
              </w:rPr>
              <w:t xml:space="preserve">ERC/DEC/(98)22 </w:t>
            </w:r>
            <w:r w:rsidRPr="000E1FAF">
              <w:rPr>
                <w:b/>
                <w:bCs/>
                <w:sz w:val="22"/>
                <w:szCs w:val="22"/>
              </w:rPr>
              <w:t xml:space="preserve">- </w:t>
            </w:r>
            <w:r w:rsidRPr="000E1FAF">
              <w:rPr>
                <w:sz w:val="22"/>
                <w:szCs w:val="22"/>
                <w:lang w:val="en-US"/>
              </w:rPr>
              <w:t xml:space="preserve">ERC Decision of 23 November 1998 on Exemption from Individual Licensing of DECT equipment, except fixed parts which provide for public access </w:t>
            </w:r>
            <w:r w:rsidRPr="000E1FAF">
              <w:rPr>
                <w:i/>
                <w:sz w:val="22"/>
                <w:szCs w:val="22"/>
              </w:rPr>
              <w:t>Note: revised in 2013</w:t>
            </w:r>
          </w:p>
          <w:p w:rsidR="0060014C" w:rsidRPr="000E1FAF" w:rsidRDefault="0060014C" w:rsidP="0049417A">
            <w:pPr>
              <w:rPr>
                <w:sz w:val="22"/>
                <w:szCs w:val="22"/>
              </w:rPr>
            </w:pPr>
            <w:r w:rsidRPr="000E1FAF">
              <w:rPr>
                <w:i/>
                <w:color w:val="FF0000"/>
                <w:sz w:val="22"/>
                <w:szCs w:val="22"/>
              </w:rPr>
              <w:t xml:space="preserve">Note: Revision was completed at ECC PT1 #44 in September 2013 </w:t>
            </w:r>
          </w:p>
        </w:tc>
        <w:tc>
          <w:tcPr>
            <w:tcW w:w="1341" w:type="dxa"/>
            <w:shd w:val="clear" w:color="auto" w:fill="auto"/>
          </w:tcPr>
          <w:p w:rsidR="005B2E2B" w:rsidRPr="000E1FAF" w:rsidRDefault="005B2E2B" w:rsidP="00002117">
            <w:pPr>
              <w:rPr>
                <w:sz w:val="22"/>
                <w:szCs w:val="22"/>
              </w:rPr>
            </w:pPr>
            <w:r w:rsidRPr="000E1FAF">
              <w:rPr>
                <w:sz w:val="22"/>
                <w:szCs w:val="22"/>
              </w:rPr>
              <w:t>ECC PT1</w:t>
            </w:r>
          </w:p>
          <w:p w:rsidR="005B2E2B" w:rsidRPr="000E1FAF" w:rsidRDefault="005B2E2B" w:rsidP="00D356DD">
            <w:pPr>
              <w:rPr>
                <w:sz w:val="22"/>
                <w:szCs w:val="22"/>
              </w:rPr>
            </w:pPr>
          </w:p>
        </w:tc>
        <w:tc>
          <w:tcPr>
            <w:tcW w:w="1719" w:type="dxa"/>
            <w:shd w:val="clear" w:color="auto" w:fill="auto"/>
          </w:tcPr>
          <w:p w:rsidR="005B2E2B" w:rsidRPr="000E1FAF" w:rsidRDefault="005B2E2B" w:rsidP="00002117">
            <w:pPr>
              <w:rPr>
                <w:sz w:val="22"/>
                <w:szCs w:val="22"/>
                <w:lang w:val="en-US"/>
              </w:rPr>
            </w:pPr>
            <w:r w:rsidRPr="000E1FAF">
              <w:rPr>
                <w:sz w:val="22"/>
                <w:szCs w:val="22"/>
                <w:lang w:val="en-US"/>
              </w:rPr>
              <w:t>Retain</w:t>
            </w:r>
          </w:p>
          <w:p w:rsidR="005B2E2B" w:rsidRPr="000E1FAF" w:rsidRDefault="005B2E2B" w:rsidP="00002117">
            <w:pPr>
              <w:rPr>
                <w:sz w:val="22"/>
                <w:szCs w:val="22"/>
              </w:rPr>
            </w:pPr>
          </w:p>
        </w:tc>
        <w:tc>
          <w:tcPr>
            <w:tcW w:w="1136" w:type="dxa"/>
            <w:shd w:val="clear" w:color="auto" w:fill="auto"/>
          </w:tcPr>
          <w:p w:rsidR="005B2E2B" w:rsidRPr="000E1FAF" w:rsidRDefault="005B2E2B" w:rsidP="00CF5B5F">
            <w:pPr>
              <w:rPr>
                <w:sz w:val="22"/>
                <w:szCs w:val="22"/>
              </w:rPr>
            </w:pPr>
            <w:r w:rsidRPr="000E1FAF">
              <w:rPr>
                <w:sz w:val="22"/>
                <w:szCs w:val="22"/>
              </w:rPr>
              <w:t>2018</w:t>
            </w:r>
          </w:p>
        </w:tc>
        <w:tc>
          <w:tcPr>
            <w:tcW w:w="1216" w:type="dxa"/>
            <w:shd w:val="clear" w:color="auto" w:fill="auto"/>
          </w:tcPr>
          <w:p w:rsidR="005B2E2B" w:rsidRPr="000E1FAF" w:rsidRDefault="005B2E2B" w:rsidP="001812E8">
            <w:pPr>
              <w:jc w:val="center"/>
              <w:rPr>
                <w:bCs/>
                <w:sz w:val="22"/>
                <w:szCs w:val="22"/>
              </w:rPr>
            </w:pPr>
          </w:p>
        </w:tc>
        <w:tc>
          <w:tcPr>
            <w:tcW w:w="644" w:type="dxa"/>
            <w:shd w:val="clear" w:color="auto" w:fill="auto"/>
          </w:tcPr>
          <w:p w:rsidR="005B2E2B" w:rsidRPr="000E1FAF" w:rsidRDefault="005B2E2B" w:rsidP="001812E8">
            <w:pPr>
              <w:jc w:val="center"/>
              <w:rPr>
                <w:sz w:val="22"/>
                <w:szCs w:val="22"/>
              </w:rPr>
            </w:pPr>
            <w:r w:rsidRPr="000E1FAF">
              <w:rPr>
                <w:bCs/>
                <w:sz w:val="22"/>
                <w:szCs w:val="22"/>
              </w:rPr>
              <w:t>36</w:t>
            </w:r>
          </w:p>
        </w:tc>
        <w:tc>
          <w:tcPr>
            <w:tcW w:w="552" w:type="dxa"/>
            <w:shd w:val="clear" w:color="auto" w:fill="auto"/>
          </w:tcPr>
          <w:p w:rsidR="005B2E2B" w:rsidRPr="000E1FAF" w:rsidRDefault="005B2E2B" w:rsidP="00002117">
            <w:pPr>
              <w:jc w:val="center"/>
              <w:rPr>
                <w:sz w:val="22"/>
                <w:szCs w:val="22"/>
              </w:rPr>
            </w:pPr>
            <w:r w:rsidRPr="000E1FAF">
              <w:rPr>
                <w:sz w:val="22"/>
                <w:szCs w:val="22"/>
              </w:rPr>
              <w:t>1</w:t>
            </w:r>
          </w:p>
        </w:tc>
        <w:tc>
          <w:tcPr>
            <w:tcW w:w="555" w:type="dxa"/>
            <w:shd w:val="clear" w:color="auto" w:fill="auto"/>
          </w:tcPr>
          <w:p w:rsidR="005B2E2B" w:rsidRPr="000E1FAF" w:rsidRDefault="005B2E2B" w:rsidP="00002117">
            <w:pPr>
              <w:jc w:val="center"/>
              <w:rPr>
                <w:sz w:val="22"/>
                <w:szCs w:val="22"/>
              </w:rPr>
            </w:pPr>
            <w:r w:rsidRPr="000E1FAF">
              <w:rPr>
                <w:sz w:val="22"/>
                <w:szCs w:val="22"/>
              </w:rPr>
              <w:t>2</w:t>
            </w:r>
          </w:p>
        </w:tc>
        <w:tc>
          <w:tcPr>
            <w:tcW w:w="555" w:type="dxa"/>
            <w:shd w:val="clear" w:color="auto" w:fill="auto"/>
          </w:tcPr>
          <w:p w:rsidR="005B2E2B" w:rsidRPr="000E1FAF" w:rsidRDefault="005B2E2B" w:rsidP="005079F9">
            <w:pPr>
              <w:jc w:val="center"/>
              <w:rPr>
                <w:sz w:val="22"/>
                <w:szCs w:val="22"/>
              </w:rPr>
            </w:pPr>
            <w:r w:rsidRPr="000E1FAF">
              <w:rPr>
                <w:sz w:val="22"/>
                <w:szCs w:val="22"/>
              </w:rPr>
              <w:t>9</w:t>
            </w:r>
          </w:p>
        </w:tc>
      </w:tr>
      <w:tr w:rsidR="000E1FAF" w:rsidRPr="000E1FAF" w:rsidTr="0090128C">
        <w:tc>
          <w:tcPr>
            <w:tcW w:w="6852" w:type="dxa"/>
            <w:shd w:val="clear" w:color="auto" w:fill="auto"/>
          </w:tcPr>
          <w:p w:rsidR="005B2E2B" w:rsidRPr="000E1FAF" w:rsidRDefault="005B2E2B" w:rsidP="00F21C58">
            <w:pPr>
              <w:rPr>
                <w:sz w:val="22"/>
                <w:szCs w:val="22"/>
                <w:lang w:val="en-US"/>
              </w:rPr>
            </w:pPr>
            <w:r w:rsidRPr="002B42DE">
              <w:rPr>
                <w:b/>
                <w:bCs/>
                <w:sz w:val="22"/>
                <w:szCs w:val="22"/>
                <w:lang w:val="en-US"/>
              </w:rPr>
              <w:t xml:space="preserve">ERC/DEC/(98)25 </w:t>
            </w:r>
            <w:r w:rsidRPr="000E1FAF">
              <w:rPr>
                <w:b/>
                <w:bCs/>
                <w:sz w:val="22"/>
                <w:szCs w:val="22"/>
              </w:rPr>
              <w:t xml:space="preserve">- </w:t>
            </w:r>
            <w:r w:rsidRPr="000E1FAF">
              <w:rPr>
                <w:sz w:val="22"/>
                <w:szCs w:val="22"/>
                <w:lang w:val="en-US"/>
              </w:rPr>
              <w:t xml:space="preserve">ERC Decision of 23 November 1998 on the </w:t>
            </w:r>
            <w:proofErr w:type="spellStart"/>
            <w:r w:rsidRPr="000E1FAF">
              <w:rPr>
                <w:sz w:val="22"/>
                <w:szCs w:val="22"/>
                <w:lang w:val="en-US"/>
              </w:rPr>
              <w:t>harmonised</w:t>
            </w:r>
            <w:proofErr w:type="spellEnd"/>
            <w:r w:rsidRPr="000E1FAF">
              <w:rPr>
                <w:sz w:val="22"/>
                <w:szCs w:val="22"/>
                <w:lang w:val="en-US"/>
              </w:rPr>
              <w:t xml:space="preserve"> frequency band to be designated for PMR 446</w:t>
            </w:r>
          </w:p>
          <w:p w:rsidR="005B2E2B" w:rsidRPr="000E1FAF" w:rsidRDefault="005B2E2B" w:rsidP="00F21C58">
            <w:pPr>
              <w:rPr>
                <w:i/>
                <w:color w:val="FF0000"/>
                <w:sz w:val="22"/>
                <w:szCs w:val="22"/>
              </w:rPr>
            </w:pPr>
            <w:r w:rsidRPr="000E1FAF">
              <w:rPr>
                <w:i/>
                <w:color w:val="FF0000"/>
                <w:sz w:val="22"/>
                <w:szCs w:val="22"/>
              </w:rPr>
              <w:t>Note: this Decision was revised in 2012</w:t>
            </w:r>
          </w:p>
          <w:p w:rsidR="005B2E2B" w:rsidRPr="000E1FAF" w:rsidRDefault="005B2E2B" w:rsidP="000E098D">
            <w:pPr>
              <w:rPr>
                <w:sz w:val="22"/>
                <w:szCs w:val="22"/>
                <w:highlight w:val="yellow"/>
                <w:lang w:val="en-US"/>
              </w:rPr>
            </w:pPr>
            <w:r w:rsidRPr="000E1FAF">
              <w:rPr>
                <w:i/>
                <w:color w:val="FF0000"/>
                <w:sz w:val="22"/>
                <w:szCs w:val="22"/>
              </w:rPr>
              <w:t>May be affected by review of ECC/DEC/(05)12 in 2014</w:t>
            </w:r>
          </w:p>
        </w:tc>
        <w:tc>
          <w:tcPr>
            <w:tcW w:w="1341" w:type="dxa"/>
            <w:shd w:val="clear" w:color="auto" w:fill="auto"/>
          </w:tcPr>
          <w:p w:rsidR="005B2E2B" w:rsidRPr="000E1FAF" w:rsidRDefault="005B2E2B" w:rsidP="00002117">
            <w:pPr>
              <w:rPr>
                <w:sz w:val="22"/>
                <w:szCs w:val="22"/>
              </w:rPr>
            </w:pPr>
            <w:r w:rsidRPr="000E1FAF">
              <w:rPr>
                <w:sz w:val="22"/>
                <w:szCs w:val="22"/>
              </w:rPr>
              <w:t>SRD/MG</w:t>
            </w:r>
          </w:p>
        </w:tc>
        <w:tc>
          <w:tcPr>
            <w:tcW w:w="1719" w:type="dxa"/>
            <w:shd w:val="clear" w:color="auto" w:fill="auto"/>
          </w:tcPr>
          <w:p w:rsidR="005B2E2B" w:rsidRPr="000E1FAF" w:rsidRDefault="005B2E2B" w:rsidP="00F21C58">
            <w:pPr>
              <w:rPr>
                <w:sz w:val="22"/>
                <w:szCs w:val="22"/>
              </w:rPr>
            </w:pPr>
            <w:r w:rsidRPr="000E1FAF">
              <w:rPr>
                <w:sz w:val="22"/>
                <w:szCs w:val="22"/>
                <w:lang w:val="en-US"/>
              </w:rPr>
              <w:t>Retain</w:t>
            </w:r>
          </w:p>
        </w:tc>
        <w:tc>
          <w:tcPr>
            <w:tcW w:w="1136" w:type="dxa"/>
            <w:shd w:val="clear" w:color="auto" w:fill="auto"/>
          </w:tcPr>
          <w:p w:rsidR="005B2E2B" w:rsidRPr="000E1FAF" w:rsidRDefault="005B2E2B" w:rsidP="00F21C58">
            <w:pPr>
              <w:rPr>
                <w:sz w:val="22"/>
                <w:szCs w:val="22"/>
              </w:rPr>
            </w:pPr>
            <w:r w:rsidRPr="000E1FAF">
              <w:rPr>
                <w:sz w:val="22"/>
                <w:szCs w:val="22"/>
              </w:rPr>
              <w:t>2017</w:t>
            </w:r>
          </w:p>
        </w:tc>
        <w:tc>
          <w:tcPr>
            <w:tcW w:w="1216" w:type="dxa"/>
            <w:shd w:val="clear" w:color="auto" w:fill="auto"/>
          </w:tcPr>
          <w:p w:rsidR="005B2E2B" w:rsidRPr="000E1FAF" w:rsidRDefault="00F515E5" w:rsidP="00AF6F73">
            <w:pPr>
              <w:jc w:val="center"/>
              <w:rPr>
                <w:bCs/>
                <w:sz w:val="22"/>
                <w:szCs w:val="22"/>
              </w:rPr>
            </w:pPr>
            <w:r w:rsidRPr="000E1FAF">
              <w:rPr>
                <w:bCs/>
                <w:sz w:val="22"/>
                <w:szCs w:val="22"/>
              </w:rPr>
              <w:t>Possible</w:t>
            </w:r>
          </w:p>
        </w:tc>
        <w:tc>
          <w:tcPr>
            <w:tcW w:w="644" w:type="dxa"/>
            <w:shd w:val="clear" w:color="auto" w:fill="auto"/>
          </w:tcPr>
          <w:p w:rsidR="005B2E2B" w:rsidRPr="000E1FAF" w:rsidRDefault="005B2E2B" w:rsidP="00AF6F73">
            <w:pPr>
              <w:jc w:val="center"/>
              <w:rPr>
                <w:sz w:val="22"/>
                <w:szCs w:val="22"/>
              </w:rPr>
            </w:pPr>
            <w:r w:rsidRPr="000E1FAF">
              <w:rPr>
                <w:bCs/>
                <w:sz w:val="22"/>
                <w:szCs w:val="22"/>
              </w:rPr>
              <w:t>41</w:t>
            </w:r>
          </w:p>
        </w:tc>
        <w:tc>
          <w:tcPr>
            <w:tcW w:w="552" w:type="dxa"/>
            <w:shd w:val="clear" w:color="auto" w:fill="auto"/>
          </w:tcPr>
          <w:p w:rsidR="005B2E2B" w:rsidRPr="000E1FAF" w:rsidRDefault="005B2E2B" w:rsidP="00AF6F73">
            <w:pPr>
              <w:jc w:val="center"/>
              <w:rPr>
                <w:sz w:val="22"/>
                <w:szCs w:val="22"/>
              </w:rPr>
            </w:pPr>
            <w:r w:rsidRPr="000E1FAF">
              <w:rPr>
                <w:sz w:val="22"/>
                <w:szCs w:val="22"/>
              </w:rPr>
              <w:t>1</w:t>
            </w:r>
          </w:p>
        </w:tc>
        <w:tc>
          <w:tcPr>
            <w:tcW w:w="555" w:type="dxa"/>
            <w:shd w:val="clear" w:color="auto" w:fill="auto"/>
          </w:tcPr>
          <w:p w:rsidR="005B2E2B" w:rsidRPr="000E1FAF" w:rsidRDefault="005B2E2B" w:rsidP="00002117">
            <w:pPr>
              <w:jc w:val="center"/>
              <w:rPr>
                <w:sz w:val="22"/>
                <w:szCs w:val="22"/>
              </w:rPr>
            </w:pPr>
            <w:r w:rsidRPr="000E1FAF">
              <w:rPr>
                <w:sz w:val="22"/>
                <w:szCs w:val="22"/>
              </w:rPr>
              <w:t>0</w:t>
            </w:r>
          </w:p>
        </w:tc>
        <w:tc>
          <w:tcPr>
            <w:tcW w:w="555" w:type="dxa"/>
            <w:shd w:val="clear" w:color="auto" w:fill="auto"/>
          </w:tcPr>
          <w:p w:rsidR="005B2E2B" w:rsidRPr="000E1FAF" w:rsidRDefault="005B2E2B" w:rsidP="00AF6F73">
            <w:pPr>
              <w:jc w:val="center"/>
              <w:rPr>
                <w:sz w:val="22"/>
                <w:szCs w:val="22"/>
              </w:rPr>
            </w:pPr>
            <w:r w:rsidRPr="000E1FAF">
              <w:rPr>
                <w:sz w:val="22"/>
                <w:szCs w:val="22"/>
              </w:rPr>
              <w:t>6</w:t>
            </w:r>
          </w:p>
        </w:tc>
      </w:tr>
      <w:tr w:rsidR="000E1FAF" w:rsidRPr="000E1FAF" w:rsidTr="0090128C">
        <w:tc>
          <w:tcPr>
            <w:tcW w:w="6852" w:type="dxa"/>
            <w:tcBorders>
              <w:bottom w:val="single" w:sz="4" w:space="0" w:color="000000"/>
            </w:tcBorders>
          </w:tcPr>
          <w:p w:rsidR="005B2E2B" w:rsidRPr="000E1FAF" w:rsidRDefault="005B2E2B" w:rsidP="00002117">
            <w:pPr>
              <w:rPr>
                <w:sz w:val="22"/>
                <w:szCs w:val="22"/>
              </w:rPr>
            </w:pPr>
            <w:r w:rsidRPr="002B42DE">
              <w:rPr>
                <w:b/>
                <w:bCs/>
                <w:sz w:val="22"/>
                <w:szCs w:val="22"/>
                <w:lang w:val="en-US"/>
              </w:rPr>
              <w:t xml:space="preserve">ERC/DEC/(99)01 </w:t>
            </w:r>
            <w:r w:rsidRPr="000E1FAF">
              <w:rPr>
                <w:b/>
                <w:bCs/>
                <w:sz w:val="22"/>
                <w:szCs w:val="22"/>
              </w:rPr>
              <w:t xml:space="preserve">- </w:t>
            </w:r>
            <w:r w:rsidRPr="000E1FAF">
              <w:rPr>
                <w:sz w:val="22"/>
                <w:szCs w:val="22"/>
              </w:rPr>
              <w:t>ERC Decision of 10 March 1999 on the harmonised examination syllabi for the General Operator's Certificate (GOC) and the Restricted Operator's Certificate (ROC)</w:t>
            </w:r>
          </w:p>
          <w:p w:rsidR="005B2E2B" w:rsidRPr="00F92C3E" w:rsidRDefault="005B2E2B" w:rsidP="00002117">
            <w:pPr>
              <w:rPr>
                <w:b/>
                <w:bCs/>
                <w:i/>
                <w:color w:val="FF0000"/>
                <w:sz w:val="22"/>
                <w:szCs w:val="22"/>
              </w:rPr>
            </w:pPr>
            <w:r w:rsidRPr="00F92C3E">
              <w:rPr>
                <w:i/>
                <w:color w:val="FF0000"/>
                <w:sz w:val="22"/>
                <w:szCs w:val="22"/>
              </w:rPr>
              <w:t xml:space="preserve">Note:  revision is in a progress </w:t>
            </w:r>
          </w:p>
        </w:tc>
        <w:tc>
          <w:tcPr>
            <w:tcW w:w="1341" w:type="dxa"/>
            <w:tcBorders>
              <w:bottom w:val="single" w:sz="4" w:space="0" w:color="000000"/>
            </w:tcBorders>
          </w:tcPr>
          <w:p w:rsidR="005B2E2B" w:rsidRPr="000E1FAF" w:rsidRDefault="005B2E2B" w:rsidP="00002117">
            <w:pPr>
              <w:rPr>
                <w:sz w:val="22"/>
                <w:szCs w:val="22"/>
              </w:rPr>
            </w:pPr>
            <w:r w:rsidRPr="000E1FAF">
              <w:rPr>
                <w:sz w:val="22"/>
                <w:szCs w:val="22"/>
              </w:rPr>
              <w:t xml:space="preserve"> FG Maritime</w:t>
            </w:r>
          </w:p>
        </w:tc>
        <w:tc>
          <w:tcPr>
            <w:tcW w:w="1719" w:type="dxa"/>
            <w:tcBorders>
              <w:bottom w:val="single" w:sz="4" w:space="0" w:color="000000"/>
            </w:tcBorders>
          </w:tcPr>
          <w:p w:rsidR="005B2E2B" w:rsidRPr="000E1FAF" w:rsidRDefault="005B2E2B" w:rsidP="00002117">
            <w:pPr>
              <w:rPr>
                <w:sz w:val="22"/>
                <w:szCs w:val="22"/>
              </w:rPr>
            </w:pPr>
            <w:r w:rsidRPr="000E1FAF">
              <w:rPr>
                <w:sz w:val="22"/>
                <w:szCs w:val="22"/>
                <w:lang w:val="en-US"/>
              </w:rPr>
              <w:t>Revise</w:t>
            </w:r>
          </w:p>
        </w:tc>
        <w:tc>
          <w:tcPr>
            <w:tcW w:w="1136" w:type="dxa"/>
            <w:tcBorders>
              <w:bottom w:val="single" w:sz="4" w:space="0" w:color="000000"/>
            </w:tcBorders>
          </w:tcPr>
          <w:p w:rsidR="005B2E2B" w:rsidRPr="000E1FAF" w:rsidRDefault="005B2E2B" w:rsidP="00E573A1">
            <w:pPr>
              <w:rPr>
                <w:sz w:val="22"/>
                <w:szCs w:val="22"/>
              </w:rPr>
            </w:pPr>
            <w:r w:rsidRPr="000E1FAF">
              <w:rPr>
                <w:sz w:val="22"/>
                <w:szCs w:val="22"/>
              </w:rPr>
              <w:t>2014</w:t>
            </w:r>
          </w:p>
        </w:tc>
        <w:tc>
          <w:tcPr>
            <w:tcW w:w="1216" w:type="dxa"/>
            <w:tcBorders>
              <w:bottom w:val="single" w:sz="4" w:space="0" w:color="000000"/>
            </w:tcBorders>
            <w:shd w:val="clear" w:color="auto" w:fill="auto"/>
          </w:tcPr>
          <w:p w:rsidR="005B2E2B" w:rsidRPr="000E1FAF" w:rsidRDefault="00F515E5" w:rsidP="00002117">
            <w:pPr>
              <w:jc w:val="center"/>
              <w:rPr>
                <w:bCs/>
                <w:sz w:val="22"/>
                <w:szCs w:val="22"/>
              </w:rPr>
            </w:pPr>
            <w:r w:rsidRPr="000E1FAF">
              <w:rPr>
                <w:bCs/>
                <w:sz w:val="22"/>
                <w:szCs w:val="22"/>
              </w:rPr>
              <w:t>No</w:t>
            </w:r>
          </w:p>
        </w:tc>
        <w:tc>
          <w:tcPr>
            <w:tcW w:w="644" w:type="dxa"/>
            <w:tcBorders>
              <w:bottom w:val="single" w:sz="4" w:space="0" w:color="000000"/>
            </w:tcBorders>
          </w:tcPr>
          <w:p w:rsidR="005B2E2B" w:rsidRPr="000E1FAF" w:rsidRDefault="005B2E2B" w:rsidP="00002117">
            <w:pPr>
              <w:jc w:val="center"/>
              <w:rPr>
                <w:sz w:val="22"/>
                <w:szCs w:val="22"/>
              </w:rPr>
            </w:pPr>
            <w:r w:rsidRPr="000E1FAF">
              <w:rPr>
                <w:bCs/>
                <w:sz w:val="22"/>
                <w:szCs w:val="22"/>
              </w:rPr>
              <w:t>27</w:t>
            </w:r>
          </w:p>
        </w:tc>
        <w:tc>
          <w:tcPr>
            <w:tcW w:w="552" w:type="dxa"/>
            <w:tcBorders>
              <w:bottom w:val="single" w:sz="4" w:space="0" w:color="000000"/>
            </w:tcBorders>
          </w:tcPr>
          <w:p w:rsidR="005B2E2B" w:rsidRPr="000E1FAF" w:rsidRDefault="005B2E2B" w:rsidP="00002117">
            <w:pPr>
              <w:jc w:val="center"/>
              <w:rPr>
                <w:sz w:val="22"/>
                <w:szCs w:val="22"/>
              </w:rPr>
            </w:pPr>
            <w:r w:rsidRPr="000E1FAF">
              <w:rPr>
                <w:sz w:val="22"/>
                <w:szCs w:val="22"/>
              </w:rPr>
              <w:t>3</w:t>
            </w:r>
          </w:p>
        </w:tc>
        <w:tc>
          <w:tcPr>
            <w:tcW w:w="555" w:type="dxa"/>
            <w:tcBorders>
              <w:bottom w:val="single" w:sz="4" w:space="0" w:color="000000"/>
            </w:tcBorders>
          </w:tcPr>
          <w:p w:rsidR="005B2E2B" w:rsidRPr="000E1FAF" w:rsidRDefault="005B2E2B" w:rsidP="00002117">
            <w:pPr>
              <w:jc w:val="center"/>
              <w:rPr>
                <w:sz w:val="22"/>
                <w:szCs w:val="22"/>
              </w:rPr>
            </w:pPr>
            <w:r w:rsidRPr="000E1FAF">
              <w:rPr>
                <w:sz w:val="22"/>
                <w:szCs w:val="22"/>
              </w:rPr>
              <w:t>5</w:t>
            </w:r>
          </w:p>
        </w:tc>
        <w:tc>
          <w:tcPr>
            <w:tcW w:w="555" w:type="dxa"/>
            <w:tcBorders>
              <w:bottom w:val="single" w:sz="4" w:space="0" w:color="000000"/>
            </w:tcBorders>
          </w:tcPr>
          <w:p w:rsidR="005B2E2B" w:rsidRPr="000E1FAF" w:rsidRDefault="005B2E2B" w:rsidP="006E6B9C">
            <w:pPr>
              <w:jc w:val="center"/>
              <w:rPr>
                <w:sz w:val="22"/>
                <w:szCs w:val="22"/>
              </w:rPr>
            </w:pPr>
            <w:r w:rsidRPr="000E1FAF">
              <w:rPr>
                <w:sz w:val="22"/>
                <w:szCs w:val="22"/>
              </w:rPr>
              <w:t>13</w:t>
            </w:r>
          </w:p>
        </w:tc>
      </w:tr>
      <w:tr w:rsidR="000E1FAF" w:rsidRPr="000E1FAF" w:rsidTr="0090128C">
        <w:tc>
          <w:tcPr>
            <w:tcW w:w="6852" w:type="dxa"/>
          </w:tcPr>
          <w:p w:rsidR="005B2E2B" w:rsidRPr="000E1FAF" w:rsidRDefault="005B2E2B" w:rsidP="00002117">
            <w:pPr>
              <w:rPr>
                <w:sz w:val="22"/>
                <w:szCs w:val="22"/>
              </w:rPr>
            </w:pPr>
            <w:r w:rsidRPr="000E1FAF">
              <w:rPr>
                <w:b/>
                <w:bCs/>
                <w:sz w:val="22"/>
                <w:szCs w:val="22"/>
                <w:lang w:val="en-US"/>
              </w:rPr>
              <w:t>ERC/DEC</w:t>
            </w:r>
            <w:proofErr w:type="gramStart"/>
            <w:r w:rsidRPr="000E1FAF">
              <w:rPr>
                <w:b/>
                <w:bCs/>
                <w:sz w:val="22"/>
                <w:szCs w:val="22"/>
                <w:lang w:val="en-US"/>
              </w:rPr>
              <w:t>/(</w:t>
            </w:r>
            <w:proofErr w:type="gramEnd"/>
            <w:r w:rsidRPr="000E1FAF">
              <w:rPr>
                <w:b/>
                <w:bCs/>
                <w:sz w:val="22"/>
                <w:szCs w:val="22"/>
                <w:lang w:val="en-US"/>
              </w:rPr>
              <w:t xml:space="preserve">99)05 </w:t>
            </w:r>
            <w:r w:rsidRPr="000E1FAF">
              <w:rPr>
                <w:b/>
                <w:bCs/>
                <w:sz w:val="22"/>
                <w:szCs w:val="22"/>
              </w:rPr>
              <w:t xml:space="preserve">- </w:t>
            </w:r>
            <w:r w:rsidRPr="000E1FAF">
              <w:rPr>
                <w:sz w:val="22"/>
                <w:szCs w:val="22"/>
              </w:rPr>
              <w:t>ERC Decision of 10 March 1999 on Free Circulation, Use and Exemption from Individual Licensing of Mobile Earth Stations. (S-PCS &lt; 1GHz)</w:t>
            </w:r>
          </w:p>
        </w:tc>
        <w:tc>
          <w:tcPr>
            <w:tcW w:w="1341" w:type="dxa"/>
          </w:tcPr>
          <w:p w:rsidR="005B2E2B" w:rsidRPr="000E1FAF" w:rsidRDefault="005B2E2B" w:rsidP="00002117">
            <w:pPr>
              <w:rPr>
                <w:sz w:val="22"/>
                <w:szCs w:val="22"/>
              </w:rPr>
            </w:pPr>
            <w:r w:rsidRPr="000E1FAF">
              <w:rPr>
                <w:sz w:val="22"/>
                <w:szCs w:val="22"/>
              </w:rPr>
              <w:t>FM44</w:t>
            </w:r>
          </w:p>
        </w:tc>
        <w:tc>
          <w:tcPr>
            <w:tcW w:w="1719" w:type="dxa"/>
          </w:tcPr>
          <w:p w:rsidR="005B2E2B" w:rsidRPr="000E1FAF" w:rsidRDefault="005B2E2B" w:rsidP="00002117">
            <w:pPr>
              <w:rPr>
                <w:sz w:val="22"/>
                <w:szCs w:val="22"/>
              </w:rPr>
            </w:pPr>
            <w:r w:rsidRPr="000E1FAF">
              <w:rPr>
                <w:sz w:val="22"/>
                <w:szCs w:val="22"/>
                <w:lang w:val="en-US"/>
              </w:rPr>
              <w:t>Retain</w:t>
            </w:r>
          </w:p>
        </w:tc>
        <w:tc>
          <w:tcPr>
            <w:tcW w:w="1136" w:type="dxa"/>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AF5BCC">
            <w:pPr>
              <w:jc w:val="center"/>
              <w:rPr>
                <w:bCs/>
                <w:sz w:val="22"/>
                <w:szCs w:val="22"/>
              </w:rPr>
            </w:pPr>
          </w:p>
        </w:tc>
        <w:tc>
          <w:tcPr>
            <w:tcW w:w="644" w:type="dxa"/>
          </w:tcPr>
          <w:p w:rsidR="005B2E2B" w:rsidRPr="000E1FAF" w:rsidRDefault="005B2E2B" w:rsidP="00AF5BCC">
            <w:pPr>
              <w:jc w:val="center"/>
              <w:rPr>
                <w:sz w:val="22"/>
                <w:szCs w:val="22"/>
              </w:rPr>
            </w:pPr>
            <w:r w:rsidRPr="000E1FAF">
              <w:rPr>
                <w:bCs/>
                <w:sz w:val="22"/>
                <w:szCs w:val="22"/>
              </w:rPr>
              <w:t>28</w:t>
            </w:r>
          </w:p>
        </w:tc>
        <w:tc>
          <w:tcPr>
            <w:tcW w:w="552" w:type="dxa"/>
          </w:tcPr>
          <w:p w:rsidR="005B2E2B" w:rsidRPr="000E1FAF" w:rsidRDefault="005B2E2B" w:rsidP="00293BBD">
            <w:pPr>
              <w:jc w:val="center"/>
              <w:rPr>
                <w:sz w:val="22"/>
                <w:szCs w:val="22"/>
              </w:rPr>
            </w:pPr>
            <w:r w:rsidRPr="000E1FAF">
              <w:rPr>
                <w:sz w:val="22"/>
                <w:szCs w:val="22"/>
              </w:rPr>
              <w:t>2</w:t>
            </w:r>
          </w:p>
        </w:tc>
        <w:tc>
          <w:tcPr>
            <w:tcW w:w="555" w:type="dxa"/>
          </w:tcPr>
          <w:p w:rsidR="005B2E2B" w:rsidRPr="000E1FAF" w:rsidRDefault="005B2E2B" w:rsidP="00481850">
            <w:pPr>
              <w:jc w:val="center"/>
              <w:rPr>
                <w:sz w:val="22"/>
                <w:szCs w:val="22"/>
              </w:rPr>
            </w:pPr>
            <w:r w:rsidRPr="000E1FAF">
              <w:rPr>
                <w:sz w:val="22"/>
                <w:szCs w:val="22"/>
              </w:rPr>
              <w:t>7</w:t>
            </w:r>
          </w:p>
        </w:tc>
        <w:tc>
          <w:tcPr>
            <w:tcW w:w="555" w:type="dxa"/>
          </w:tcPr>
          <w:p w:rsidR="005B2E2B" w:rsidRPr="000E1FAF" w:rsidRDefault="005B2E2B" w:rsidP="00481850">
            <w:pPr>
              <w:jc w:val="center"/>
              <w:rPr>
                <w:sz w:val="22"/>
                <w:szCs w:val="22"/>
              </w:rPr>
            </w:pPr>
            <w:r w:rsidRPr="000E1FAF">
              <w:rPr>
                <w:sz w:val="22"/>
                <w:szCs w:val="22"/>
              </w:rPr>
              <w:t>11</w:t>
            </w:r>
          </w:p>
        </w:tc>
      </w:tr>
      <w:tr w:rsidR="000E1FAF" w:rsidRPr="000E1FAF" w:rsidTr="0090128C">
        <w:tc>
          <w:tcPr>
            <w:tcW w:w="6852" w:type="dxa"/>
          </w:tcPr>
          <w:p w:rsidR="005B2E2B" w:rsidRPr="000E1FAF" w:rsidRDefault="005B2E2B" w:rsidP="00F2083E">
            <w:pPr>
              <w:rPr>
                <w:b/>
                <w:bCs/>
                <w:sz w:val="22"/>
                <w:szCs w:val="22"/>
              </w:rPr>
            </w:pPr>
            <w:r w:rsidRPr="002B42DE">
              <w:rPr>
                <w:b/>
                <w:bCs/>
                <w:sz w:val="22"/>
                <w:szCs w:val="22"/>
                <w:lang w:val="en-US"/>
              </w:rPr>
              <w:lastRenderedPageBreak/>
              <w:t xml:space="preserve">ERC/DEC/(99)06 </w:t>
            </w:r>
            <w:r w:rsidRPr="000E1FAF">
              <w:rPr>
                <w:b/>
                <w:bCs/>
                <w:sz w:val="22"/>
                <w:szCs w:val="22"/>
              </w:rPr>
              <w:t xml:space="preserve">- </w:t>
            </w:r>
            <w:r w:rsidRPr="000E1FAF">
              <w:rPr>
                <w:sz w:val="22"/>
                <w:szCs w:val="22"/>
              </w:rPr>
              <w:t>ERC Decision of 10 March 1999 on the harmonised introduction of satellite personal communication systems operating in the bands below 1 GHz (S-PCS&lt;1GHz)</w:t>
            </w:r>
          </w:p>
        </w:tc>
        <w:tc>
          <w:tcPr>
            <w:tcW w:w="1341" w:type="dxa"/>
          </w:tcPr>
          <w:p w:rsidR="005B2E2B" w:rsidRPr="000E1FAF" w:rsidRDefault="005B2E2B" w:rsidP="00F2083E">
            <w:pPr>
              <w:rPr>
                <w:sz w:val="22"/>
                <w:szCs w:val="22"/>
              </w:rPr>
            </w:pPr>
            <w:r w:rsidRPr="000E1FAF">
              <w:rPr>
                <w:sz w:val="22"/>
                <w:szCs w:val="22"/>
              </w:rPr>
              <w:t>FM44</w:t>
            </w:r>
          </w:p>
        </w:tc>
        <w:tc>
          <w:tcPr>
            <w:tcW w:w="1719" w:type="dxa"/>
          </w:tcPr>
          <w:p w:rsidR="005B2E2B" w:rsidRPr="000E1FAF" w:rsidRDefault="005B2E2B" w:rsidP="00F2083E">
            <w:pPr>
              <w:rPr>
                <w:sz w:val="22"/>
                <w:szCs w:val="22"/>
              </w:rPr>
            </w:pPr>
            <w:r w:rsidRPr="000E1FAF">
              <w:rPr>
                <w:sz w:val="22"/>
                <w:szCs w:val="22"/>
                <w:lang w:val="en-US"/>
              </w:rPr>
              <w:t>Retain</w:t>
            </w:r>
          </w:p>
        </w:tc>
        <w:tc>
          <w:tcPr>
            <w:tcW w:w="1136" w:type="dxa"/>
          </w:tcPr>
          <w:p w:rsidR="005B2E2B" w:rsidRPr="000E1FAF" w:rsidRDefault="005B2E2B" w:rsidP="00F2083E">
            <w:pPr>
              <w:rPr>
                <w:sz w:val="22"/>
                <w:szCs w:val="22"/>
              </w:rPr>
            </w:pPr>
            <w:r w:rsidRPr="000E1FAF">
              <w:rPr>
                <w:sz w:val="22"/>
                <w:szCs w:val="22"/>
              </w:rPr>
              <w:t>2016</w:t>
            </w:r>
          </w:p>
        </w:tc>
        <w:tc>
          <w:tcPr>
            <w:tcW w:w="1216" w:type="dxa"/>
            <w:shd w:val="clear" w:color="auto" w:fill="auto"/>
          </w:tcPr>
          <w:p w:rsidR="005B2E2B" w:rsidRPr="000E1FAF" w:rsidRDefault="005B2E2B" w:rsidP="00481850">
            <w:pPr>
              <w:jc w:val="center"/>
              <w:rPr>
                <w:bCs/>
                <w:sz w:val="22"/>
                <w:szCs w:val="22"/>
              </w:rPr>
            </w:pPr>
          </w:p>
        </w:tc>
        <w:tc>
          <w:tcPr>
            <w:tcW w:w="644" w:type="dxa"/>
          </w:tcPr>
          <w:p w:rsidR="005B2E2B" w:rsidRPr="000E1FAF" w:rsidRDefault="005B2E2B" w:rsidP="00481850">
            <w:pPr>
              <w:jc w:val="center"/>
              <w:rPr>
                <w:sz w:val="22"/>
                <w:szCs w:val="22"/>
              </w:rPr>
            </w:pPr>
            <w:r w:rsidRPr="000E1FAF">
              <w:rPr>
                <w:bCs/>
                <w:sz w:val="22"/>
                <w:szCs w:val="22"/>
              </w:rPr>
              <w:t>29</w:t>
            </w:r>
          </w:p>
        </w:tc>
        <w:tc>
          <w:tcPr>
            <w:tcW w:w="552" w:type="dxa"/>
          </w:tcPr>
          <w:p w:rsidR="005B2E2B" w:rsidRPr="000E1FAF" w:rsidRDefault="005B2E2B" w:rsidP="00481850">
            <w:pPr>
              <w:jc w:val="center"/>
              <w:rPr>
                <w:sz w:val="22"/>
                <w:szCs w:val="22"/>
              </w:rPr>
            </w:pPr>
            <w:r w:rsidRPr="000E1FAF">
              <w:rPr>
                <w:sz w:val="22"/>
                <w:szCs w:val="22"/>
              </w:rPr>
              <w:t>1</w:t>
            </w:r>
          </w:p>
        </w:tc>
        <w:tc>
          <w:tcPr>
            <w:tcW w:w="555" w:type="dxa"/>
          </w:tcPr>
          <w:p w:rsidR="005B2E2B" w:rsidRPr="000E1FAF" w:rsidRDefault="005B2E2B" w:rsidP="00481850">
            <w:pPr>
              <w:jc w:val="center"/>
              <w:rPr>
                <w:sz w:val="22"/>
                <w:szCs w:val="22"/>
              </w:rPr>
            </w:pPr>
            <w:r w:rsidRPr="000E1FAF">
              <w:rPr>
                <w:sz w:val="22"/>
                <w:szCs w:val="22"/>
              </w:rPr>
              <w:t>8</w:t>
            </w:r>
          </w:p>
        </w:tc>
        <w:tc>
          <w:tcPr>
            <w:tcW w:w="555" w:type="dxa"/>
          </w:tcPr>
          <w:p w:rsidR="005B2E2B" w:rsidRPr="000E1FAF" w:rsidRDefault="005B2E2B" w:rsidP="00481850">
            <w:pPr>
              <w:jc w:val="center"/>
              <w:rPr>
                <w:sz w:val="22"/>
                <w:szCs w:val="22"/>
              </w:rPr>
            </w:pPr>
            <w:r w:rsidRPr="000E1FAF">
              <w:rPr>
                <w:sz w:val="22"/>
                <w:szCs w:val="22"/>
              </w:rPr>
              <w:t>10</w:t>
            </w:r>
          </w:p>
        </w:tc>
      </w:tr>
      <w:tr w:rsidR="000E1FAF" w:rsidRPr="000E1FAF" w:rsidTr="0090128C">
        <w:tc>
          <w:tcPr>
            <w:tcW w:w="6852" w:type="dxa"/>
            <w:tcBorders>
              <w:bottom w:val="single" w:sz="4" w:space="0" w:color="000000"/>
            </w:tcBorders>
          </w:tcPr>
          <w:p w:rsidR="005B2E2B" w:rsidRPr="000E1FAF" w:rsidRDefault="005B2E2B" w:rsidP="00312C09">
            <w:pPr>
              <w:rPr>
                <w:sz w:val="22"/>
                <w:szCs w:val="22"/>
                <w:lang w:val="en-US"/>
              </w:rPr>
            </w:pPr>
            <w:r w:rsidRPr="000E1FAF">
              <w:rPr>
                <w:b/>
                <w:bCs/>
                <w:sz w:val="22"/>
                <w:szCs w:val="22"/>
                <w:lang w:val="en-US"/>
              </w:rPr>
              <w:t xml:space="preserve">ERC/DEC/(99)15 </w:t>
            </w:r>
            <w:r w:rsidRPr="000E1FAF">
              <w:rPr>
                <w:b/>
                <w:bCs/>
                <w:sz w:val="22"/>
                <w:szCs w:val="22"/>
              </w:rPr>
              <w:t xml:space="preserve">- </w:t>
            </w:r>
            <w:r w:rsidRPr="000E1FAF">
              <w:rPr>
                <w:sz w:val="22"/>
                <w:szCs w:val="22"/>
              </w:rPr>
              <w:t xml:space="preserve">ERC Decision of 1 June 1999 on the designation of the harmonised frequency band 40.5 to 43.5 GHz for the introduction of Multimedia Wireless Systems (MWS) and Point-to-Point (P-P) Fixed Wireless System </w:t>
            </w:r>
          </w:p>
          <w:p w:rsidR="005B2E2B" w:rsidRPr="000E1FAF" w:rsidRDefault="005B2E2B" w:rsidP="00312C09">
            <w:pPr>
              <w:rPr>
                <w:i/>
                <w:color w:val="FF0000"/>
                <w:sz w:val="22"/>
                <w:szCs w:val="22"/>
              </w:rPr>
            </w:pPr>
            <w:r w:rsidRPr="000E1FAF">
              <w:rPr>
                <w:i/>
                <w:color w:val="FF0000"/>
                <w:sz w:val="22"/>
                <w:szCs w:val="22"/>
              </w:rPr>
              <w:t xml:space="preserve">Note: </w:t>
            </w:r>
            <w:r w:rsidRPr="000E1FAF">
              <w:rPr>
                <w:bCs/>
                <w:i/>
                <w:color w:val="FF0000"/>
                <w:sz w:val="22"/>
                <w:szCs w:val="22"/>
                <w:lang w:val="en-US"/>
              </w:rPr>
              <w:t xml:space="preserve">ERC Decision was revised in 2010 </w:t>
            </w:r>
          </w:p>
        </w:tc>
        <w:tc>
          <w:tcPr>
            <w:tcW w:w="1341" w:type="dxa"/>
            <w:tcBorders>
              <w:bottom w:val="single" w:sz="4" w:space="0" w:color="000000"/>
            </w:tcBorders>
          </w:tcPr>
          <w:p w:rsidR="005B2E2B" w:rsidRPr="000E1FAF" w:rsidRDefault="005B2E2B" w:rsidP="00D62556">
            <w:pPr>
              <w:rPr>
                <w:sz w:val="22"/>
                <w:szCs w:val="22"/>
              </w:rPr>
            </w:pPr>
            <w:r w:rsidRPr="000E1FAF">
              <w:rPr>
                <w:sz w:val="22"/>
                <w:szCs w:val="22"/>
              </w:rPr>
              <w:t>WG FM</w:t>
            </w:r>
          </w:p>
        </w:tc>
        <w:tc>
          <w:tcPr>
            <w:tcW w:w="1719" w:type="dxa"/>
            <w:tcBorders>
              <w:bottom w:val="single" w:sz="4" w:space="0" w:color="000000"/>
            </w:tcBorders>
          </w:tcPr>
          <w:p w:rsidR="005B2E2B" w:rsidRPr="000E1FAF" w:rsidRDefault="005B2E2B" w:rsidP="00312C09">
            <w:pPr>
              <w:rPr>
                <w:sz w:val="22"/>
                <w:szCs w:val="22"/>
              </w:rPr>
            </w:pPr>
            <w:r w:rsidRPr="000E1FAF">
              <w:rPr>
                <w:sz w:val="22"/>
                <w:szCs w:val="22"/>
                <w:lang w:val="en-US"/>
              </w:rPr>
              <w:t xml:space="preserve">Retain </w:t>
            </w:r>
          </w:p>
        </w:tc>
        <w:tc>
          <w:tcPr>
            <w:tcW w:w="1136" w:type="dxa"/>
            <w:tcBorders>
              <w:bottom w:val="single" w:sz="4" w:space="0" w:color="000000"/>
            </w:tcBorders>
          </w:tcPr>
          <w:p w:rsidR="005B2E2B" w:rsidRPr="000E1FAF" w:rsidRDefault="005B2E2B" w:rsidP="00312C09">
            <w:pPr>
              <w:rPr>
                <w:sz w:val="22"/>
                <w:szCs w:val="22"/>
              </w:rPr>
            </w:pPr>
            <w:r w:rsidRPr="000E1FAF">
              <w:rPr>
                <w:sz w:val="22"/>
                <w:szCs w:val="22"/>
              </w:rPr>
              <w:t>2015</w:t>
            </w:r>
          </w:p>
        </w:tc>
        <w:tc>
          <w:tcPr>
            <w:tcW w:w="1216" w:type="dxa"/>
            <w:tcBorders>
              <w:bottom w:val="single" w:sz="4" w:space="0" w:color="000000"/>
            </w:tcBorders>
            <w:shd w:val="clear" w:color="auto" w:fill="auto"/>
          </w:tcPr>
          <w:p w:rsidR="005B2E2B" w:rsidRPr="000E1FAF" w:rsidRDefault="005B2E2B" w:rsidP="00D62556">
            <w:pPr>
              <w:jc w:val="center"/>
              <w:rPr>
                <w:bCs/>
                <w:sz w:val="22"/>
                <w:szCs w:val="22"/>
              </w:rPr>
            </w:pPr>
          </w:p>
        </w:tc>
        <w:tc>
          <w:tcPr>
            <w:tcW w:w="644" w:type="dxa"/>
            <w:tcBorders>
              <w:bottom w:val="single" w:sz="4" w:space="0" w:color="000000"/>
            </w:tcBorders>
          </w:tcPr>
          <w:p w:rsidR="005B2E2B" w:rsidRPr="000E1FAF" w:rsidRDefault="005B2E2B" w:rsidP="00D62556">
            <w:pPr>
              <w:jc w:val="center"/>
              <w:rPr>
                <w:sz w:val="22"/>
                <w:szCs w:val="22"/>
              </w:rPr>
            </w:pPr>
            <w:r w:rsidRPr="000E1FAF">
              <w:rPr>
                <w:bCs/>
                <w:sz w:val="22"/>
                <w:szCs w:val="22"/>
              </w:rPr>
              <w:t>21</w:t>
            </w:r>
          </w:p>
        </w:tc>
        <w:tc>
          <w:tcPr>
            <w:tcW w:w="552" w:type="dxa"/>
            <w:tcBorders>
              <w:bottom w:val="single" w:sz="4" w:space="0" w:color="000000"/>
            </w:tcBorders>
          </w:tcPr>
          <w:p w:rsidR="005B2E2B" w:rsidRPr="000E1FAF" w:rsidRDefault="005B2E2B" w:rsidP="00481850">
            <w:pPr>
              <w:jc w:val="center"/>
              <w:rPr>
                <w:sz w:val="22"/>
                <w:szCs w:val="22"/>
              </w:rPr>
            </w:pPr>
            <w:r w:rsidRPr="000E1FAF">
              <w:rPr>
                <w:sz w:val="22"/>
                <w:szCs w:val="22"/>
              </w:rPr>
              <w:t>2</w:t>
            </w:r>
          </w:p>
        </w:tc>
        <w:tc>
          <w:tcPr>
            <w:tcW w:w="555" w:type="dxa"/>
            <w:tcBorders>
              <w:bottom w:val="single" w:sz="4" w:space="0" w:color="000000"/>
            </w:tcBorders>
          </w:tcPr>
          <w:p w:rsidR="005B2E2B" w:rsidRPr="000E1FAF" w:rsidRDefault="005B2E2B" w:rsidP="00D62556">
            <w:pPr>
              <w:jc w:val="center"/>
              <w:rPr>
                <w:sz w:val="22"/>
                <w:szCs w:val="22"/>
              </w:rPr>
            </w:pPr>
            <w:r w:rsidRPr="000E1FAF">
              <w:rPr>
                <w:sz w:val="22"/>
                <w:szCs w:val="22"/>
              </w:rPr>
              <w:t>3</w:t>
            </w:r>
          </w:p>
        </w:tc>
        <w:tc>
          <w:tcPr>
            <w:tcW w:w="555" w:type="dxa"/>
            <w:tcBorders>
              <w:bottom w:val="single" w:sz="4" w:space="0" w:color="000000"/>
            </w:tcBorders>
          </w:tcPr>
          <w:p w:rsidR="005B2E2B" w:rsidRPr="000E1FAF" w:rsidRDefault="005B2E2B" w:rsidP="00481850">
            <w:pPr>
              <w:jc w:val="center"/>
              <w:rPr>
                <w:sz w:val="22"/>
                <w:szCs w:val="22"/>
              </w:rPr>
            </w:pPr>
            <w:r w:rsidRPr="000E1FAF">
              <w:rPr>
                <w:sz w:val="22"/>
                <w:szCs w:val="22"/>
              </w:rPr>
              <w:t>22</w:t>
            </w:r>
          </w:p>
        </w:tc>
      </w:tr>
      <w:tr w:rsidR="000E1FAF" w:rsidRPr="000E1FAF" w:rsidTr="0090128C">
        <w:tc>
          <w:tcPr>
            <w:tcW w:w="6852" w:type="dxa"/>
            <w:shd w:val="clear" w:color="auto" w:fill="auto"/>
          </w:tcPr>
          <w:p w:rsidR="005B2E2B" w:rsidRPr="000E1FAF" w:rsidRDefault="005B2E2B" w:rsidP="00002117">
            <w:pPr>
              <w:rPr>
                <w:sz w:val="22"/>
                <w:szCs w:val="22"/>
                <w:lang w:val="en-US"/>
              </w:rPr>
            </w:pPr>
            <w:r w:rsidRPr="002B42DE">
              <w:rPr>
                <w:b/>
                <w:bCs/>
                <w:sz w:val="22"/>
                <w:szCs w:val="22"/>
                <w:lang w:val="en-US"/>
              </w:rPr>
              <w:t>ERC/DEC/(99)17</w:t>
            </w:r>
            <w:r w:rsidRPr="002B42DE">
              <w:rPr>
                <w:bCs/>
                <w:sz w:val="22"/>
                <w:szCs w:val="22"/>
                <w:lang w:val="en-US"/>
              </w:rPr>
              <w:t xml:space="preserve"> </w:t>
            </w:r>
            <w:r w:rsidRPr="000E1FAF">
              <w:rPr>
                <w:b/>
                <w:bCs/>
                <w:sz w:val="22"/>
                <w:szCs w:val="22"/>
              </w:rPr>
              <w:t xml:space="preserve">- </w:t>
            </w:r>
            <w:r w:rsidRPr="000E1FAF">
              <w:rPr>
                <w:sz w:val="22"/>
                <w:szCs w:val="22"/>
                <w:lang w:val="en-US"/>
              </w:rPr>
              <w:t xml:space="preserve">ERC Decision of 1 June 1999 on the Automatic Identification and Surveillance system (AIS) channels in the maritime VHF band </w:t>
            </w:r>
          </w:p>
        </w:tc>
        <w:tc>
          <w:tcPr>
            <w:tcW w:w="1341" w:type="dxa"/>
            <w:shd w:val="clear" w:color="auto" w:fill="auto"/>
          </w:tcPr>
          <w:p w:rsidR="005B2E2B" w:rsidRPr="000E1FAF" w:rsidRDefault="005B2E2B" w:rsidP="00002117">
            <w:pPr>
              <w:rPr>
                <w:sz w:val="22"/>
                <w:szCs w:val="22"/>
              </w:rPr>
            </w:pPr>
            <w:r w:rsidRPr="000E1FAF">
              <w:rPr>
                <w:sz w:val="22"/>
                <w:szCs w:val="22"/>
              </w:rPr>
              <w:t>FG Maritime</w:t>
            </w:r>
          </w:p>
          <w:p w:rsidR="005B2E2B" w:rsidRPr="000E1FAF" w:rsidRDefault="005B2E2B" w:rsidP="00002117">
            <w:pPr>
              <w:rPr>
                <w:sz w:val="22"/>
                <w:szCs w:val="22"/>
              </w:rPr>
            </w:pPr>
          </w:p>
        </w:tc>
        <w:tc>
          <w:tcPr>
            <w:tcW w:w="1719" w:type="dxa"/>
            <w:shd w:val="clear" w:color="auto" w:fill="auto"/>
          </w:tcPr>
          <w:p w:rsidR="005B2E2B" w:rsidRPr="000E1FAF" w:rsidRDefault="005B2E2B" w:rsidP="00002117">
            <w:pPr>
              <w:rPr>
                <w:sz w:val="22"/>
                <w:szCs w:val="22"/>
              </w:rPr>
            </w:pPr>
            <w:r w:rsidRPr="000E1FAF">
              <w:rPr>
                <w:sz w:val="22"/>
                <w:szCs w:val="22"/>
                <w:lang w:val="en-US"/>
              </w:rPr>
              <w:t>Retain</w:t>
            </w:r>
          </w:p>
        </w:tc>
        <w:tc>
          <w:tcPr>
            <w:tcW w:w="1136" w:type="dxa"/>
            <w:shd w:val="clear" w:color="auto" w:fill="auto"/>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AE5F2A">
            <w:pPr>
              <w:jc w:val="center"/>
              <w:rPr>
                <w:bCs/>
                <w:sz w:val="22"/>
                <w:szCs w:val="22"/>
              </w:rPr>
            </w:pPr>
          </w:p>
        </w:tc>
        <w:tc>
          <w:tcPr>
            <w:tcW w:w="644" w:type="dxa"/>
            <w:shd w:val="clear" w:color="auto" w:fill="auto"/>
          </w:tcPr>
          <w:p w:rsidR="005B2E2B" w:rsidRPr="000E1FAF" w:rsidRDefault="005B2E2B" w:rsidP="00AE5F2A">
            <w:pPr>
              <w:jc w:val="center"/>
              <w:rPr>
                <w:sz w:val="22"/>
                <w:szCs w:val="22"/>
              </w:rPr>
            </w:pPr>
            <w:r w:rsidRPr="000E1FAF">
              <w:rPr>
                <w:bCs/>
                <w:sz w:val="22"/>
                <w:szCs w:val="22"/>
              </w:rPr>
              <w:t>36</w:t>
            </w:r>
          </w:p>
        </w:tc>
        <w:tc>
          <w:tcPr>
            <w:tcW w:w="552" w:type="dxa"/>
            <w:shd w:val="clear" w:color="auto" w:fill="auto"/>
          </w:tcPr>
          <w:p w:rsidR="005B2E2B" w:rsidRPr="000E1FAF" w:rsidRDefault="005B2E2B" w:rsidP="00B05B6B">
            <w:pPr>
              <w:jc w:val="center"/>
              <w:rPr>
                <w:sz w:val="22"/>
                <w:szCs w:val="22"/>
              </w:rPr>
            </w:pPr>
            <w:r w:rsidRPr="000E1FAF">
              <w:rPr>
                <w:sz w:val="22"/>
                <w:szCs w:val="22"/>
              </w:rPr>
              <w:t>2</w:t>
            </w:r>
          </w:p>
        </w:tc>
        <w:tc>
          <w:tcPr>
            <w:tcW w:w="555" w:type="dxa"/>
            <w:shd w:val="clear" w:color="auto" w:fill="auto"/>
          </w:tcPr>
          <w:p w:rsidR="005B2E2B" w:rsidRPr="000E1FAF" w:rsidRDefault="005B2E2B" w:rsidP="00481850">
            <w:pPr>
              <w:jc w:val="center"/>
              <w:rPr>
                <w:sz w:val="22"/>
                <w:szCs w:val="22"/>
              </w:rPr>
            </w:pPr>
            <w:r w:rsidRPr="000E1FAF">
              <w:rPr>
                <w:sz w:val="22"/>
                <w:szCs w:val="22"/>
              </w:rPr>
              <w:t>3</w:t>
            </w:r>
          </w:p>
        </w:tc>
        <w:tc>
          <w:tcPr>
            <w:tcW w:w="555" w:type="dxa"/>
            <w:shd w:val="clear" w:color="auto" w:fill="auto"/>
          </w:tcPr>
          <w:p w:rsidR="005B2E2B" w:rsidRPr="000E1FAF" w:rsidRDefault="005B2E2B" w:rsidP="00481850">
            <w:pPr>
              <w:jc w:val="center"/>
              <w:rPr>
                <w:sz w:val="22"/>
                <w:szCs w:val="22"/>
              </w:rPr>
            </w:pPr>
            <w:r w:rsidRPr="000E1FAF">
              <w:rPr>
                <w:sz w:val="22"/>
                <w:szCs w:val="22"/>
              </w:rPr>
              <w:t>9</w:t>
            </w:r>
          </w:p>
        </w:tc>
      </w:tr>
      <w:tr w:rsidR="000E1FAF" w:rsidRPr="000E1FAF" w:rsidTr="0090128C">
        <w:tc>
          <w:tcPr>
            <w:tcW w:w="6852" w:type="dxa"/>
          </w:tcPr>
          <w:p w:rsidR="005B2E2B" w:rsidRPr="000E1FAF" w:rsidRDefault="005B2E2B" w:rsidP="00002117">
            <w:pPr>
              <w:rPr>
                <w:sz w:val="22"/>
                <w:szCs w:val="22"/>
                <w:lang w:val="en-US"/>
              </w:rPr>
            </w:pPr>
            <w:r w:rsidRPr="002B42DE">
              <w:rPr>
                <w:b/>
                <w:bCs/>
                <w:sz w:val="22"/>
                <w:szCs w:val="22"/>
                <w:lang w:val="en-US"/>
              </w:rPr>
              <w:t xml:space="preserve">ERC/DEC/(99)26 </w:t>
            </w:r>
            <w:r w:rsidRPr="000E1FAF">
              <w:rPr>
                <w:b/>
                <w:bCs/>
                <w:sz w:val="22"/>
                <w:szCs w:val="22"/>
              </w:rPr>
              <w:t xml:space="preserve">- </w:t>
            </w:r>
            <w:r w:rsidRPr="000E1FAF">
              <w:rPr>
                <w:sz w:val="22"/>
                <w:szCs w:val="22"/>
                <w:lang w:val="en-US"/>
              </w:rPr>
              <w:t>ERC Decision of 29 November 1999 on Exemption from Individual Licensing of Receive Only Earth Stations (ROES)</w:t>
            </w:r>
          </w:p>
        </w:tc>
        <w:tc>
          <w:tcPr>
            <w:tcW w:w="1341" w:type="dxa"/>
          </w:tcPr>
          <w:p w:rsidR="005B2E2B" w:rsidRPr="000E1FAF" w:rsidRDefault="005B2E2B" w:rsidP="00002117">
            <w:pPr>
              <w:rPr>
                <w:sz w:val="22"/>
                <w:szCs w:val="22"/>
              </w:rPr>
            </w:pPr>
            <w:r w:rsidRPr="000E1FAF">
              <w:rPr>
                <w:sz w:val="22"/>
                <w:szCs w:val="22"/>
              </w:rPr>
              <w:t>FM44</w:t>
            </w:r>
          </w:p>
        </w:tc>
        <w:tc>
          <w:tcPr>
            <w:tcW w:w="1719" w:type="dxa"/>
          </w:tcPr>
          <w:p w:rsidR="005B2E2B" w:rsidRPr="000E1FAF" w:rsidRDefault="005B2E2B" w:rsidP="00002117">
            <w:pPr>
              <w:rPr>
                <w:sz w:val="22"/>
                <w:szCs w:val="22"/>
              </w:rPr>
            </w:pPr>
            <w:r w:rsidRPr="000E1FAF">
              <w:rPr>
                <w:sz w:val="22"/>
                <w:szCs w:val="22"/>
                <w:lang w:val="en-US"/>
              </w:rPr>
              <w:t>Retain</w:t>
            </w:r>
          </w:p>
        </w:tc>
        <w:tc>
          <w:tcPr>
            <w:tcW w:w="1136" w:type="dxa"/>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1812E8">
            <w:pPr>
              <w:jc w:val="center"/>
              <w:rPr>
                <w:bCs/>
                <w:sz w:val="22"/>
                <w:szCs w:val="22"/>
              </w:rPr>
            </w:pPr>
          </w:p>
        </w:tc>
        <w:tc>
          <w:tcPr>
            <w:tcW w:w="644" w:type="dxa"/>
          </w:tcPr>
          <w:p w:rsidR="005B2E2B" w:rsidRPr="000E1FAF" w:rsidRDefault="005B2E2B" w:rsidP="001812E8">
            <w:pPr>
              <w:jc w:val="center"/>
              <w:rPr>
                <w:sz w:val="22"/>
                <w:szCs w:val="22"/>
              </w:rPr>
            </w:pPr>
            <w:r w:rsidRPr="000E1FAF">
              <w:rPr>
                <w:bCs/>
                <w:sz w:val="22"/>
                <w:szCs w:val="22"/>
              </w:rPr>
              <w:t>32</w:t>
            </w:r>
          </w:p>
        </w:tc>
        <w:tc>
          <w:tcPr>
            <w:tcW w:w="552" w:type="dxa"/>
          </w:tcPr>
          <w:p w:rsidR="005B2E2B" w:rsidRPr="000E1FAF" w:rsidRDefault="005B2E2B" w:rsidP="00293BBD">
            <w:pPr>
              <w:jc w:val="center"/>
              <w:rPr>
                <w:sz w:val="22"/>
                <w:szCs w:val="22"/>
              </w:rPr>
            </w:pPr>
            <w:r w:rsidRPr="000E1FAF">
              <w:rPr>
                <w:sz w:val="22"/>
                <w:szCs w:val="22"/>
              </w:rPr>
              <w:t>1</w:t>
            </w:r>
          </w:p>
        </w:tc>
        <w:tc>
          <w:tcPr>
            <w:tcW w:w="555" w:type="dxa"/>
          </w:tcPr>
          <w:p w:rsidR="005B2E2B" w:rsidRPr="000E1FAF" w:rsidRDefault="005B2E2B" w:rsidP="00481850">
            <w:pPr>
              <w:jc w:val="center"/>
              <w:rPr>
                <w:sz w:val="22"/>
                <w:szCs w:val="22"/>
              </w:rPr>
            </w:pPr>
            <w:r w:rsidRPr="000E1FAF">
              <w:rPr>
                <w:sz w:val="22"/>
                <w:szCs w:val="22"/>
              </w:rPr>
              <w:t>3</w:t>
            </w:r>
          </w:p>
        </w:tc>
        <w:tc>
          <w:tcPr>
            <w:tcW w:w="555" w:type="dxa"/>
          </w:tcPr>
          <w:p w:rsidR="005B2E2B" w:rsidRPr="000E1FAF" w:rsidRDefault="005B2E2B" w:rsidP="00481850">
            <w:pPr>
              <w:jc w:val="center"/>
              <w:rPr>
                <w:sz w:val="22"/>
                <w:szCs w:val="22"/>
              </w:rPr>
            </w:pPr>
            <w:r w:rsidRPr="000E1FAF">
              <w:rPr>
                <w:sz w:val="22"/>
                <w:szCs w:val="22"/>
              </w:rPr>
              <w:t>12</w:t>
            </w:r>
          </w:p>
        </w:tc>
      </w:tr>
      <w:tr w:rsidR="000E1FAF" w:rsidRPr="000E1FAF" w:rsidTr="0090128C">
        <w:tc>
          <w:tcPr>
            <w:tcW w:w="6852" w:type="dxa"/>
            <w:tcBorders>
              <w:bottom w:val="single" w:sz="4" w:space="0" w:color="000000"/>
            </w:tcBorders>
          </w:tcPr>
          <w:p w:rsidR="005B2E2B" w:rsidRPr="000E1FAF" w:rsidRDefault="005B2E2B" w:rsidP="00002117">
            <w:pPr>
              <w:rPr>
                <w:sz w:val="22"/>
                <w:szCs w:val="22"/>
                <w:lang w:val="en-US"/>
              </w:rPr>
            </w:pPr>
            <w:r w:rsidRPr="002B42DE">
              <w:rPr>
                <w:b/>
                <w:bCs/>
                <w:sz w:val="22"/>
                <w:szCs w:val="22"/>
                <w:lang w:val="en-US"/>
              </w:rPr>
              <w:t xml:space="preserve">ERC/DEC/(00)02 </w:t>
            </w:r>
            <w:r w:rsidRPr="000E1FAF">
              <w:rPr>
                <w:b/>
                <w:bCs/>
                <w:sz w:val="22"/>
                <w:szCs w:val="22"/>
              </w:rPr>
              <w:t xml:space="preserve">- </w:t>
            </w:r>
            <w:r w:rsidRPr="000E1FAF">
              <w:rPr>
                <w:sz w:val="22"/>
                <w:szCs w:val="22"/>
                <w:lang w:val="en-US"/>
              </w:rPr>
              <w:t>ERC Decision of 27 March 2000 on the use of the band 37.5 - 40.5 GHz by the fixed service and Earth stations of the fixed - satellite service (space to Earth)</w:t>
            </w:r>
          </w:p>
        </w:tc>
        <w:tc>
          <w:tcPr>
            <w:tcW w:w="1341" w:type="dxa"/>
            <w:tcBorders>
              <w:bottom w:val="single" w:sz="4" w:space="0" w:color="000000"/>
            </w:tcBorders>
          </w:tcPr>
          <w:p w:rsidR="005B2E2B" w:rsidRPr="000E1FAF" w:rsidRDefault="005B2E2B" w:rsidP="00002117">
            <w:pPr>
              <w:rPr>
                <w:color w:val="FF0000"/>
                <w:sz w:val="22"/>
                <w:szCs w:val="22"/>
              </w:rPr>
            </w:pPr>
            <w:r w:rsidRPr="000E1FAF">
              <w:rPr>
                <w:sz w:val="22"/>
                <w:szCs w:val="22"/>
              </w:rPr>
              <w:t>FM44</w:t>
            </w:r>
          </w:p>
        </w:tc>
        <w:tc>
          <w:tcPr>
            <w:tcW w:w="1719" w:type="dxa"/>
            <w:tcBorders>
              <w:bottom w:val="single" w:sz="4" w:space="0" w:color="000000"/>
            </w:tcBorders>
          </w:tcPr>
          <w:p w:rsidR="005B2E2B" w:rsidRPr="000E1FAF" w:rsidRDefault="005B2E2B" w:rsidP="00002117">
            <w:pPr>
              <w:rPr>
                <w:sz w:val="22"/>
                <w:szCs w:val="22"/>
              </w:rPr>
            </w:pPr>
            <w:r w:rsidRPr="000E1FAF">
              <w:rPr>
                <w:sz w:val="22"/>
                <w:szCs w:val="22"/>
                <w:lang w:val="en-US"/>
              </w:rPr>
              <w:t>Retain</w:t>
            </w:r>
          </w:p>
        </w:tc>
        <w:tc>
          <w:tcPr>
            <w:tcW w:w="1136" w:type="dxa"/>
            <w:tcBorders>
              <w:bottom w:val="single" w:sz="4" w:space="0" w:color="000000"/>
            </w:tcBorders>
          </w:tcPr>
          <w:p w:rsidR="005B2E2B" w:rsidRPr="000E1FAF" w:rsidRDefault="005B2E2B" w:rsidP="00002117">
            <w:pPr>
              <w:rPr>
                <w:sz w:val="22"/>
                <w:szCs w:val="22"/>
              </w:rPr>
            </w:pPr>
            <w:r w:rsidRPr="000E1FAF">
              <w:rPr>
                <w:sz w:val="22"/>
                <w:szCs w:val="22"/>
              </w:rPr>
              <w:t>2016</w:t>
            </w:r>
          </w:p>
        </w:tc>
        <w:tc>
          <w:tcPr>
            <w:tcW w:w="1216" w:type="dxa"/>
            <w:tcBorders>
              <w:bottom w:val="single" w:sz="4" w:space="0" w:color="000000"/>
            </w:tcBorders>
            <w:shd w:val="clear" w:color="auto" w:fill="auto"/>
          </w:tcPr>
          <w:p w:rsidR="005B2E2B" w:rsidRPr="000E1FAF" w:rsidRDefault="005B2E2B" w:rsidP="00481850">
            <w:pPr>
              <w:jc w:val="center"/>
              <w:rPr>
                <w:bCs/>
                <w:sz w:val="22"/>
                <w:szCs w:val="22"/>
              </w:rPr>
            </w:pPr>
          </w:p>
        </w:tc>
        <w:tc>
          <w:tcPr>
            <w:tcW w:w="644" w:type="dxa"/>
            <w:tcBorders>
              <w:bottom w:val="single" w:sz="4" w:space="0" w:color="000000"/>
            </w:tcBorders>
          </w:tcPr>
          <w:p w:rsidR="005B2E2B" w:rsidRPr="000E1FAF" w:rsidRDefault="005B2E2B" w:rsidP="00481850">
            <w:pPr>
              <w:jc w:val="center"/>
              <w:rPr>
                <w:sz w:val="22"/>
                <w:szCs w:val="22"/>
              </w:rPr>
            </w:pPr>
            <w:r w:rsidRPr="000E1FAF">
              <w:rPr>
                <w:bCs/>
                <w:sz w:val="22"/>
                <w:szCs w:val="22"/>
              </w:rPr>
              <w:t>35</w:t>
            </w:r>
          </w:p>
        </w:tc>
        <w:tc>
          <w:tcPr>
            <w:tcW w:w="552" w:type="dxa"/>
            <w:tcBorders>
              <w:bottom w:val="single" w:sz="4" w:space="0" w:color="000000"/>
            </w:tcBorders>
          </w:tcPr>
          <w:p w:rsidR="005B2E2B" w:rsidRPr="000E1FAF" w:rsidRDefault="005B2E2B" w:rsidP="001812E8">
            <w:pPr>
              <w:jc w:val="center"/>
              <w:rPr>
                <w:sz w:val="22"/>
                <w:szCs w:val="22"/>
              </w:rPr>
            </w:pPr>
            <w:r w:rsidRPr="000E1FAF">
              <w:rPr>
                <w:sz w:val="22"/>
                <w:szCs w:val="22"/>
              </w:rPr>
              <w:t>3</w:t>
            </w:r>
          </w:p>
        </w:tc>
        <w:tc>
          <w:tcPr>
            <w:tcW w:w="555" w:type="dxa"/>
            <w:tcBorders>
              <w:bottom w:val="single" w:sz="4" w:space="0" w:color="000000"/>
            </w:tcBorders>
          </w:tcPr>
          <w:p w:rsidR="005B2E2B" w:rsidRPr="000E1FAF" w:rsidRDefault="005B2E2B" w:rsidP="00293BBD">
            <w:pPr>
              <w:jc w:val="center"/>
              <w:rPr>
                <w:sz w:val="22"/>
                <w:szCs w:val="22"/>
              </w:rPr>
            </w:pPr>
            <w:r w:rsidRPr="000E1FAF">
              <w:rPr>
                <w:sz w:val="22"/>
                <w:szCs w:val="22"/>
              </w:rPr>
              <w:t>2</w:t>
            </w:r>
          </w:p>
        </w:tc>
        <w:tc>
          <w:tcPr>
            <w:tcW w:w="555" w:type="dxa"/>
            <w:tcBorders>
              <w:bottom w:val="single" w:sz="4" w:space="0" w:color="000000"/>
            </w:tcBorders>
          </w:tcPr>
          <w:p w:rsidR="005B2E2B" w:rsidRPr="000E1FAF" w:rsidRDefault="005B2E2B" w:rsidP="00481850">
            <w:pPr>
              <w:jc w:val="center"/>
              <w:rPr>
                <w:sz w:val="22"/>
                <w:szCs w:val="22"/>
              </w:rPr>
            </w:pPr>
            <w:r w:rsidRPr="000E1FAF">
              <w:rPr>
                <w:sz w:val="22"/>
                <w:szCs w:val="22"/>
              </w:rPr>
              <w:t>8</w:t>
            </w:r>
          </w:p>
        </w:tc>
      </w:tr>
      <w:tr w:rsidR="000E1FAF" w:rsidRPr="000E1FAF" w:rsidTr="0090128C">
        <w:tc>
          <w:tcPr>
            <w:tcW w:w="6852" w:type="dxa"/>
            <w:shd w:val="clear" w:color="auto" w:fill="auto"/>
          </w:tcPr>
          <w:p w:rsidR="005B2E2B" w:rsidRPr="000E1FAF" w:rsidRDefault="005B2E2B" w:rsidP="0040525C">
            <w:pPr>
              <w:rPr>
                <w:bCs/>
                <w:sz w:val="22"/>
                <w:szCs w:val="22"/>
                <w:lang w:val="en-US"/>
              </w:rPr>
            </w:pPr>
            <w:r w:rsidRPr="000E1FAF">
              <w:rPr>
                <w:b/>
                <w:bCs/>
                <w:sz w:val="22"/>
                <w:szCs w:val="22"/>
              </w:rPr>
              <w:t xml:space="preserve">ERC/DEC/(00)07 - </w:t>
            </w:r>
            <w:r w:rsidRPr="000E1FAF">
              <w:rPr>
                <w:bCs/>
                <w:sz w:val="22"/>
                <w:szCs w:val="22"/>
                <w:lang w:val="en-US"/>
              </w:rPr>
              <w:t>ERC Decision</w:t>
            </w:r>
            <w:r w:rsidRPr="000E1FAF">
              <w:rPr>
                <w:b/>
                <w:bCs/>
                <w:sz w:val="22"/>
                <w:szCs w:val="22"/>
                <w:lang w:val="en-US"/>
              </w:rPr>
              <w:t xml:space="preserve"> </w:t>
            </w:r>
            <w:r w:rsidRPr="000E1FAF">
              <w:rPr>
                <w:bCs/>
                <w:sz w:val="22"/>
                <w:szCs w:val="22"/>
                <w:lang w:val="en-US"/>
              </w:rPr>
              <w:t>of 19 October 2000</w:t>
            </w:r>
            <w:r w:rsidRPr="000E1FAF">
              <w:rPr>
                <w:bCs/>
                <w:sz w:val="22"/>
                <w:szCs w:val="22"/>
              </w:rPr>
              <w:t xml:space="preserve">on the shared use of the band 17.7 - 19.7 GHz by the fixed service and Earth stations of the fixed-satellite service </w:t>
            </w:r>
            <w:r w:rsidRPr="000E1FAF">
              <w:rPr>
                <w:bCs/>
                <w:sz w:val="22"/>
                <w:szCs w:val="22"/>
                <w:lang w:val="en-US"/>
              </w:rPr>
              <w:t>(space-to-Earth)</w:t>
            </w:r>
          </w:p>
          <w:p w:rsidR="005B2E2B" w:rsidRPr="000E1FAF" w:rsidRDefault="005B2E2B" w:rsidP="00CF5B5F">
            <w:pPr>
              <w:rPr>
                <w:i/>
                <w:sz w:val="22"/>
                <w:szCs w:val="22"/>
              </w:rPr>
            </w:pPr>
            <w:r w:rsidRPr="000E1FAF">
              <w:rPr>
                <w:i/>
                <w:color w:val="FF0000"/>
                <w:sz w:val="22"/>
                <w:szCs w:val="22"/>
              </w:rPr>
              <w:t xml:space="preserve">Note: under revision, confirmed by ECC#34 </w:t>
            </w:r>
          </w:p>
        </w:tc>
        <w:tc>
          <w:tcPr>
            <w:tcW w:w="1341" w:type="dxa"/>
            <w:shd w:val="clear" w:color="auto" w:fill="auto"/>
          </w:tcPr>
          <w:p w:rsidR="005B2E2B" w:rsidRPr="000E1FAF" w:rsidRDefault="005B2E2B" w:rsidP="00293BBD">
            <w:pPr>
              <w:rPr>
                <w:sz w:val="22"/>
                <w:szCs w:val="22"/>
              </w:rPr>
            </w:pPr>
            <w:r w:rsidRPr="000E1FAF">
              <w:rPr>
                <w:sz w:val="22"/>
                <w:szCs w:val="22"/>
              </w:rPr>
              <w:t>FM44</w:t>
            </w:r>
          </w:p>
        </w:tc>
        <w:tc>
          <w:tcPr>
            <w:tcW w:w="1719" w:type="dxa"/>
            <w:shd w:val="clear" w:color="auto" w:fill="auto"/>
          </w:tcPr>
          <w:p w:rsidR="005B2E2B" w:rsidRPr="000E1FAF" w:rsidRDefault="005B2E2B" w:rsidP="000E098D">
            <w:pPr>
              <w:rPr>
                <w:sz w:val="22"/>
                <w:szCs w:val="22"/>
                <w:lang w:val="en-US"/>
              </w:rPr>
            </w:pPr>
            <w:r w:rsidRPr="000E1FAF">
              <w:rPr>
                <w:sz w:val="22"/>
                <w:szCs w:val="22"/>
                <w:lang w:val="en-US"/>
              </w:rPr>
              <w:t>Revise</w:t>
            </w:r>
          </w:p>
        </w:tc>
        <w:tc>
          <w:tcPr>
            <w:tcW w:w="1136" w:type="dxa"/>
            <w:shd w:val="clear" w:color="auto" w:fill="auto"/>
          </w:tcPr>
          <w:p w:rsidR="005B2E2B" w:rsidRPr="000E1FAF" w:rsidRDefault="005B2E2B" w:rsidP="0040525C">
            <w:pPr>
              <w:rPr>
                <w:sz w:val="22"/>
                <w:szCs w:val="22"/>
              </w:rPr>
            </w:pPr>
            <w:r w:rsidRPr="000E1FAF">
              <w:rPr>
                <w:sz w:val="22"/>
                <w:szCs w:val="22"/>
              </w:rPr>
              <w:t>2014</w:t>
            </w:r>
          </w:p>
        </w:tc>
        <w:tc>
          <w:tcPr>
            <w:tcW w:w="1216" w:type="dxa"/>
            <w:shd w:val="clear" w:color="auto" w:fill="auto"/>
          </w:tcPr>
          <w:p w:rsidR="005B2E2B" w:rsidRPr="000E1FAF" w:rsidRDefault="000B04E9" w:rsidP="00B05B6B">
            <w:pPr>
              <w:jc w:val="center"/>
              <w:rPr>
                <w:bCs/>
                <w:sz w:val="22"/>
                <w:szCs w:val="22"/>
              </w:rPr>
            </w:pPr>
            <w:r w:rsidRPr="000E1FAF">
              <w:rPr>
                <w:bCs/>
                <w:sz w:val="22"/>
                <w:szCs w:val="22"/>
              </w:rPr>
              <w:t>Possible</w:t>
            </w:r>
          </w:p>
        </w:tc>
        <w:tc>
          <w:tcPr>
            <w:tcW w:w="644" w:type="dxa"/>
            <w:shd w:val="clear" w:color="auto" w:fill="auto"/>
          </w:tcPr>
          <w:p w:rsidR="005B2E2B" w:rsidRPr="000E1FAF" w:rsidRDefault="005B2E2B" w:rsidP="00B05B6B">
            <w:pPr>
              <w:jc w:val="center"/>
              <w:rPr>
                <w:sz w:val="22"/>
                <w:szCs w:val="22"/>
              </w:rPr>
            </w:pPr>
            <w:r w:rsidRPr="000E1FAF">
              <w:rPr>
                <w:bCs/>
                <w:sz w:val="22"/>
                <w:szCs w:val="22"/>
              </w:rPr>
              <w:t>37</w:t>
            </w:r>
          </w:p>
        </w:tc>
        <w:tc>
          <w:tcPr>
            <w:tcW w:w="552" w:type="dxa"/>
            <w:shd w:val="clear" w:color="auto" w:fill="auto"/>
          </w:tcPr>
          <w:p w:rsidR="005B2E2B" w:rsidRPr="000E1FAF" w:rsidRDefault="005B2E2B" w:rsidP="0040525C">
            <w:pPr>
              <w:jc w:val="center"/>
              <w:rPr>
                <w:sz w:val="22"/>
                <w:szCs w:val="22"/>
              </w:rPr>
            </w:pPr>
            <w:r w:rsidRPr="000E1FAF">
              <w:rPr>
                <w:sz w:val="22"/>
                <w:szCs w:val="22"/>
              </w:rPr>
              <w:t>2</w:t>
            </w:r>
          </w:p>
        </w:tc>
        <w:tc>
          <w:tcPr>
            <w:tcW w:w="555" w:type="dxa"/>
            <w:shd w:val="clear" w:color="auto" w:fill="auto"/>
          </w:tcPr>
          <w:p w:rsidR="005B2E2B" w:rsidRPr="000E1FAF" w:rsidRDefault="005B2E2B" w:rsidP="0040525C">
            <w:pPr>
              <w:jc w:val="center"/>
              <w:rPr>
                <w:sz w:val="22"/>
                <w:szCs w:val="22"/>
              </w:rPr>
            </w:pPr>
            <w:r w:rsidRPr="000E1FAF">
              <w:rPr>
                <w:sz w:val="22"/>
                <w:szCs w:val="22"/>
              </w:rPr>
              <w:t>1</w:t>
            </w:r>
          </w:p>
        </w:tc>
        <w:tc>
          <w:tcPr>
            <w:tcW w:w="555" w:type="dxa"/>
            <w:shd w:val="clear" w:color="auto" w:fill="auto"/>
          </w:tcPr>
          <w:p w:rsidR="005B2E2B" w:rsidRPr="000E1FAF" w:rsidRDefault="005B2E2B" w:rsidP="00481850">
            <w:pPr>
              <w:jc w:val="center"/>
              <w:rPr>
                <w:sz w:val="22"/>
                <w:szCs w:val="22"/>
              </w:rPr>
            </w:pPr>
            <w:r w:rsidRPr="000E1FAF">
              <w:rPr>
                <w:sz w:val="22"/>
                <w:szCs w:val="22"/>
              </w:rPr>
              <w:t>8</w:t>
            </w:r>
          </w:p>
        </w:tc>
      </w:tr>
      <w:tr w:rsidR="000E1FAF" w:rsidRPr="000E1FAF" w:rsidTr="0090128C">
        <w:tc>
          <w:tcPr>
            <w:tcW w:w="6852" w:type="dxa"/>
            <w:tcBorders>
              <w:bottom w:val="single" w:sz="4" w:space="0" w:color="000000"/>
            </w:tcBorders>
          </w:tcPr>
          <w:p w:rsidR="005B2E2B" w:rsidRPr="000E1FAF" w:rsidRDefault="005B2E2B" w:rsidP="00002117">
            <w:pPr>
              <w:rPr>
                <w:sz w:val="22"/>
                <w:szCs w:val="22"/>
                <w:lang w:val="en-US"/>
              </w:rPr>
            </w:pPr>
            <w:r w:rsidRPr="000E1FAF">
              <w:rPr>
                <w:b/>
                <w:bCs/>
                <w:sz w:val="22"/>
                <w:szCs w:val="22"/>
                <w:lang w:val="en-US"/>
              </w:rPr>
              <w:t xml:space="preserve">ERC/DEC/(00)08 </w:t>
            </w:r>
            <w:r w:rsidRPr="000E1FAF">
              <w:rPr>
                <w:b/>
                <w:bCs/>
                <w:sz w:val="22"/>
                <w:szCs w:val="22"/>
              </w:rPr>
              <w:t xml:space="preserve">- </w:t>
            </w:r>
            <w:r w:rsidRPr="000E1FAF">
              <w:rPr>
                <w:sz w:val="22"/>
                <w:szCs w:val="22"/>
                <w:lang w:val="en-US"/>
              </w:rPr>
              <w:t xml:space="preserve">ERC Decision of 19 October 2000 on the use of the band 10.7 - 12.5 GHz by the fixed service and Earth stations of the broadcasting-satellite and fixed-satellite Service (space-to-Earth) </w:t>
            </w:r>
          </w:p>
        </w:tc>
        <w:tc>
          <w:tcPr>
            <w:tcW w:w="1341" w:type="dxa"/>
            <w:tcBorders>
              <w:bottom w:val="single" w:sz="4" w:space="0" w:color="000000"/>
            </w:tcBorders>
          </w:tcPr>
          <w:p w:rsidR="005B2E2B" w:rsidRPr="000E1FAF" w:rsidRDefault="005B2E2B" w:rsidP="00002117">
            <w:pPr>
              <w:rPr>
                <w:sz w:val="22"/>
                <w:szCs w:val="22"/>
              </w:rPr>
            </w:pPr>
            <w:r w:rsidRPr="000E1FAF">
              <w:rPr>
                <w:sz w:val="22"/>
                <w:szCs w:val="22"/>
              </w:rPr>
              <w:t>FM44</w:t>
            </w:r>
          </w:p>
        </w:tc>
        <w:tc>
          <w:tcPr>
            <w:tcW w:w="1719" w:type="dxa"/>
            <w:tcBorders>
              <w:bottom w:val="single" w:sz="4" w:space="0" w:color="000000"/>
            </w:tcBorders>
          </w:tcPr>
          <w:p w:rsidR="005B2E2B" w:rsidRPr="000E1FAF" w:rsidRDefault="005B2E2B" w:rsidP="00002117">
            <w:pPr>
              <w:rPr>
                <w:sz w:val="22"/>
                <w:szCs w:val="22"/>
              </w:rPr>
            </w:pPr>
            <w:r w:rsidRPr="000E1FAF">
              <w:rPr>
                <w:sz w:val="22"/>
                <w:szCs w:val="22"/>
                <w:lang w:val="en-US"/>
              </w:rPr>
              <w:t>Retain</w:t>
            </w:r>
          </w:p>
        </w:tc>
        <w:tc>
          <w:tcPr>
            <w:tcW w:w="1136" w:type="dxa"/>
            <w:tcBorders>
              <w:bottom w:val="single" w:sz="4" w:space="0" w:color="000000"/>
            </w:tcBorders>
          </w:tcPr>
          <w:p w:rsidR="005B2E2B" w:rsidRPr="000E1FAF" w:rsidRDefault="005B2E2B" w:rsidP="00002117">
            <w:pPr>
              <w:rPr>
                <w:sz w:val="22"/>
                <w:szCs w:val="22"/>
              </w:rPr>
            </w:pPr>
            <w:r w:rsidRPr="000E1FAF">
              <w:rPr>
                <w:sz w:val="22"/>
                <w:szCs w:val="22"/>
              </w:rPr>
              <w:t>2016</w:t>
            </w:r>
          </w:p>
        </w:tc>
        <w:tc>
          <w:tcPr>
            <w:tcW w:w="1216" w:type="dxa"/>
            <w:tcBorders>
              <w:bottom w:val="single" w:sz="4" w:space="0" w:color="000000"/>
            </w:tcBorders>
            <w:shd w:val="clear" w:color="auto" w:fill="auto"/>
          </w:tcPr>
          <w:p w:rsidR="005B2E2B" w:rsidRPr="000E1FAF" w:rsidRDefault="005B2E2B" w:rsidP="00293BBD">
            <w:pPr>
              <w:jc w:val="center"/>
              <w:rPr>
                <w:bCs/>
                <w:sz w:val="22"/>
                <w:szCs w:val="22"/>
              </w:rPr>
            </w:pPr>
          </w:p>
        </w:tc>
        <w:tc>
          <w:tcPr>
            <w:tcW w:w="644" w:type="dxa"/>
            <w:tcBorders>
              <w:bottom w:val="single" w:sz="4" w:space="0" w:color="000000"/>
            </w:tcBorders>
          </w:tcPr>
          <w:p w:rsidR="005B2E2B" w:rsidRPr="000E1FAF" w:rsidRDefault="005B2E2B" w:rsidP="00293BBD">
            <w:pPr>
              <w:jc w:val="center"/>
              <w:rPr>
                <w:sz w:val="22"/>
                <w:szCs w:val="22"/>
              </w:rPr>
            </w:pPr>
            <w:r w:rsidRPr="000E1FAF">
              <w:rPr>
                <w:bCs/>
                <w:sz w:val="22"/>
                <w:szCs w:val="22"/>
              </w:rPr>
              <w:t>37</w:t>
            </w:r>
          </w:p>
        </w:tc>
        <w:tc>
          <w:tcPr>
            <w:tcW w:w="552" w:type="dxa"/>
            <w:tcBorders>
              <w:bottom w:val="single" w:sz="4" w:space="0" w:color="000000"/>
            </w:tcBorders>
          </w:tcPr>
          <w:p w:rsidR="005B2E2B" w:rsidRPr="000E1FAF" w:rsidRDefault="005B2E2B" w:rsidP="00481850">
            <w:pPr>
              <w:jc w:val="center"/>
              <w:rPr>
                <w:sz w:val="22"/>
                <w:szCs w:val="22"/>
              </w:rPr>
            </w:pPr>
            <w:r w:rsidRPr="000E1FAF">
              <w:rPr>
                <w:sz w:val="22"/>
                <w:szCs w:val="22"/>
              </w:rPr>
              <w:t>1</w:t>
            </w:r>
          </w:p>
        </w:tc>
        <w:tc>
          <w:tcPr>
            <w:tcW w:w="555" w:type="dxa"/>
            <w:tcBorders>
              <w:bottom w:val="single" w:sz="4" w:space="0" w:color="000000"/>
            </w:tcBorders>
          </w:tcPr>
          <w:p w:rsidR="005B2E2B" w:rsidRPr="000E1FAF" w:rsidRDefault="005B2E2B" w:rsidP="00002117">
            <w:pPr>
              <w:jc w:val="center"/>
              <w:rPr>
                <w:sz w:val="22"/>
                <w:szCs w:val="22"/>
              </w:rPr>
            </w:pPr>
            <w:r w:rsidRPr="000E1FAF">
              <w:rPr>
                <w:sz w:val="22"/>
                <w:szCs w:val="22"/>
              </w:rPr>
              <w:t>2</w:t>
            </w:r>
          </w:p>
        </w:tc>
        <w:tc>
          <w:tcPr>
            <w:tcW w:w="555" w:type="dxa"/>
            <w:tcBorders>
              <w:bottom w:val="single" w:sz="4" w:space="0" w:color="000000"/>
            </w:tcBorders>
          </w:tcPr>
          <w:p w:rsidR="005B2E2B" w:rsidRPr="000E1FAF" w:rsidRDefault="005B2E2B" w:rsidP="00481850">
            <w:pPr>
              <w:jc w:val="center"/>
              <w:rPr>
                <w:sz w:val="22"/>
                <w:szCs w:val="22"/>
              </w:rPr>
            </w:pPr>
            <w:r w:rsidRPr="000E1FAF">
              <w:rPr>
                <w:sz w:val="22"/>
                <w:szCs w:val="22"/>
              </w:rPr>
              <w:t>8</w:t>
            </w:r>
          </w:p>
        </w:tc>
      </w:tr>
      <w:tr w:rsidR="000E1FAF" w:rsidRPr="000E1FAF" w:rsidTr="0090128C">
        <w:tc>
          <w:tcPr>
            <w:tcW w:w="6852" w:type="dxa"/>
            <w:shd w:val="clear" w:color="auto" w:fill="auto"/>
          </w:tcPr>
          <w:p w:rsidR="005B2E2B" w:rsidRPr="000E1FAF" w:rsidRDefault="005B2E2B" w:rsidP="00002117">
            <w:pPr>
              <w:rPr>
                <w:sz w:val="22"/>
                <w:szCs w:val="22"/>
                <w:lang w:val="en-US"/>
              </w:rPr>
            </w:pPr>
            <w:r w:rsidRPr="002B42DE">
              <w:rPr>
                <w:b/>
                <w:bCs/>
                <w:sz w:val="22"/>
                <w:szCs w:val="22"/>
                <w:lang w:val="en-US"/>
              </w:rPr>
              <w:t xml:space="preserve">ERC/DEC/(01)08 </w:t>
            </w:r>
            <w:r w:rsidRPr="000E1FAF">
              <w:rPr>
                <w:b/>
                <w:bCs/>
                <w:sz w:val="22"/>
                <w:szCs w:val="22"/>
              </w:rPr>
              <w:t xml:space="preserve">- </w:t>
            </w:r>
            <w:r w:rsidRPr="000E1FAF">
              <w:rPr>
                <w:sz w:val="22"/>
                <w:szCs w:val="22"/>
                <w:lang w:val="en-US"/>
              </w:rPr>
              <w:t xml:space="preserve">ERC Decision of 12 March 2001 on </w:t>
            </w:r>
            <w:proofErr w:type="spellStart"/>
            <w:r w:rsidRPr="000E1FAF">
              <w:rPr>
                <w:sz w:val="22"/>
                <w:szCs w:val="22"/>
                <w:lang w:val="en-US"/>
              </w:rPr>
              <w:t>harmonised</w:t>
            </w:r>
            <w:proofErr w:type="spellEnd"/>
            <w:r w:rsidRPr="000E1FAF">
              <w:rPr>
                <w:sz w:val="22"/>
                <w:szCs w:val="22"/>
                <w:lang w:val="en-US"/>
              </w:rPr>
              <w:t xml:space="preserve"> frequencies, technical characteristics and exemption from individual licensing of Short Range Devices used for Movement Detection and Alert operating in the frequency band 2400 - 2483.5 MHz </w:t>
            </w:r>
          </w:p>
        </w:tc>
        <w:tc>
          <w:tcPr>
            <w:tcW w:w="1341" w:type="dxa"/>
            <w:shd w:val="clear" w:color="auto" w:fill="auto"/>
          </w:tcPr>
          <w:p w:rsidR="005B2E2B" w:rsidRPr="000E1FAF" w:rsidRDefault="005B2E2B" w:rsidP="00002117">
            <w:pPr>
              <w:rPr>
                <w:sz w:val="22"/>
                <w:szCs w:val="22"/>
              </w:rPr>
            </w:pPr>
            <w:r w:rsidRPr="000E1FAF">
              <w:rPr>
                <w:sz w:val="22"/>
                <w:szCs w:val="22"/>
              </w:rPr>
              <w:t>SRD/MG</w:t>
            </w:r>
          </w:p>
        </w:tc>
        <w:tc>
          <w:tcPr>
            <w:tcW w:w="1719" w:type="dxa"/>
            <w:shd w:val="clear" w:color="auto" w:fill="auto"/>
          </w:tcPr>
          <w:p w:rsidR="005B2E2B" w:rsidRPr="000E1FAF" w:rsidRDefault="005B2E2B" w:rsidP="00002117">
            <w:pPr>
              <w:rPr>
                <w:sz w:val="22"/>
                <w:szCs w:val="22"/>
                <w:lang w:val="en-US"/>
              </w:rPr>
            </w:pPr>
            <w:r w:rsidRPr="000E1FAF">
              <w:rPr>
                <w:sz w:val="22"/>
                <w:szCs w:val="22"/>
                <w:lang w:val="en-US"/>
              </w:rPr>
              <w:t>Retain</w:t>
            </w:r>
          </w:p>
          <w:p w:rsidR="005B2E2B" w:rsidRPr="000E1FAF" w:rsidRDefault="005B2E2B" w:rsidP="00381190">
            <w:pPr>
              <w:rPr>
                <w:sz w:val="22"/>
                <w:szCs w:val="22"/>
              </w:rPr>
            </w:pPr>
          </w:p>
        </w:tc>
        <w:tc>
          <w:tcPr>
            <w:tcW w:w="1136" w:type="dxa"/>
            <w:shd w:val="clear" w:color="auto" w:fill="auto"/>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AF6F73">
            <w:pPr>
              <w:jc w:val="center"/>
              <w:rPr>
                <w:bCs/>
                <w:sz w:val="22"/>
                <w:szCs w:val="22"/>
              </w:rPr>
            </w:pPr>
          </w:p>
        </w:tc>
        <w:tc>
          <w:tcPr>
            <w:tcW w:w="644" w:type="dxa"/>
            <w:shd w:val="clear" w:color="auto" w:fill="auto"/>
          </w:tcPr>
          <w:p w:rsidR="005B2E2B" w:rsidRPr="000E1FAF" w:rsidRDefault="005B2E2B" w:rsidP="00AF6F73">
            <w:pPr>
              <w:jc w:val="center"/>
              <w:rPr>
                <w:sz w:val="22"/>
                <w:szCs w:val="22"/>
              </w:rPr>
            </w:pPr>
            <w:r w:rsidRPr="000E1FAF">
              <w:rPr>
                <w:bCs/>
                <w:sz w:val="22"/>
                <w:szCs w:val="22"/>
              </w:rPr>
              <w:t>40</w:t>
            </w:r>
          </w:p>
        </w:tc>
        <w:tc>
          <w:tcPr>
            <w:tcW w:w="552" w:type="dxa"/>
            <w:shd w:val="clear" w:color="auto" w:fill="auto"/>
          </w:tcPr>
          <w:p w:rsidR="005B2E2B" w:rsidRPr="000E1FAF" w:rsidRDefault="005B2E2B" w:rsidP="00002117">
            <w:pPr>
              <w:jc w:val="center"/>
              <w:rPr>
                <w:sz w:val="22"/>
                <w:szCs w:val="22"/>
              </w:rPr>
            </w:pPr>
            <w:r w:rsidRPr="000E1FAF">
              <w:rPr>
                <w:sz w:val="22"/>
                <w:szCs w:val="22"/>
              </w:rPr>
              <w:t>1</w:t>
            </w:r>
          </w:p>
        </w:tc>
        <w:tc>
          <w:tcPr>
            <w:tcW w:w="555" w:type="dxa"/>
            <w:shd w:val="clear" w:color="auto" w:fill="auto"/>
          </w:tcPr>
          <w:p w:rsidR="005B2E2B" w:rsidRPr="000E1FAF" w:rsidRDefault="005B2E2B" w:rsidP="00002117">
            <w:pPr>
              <w:jc w:val="center"/>
              <w:rPr>
                <w:sz w:val="22"/>
                <w:szCs w:val="22"/>
              </w:rPr>
            </w:pPr>
            <w:r w:rsidRPr="000E1FAF">
              <w:rPr>
                <w:sz w:val="22"/>
                <w:szCs w:val="22"/>
              </w:rPr>
              <w:t>0</w:t>
            </w:r>
          </w:p>
        </w:tc>
        <w:tc>
          <w:tcPr>
            <w:tcW w:w="555" w:type="dxa"/>
            <w:shd w:val="clear" w:color="auto" w:fill="auto"/>
          </w:tcPr>
          <w:p w:rsidR="005B2E2B" w:rsidRPr="000E1FAF" w:rsidRDefault="005B2E2B" w:rsidP="00AF6F73">
            <w:pPr>
              <w:jc w:val="center"/>
              <w:rPr>
                <w:sz w:val="22"/>
                <w:szCs w:val="22"/>
              </w:rPr>
            </w:pPr>
            <w:r w:rsidRPr="000E1FAF">
              <w:rPr>
                <w:sz w:val="22"/>
                <w:szCs w:val="22"/>
              </w:rPr>
              <w:t>7</w:t>
            </w:r>
          </w:p>
        </w:tc>
      </w:tr>
      <w:tr w:rsidR="000E1FAF" w:rsidRPr="000E1FAF" w:rsidTr="0090128C">
        <w:tc>
          <w:tcPr>
            <w:tcW w:w="6852" w:type="dxa"/>
            <w:shd w:val="clear" w:color="auto" w:fill="auto"/>
          </w:tcPr>
          <w:p w:rsidR="005B2E2B" w:rsidRPr="000E1FAF" w:rsidRDefault="005B2E2B" w:rsidP="00002117">
            <w:pPr>
              <w:rPr>
                <w:bCs/>
                <w:sz w:val="22"/>
                <w:szCs w:val="22"/>
                <w:lang w:val="en-US"/>
              </w:rPr>
            </w:pPr>
            <w:r w:rsidRPr="002B42DE">
              <w:rPr>
                <w:b/>
                <w:bCs/>
                <w:sz w:val="22"/>
                <w:szCs w:val="22"/>
                <w:lang w:val="en-US"/>
              </w:rPr>
              <w:t xml:space="preserve">ERC/DEC/(01)11 </w:t>
            </w:r>
            <w:r w:rsidRPr="000E1FAF">
              <w:rPr>
                <w:b/>
                <w:bCs/>
                <w:sz w:val="22"/>
                <w:szCs w:val="22"/>
              </w:rPr>
              <w:t xml:space="preserve">– </w:t>
            </w:r>
            <w:r w:rsidRPr="000E1FAF">
              <w:rPr>
                <w:bCs/>
                <w:sz w:val="22"/>
                <w:szCs w:val="22"/>
                <w:lang w:val="en-US"/>
              </w:rPr>
              <w:t xml:space="preserve">ERC Decision of 12 March 2001 on </w:t>
            </w:r>
            <w:proofErr w:type="spellStart"/>
            <w:r w:rsidRPr="000E1FAF">
              <w:rPr>
                <w:bCs/>
                <w:sz w:val="22"/>
                <w:szCs w:val="22"/>
                <w:lang w:val="en-US"/>
              </w:rPr>
              <w:t>harmonised</w:t>
            </w:r>
            <w:proofErr w:type="spellEnd"/>
            <w:r w:rsidRPr="000E1FAF">
              <w:rPr>
                <w:bCs/>
                <w:sz w:val="22"/>
                <w:szCs w:val="22"/>
                <w:lang w:val="en-US"/>
              </w:rPr>
              <w:t xml:space="preserve"> frequencies, technical characteristics and exemption from individual licensing of Short Range Devices used for Flying Model control operating in the frequency band 34.995 - 35.225 MHz </w:t>
            </w:r>
          </w:p>
        </w:tc>
        <w:tc>
          <w:tcPr>
            <w:tcW w:w="1341" w:type="dxa"/>
            <w:shd w:val="clear" w:color="auto" w:fill="auto"/>
          </w:tcPr>
          <w:p w:rsidR="005B2E2B" w:rsidRPr="000E1FAF" w:rsidRDefault="005B2E2B" w:rsidP="00002117">
            <w:pPr>
              <w:rPr>
                <w:sz w:val="22"/>
                <w:szCs w:val="22"/>
              </w:rPr>
            </w:pPr>
            <w:r w:rsidRPr="000E1FAF">
              <w:rPr>
                <w:sz w:val="22"/>
                <w:szCs w:val="22"/>
              </w:rPr>
              <w:t>SRD/MG</w:t>
            </w:r>
          </w:p>
        </w:tc>
        <w:tc>
          <w:tcPr>
            <w:tcW w:w="1719" w:type="dxa"/>
            <w:shd w:val="clear" w:color="auto" w:fill="auto"/>
          </w:tcPr>
          <w:p w:rsidR="005B2E2B" w:rsidRPr="000E1FAF" w:rsidRDefault="005B2E2B" w:rsidP="00002117">
            <w:pPr>
              <w:rPr>
                <w:sz w:val="22"/>
                <w:szCs w:val="22"/>
                <w:lang w:val="en-US"/>
              </w:rPr>
            </w:pPr>
            <w:r w:rsidRPr="000E1FAF">
              <w:rPr>
                <w:sz w:val="22"/>
                <w:szCs w:val="22"/>
                <w:lang w:val="en-US"/>
              </w:rPr>
              <w:t>Retain</w:t>
            </w:r>
          </w:p>
          <w:p w:rsidR="005B2E2B" w:rsidRPr="000E1FAF" w:rsidRDefault="005B2E2B" w:rsidP="00EF09E3">
            <w:pPr>
              <w:rPr>
                <w:sz w:val="22"/>
                <w:szCs w:val="22"/>
              </w:rPr>
            </w:pPr>
          </w:p>
        </w:tc>
        <w:tc>
          <w:tcPr>
            <w:tcW w:w="1136" w:type="dxa"/>
            <w:shd w:val="clear" w:color="auto" w:fill="auto"/>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AF6F73">
            <w:pPr>
              <w:jc w:val="center"/>
              <w:rPr>
                <w:bCs/>
                <w:sz w:val="22"/>
                <w:szCs w:val="22"/>
              </w:rPr>
            </w:pPr>
          </w:p>
        </w:tc>
        <w:tc>
          <w:tcPr>
            <w:tcW w:w="644" w:type="dxa"/>
            <w:shd w:val="clear" w:color="auto" w:fill="auto"/>
          </w:tcPr>
          <w:p w:rsidR="005B2E2B" w:rsidRPr="000E1FAF" w:rsidRDefault="005B2E2B" w:rsidP="00AF6F73">
            <w:pPr>
              <w:jc w:val="center"/>
              <w:rPr>
                <w:sz w:val="22"/>
                <w:szCs w:val="22"/>
              </w:rPr>
            </w:pPr>
            <w:r w:rsidRPr="000E1FAF">
              <w:rPr>
                <w:bCs/>
                <w:sz w:val="22"/>
                <w:szCs w:val="22"/>
              </w:rPr>
              <w:t>40</w:t>
            </w:r>
          </w:p>
        </w:tc>
        <w:tc>
          <w:tcPr>
            <w:tcW w:w="552" w:type="dxa"/>
            <w:shd w:val="clear" w:color="auto" w:fill="auto"/>
          </w:tcPr>
          <w:p w:rsidR="005B2E2B" w:rsidRPr="000E1FAF" w:rsidRDefault="005B2E2B" w:rsidP="00BA1FE5">
            <w:pPr>
              <w:jc w:val="center"/>
              <w:rPr>
                <w:sz w:val="22"/>
                <w:szCs w:val="22"/>
              </w:rPr>
            </w:pPr>
            <w:r w:rsidRPr="000E1FAF">
              <w:rPr>
                <w:sz w:val="22"/>
                <w:szCs w:val="22"/>
              </w:rPr>
              <w:t>2</w:t>
            </w:r>
          </w:p>
        </w:tc>
        <w:tc>
          <w:tcPr>
            <w:tcW w:w="555" w:type="dxa"/>
            <w:shd w:val="clear" w:color="auto" w:fill="auto"/>
          </w:tcPr>
          <w:p w:rsidR="005B2E2B" w:rsidRPr="000E1FAF" w:rsidRDefault="005B2E2B" w:rsidP="00BA1FE5">
            <w:pPr>
              <w:jc w:val="center"/>
              <w:rPr>
                <w:sz w:val="22"/>
                <w:szCs w:val="22"/>
              </w:rPr>
            </w:pPr>
            <w:r w:rsidRPr="000E1FAF">
              <w:rPr>
                <w:sz w:val="22"/>
                <w:szCs w:val="22"/>
              </w:rPr>
              <w:t>1</w:t>
            </w:r>
          </w:p>
        </w:tc>
        <w:tc>
          <w:tcPr>
            <w:tcW w:w="555" w:type="dxa"/>
            <w:shd w:val="clear" w:color="auto" w:fill="auto"/>
          </w:tcPr>
          <w:p w:rsidR="005B2E2B" w:rsidRPr="000E1FAF" w:rsidRDefault="005B2E2B" w:rsidP="00AF6F73">
            <w:pPr>
              <w:jc w:val="center"/>
              <w:rPr>
                <w:sz w:val="22"/>
                <w:szCs w:val="22"/>
              </w:rPr>
            </w:pPr>
            <w:r w:rsidRPr="000E1FAF">
              <w:rPr>
                <w:sz w:val="22"/>
                <w:szCs w:val="22"/>
              </w:rPr>
              <w:t>5</w:t>
            </w:r>
          </w:p>
        </w:tc>
      </w:tr>
      <w:tr w:rsidR="000E1FAF" w:rsidRPr="000E1FAF" w:rsidTr="0090128C">
        <w:tc>
          <w:tcPr>
            <w:tcW w:w="6852" w:type="dxa"/>
            <w:shd w:val="clear" w:color="auto" w:fill="auto"/>
          </w:tcPr>
          <w:p w:rsidR="005B2E2B" w:rsidRPr="000E1FAF" w:rsidRDefault="005B2E2B" w:rsidP="00002117">
            <w:pPr>
              <w:rPr>
                <w:sz w:val="22"/>
                <w:szCs w:val="22"/>
              </w:rPr>
            </w:pPr>
            <w:r w:rsidRPr="002B42DE">
              <w:rPr>
                <w:b/>
                <w:bCs/>
                <w:sz w:val="22"/>
                <w:szCs w:val="22"/>
                <w:lang w:val="en-US"/>
              </w:rPr>
              <w:t xml:space="preserve">ERC/DEC/(01)12 </w:t>
            </w:r>
            <w:r w:rsidRPr="000E1FAF">
              <w:rPr>
                <w:b/>
                <w:bCs/>
                <w:sz w:val="22"/>
                <w:szCs w:val="22"/>
              </w:rPr>
              <w:t xml:space="preserve">- </w:t>
            </w:r>
            <w:r w:rsidRPr="000E1FAF">
              <w:rPr>
                <w:sz w:val="22"/>
                <w:szCs w:val="22"/>
              </w:rPr>
              <w:t xml:space="preserve">ERC Decision of 12 March 2001 on harmonised </w:t>
            </w:r>
            <w:r w:rsidRPr="000E1FAF">
              <w:rPr>
                <w:sz w:val="22"/>
                <w:szCs w:val="22"/>
              </w:rPr>
              <w:lastRenderedPageBreak/>
              <w:t>frequencies, technical characteristics and exemption from individual licensing of Short Range Devices used for Model control operating in the frequencies 40.665, 40.675, 40.685 and 40.695 MHz</w:t>
            </w:r>
          </w:p>
        </w:tc>
        <w:tc>
          <w:tcPr>
            <w:tcW w:w="1341" w:type="dxa"/>
            <w:shd w:val="clear" w:color="auto" w:fill="auto"/>
          </w:tcPr>
          <w:p w:rsidR="005B2E2B" w:rsidRPr="000E1FAF" w:rsidRDefault="005B2E2B" w:rsidP="00002117">
            <w:pPr>
              <w:rPr>
                <w:sz w:val="22"/>
                <w:szCs w:val="22"/>
              </w:rPr>
            </w:pPr>
            <w:r w:rsidRPr="000E1FAF">
              <w:rPr>
                <w:sz w:val="22"/>
                <w:szCs w:val="22"/>
              </w:rPr>
              <w:lastRenderedPageBreak/>
              <w:t>SRD/MG</w:t>
            </w:r>
          </w:p>
        </w:tc>
        <w:tc>
          <w:tcPr>
            <w:tcW w:w="1719" w:type="dxa"/>
            <w:shd w:val="clear" w:color="auto" w:fill="auto"/>
          </w:tcPr>
          <w:p w:rsidR="005B2E2B" w:rsidRPr="000E1FAF" w:rsidRDefault="005B2E2B" w:rsidP="00EF09E3">
            <w:pPr>
              <w:rPr>
                <w:sz w:val="22"/>
                <w:szCs w:val="22"/>
                <w:lang w:val="en-US"/>
              </w:rPr>
            </w:pPr>
            <w:r w:rsidRPr="000E1FAF">
              <w:rPr>
                <w:sz w:val="22"/>
                <w:szCs w:val="22"/>
                <w:lang w:val="en-US"/>
              </w:rPr>
              <w:t xml:space="preserve">Retain </w:t>
            </w:r>
          </w:p>
          <w:p w:rsidR="005B2E2B" w:rsidRPr="000E1FAF" w:rsidRDefault="005B2E2B" w:rsidP="00EF09E3">
            <w:pPr>
              <w:rPr>
                <w:sz w:val="22"/>
                <w:szCs w:val="22"/>
              </w:rPr>
            </w:pPr>
          </w:p>
        </w:tc>
        <w:tc>
          <w:tcPr>
            <w:tcW w:w="1136" w:type="dxa"/>
            <w:shd w:val="clear" w:color="auto" w:fill="auto"/>
          </w:tcPr>
          <w:p w:rsidR="005B2E2B" w:rsidRPr="000E1FAF" w:rsidRDefault="005B2E2B" w:rsidP="00002117">
            <w:pPr>
              <w:rPr>
                <w:sz w:val="22"/>
                <w:szCs w:val="22"/>
              </w:rPr>
            </w:pPr>
            <w:r w:rsidRPr="000E1FAF">
              <w:rPr>
                <w:sz w:val="22"/>
                <w:szCs w:val="22"/>
              </w:rPr>
              <w:lastRenderedPageBreak/>
              <w:t>2016</w:t>
            </w:r>
          </w:p>
        </w:tc>
        <w:tc>
          <w:tcPr>
            <w:tcW w:w="1216" w:type="dxa"/>
            <w:shd w:val="clear" w:color="auto" w:fill="auto"/>
          </w:tcPr>
          <w:p w:rsidR="005B2E2B" w:rsidRPr="000E1FAF" w:rsidRDefault="005B2E2B" w:rsidP="00AF6F73">
            <w:pPr>
              <w:jc w:val="center"/>
              <w:rPr>
                <w:bCs/>
                <w:sz w:val="22"/>
                <w:szCs w:val="22"/>
              </w:rPr>
            </w:pPr>
          </w:p>
        </w:tc>
        <w:tc>
          <w:tcPr>
            <w:tcW w:w="644" w:type="dxa"/>
            <w:shd w:val="clear" w:color="auto" w:fill="auto"/>
          </w:tcPr>
          <w:p w:rsidR="005B2E2B" w:rsidRPr="000E1FAF" w:rsidRDefault="005B2E2B" w:rsidP="00AF6F73">
            <w:pPr>
              <w:jc w:val="center"/>
              <w:rPr>
                <w:sz w:val="22"/>
                <w:szCs w:val="22"/>
              </w:rPr>
            </w:pPr>
            <w:r w:rsidRPr="000E1FAF">
              <w:rPr>
                <w:bCs/>
                <w:sz w:val="22"/>
                <w:szCs w:val="22"/>
              </w:rPr>
              <w:t>41</w:t>
            </w:r>
          </w:p>
        </w:tc>
        <w:tc>
          <w:tcPr>
            <w:tcW w:w="552" w:type="dxa"/>
            <w:shd w:val="clear" w:color="auto" w:fill="auto"/>
          </w:tcPr>
          <w:p w:rsidR="005B2E2B" w:rsidRPr="000E1FAF" w:rsidRDefault="005B2E2B" w:rsidP="00002117">
            <w:pPr>
              <w:jc w:val="center"/>
              <w:rPr>
                <w:sz w:val="22"/>
                <w:szCs w:val="22"/>
              </w:rPr>
            </w:pPr>
            <w:r w:rsidRPr="000E1FAF">
              <w:rPr>
                <w:sz w:val="22"/>
                <w:szCs w:val="22"/>
              </w:rPr>
              <w:t>1</w:t>
            </w:r>
          </w:p>
        </w:tc>
        <w:tc>
          <w:tcPr>
            <w:tcW w:w="555" w:type="dxa"/>
            <w:shd w:val="clear" w:color="auto" w:fill="auto"/>
          </w:tcPr>
          <w:p w:rsidR="005B2E2B" w:rsidRPr="000E1FAF" w:rsidRDefault="005B2E2B" w:rsidP="00002117">
            <w:pPr>
              <w:jc w:val="center"/>
              <w:rPr>
                <w:sz w:val="22"/>
                <w:szCs w:val="22"/>
              </w:rPr>
            </w:pPr>
            <w:r w:rsidRPr="000E1FAF">
              <w:rPr>
                <w:sz w:val="22"/>
                <w:szCs w:val="22"/>
              </w:rPr>
              <w:t>1</w:t>
            </w:r>
          </w:p>
        </w:tc>
        <w:tc>
          <w:tcPr>
            <w:tcW w:w="555" w:type="dxa"/>
            <w:shd w:val="clear" w:color="auto" w:fill="auto"/>
          </w:tcPr>
          <w:p w:rsidR="005B2E2B" w:rsidRPr="000E1FAF" w:rsidRDefault="005B2E2B" w:rsidP="00AF6F73">
            <w:pPr>
              <w:jc w:val="center"/>
              <w:rPr>
                <w:sz w:val="22"/>
                <w:szCs w:val="22"/>
              </w:rPr>
            </w:pPr>
            <w:r w:rsidRPr="000E1FAF">
              <w:rPr>
                <w:sz w:val="22"/>
                <w:szCs w:val="22"/>
              </w:rPr>
              <w:t>5</w:t>
            </w:r>
          </w:p>
        </w:tc>
      </w:tr>
      <w:tr w:rsidR="000E1FAF" w:rsidRPr="000E1FAF" w:rsidTr="0090128C">
        <w:tc>
          <w:tcPr>
            <w:tcW w:w="6852" w:type="dxa"/>
            <w:tcBorders>
              <w:bottom w:val="single" w:sz="4" w:space="0" w:color="000000"/>
            </w:tcBorders>
            <w:shd w:val="clear" w:color="auto" w:fill="auto"/>
          </w:tcPr>
          <w:p w:rsidR="005B2E2B" w:rsidRPr="000E1FAF" w:rsidRDefault="005B2E2B" w:rsidP="00F21C58">
            <w:pPr>
              <w:rPr>
                <w:sz w:val="22"/>
                <w:szCs w:val="22"/>
                <w:lang w:val="en-US"/>
              </w:rPr>
            </w:pPr>
            <w:r w:rsidRPr="002B42DE">
              <w:rPr>
                <w:b/>
                <w:bCs/>
                <w:sz w:val="22"/>
                <w:szCs w:val="22"/>
                <w:lang w:val="en-US"/>
              </w:rPr>
              <w:lastRenderedPageBreak/>
              <w:t xml:space="preserve">ERC/DEC/(01)17 </w:t>
            </w:r>
            <w:r w:rsidRPr="000E1FAF">
              <w:rPr>
                <w:b/>
                <w:bCs/>
                <w:sz w:val="22"/>
                <w:szCs w:val="22"/>
              </w:rPr>
              <w:t xml:space="preserve">- </w:t>
            </w:r>
            <w:r w:rsidRPr="000E1FAF">
              <w:rPr>
                <w:sz w:val="22"/>
                <w:szCs w:val="22"/>
                <w:lang w:val="en-US"/>
              </w:rPr>
              <w:t xml:space="preserve">ERC Decision of 12 March 2001 on </w:t>
            </w:r>
            <w:proofErr w:type="spellStart"/>
            <w:r w:rsidRPr="000E1FAF">
              <w:rPr>
                <w:sz w:val="22"/>
                <w:szCs w:val="22"/>
                <w:lang w:val="en-US"/>
              </w:rPr>
              <w:t>harmonised</w:t>
            </w:r>
            <w:proofErr w:type="spellEnd"/>
            <w:r w:rsidRPr="000E1FAF">
              <w:rPr>
                <w:sz w:val="22"/>
                <w:szCs w:val="22"/>
                <w:lang w:val="en-US"/>
              </w:rPr>
              <w:t xml:space="preserve"> frequencies, technical characteristics and exemption from individual licensing of Short Range Devices used for Ultra Low Power Active Medical Implants operating in the frequency band 402 - 405 MHz on a secondary basis</w:t>
            </w:r>
          </w:p>
        </w:tc>
        <w:tc>
          <w:tcPr>
            <w:tcW w:w="1341" w:type="dxa"/>
            <w:tcBorders>
              <w:bottom w:val="single" w:sz="4" w:space="0" w:color="000000"/>
            </w:tcBorders>
            <w:shd w:val="clear" w:color="auto" w:fill="auto"/>
          </w:tcPr>
          <w:p w:rsidR="005B2E2B" w:rsidRPr="000E1FAF" w:rsidRDefault="005B2E2B" w:rsidP="00002117">
            <w:pPr>
              <w:rPr>
                <w:sz w:val="22"/>
                <w:szCs w:val="22"/>
              </w:rPr>
            </w:pPr>
            <w:r w:rsidRPr="000E1FAF">
              <w:rPr>
                <w:sz w:val="22"/>
                <w:szCs w:val="22"/>
              </w:rPr>
              <w:t>SRD/MG</w:t>
            </w:r>
          </w:p>
        </w:tc>
        <w:tc>
          <w:tcPr>
            <w:tcW w:w="1719" w:type="dxa"/>
            <w:tcBorders>
              <w:bottom w:val="single" w:sz="4" w:space="0" w:color="000000"/>
            </w:tcBorders>
            <w:shd w:val="clear" w:color="auto" w:fill="auto"/>
          </w:tcPr>
          <w:p w:rsidR="005B2E2B" w:rsidRPr="000E1FAF" w:rsidRDefault="005B2E2B" w:rsidP="00EF09E3">
            <w:pPr>
              <w:rPr>
                <w:sz w:val="22"/>
                <w:szCs w:val="22"/>
                <w:lang w:val="en-US"/>
              </w:rPr>
            </w:pPr>
            <w:r w:rsidRPr="000E1FAF">
              <w:rPr>
                <w:sz w:val="22"/>
                <w:szCs w:val="22"/>
                <w:lang w:val="en-US"/>
              </w:rPr>
              <w:t>Retain</w:t>
            </w:r>
          </w:p>
          <w:p w:rsidR="005B2E2B" w:rsidRPr="000E1FAF" w:rsidRDefault="005B2E2B" w:rsidP="00EF09E3">
            <w:pPr>
              <w:rPr>
                <w:sz w:val="22"/>
                <w:szCs w:val="22"/>
              </w:rPr>
            </w:pPr>
          </w:p>
        </w:tc>
        <w:tc>
          <w:tcPr>
            <w:tcW w:w="1136" w:type="dxa"/>
            <w:tcBorders>
              <w:bottom w:val="single" w:sz="4" w:space="0" w:color="000000"/>
            </w:tcBorders>
            <w:shd w:val="clear" w:color="auto" w:fill="auto"/>
          </w:tcPr>
          <w:p w:rsidR="005B2E2B" w:rsidRPr="000E1FAF" w:rsidRDefault="005B2E2B" w:rsidP="00D0793D">
            <w:pPr>
              <w:rPr>
                <w:sz w:val="22"/>
                <w:szCs w:val="22"/>
              </w:rPr>
            </w:pPr>
            <w:r w:rsidRPr="000E1FAF">
              <w:rPr>
                <w:sz w:val="22"/>
                <w:szCs w:val="22"/>
              </w:rPr>
              <w:t>2016</w:t>
            </w:r>
          </w:p>
        </w:tc>
        <w:tc>
          <w:tcPr>
            <w:tcW w:w="1216" w:type="dxa"/>
            <w:tcBorders>
              <w:bottom w:val="single" w:sz="4" w:space="0" w:color="000000"/>
            </w:tcBorders>
            <w:shd w:val="clear" w:color="auto" w:fill="auto"/>
          </w:tcPr>
          <w:p w:rsidR="005B2E2B" w:rsidRPr="000E1FAF" w:rsidRDefault="005B2E2B" w:rsidP="00BA1FE5">
            <w:pPr>
              <w:jc w:val="center"/>
              <w:rPr>
                <w:bCs/>
                <w:sz w:val="22"/>
                <w:szCs w:val="22"/>
              </w:rPr>
            </w:pPr>
          </w:p>
        </w:tc>
        <w:tc>
          <w:tcPr>
            <w:tcW w:w="644" w:type="dxa"/>
            <w:tcBorders>
              <w:bottom w:val="single" w:sz="4" w:space="0" w:color="000000"/>
            </w:tcBorders>
            <w:shd w:val="clear" w:color="auto" w:fill="auto"/>
          </w:tcPr>
          <w:p w:rsidR="005B2E2B" w:rsidRPr="000E1FAF" w:rsidRDefault="005B2E2B" w:rsidP="00BA1FE5">
            <w:pPr>
              <w:jc w:val="center"/>
              <w:rPr>
                <w:sz w:val="22"/>
                <w:szCs w:val="22"/>
              </w:rPr>
            </w:pPr>
            <w:r w:rsidRPr="000E1FAF">
              <w:rPr>
                <w:bCs/>
                <w:sz w:val="22"/>
                <w:szCs w:val="22"/>
              </w:rPr>
              <w:t>41</w:t>
            </w:r>
          </w:p>
        </w:tc>
        <w:tc>
          <w:tcPr>
            <w:tcW w:w="552" w:type="dxa"/>
            <w:tcBorders>
              <w:bottom w:val="single" w:sz="4" w:space="0" w:color="000000"/>
            </w:tcBorders>
            <w:shd w:val="clear" w:color="auto" w:fill="auto"/>
          </w:tcPr>
          <w:p w:rsidR="005B2E2B" w:rsidRPr="000E1FAF" w:rsidRDefault="005B2E2B" w:rsidP="00BA1FE5">
            <w:pPr>
              <w:jc w:val="center"/>
              <w:rPr>
                <w:sz w:val="22"/>
                <w:szCs w:val="22"/>
              </w:rPr>
            </w:pPr>
            <w:r w:rsidRPr="000E1FAF">
              <w:rPr>
                <w:sz w:val="22"/>
                <w:szCs w:val="22"/>
              </w:rPr>
              <w:t>0</w:t>
            </w:r>
          </w:p>
        </w:tc>
        <w:tc>
          <w:tcPr>
            <w:tcW w:w="555" w:type="dxa"/>
            <w:tcBorders>
              <w:bottom w:val="single" w:sz="4" w:space="0" w:color="000000"/>
            </w:tcBorders>
            <w:shd w:val="clear" w:color="auto" w:fill="auto"/>
          </w:tcPr>
          <w:p w:rsidR="005B2E2B" w:rsidRPr="000E1FAF" w:rsidRDefault="005B2E2B" w:rsidP="00002117">
            <w:pPr>
              <w:jc w:val="center"/>
              <w:rPr>
                <w:sz w:val="22"/>
                <w:szCs w:val="22"/>
              </w:rPr>
            </w:pPr>
            <w:r w:rsidRPr="000E1FAF">
              <w:rPr>
                <w:sz w:val="22"/>
                <w:szCs w:val="22"/>
              </w:rPr>
              <w:t>2</w:t>
            </w:r>
          </w:p>
        </w:tc>
        <w:tc>
          <w:tcPr>
            <w:tcW w:w="555" w:type="dxa"/>
            <w:tcBorders>
              <w:bottom w:val="single" w:sz="4" w:space="0" w:color="000000"/>
            </w:tcBorders>
            <w:shd w:val="clear" w:color="auto" w:fill="auto"/>
          </w:tcPr>
          <w:p w:rsidR="005B2E2B" w:rsidRPr="000E1FAF" w:rsidRDefault="005B2E2B" w:rsidP="00AF6F73">
            <w:pPr>
              <w:jc w:val="center"/>
              <w:rPr>
                <w:sz w:val="22"/>
                <w:szCs w:val="22"/>
              </w:rPr>
            </w:pPr>
            <w:r w:rsidRPr="000E1FAF">
              <w:rPr>
                <w:sz w:val="22"/>
                <w:szCs w:val="22"/>
              </w:rPr>
              <w:t>5</w:t>
            </w:r>
          </w:p>
        </w:tc>
      </w:tr>
      <w:tr w:rsidR="000E1FAF" w:rsidRPr="000E1FAF" w:rsidTr="0090128C">
        <w:tc>
          <w:tcPr>
            <w:tcW w:w="6852" w:type="dxa"/>
            <w:shd w:val="clear" w:color="auto" w:fill="auto"/>
          </w:tcPr>
          <w:p w:rsidR="005B2E2B" w:rsidRPr="000E1FAF" w:rsidRDefault="005B2E2B" w:rsidP="00002117">
            <w:pPr>
              <w:rPr>
                <w:bCs/>
                <w:sz w:val="22"/>
                <w:szCs w:val="22"/>
                <w:lang w:val="en-US"/>
              </w:rPr>
            </w:pPr>
            <w:r w:rsidRPr="000E1FAF">
              <w:rPr>
                <w:b/>
                <w:bCs/>
                <w:sz w:val="22"/>
                <w:szCs w:val="22"/>
                <w:lang w:val="en-US"/>
              </w:rPr>
              <w:t xml:space="preserve">ERC/DEC/(01)19 </w:t>
            </w:r>
            <w:r w:rsidRPr="000E1FAF">
              <w:rPr>
                <w:b/>
                <w:bCs/>
                <w:sz w:val="22"/>
                <w:szCs w:val="22"/>
              </w:rPr>
              <w:t xml:space="preserve">– </w:t>
            </w:r>
            <w:r w:rsidRPr="000E1FAF">
              <w:rPr>
                <w:bCs/>
                <w:sz w:val="22"/>
                <w:szCs w:val="22"/>
                <w:lang w:val="en-US"/>
              </w:rPr>
              <w:t xml:space="preserve">ERC Decision of 12 March 2001 on </w:t>
            </w:r>
            <w:proofErr w:type="spellStart"/>
            <w:r w:rsidRPr="000E1FAF">
              <w:rPr>
                <w:bCs/>
                <w:sz w:val="22"/>
                <w:szCs w:val="22"/>
                <w:lang w:val="en-US"/>
              </w:rPr>
              <w:t>harmonised</w:t>
            </w:r>
            <w:proofErr w:type="spellEnd"/>
            <w:r w:rsidRPr="000E1FAF">
              <w:rPr>
                <w:bCs/>
                <w:sz w:val="22"/>
                <w:szCs w:val="22"/>
                <w:lang w:val="en-US"/>
              </w:rPr>
              <w:t xml:space="preserve"> frequency bands to be designated for the Direct Mode Operation (DMO) of the Digital Land Mobile Systems for the Emergency Services </w:t>
            </w:r>
          </w:p>
        </w:tc>
        <w:tc>
          <w:tcPr>
            <w:tcW w:w="1341" w:type="dxa"/>
            <w:shd w:val="clear" w:color="auto" w:fill="auto"/>
          </w:tcPr>
          <w:p w:rsidR="005B2E2B" w:rsidRPr="000E1FAF" w:rsidRDefault="005B2E2B" w:rsidP="00002117">
            <w:pPr>
              <w:rPr>
                <w:sz w:val="22"/>
                <w:szCs w:val="22"/>
              </w:rPr>
            </w:pPr>
            <w:r w:rsidRPr="000E1FAF">
              <w:rPr>
                <w:sz w:val="22"/>
                <w:szCs w:val="22"/>
              </w:rPr>
              <w:t>FM49</w:t>
            </w:r>
          </w:p>
        </w:tc>
        <w:tc>
          <w:tcPr>
            <w:tcW w:w="1719" w:type="dxa"/>
            <w:shd w:val="clear" w:color="auto" w:fill="auto"/>
          </w:tcPr>
          <w:p w:rsidR="005B2E2B" w:rsidRPr="000E1FAF" w:rsidRDefault="005B2E2B" w:rsidP="00002117">
            <w:pPr>
              <w:rPr>
                <w:sz w:val="22"/>
                <w:szCs w:val="22"/>
              </w:rPr>
            </w:pPr>
            <w:r w:rsidRPr="000E1FAF">
              <w:rPr>
                <w:sz w:val="22"/>
                <w:szCs w:val="22"/>
                <w:lang w:val="en-US"/>
              </w:rPr>
              <w:t>Retain</w:t>
            </w:r>
          </w:p>
        </w:tc>
        <w:tc>
          <w:tcPr>
            <w:tcW w:w="1136" w:type="dxa"/>
            <w:shd w:val="clear" w:color="auto" w:fill="auto"/>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1812E8">
            <w:pPr>
              <w:jc w:val="center"/>
              <w:rPr>
                <w:bCs/>
                <w:sz w:val="22"/>
                <w:szCs w:val="22"/>
              </w:rPr>
            </w:pPr>
          </w:p>
        </w:tc>
        <w:tc>
          <w:tcPr>
            <w:tcW w:w="644" w:type="dxa"/>
            <w:shd w:val="clear" w:color="auto" w:fill="auto"/>
          </w:tcPr>
          <w:p w:rsidR="005B2E2B" w:rsidRPr="000E1FAF" w:rsidRDefault="005B2E2B" w:rsidP="001812E8">
            <w:pPr>
              <w:jc w:val="center"/>
              <w:rPr>
                <w:sz w:val="22"/>
                <w:szCs w:val="22"/>
              </w:rPr>
            </w:pPr>
            <w:r w:rsidRPr="000E1FAF">
              <w:rPr>
                <w:bCs/>
                <w:sz w:val="22"/>
                <w:szCs w:val="22"/>
              </w:rPr>
              <w:t>30</w:t>
            </w:r>
          </w:p>
        </w:tc>
        <w:tc>
          <w:tcPr>
            <w:tcW w:w="552" w:type="dxa"/>
            <w:shd w:val="clear" w:color="auto" w:fill="auto"/>
          </w:tcPr>
          <w:p w:rsidR="005B2E2B" w:rsidRPr="000E1FAF" w:rsidRDefault="005B2E2B" w:rsidP="00582DDF">
            <w:pPr>
              <w:jc w:val="center"/>
              <w:rPr>
                <w:sz w:val="22"/>
                <w:szCs w:val="22"/>
              </w:rPr>
            </w:pPr>
            <w:r w:rsidRPr="000E1FAF">
              <w:rPr>
                <w:sz w:val="22"/>
                <w:szCs w:val="22"/>
              </w:rPr>
              <w:t>4</w:t>
            </w:r>
          </w:p>
        </w:tc>
        <w:tc>
          <w:tcPr>
            <w:tcW w:w="555" w:type="dxa"/>
            <w:shd w:val="clear" w:color="auto" w:fill="auto"/>
          </w:tcPr>
          <w:p w:rsidR="005B2E2B" w:rsidRPr="000E1FAF" w:rsidRDefault="005B2E2B" w:rsidP="00582DDF">
            <w:pPr>
              <w:jc w:val="center"/>
              <w:rPr>
                <w:sz w:val="22"/>
                <w:szCs w:val="22"/>
              </w:rPr>
            </w:pPr>
            <w:r w:rsidRPr="000E1FAF">
              <w:rPr>
                <w:sz w:val="22"/>
                <w:szCs w:val="22"/>
              </w:rPr>
              <w:t>5</w:t>
            </w:r>
          </w:p>
        </w:tc>
        <w:tc>
          <w:tcPr>
            <w:tcW w:w="555" w:type="dxa"/>
            <w:shd w:val="clear" w:color="auto" w:fill="auto"/>
          </w:tcPr>
          <w:p w:rsidR="005B2E2B" w:rsidRPr="000E1FAF" w:rsidRDefault="005B2E2B" w:rsidP="00582DDF">
            <w:pPr>
              <w:jc w:val="center"/>
              <w:rPr>
                <w:sz w:val="22"/>
                <w:szCs w:val="22"/>
              </w:rPr>
            </w:pPr>
            <w:r w:rsidRPr="000E1FAF">
              <w:rPr>
                <w:sz w:val="22"/>
                <w:szCs w:val="22"/>
              </w:rPr>
              <w:t>9</w:t>
            </w:r>
          </w:p>
        </w:tc>
      </w:tr>
      <w:tr w:rsidR="000E1FAF" w:rsidRPr="000E1FAF" w:rsidTr="0090128C">
        <w:tc>
          <w:tcPr>
            <w:tcW w:w="6852" w:type="dxa"/>
            <w:shd w:val="clear" w:color="auto" w:fill="auto"/>
          </w:tcPr>
          <w:p w:rsidR="005B2E2B" w:rsidRPr="000E1FAF" w:rsidRDefault="005B2E2B" w:rsidP="00002117">
            <w:pPr>
              <w:rPr>
                <w:sz w:val="22"/>
                <w:szCs w:val="22"/>
              </w:rPr>
            </w:pPr>
            <w:r w:rsidRPr="000E1FAF">
              <w:rPr>
                <w:b/>
                <w:bCs/>
                <w:sz w:val="22"/>
                <w:szCs w:val="22"/>
                <w:lang w:val="en-US"/>
              </w:rPr>
              <w:t xml:space="preserve">ECC/DEC/(01)01 </w:t>
            </w:r>
            <w:r w:rsidRPr="000E1FAF">
              <w:rPr>
                <w:b/>
                <w:bCs/>
                <w:sz w:val="22"/>
                <w:szCs w:val="22"/>
              </w:rPr>
              <w:t xml:space="preserve">- </w:t>
            </w:r>
            <w:r w:rsidRPr="000E1FAF">
              <w:rPr>
                <w:sz w:val="22"/>
                <w:szCs w:val="22"/>
              </w:rPr>
              <w:t>ECC Decision of 15 November 2001 on Phasing out analogue CT1 and CT1+ applications in the 900 MHz band</w:t>
            </w:r>
          </w:p>
        </w:tc>
        <w:tc>
          <w:tcPr>
            <w:tcW w:w="1341" w:type="dxa"/>
            <w:shd w:val="clear" w:color="auto" w:fill="auto"/>
          </w:tcPr>
          <w:p w:rsidR="005B2E2B" w:rsidRPr="000E1FAF" w:rsidRDefault="005B2E2B" w:rsidP="00002117">
            <w:pPr>
              <w:rPr>
                <w:sz w:val="22"/>
                <w:szCs w:val="22"/>
              </w:rPr>
            </w:pPr>
            <w:r w:rsidRPr="000E1FAF">
              <w:rPr>
                <w:sz w:val="22"/>
                <w:szCs w:val="22"/>
              </w:rPr>
              <w:t>WG FM</w:t>
            </w:r>
          </w:p>
        </w:tc>
        <w:tc>
          <w:tcPr>
            <w:tcW w:w="1719" w:type="dxa"/>
            <w:shd w:val="clear" w:color="auto" w:fill="auto"/>
          </w:tcPr>
          <w:p w:rsidR="005B2E2B" w:rsidRPr="000E1FAF" w:rsidRDefault="005B2E2B" w:rsidP="00002117">
            <w:pPr>
              <w:rPr>
                <w:sz w:val="22"/>
                <w:szCs w:val="22"/>
              </w:rPr>
            </w:pPr>
            <w:r w:rsidRPr="000E1FAF">
              <w:rPr>
                <w:sz w:val="22"/>
                <w:szCs w:val="22"/>
                <w:lang w:val="en-US"/>
              </w:rPr>
              <w:t>Retain</w:t>
            </w:r>
          </w:p>
        </w:tc>
        <w:tc>
          <w:tcPr>
            <w:tcW w:w="1136" w:type="dxa"/>
            <w:shd w:val="clear" w:color="auto" w:fill="auto"/>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1812E8">
            <w:pPr>
              <w:jc w:val="center"/>
              <w:rPr>
                <w:sz w:val="22"/>
                <w:szCs w:val="22"/>
              </w:rPr>
            </w:pPr>
          </w:p>
        </w:tc>
        <w:tc>
          <w:tcPr>
            <w:tcW w:w="644" w:type="dxa"/>
            <w:shd w:val="clear" w:color="auto" w:fill="auto"/>
          </w:tcPr>
          <w:p w:rsidR="005B2E2B" w:rsidRPr="000E1FAF" w:rsidRDefault="005B2E2B" w:rsidP="001812E8">
            <w:pPr>
              <w:jc w:val="center"/>
              <w:rPr>
                <w:sz w:val="22"/>
                <w:szCs w:val="22"/>
              </w:rPr>
            </w:pPr>
            <w:r w:rsidRPr="000E1FAF">
              <w:rPr>
                <w:sz w:val="22"/>
                <w:szCs w:val="22"/>
              </w:rPr>
              <w:t>33</w:t>
            </w:r>
          </w:p>
        </w:tc>
        <w:tc>
          <w:tcPr>
            <w:tcW w:w="552" w:type="dxa"/>
            <w:shd w:val="clear" w:color="auto" w:fill="auto"/>
          </w:tcPr>
          <w:p w:rsidR="005B2E2B" w:rsidRPr="000E1FAF" w:rsidRDefault="005B2E2B" w:rsidP="00582DDF">
            <w:pPr>
              <w:jc w:val="center"/>
              <w:rPr>
                <w:sz w:val="22"/>
                <w:szCs w:val="22"/>
              </w:rPr>
            </w:pPr>
            <w:r w:rsidRPr="000E1FAF">
              <w:rPr>
                <w:sz w:val="22"/>
                <w:szCs w:val="22"/>
              </w:rPr>
              <w:t>3</w:t>
            </w:r>
          </w:p>
        </w:tc>
        <w:tc>
          <w:tcPr>
            <w:tcW w:w="555" w:type="dxa"/>
            <w:shd w:val="clear" w:color="auto" w:fill="auto"/>
          </w:tcPr>
          <w:p w:rsidR="005B2E2B" w:rsidRPr="000E1FAF" w:rsidRDefault="005B2E2B" w:rsidP="00002117">
            <w:pPr>
              <w:jc w:val="center"/>
              <w:rPr>
                <w:sz w:val="22"/>
                <w:szCs w:val="22"/>
              </w:rPr>
            </w:pPr>
            <w:r w:rsidRPr="000E1FAF">
              <w:rPr>
                <w:sz w:val="22"/>
                <w:szCs w:val="22"/>
              </w:rPr>
              <w:t>3</w:t>
            </w:r>
          </w:p>
        </w:tc>
        <w:tc>
          <w:tcPr>
            <w:tcW w:w="555" w:type="dxa"/>
            <w:shd w:val="clear" w:color="auto" w:fill="auto"/>
          </w:tcPr>
          <w:p w:rsidR="005B2E2B" w:rsidRPr="000E1FAF" w:rsidRDefault="005B2E2B" w:rsidP="00582DDF">
            <w:pPr>
              <w:jc w:val="center"/>
              <w:rPr>
                <w:sz w:val="22"/>
                <w:szCs w:val="22"/>
              </w:rPr>
            </w:pPr>
            <w:r w:rsidRPr="000E1FAF">
              <w:rPr>
                <w:sz w:val="22"/>
                <w:szCs w:val="22"/>
              </w:rPr>
              <w:t>9</w:t>
            </w:r>
          </w:p>
        </w:tc>
      </w:tr>
      <w:tr w:rsidR="000E1FAF" w:rsidRPr="000E1FAF" w:rsidTr="0090128C">
        <w:tc>
          <w:tcPr>
            <w:tcW w:w="6852" w:type="dxa"/>
            <w:shd w:val="clear" w:color="auto" w:fill="auto"/>
          </w:tcPr>
          <w:p w:rsidR="005B2E2B" w:rsidRPr="000E1FAF" w:rsidRDefault="005B2E2B" w:rsidP="00002117">
            <w:pPr>
              <w:rPr>
                <w:sz w:val="22"/>
                <w:szCs w:val="22"/>
                <w:lang w:val="en-US"/>
              </w:rPr>
            </w:pPr>
            <w:r w:rsidRPr="002B42DE">
              <w:rPr>
                <w:b/>
                <w:bCs/>
                <w:sz w:val="22"/>
                <w:szCs w:val="22"/>
                <w:lang w:val="en-US"/>
              </w:rPr>
              <w:t xml:space="preserve">ECC/DEC/(01)02 </w:t>
            </w:r>
            <w:r w:rsidRPr="000E1FAF">
              <w:rPr>
                <w:b/>
                <w:bCs/>
                <w:sz w:val="22"/>
                <w:szCs w:val="22"/>
              </w:rPr>
              <w:t xml:space="preserve">- </w:t>
            </w:r>
            <w:r w:rsidRPr="000E1FAF">
              <w:rPr>
                <w:sz w:val="22"/>
                <w:szCs w:val="22"/>
                <w:lang w:val="en-US"/>
              </w:rPr>
              <w:t xml:space="preserve">ECC Decision of 15 November 2001 on phasing out digital CT2 applications in the 900 MHz band  </w:t>
            </w:r>
          </w:p>
        </w:tc>
        <w:tc>
          <w:tcPr>
            <w:tcW w:w="1341" w:type="dxa"/>
            <w:shd w:val="clear" w:color="auto" w:fill="auto"/>
          </w:tcPr>
          <w:p w:rsidR="005B2E2B" w:rsidRPr="000E1FAF" w:rsidRDefault="005B2E2B" w:rsidP="00002117">
            <w:pPr>
              <w:rPr>
                <w:sz w:val="22"/>
                <w:szCs w:val="22"/>
              </w:rPr>
            </w:pPr>
            <w:r w:rsidRPr="000E1FAF">
              <w:rPr>
                <w:sz w:val="22"/>
                <w:szCs w:val="22"/>
              </w:rPr>
              <w:t>WG FM</w:t>
            </w:r>
          </w:p>
        </w:tc>
        <w:tc>
          <w:tcPr>
            <w:tcW w:w="1719" w:type="dxa"/>
            <w:shd w:val="clear" w:color="auto" w:fill="auto"/>
          </w:tcPr>
          <w:p w:rsidR="005B2E2B" w:rsidRPr="000E1FAF" w:rsidRDefault="005B2E2B" w:rsidP="00002117">
            <w:pPr>
              <w:rPr>
                <w:sz w:val="22"/>
                <w:szCs w:val="22"/>
              </w:rPr>
            </w:pPr>
            <w:r w:rsidRPr="000E1FAF">
              <w:rPr>
                <w:sz w:val="22"/>
                <w:szCs w:val="22"/>
                <w:lang w:val="en-US"/>
              </w:rPr>
              <w:t>Retain</w:t>
            </w:r>
          </w:p>
        </w:tc>
        <w:tc>
          <w:tcPr>
            <w:tcW w:w="1136" w:type="dxa"/>
            <w:shd w:val="clear" w:color="auto" w:fill="auto"/>
          </w:tcPr>
          <w:p w:rsidR="005B2E2B" w:rsidRPr="000E1FAF" w:rsidRDefault="005B2E2B" w:rsidP="00002117">
            <w:pPr>
              <w:rPr>
                <w:sz w:val="22"/>
                <w:szCs w:val="22"/>
              </w:rPr>
            </w:pPr>
            <w:r w:rsidRPr="000E1FAF">
              <w:rPr>
                <w:sz w:val="22"/>
                <w:szCs w:val="22"/>
              </w:rPr>
              <w:t>2016</w:t>
            </w:r>
          </w:p>
        </w:tc>
        <w:tc>
          <w:tcPr>
            <w:tcW w:w="1216" w:type="dxa"/>
            <w:shd w:val="clear" w:color="auto" w:fill="auto"/>
          </w:tcPr>
          <w:p w:rsidR="005B2E2B" w:rsidRPr="000E1FAF" w:rsidRDefault="005B2E2B" w:rsidP="001812E8">
            <w:pPr>
              <w:jc w:val="center"/>
              <w:rPr>
                <w:bCs/>
                <w:sz w:val="22"/>
                <w:szCs w:val="22"/>
              </w:rPr>
            </w:pPr>
          </w:p>
        </w:tc>
        <w:tc>
          <w:tcPr>
            <w:tcW w:w="644" w:type="dxa"/>
            <w:shd w:val="clear" w:color="auto" w:fill="auto"/>
          </w:tcPr>
          <w:p w:rsidR="005B2E2B" w:rsidRPr="000E1FAF" w:rsidRDefault="005B2E2B" w:rsidP="001812E8">
            <w:pPr>
              <w:jc w:val="center"/>
              <w:rPr>
                <w:sz w:val="22"/>
                <w:szCs w:val="22"/>
              </w:rPr>
            </w:pPr>
            <w:r w:rsidRPr="000E1FAF">
              <w:rPr>
                <w:bCs/>
                <w:sz w:val="22"/>
                <w:szCs w:val="22"/>
              </w:rPr>
              <w:t>32</w:t>
            </w:r>
          </w:p>
        </w:tc>
        <w:tc>
          <w:tcPr>
            <w:tcW w:w="552" w:type="dxa"/>
            <w:shd w:val="clear" w:color="auto" w:fill="auto"/>
          </w:tcPr>
          <w:p w:rsidR="005B2E2B" w:rsidRPr="000E1FAF" w:rsidRDefault="005B2E2B" w:rsidP="00582DDF">
            <w:pPr>
              <w:jc w:val="center"/>
              <w:rPr>
                <w:sz w:val="22"/>
                <w:szCs w:val="22"/>
              </w:rPr>
            </w:pPr>
            <w:r w:rsidRPr="000E1FAF">
              <w:rPr>
                <w:sz w:val="22"/>
                <w:szCs w:val="22"/>
              </w:rPr>
              <w:t>3</w:t>
            </w:r>
          </w:p>
        </w:tc>
        <w:tc>
          <w:tcPr>
            <w:tcW w:w="555" w:type="dxa"/>
            <w:shd w:val="clear" w:color="auto" w:fill="auto"/>
          </w:tcPr>
          <w:p w:rsidR="005B2E2B" w:rsidRPr="000E1FAF" w:rsidRDefault="005B2E2B" w:rsidP="00002117">
            <w:pPr>
              <w:jc w:val="center"/>
              <w:rPr>
                <w:sz w:val="22"/>
                <w:szCs w:val="22"/>
              </w:rPr>
            </w:pPr>
            <w:r w:rsidRPr="000E1FAF">
              <w:rPr>
                <w:sz w:val="22"/>
                <w:szCs w:val="22"/>
              </w:rPr>
              <w:t>5</w:t>
            </w:r>
          </w:p>
        </w:tc>
        <w:tc>
          <w:tcPr>
            <w:tcW w:w="555" w:type="dxa"/>
            <w:shd w:val="clear" w:color="auto" w:fill="auto"/>
          </w:tcPr>
          <w:p w:rsidR="005B2E2B" w:rsidRPr="000E1FAF" w:rsidRDefault="005B2E2B" w:rsidP="00582DDF">
            <w:pPr>
              <w:jc w:val="center"/>
              <w:rPr>
                <w:sz w:val="22"/>
                <w:szCs w:val="22"/>
              </w:rPr>
            </w:pPr>
            <w:r w:rsidRPr="000E1FAF">
              <w:rPr>
                <w:sz w:val="22"/>
                <w:szCs w:val="22"/>
              </w:rPr>
              <w:t>8</w:t>
            </w:r>
          </w:p>
        </w:tc>
      </w:tr>
      <w:tr w:rsidR="000E1FAF" w:rsidRPr="000E1FAF" w:rsidTr="0090128C">
        <w:tc>
          <w:tcPr>
            <w:tcW w:w="6852" w:type="dxa"/>
          </w:tcPr>
          <w:p w:rsidR="005B2E2B" w:rsidRPr="000E1FAF" w:rsidRDefault="005B2E2B" w:rsidP="00002117">
            <w:pPr>
              <w:rPr>
                <w:sz w:val="22"/>
                <w:szCs w:val="22"/>
              </w:rPr>
            </w:pPr>
            <w:r w:rsidRPr="000E1FAF">
              <w:rPr>
                <w:b/>
                <w:sz w:val="22"/>
                <w:szCs w:val="22"/>
              </w:rPr>
              <w:t>ECC/DEC/(01)03</w:t>
            </w:r>
            <w:r w:rsidRPr="000E1FAF">
              <w:rPr>
                <w:sz w:val="22"/>
                <w:szCs w:val="22"/>
              </w:rPr>
              <w:t xml:space="preserve"> - ECC Decision of 15 November 2001 on ERO Frequency Information System (EFIS)</w:t>
            </w:r>
          </w:p>
          <w:p w:rsidR="005B2E2B" w:rsidRPr="000E1FAF" w:rsidRDefault="005B2E2B" w:rsidP="00633313">
            <w:pPr>
              <w:rPr>
                <w:b/>
                <w:bCs/>
                <w:sz w:val="22"/>
                <w:szCs w:val="22"/>
                <w:lang w:val="en-US"/>
              </w:rPr>
            </w:pPr>
            <w:r w:rsidRPr="000E1FAF">
              <w:rPr>
                <w:i/>
                <w:color w:val="FF0000"/>
                <w:sz w:val="22"/>
                <w:szCs w:val="22"/>
              </w:rPr>
              <w:t>Note: this Decision was revised in 2009, Annex 2 – application terms reviewed on annual basis</w:t>
            </w:r>
          </w:p>
        </w:tc>
        <w:tc>
          <w:tcPr>
            <w:tcW w:w="1341" w:type="dxa"/>
          </w:tcPr>
          <w:p w:rsidR="005B2E2B" w:rsidRPr="000E1FAF" w:rsidRDefault="005B2E2B" w:rsidP="00002117">
            <w:pPr>
              <w:rPr>
                <w:sz w:val="22"/>
                <w:szCs w:val="22"/>
                <w:lang w:val="en-US"/>
              </w:rPr>
            </w:pPr>
            <w:r w:rsidRPr="000E1FAF">
              <w:rPr>
                <w:sz w:val="22"/>
                <w:szCs w:val="22"/>
                <w:lang w:val="en-US"/>
              </w:rPr>
              <w:t>EFIS/MG</w:t>
            </w:r>
          </w:p>
        </w:tc>
        <w:tc>
          <w:tcPr>
            <w:tcW w:w="1719" w:type="dxa"/>
          </w:tcPr>
          <w:p w:rsidR="005B2E2B" w:rsidRPr="000E1FAF" w:rsidRDefault="005B2E2B" w:rsidP="00002117">
            <w:pPr>
              <w:rPr>
                <w:sz w:val="22"/>
                <w:szCs w:val="22"/>
                <w:lang w:val="en-US"/>
              </w:rPr>
            </w:pPr>
            <w:r w:rsidRPr="000E1FAF">
              <w:rPr>
                <w:sz w:val="22"/>
                <w:szCs w:val="22"/>
                <w:lang w:val="en-US"/>
              </w:rPr>
              <w:t>Retain</w:t>
            </w:r>
          </w:p>
        </w:tc>
        <w:tc>
          <w:tcPr>
            <w:tcW w:w="1136" w:type="dxa"/>
          </w:tcPr>
          <w:p w:rsidR="005B2E2B" w:rsidRPr="000E1FAF" w:rsidRDefault="005B2E2B" w:rsidP="00002117">
            <w:pPr>
              <w:rPr>
                <w:sz w:val="22"/>
                <w:szCs w:val="22"/>
              </w:rPr>
            </w:pPr>
            <w:r w:rsidRPr="000E1FAF">
              <w:rPr>
                <w:sz w:val="22"/>
                <w:szCs w:val="22"/>
              </w:rPr>
              <w:t>2014</w:t>
            </w:r>
          </w:p>
        </w:tc>
        <w:tc>
          <w:tcPr>
            <w:tcW w:w="1216" w:type="dxa"/>
            <w:shd w:val="clear" w:color="auto" w:fill="auto"/>
          </w:tcPr>
          <w:p w:rsidR="005B2E2B" w:rsidRPr="000E1FAF" w:rsidRDefault="000B04E9" w:rsidP="00BA1FE5">
            <w:pPr>
              <w:jc w:val="center"/>
              <w:rPr>
                <w:bCs/>
                <w:sz w:val="22"/>
                <w:szCs w:val="22"/>
              </w:rPr>
            </w:pPr>
            <w:r w:rsidRPr="000E1FAF">
              <w:rPr>
                <w:bCs/>
                <w:sz w:val="22"/>
                <w:szCs w:val="22"/>
              </w:rPr>
              <w:t>No</w:t>
            </w:r>
          </w:p>
        </w:tc>
        <w:tc>
          <w:tcPr>
            <w:tcW w:w="644" w:type="dxa"/>
          </w:tcPr>
          <w:p w:rsidR="005B2E2B" w:rsidRPr="000E1FAF" w:rsidRDefault="005B2E2B" w:rsidP="00BA1FE5">
            <w:pPr>
              <w:jc w:val="center"/>
              <w:rPr>
                <w:bCs/>
                <w:sz w:val="22"/>
                <w:szCs w:val="22"/>
              </w:rPr>
            </w:pPr>
            <w:r w:rsidRPr="000E1FAF">
              <w:rPr>
                <w:bCs/>
                <w:sz w:val="22"/>
                <w:szCs w:val="22"/>
              </w:rPr>
              <w:t>42</w:t>
            </w:r>
          </w:p>
        </w:tc>
        <w:tc>
          <w:tcPr>
            <w:tcW w:w="552" w:type="dxa"/>
          </w:tcPr>
          <w:p w:rsidR="005B2E2B" w:rsidRPr="000E1FAF" w:rsidRDefault="005B2E2B" w:rsidP="00AE5F2A">
            <w:pPr>
              <w:jc w:val="center"/>
              <w:rPr>
                <w:sz w:val="22"/>
                <w:szCs w:val="22"/>
              </w:rPr>
            </w:pPr>
            <w:r w:rsidRPr="000E1FAF">
              <w:rPr>
                <w:sz w:val="22"/>
                <w:szCs w:val="22"/>
              </w:rPr>
              <w:t>1</w:t>
            </w:r>
          </w:p>
        </w:tc>
        <w:tc>
          <w:tcPr>
            <w:tcW w:w="555" w:type="dxa"/>
          </w:tcPr>
          <w:p w:rsidR="005B2E2B" w:rsidRPr="000E1FAF" w:rsidRDefault="005B2E2B" w:rsidP="00BA1FE5">
            <w:pPr>
              <w:jc w:val="center"/>
              <w:rPr>
                <w:sz w:val="22"/>
                <w:szCs w:val="22"/>
              </w:rPr>
            </w:pPr>
            <w:r w:rsidRPr="000E1FAF">
              <w:rPr>
                <w:sz w:val="22"/>
                <w:szCs w:val="22"/>
              </w:rPr>
              <w:t>0</w:t>
            </w:r>
          </w:p>
        </w:tc>
        <w:tc>
          <w:tcPr>
            <w:tcW w:w="555" w:type="dxa"/>
          </w:tcPr>
          <w:p w:rsidR="005B2E2B" w:rsidRPr="000E1FAF" w:rsidRDefault="005B2E2B" w:rsidP="00582DDF">
            <w:pPr>
              <w:jc w:val="center"/>
              <w:rPr>
                <w:sz w:val="22"/>
                <w:szCs w:val="22"/>
              </w:rPr>
            </w:pPr>
            <w:r w:rsidRPr="000E1FAF">
              <w:rPr>
                <w:sz w:val="22"/>
                <w:szCs w:val="22"/>
              </w:rPr>
              <w:t>5</w:t>
            </w:r>
          </w:p>
        </w:tc>
      </w:tr>
      <w:tr w:rsidR="000E1FAF" w:rsidRPr="000E1FAF" w:rsidTr="0090128C">
        <w:tc>
          <w:tcPr>
            <w:tcW w:w="6852" w:type="dxa"/>
          </w:tcPr>
          <w:p w:rsidR="005B2E2B" w:rsidRPr="000E1FAF" w:rsidRDefault="005B2E2B" w:rsidP="0040525C">
            <w:pPr>
              <w:rPr>
                <w:sz w:val="22"/>
                <w:szCs w:val="22"/>
              </w:rPr>
            </w:pPr>
            <w:r w:rsidRPr="000E1FAF">
              <w:rPr>
                <w:b/>
                <w:bCs/>
                <w:sz w:val="22"/>
                <w:szCs w:val="22"/>
              </w:rPr>
              <w:t xml:space="preserve">ECC/DEC/(02)04 - </w:t>
            </w:r>
            <w:r w:rsidRPr="000E1FAF">
              <w:rPr>
                <w:bCs/>
                <w:sz w:val="22"/>
                <w:szCs w:val="22"/>
              </w:rPr>
              <w:t>ECC Decision of 15 March 2002 on the use of the band 40.5 – 42.5 GHz by terrestrial (fixed service/ broadcasting service) systems and uncoordinated Earth stations in the fixed satellite service and broadcasting-satellite service (space to Earth)</w:t>
            </w:r>
          </w:p>
        </w:tc>
        <w:tc>
          <w:tcPr>
            <w:tcW w:w="1341" w:type="dxa"/>
          </w:tcPr>
          <w:p w:rsidR="005B2E2B" w:rsidRPr="000E1FAF" w:rsidRDefault="005B2E2B" w:rsidP="0040525C">
            <w:pPr>
              <w:rPr>
                <w:sz w:val="22"/>
                <w:szCs w:val="22"/>
              </w:rPr>
            </w:pPr>
            <w:r w:rsidRPr="000E1FAF">
              <w:rPr>
                <w:sz w:val="22"/>
                <w:szCs w:val="22"/>
              </w:rPr>
              <w:t>FM44</w:t>
            </w:r>
          </w:p>
        </w:tc>
        <w:tc>
          <w:tcPr>
            <w:tcW w:w="1719" w:type="dxa"/>
          </w:tcPr>
          <w:p w:rsidR="005B2E2B" w:rsidRPr="000E1FAF" w:rsidRDefault="005B2E2B" w:rsidP="005E1AC7">
            <w:pPr>
              <w:rPr>
                <w:i/>
                <w:sz w:val="22"/>
                <w:szCs w:val="22"/>
              </w:rPr>
            </w:pPr>
            <w:r w:rsidRPr="000E1FAF">
              <w:rPr>
                <w:sz w:val="22"/>
                <w:szCs w:val="22"/>
                <w:lang w:val="en-US"/>
              </w:rPr>
              <w:t xml:space="preserve">Retain </w:t>
            </w:r>
          </w:p>
        </w:tc>
        <w:tc>
          <w:tcPr>
            <w:tcW w:w="1136" w:type="dxa"/>
          </w:tcPr>
          <w:p w:rsidR="005B2E2B" w:rsidRPr="000E1FAF" w:rsidRDefault="005B2E2B" w:rsidP="00263C4E">
            <w:pPr>
              <w:rPr>
                <w:sz w:val="22"/>
                <w:szCs w:val="22"/>
              </w:rPr>
            </w:pPr>
            <w:r w:rsidRPr="000E1FAF">
              <w:rPr>
                <w:sz w:val="22"/>
                <w:szCs w:val="22"/>
              </w:rPr>
              <w:t>20</w:t>
            </w:r>
            <w:r w:rsidRPr="000E1FAF">
              <w:rPr>
                <w:sz w:val="22"/>
                <w:szCs w:val="22"/>
                <w:lang w:val="ru-RU"/>
              </w:rPr>
              <w:t>16</w:t>
            </w:r>
          </w:p>
        </w:tc>
        <w:tc>
          <w:tcPr>
            <w:tcW w:w="1216" w:type="dxa"/>
            <w:shd w:val="clear" w:color="auto" w:fill="auto"/>
          </w:tcPr>
          <w:p w:rsidR="005B2E2B" w:rsidRPr="000E1FAF" w:rsidRDefault="005B2E2B" w:rsidP="001812E8">
            <w:pPr>
              <w:jc w:val="center"/>
              <w:rPr>
                <w:bCs/>
                <w:sz w:val="22"/>
                <w:szCs w:val="22"/>
              </w:rPr>
            </w:pPr>
          </w:p>
        </w:tc>
        <w:tc>
          <w:tcPr>
            <w:tcW w:w="644" w:type="dxa"/>
          </w:tcPr>
          <w:p w:rsidR="005B2E2B" w:rsidRPr="000E1FAF" w:rsidRDefault="005B2E2B" w:rsidP="001812E8">
            <w:pPr>
              <w:jc w:val="center"/>
              <w:rPr>
                <w:sz w:val="22"/>
                <w:szCs w:val="22"/>
              </w:rPr>
            </w:pPr>
            <w:r w:rsidRPr="000E1FAF">
              <w:rPr>
                <w:bCs/>
                <w:sz w:val="22"/>
                <w:szCs w:val="22"/>
              </w:rPr>
              <w:t>29</w:t>
            </w:r>
          </w:p>
        </w:tc>
        <w:tc>
          <w:tcPr>
            <w:tcW w:w="552" w:type="dxa"/>
          </w:tcPr>
          <w:p w:rsidR="005B2E2B" w:rsidRPr="000E1FAF" w:rsidRDefault="005B2E2B" w:rsidP="00BA1FE5">
            <w:pPr>
              <w:jc w:val="center"/>
              <w:rPr>
                <w:bCs/>
                <w:sz w:val="22"/>
                <w:szCs w:val="22"/>
              </w:rPr>
            </w:pPr>
            <w:r w:rsidRPr="000E1FAF">
              <w:rPr>
                <w:bCs/>
                <w:sz w:val="22"/>
                <w:szCs w:val="22"/>
              </w:rPr>
              <w:t>5</w:t>
            </w:r>
          </w:p>
        </w:tc>
        <w:tc>
          <w:tcPr>
            <w:tcW w:w="555" w:type="dxa"/>
          </w:tcPr>
          <w:p w:rsidR="005B2E2B" w:rsidRPr="000E1FAF" w:rsidRDefault="005B2E2B" w:rsidP="00BA1FE5">
            <w:pPr>
              <w:jc w:val="center"/>
              <w:rPr>
                <w:bCs/>
                <w:sz w:val="22"/>
                <w:szCs w:val="22"/>
              </w:rPr>
            </w:pPr>
            <w:r w:rsidRPr="000E1FAF">
              <w:rPr>
                <w:bCs/>
                <w:sz w:val="22"/>
                <w:szCs w:val="22"/>
              </w:rPr>
              <w:t>3</w:t>
            </w:r>
          </w:p>
        </w:tc>
        <w:tc>
          <w:tcPr>
            <w:tcW w:w="555" w:type="dxa"/>
          </w:tcPr>
          <w:p w:rsidR="005B2E2B" w:rsidRPr="000E1FAF" w:rsidRDefault="005B2E2B" w:rsidP="00582DDF">
            <w:pPr>
              <w:jc w:val="center"/>
              <w:rPr>
                <w:bCs/>
                <w:sz w:val="22"/>
                <w:szCs w:val="22"/>
              </w:rPr>
            </w:pPr>
            <w:r w:rsidRPr="000E1FAF">
              <w:rPr>
                <w:bCs/>
                <w:sz w:val="22"/>
                <w:szCs w:val="22"/>
              </w:rPr>
              <w:t>11</w:t>
            </w:r>
          </w:p>
        </w:tc>
      </w:tr>
      <w:tr w:rsidR="000E1FAF" w:rsidRPr="000E1FAF" w:rsidTr="0090128C">
        <w:tc>
          <w:tcPr>
            <w:tcW w:w="6852" w:type="dxa"/>
            <w:tcBorders>
              <w:bottom w:val="single" w:sz="4" w:space="0" w:color="000000"/>
            </w:tcBorders>
            <w:shd w:val="clear" w:color="auto" w:fill="auto"/>
          </w:tcPr>
          <w:p w:rsidR="005B2E2B" w:rsidRPr="000E1FAF" w:rsidRDefault="005B2E2B" w:rsidP="0040525C">
            <w:pPr>
              <w:rPr>
                <w:bCs/>
                <w:sz w:val="22"/>
                <w:szCs w:val="22"/>
                <w:lang w:val="en-US"/>
              </w:rPr>
            </w:pPr>
            <w:r w:rsidRPr="000E1FAF">
              <w:rPr>
                <w:b/>
                <w:bCs/>
                <w:sz w:val="22"/>
                <w:szCs w:val="22"/>
              </w:rPr>
              <w:t xml:space="preserve">ECC/DEC/(02)05 - </w:t>
            </w:r>
            <w:r w:rsidRPr="000E1FAF">
              <w:rPr>
                <w:bCs/>
                <w:sz w:val="22"/>
                <w:szCs w:val="22"/>
                <w:lang w:val="en-US"/>
              </w:rPr>
              <w:t xml:space="preserve">ECC Decision of 5 July 2002 on the designation and availability of frequency bands for railway purposes in the 876-880 MHz and 921-925 MHz bands </w:t>
            </w:r>
          </w:p>
          <w:p w:rsidR="00256AB5" w:rsidRPr="000E1FAF" w:rsidRDefault="005B2E2B">
            <w:pPr>
              <w:rPr>
                <w:sz w:val="22"/>
                <w:szCs w:val="22"/>
              </w:rPr>
            </w:pPr>
            <w:r w:rsidRPr="000E1FAF">
              <w:rPr>
                <w:bCs/>
                <w:i/>
                <w:sz w:val="22"/>
                <w:szCs w:val="22"/>
                <w:lang w:val="en-US"/>
              </w:rPr>
              <w:t>Note: this Decision was revised in 2013</w:t>
            </w:r>
            <w:r w:rsidR="00B42915" w:rsidRPr="000E1FAF">
              <w:rPr>
                <w:bCs/>
                <w:i/>
                <w:sz w:val="22"/>
                <w:szCs w:val="22"/>
                <w:lang w:val="en-US"/>
              </w:rPr>
              <w:t xml:space="preserve">- Incorporation of E-GSM-R frequencies in the </w:t>
            </w:r>
            <w:proofErr w:type="spellStart"/>
            <w:r w:rsidR="00B42915" w:rsidRPr="000E1FAF">
              <w:rPr>
                <w:bCs/>
                <w:i/>
                <w:sz w:val="22"/>
                <w:szCs w:val="22"/>
                <w:lang w:val="en-US"/>
              </w:rPr>
              <w:t>harmoni</w:t>
            </w:r>
            <w:r w:rsidR="00314164" w:rsidRPr="000E1FAF">
              <w:rPr>
                <w:bCs/>
                <w:i/>
                <w:sz w:val="22"/>
                <w:szCs w:val="22"/>
                <w:lang w:val="en-US"/>
              </w:rPr>
              <w:t>s</w:t>
            </w:r>
            <w:r w:rsidR="00B42915" w:rsidRPr="000E1FAF">
              <w:rPr>
                <w:bCs/>
                <w:i/>
                <w:sz w:val="22"/>
                <w:szCs w:val="22"/>
                <w:lang w:val="en-US"/>
              </w:rPr>
              <w:t>ed</w:t>
            </w:r>
            <w:proofErr w:type="spellEnd"/>
            <w:r w:rsidR="00B42915" w:rsidRPr="000E1FAF">
              <w:rPr>
                <w:bCs/>
                <w:i/>
                <w:sz w:val="22"/>
                <w:szCs w:val="22"/>
                <w:lang w:val="en-US"/>
              </w:rPr>
              <w:t xml:space="preserve"> standard</w:t>
            </w:r>
            <w:r w:rsidR="00314164" w:rsidRPr="000E1FAF">
              <w:rPr>
                <w:bCs/>
                <w:i/>
                <w:sz w:val="22"/>
                <w:szCs w:val="22"/>
                <w:lang w:val="en-US"/>
              </w:rPr>
              <w:t>s</w:t>
            </w:r>
            <w:r w:rsidR="00B42915" w:rsidRPr="000E1FAF">
              <w:rPr>
                <w:bCs/>
                <w:i/>
                <w:sz w:val="22"/>
                <w:szCs w:val="22"/>
                <w:lang w:val="en-US"/>
              </w:rPr>
              <w:t xml:space="preserve"> </w:t>
            </w:r>
            <w:r w:rsidR="00314164" w:rsidRPr="000E1FAF">
              <w:rPr>
                <w:bCs/>
                <w:i/>
                <w:sz w:val="22"/>
                <w:szCs w:val="22"/>
                <w:lang w:val="en-US"/>
              </w:rPr>
              <w:t xml:space="preserve">for GSM </w:t>
            </w:r>
            <w:r w:rsidR="00B42915" w:rsidRPr="000E1FAF">
              <w:rPr>
                <w:bCs/>
                <w:i/>
                <w:sz w:val="22"/>
                <w:szCs w:val="22"/>
                <w:lang w:val="en-US"/>
              </w:rPr>
              <w:t>still outstanding</w:t>
            </w:r>
          </w:p>
        </w:tc>
        <w:tc>
          <w:tcPr>
            <w:tcW w:w="1341" w:type="dxa"/>
            <w:tcBorders>
              <w:bottom w:val="single" w:sz="4" w:space="0" w:color="000000"/>
            </w:tcBorders>
            <w:shd w:val="clear" w:color="auto" w:fill="auto"/>
          </w:tcPr>
          <w:p w:rsidR="005B2E2B" w:rsidRPr="000E1FAF" w:rsidRDefault="005B2E2B" w:rsidP="005E1AC7">
            <w:pPr>
              <w:rPr>
                <w:sz w:val="22"/>
                <w:szCs w:val="22"/>
              </w:rPr>
            </w:pPr>
            <w:r w:rsidRPr="000E1FAF">
              <w:rPr>
                <w:sz w:val="22"/>
                <w:szCs w:val="22"/>
              </w:rPr>
              <w:t>WG FM</w:t>
            </w:r>
          </w:p>
        </w:tc>
        <w:tc>
          <w:tcPr>
            <w:tcW w:w="1719" w:type="dxa"/>
            <w:tcBorders>
              <w:bottom w:val="single" w:sz="4" w:space="0" w:color="000000"/>
            </w:tcBorders>
            <w:shd w:val="clear" w:color="auto" w:fill="auto"/>
          </w:tcPr>
          <w:p w:rsidR="005B2E2B" w:rsidRPr="000E1FAF" w:rsidRDefault="005B2E2B" w:rsidP="000E098D">
            <w:pPr>
              <w:rPr>
                <w:sz w:val="22"/>
                <w:szCs w:val="22"/>
              </w:rPr>
            </w:pPr>
            <w:r w:rsidRPr="000E1FAF">
              <w:rPr>
                <w:sz w:val="22"/>
                <w:szCs w:val="22"/>
              </w:rPr>
              <w:t>Retain</w:t>
            </w:r>
          </w:p>
        </w:tc>
        <w:tc>
          <w:tcPr>
            <w:tcW w:w="1136" w:type="dxa"/>
            <w:tcBorders>
              <w:bottom w:val="single" w:sz="4" w:space="0" w:color="000000"/>
            </w:tcBorders>
            <w:shd w:val="clear" w:color="auto" w:fill="auto"/>
          </w:tcPr>
          <w:p w:rsidR="005B2E2B" w:rsidRPr="000E1FAF" w:rsidRDefault="005B2E2B" w:rsidP="000E098D">
            <w:pPr>
              <w:rPr>
                <w:sz w:val="22"/>
                <w:szCs w:val="22"/>
              </w:rPr>
            </w:pPr>
            <w:r w:rsidRPr="000E1FAF">
              <w:rPr>
                <w:sz w:val="22"/>
                <w:szCs w:val="22"/>
              </w:rPr>
              <w:t>2018</w:t>
            </w:r>
          </w:p>
        </w:tc>
        <w:tc>
          <w:tcPr>
            <w:tcW w:w="1216" w:type="dxa"/>
            <w:tcBorders>
              <w:bottom w:val="single" w:sz="4" w:space="0" w:color="000000"/>
            </w:tcBorders>
            <w:shd w:val="clear" w:color="auto" w:fill="auto"/>
          </w:tcPr>
          <w:p w:rsidR="005B2E2B" w:rsidRPr="000E1FAF" w:rsidRDefault="00B42915" w:rsidP="00582DDF">
            <w:pPr>
              <w:jc w:val="center"/>
              <w:rPr>
                <w:sz w:val="22"/>
                <w:szCs w:val="22"/>
              </w:rPr>
            </w:pPr>
            <w:r w:rsidRPr="000E1FAF">
              <w:rPr>
                <w:sz w:val="22"/>
                <w:szCs w:val="22"/>
              </w:rPr>
              <w:t>Yes</w:t>
            </w:r>
          </w:p>
        </w:tc>
        <w:tc>
          <w:tcPr>
            <w:tcW w:w="644" w:type="dxa"/>
            <w:tcBorders>
              <w:bottom w:val="single" w:sz="4" w:space="0" w:color="000000"/>
            </w:tcBorders>
            <w:shd w:val="clear" w:color="auto" w:fill="auto"/>
          </w:tcPr>
          <w:p w:rsidR="005B2E2B" w:rsidRPr="000E1FAF" w:rsidRDefault="005B2E2B" w:rsidP="00582DDF">
            <w:pPr>
              <w:jc w:val="center"/>
              <w:rPr>
                <w:sz w:val="22"/>
                <w:szCs w:val="22"/>
              </w:rPr>
            </w:pPr>
            <w:r w:rsidRPr="000E1FAF">
              <w:rPr>
                <w:sz w:val="22"/>
                <w:szCs w:val="22"/>
              </w:rPr>
              <w:t>39</w:t>
            </w:r>
          </w:p>
        </w:tc>
        <w:tc>
          <w:tcPr>
            <w:tcW w:w="552" w:type="dxa"/>
            <w:tcBorders>
              <w:bottom w:val="single" w:sz="4" w:space="0" w:color="000000"/>
            </w:tcBorders>
            <w:shd w:val="clear" w:color="auto" w:fill="auto"/>
          </w:tcPr>
          <w:p w:rsidR="005B2E2B" w:rsidRPr="000E1FAF" w:rsidRDefault="005B2E2B" w:rsidP="0040525C">
            <w:pPr>
              <w:jc w:val="center"/>
              <w:rPr>
                <w:bCs/>
                <w:sz w:val="22"/>
                <w:szCs w:val="22"/>
              </w:rPr>
            </w:pPr>
            <w:r w:rsidRPr="000E1FAF">
              <w:rPr>
                <w:bCs/>
                <w:sz w:val="22"/>
                <w:szCs w:val="22"/>
              </w:rPr>
              <w:t>0</w:t>
            </w:r>
          </w:p>
        </w:tc>
        <w:tc>
          <w:tcPr>
            <w:tcW w:w="555" w:type="dxa"/>
            <w:tcBorders>
              <w:bottom w:val="single" w:sz="4" w:space="0" w:color="000000"/>
            </w:tcBorders>
            <w:shd w:val="clear" w:color="auto" w:fill="auto"/>
          </w:tcPr>
          <w:p w:rsidR="005B2E2B" w:rsidRPr="000E1FAF" w:rsidRDefault="005B2E2B" w:rsidP="00BA1FE5">
            <w:pPr>
              <w:jc w:val="center"/>
              <w:rPr>
                <w:bCs/>
                <w:sz w:val="22"/>
                <w:szCs w:val="22"/>
              </w:rPr>
            </w:pPr>
            <w:r w:rsidRPr="000E1FAF">
              <w:rPr>
                <w:bCs/>
                <w:sz w:val="22"/>
                <w:szCs w:val="22"/>
              </w:rPr>
              <w:t>3</w:t>
            </w:r>
          </w:p>
        </w:tc>
        <w:tc>
          <w:tcPr>
            <w:tcW w:w="555" w:type="dxa"/>
            <w:tcBorders>
              <w:bottom w:val="single" w:sz="4" w:space="0" w:color="000000"/>
            </w:tcBorders>
            <w:shd w:val="clear" w:color="auto" w:fill="auto"/>
          </w:tcPr>
          <w:p w:rsidR="005B2E2B" w:rsidRPr="000E1FAF" w:rsidRDefault="005B2E2B" w:rsidP="00BA1FE5">
            <w:pPr>
              <w:jc w:val="center"/>
              <w:rPr>
                <w:bCs/>
                <w:sz w:val="22"/>
                <w:szCs w:val="22"/>
              </w:rPr>
            </w:pPr>
            <w:r w:rsidRPr="000E1FAF">
              <w:rPr>
                <w:bCs/>
                <w:sz w:val="22"/>
                <w:szCs w:val="22"/>
              </w:rPr>
              <w:t>6</w:t>
            </w:r>
          </w:p>
        </w:tc>
      </w:tr>
      <w:tr w:rsidR="000E1FAF" w:rsidRPr="000E1FAF" w:rsidTr="0090128C">
        <w:tc>
          <w:tcPr>
            <w:tcW w:w="6852" w:type="dxa"/>
            <w:tcBorders>
              <w:bottom w:val="single" w:sz="4" w:space="0" w:color="000000"/>
            </w:tcBorders>
          </w:tcPr>
          <w:p w:rsidR="005B2E2B" w:rsidRPr="000E1FAF" w:rsidRDefault="005B2E2B" w:rsidP="00D62556">
            <w:pPr>
              <w:rPr>
                <w:bCs/>
                <w:sz w:val="22"/>
                <w:szCs w:val="22"/>
                <w:lang w:val="en-US"/>
              </w:rPr>
            </w:pPr>
            <w:r w:rsidRPr="000E1FAF">
              <w:rPr>
                <w:b/>
                <w:bCs/>
                <w:sz w:val="22"/>
                <w:szCs w:val="22"/>
              </w:rPr>
              <w:t xml:space="preserve">ECC/DEC/(02)06 – </w:t>
            </w:r>
            <w:r w:rsidRPr="000E1FAF">
              <w:rPr>
                <w:bCs/>
                <w:sz w:val="22"/>
                <w:szCs w:val="22"/>
                <w:lang w:val="en-US"/>
              </w:rPr>
              <w:t>ECC Decision of 15 November 2002 on the designation of frequency band 2500-2690 MHz for UMTS/IMT-2000</w:t>
            </w:r>
          </w:p>
          <w:p w:rsidR="005B2E2B" w:rsidRPr="000E1FAF" w:rsidRDefault="005B2E2B" w:rsidP="00D62556">
            <w:pPr>
              <w:rPr>
                <w:i/>
                <w:color w:val="FF0000"/>
                <w:sz w:val="22"/>
                <w:szCs w:val="22"/>
              </w:rPr>
            </w:pPr>
            <w:r w:rsidRPr="000E1FAF">
              <w:rPr>
                <w:i/>
                <w:color w:val="FF0000"/>
                <w:sz w:val="22"/>
                <w:szCs w:val="22"/>
              </w:rPr>
              <w:t xml:space="preserve">Note: linkage with the ongoing licensing process in the 2.6 GHz and within CEPT is noted; need to ensure consistency with Commission Decision </w:t>
            </w:r>
            <w:r w:rsidRPr="000E1FAF">
              <w:rPr>
                <w:i/>
                <w:color w:val="FF0000"/>
                <w:sz w:val="22"/>
                <w:szCs w:val="22"/>
              </w:rPr>
              <w:lastRenderedPageBreak/>
              <w:t>2008/477/EC is noted;</w:t>
            </w:r>
          </w:p>
          <w:p w:rsidR="0060014C" w:rsidRPr="00F92C3E" w:rsidRDefault="00136A6A" w:rsidP="00136A6A">
            <w:pPr>
              <w:rPr>
                <w:i/>
                <w:sz w:val="22"/>
                <w:szCs w:val="22"/>
              </w:rPr>
            </w:pPr>
            <w:r w:rsidRPr="00136A6A">
              <w:rPr>
                <w:i/>
                <w:sz w:val="22"/>
                <w:szCs w:val="22"/>
              </w:rPr>
              <w:t xml:space="preserve">Review </w:t>
            </w:r>
            <w:r w:rsidR="00901051" w:rsidRPr="00F92C3E">
              <w:rPr>
                <w:i/>
                <w:sz w:val="22"/>
                <w:szCs w:val="22"/>
              </w:rPr>
              <w:t>in progress</w:t>
            </w:r>
          </w:p>
        </w:tc>
        <w:tc>
          <w:tcPr>
            <w:tcW w:w="1341" w:type="dxa"/>
            <w:tcBorders>
              <w:bottom w:val="single" w:sz="4" w:space="0" w:color="000000"/>
            </w:tcBorders>
          </w:tcPr>
          <w:p w:rsidR="005B2E2B" w:rsidRPr="000E1FAF" w:rsidRDefault="005B2E2B" w:rsidP="00D62556">
            <w:pPr>
              <w:rPr>
                <w:bCs/>
                <w:sz w:val="22"/>
                <w:szCs w:val="22"/>
              </w:rPr>
            </w:pPr>
            <w:r w:rsidRPr="000E1FAF">
              <w:rPr>
                <w:bCs/>
                <w:sz w:val="22"/>
                <w:szCs w:val="22"/>
              </w:rPr>
              <w:lastRenderedPageBreak/>
              <w:t>ECC PT1</w:t>
            </w:r>
          </w:p>
          <w:p w:rsidR="005B2E2B" w:rsidRPr="000E1FAF" w:rsidRDefault="005B2E2B" w:rsidP="00D62556">
            <w:pPr>
              <w:rPr>
                <w:bCs/>
                <w:sz w:val="22"/>
                <w:szCs w:val="22"/>
              </w:rPr>
            </w:pPr>
          </w:p>
        </w:tc>
        <w:tc>
          <w:tcPr>
            <w:tcW w:w="1719" w:type="dxa"/>
            <w:tcBorders>
              <w:bottom w:val="single" w:sz="4" w:space="0" w:color="000000"/>
            </w:tcBorders>
          </w:tcPr>
          <w:p w:rsidR="00256AB5" w:rsidRPr="000E1FAF" w:rsidRDefault="005B2E2B">
            <w:pPr>
              <w:rPr>
                <w:bCs/>
                <w:sz w:val="22"/>
                <w:szCs w:val="22"/>
              </w:rPr>
            </w:pPr>
            <w:r w:rsidRPr="000E1FAF">
              <w:rPr>
                <w:bCs/>
                <w:sz w:val="22"/>
                <w:szCs w:val="22"/>
              </w:rPr>
              <w:t>Re</w:t>
            </w:r>
            <w:r w:rsidR="00ED1E3F" w:rsidRPr="000E1FAF">
              <w:rPr>
                <w:bCs/>
                <w:sz w:val="22"/>
                <w:szCs w:val="22"/>
              </w:rPr>
              <w:t>view</w:t>
            </w:r>
          </w:p>
        </w:tc>
        <w:tc>
          <w:tcPr>
            <w:tcW w:w="1136" w:type="dxa"/>
            <w:tcBorders>
              <w:bottom w:val="single" w:sz="4" w:space="0" w:color="000000"/>
            </w:tcBorders>
          </w:tcPr>
          <w:p w:rsidR="005B2E2B" w:rsidRPr="000E1FAF" w:rsidRDefault="005B2E2B" w:rsidP="00D62556">
            <w:pPr>
              <w:rPr>
                <w:sz w:val="22"/>
                <w:szCs w:val="22"/>
              </w:rPr>
            </w:pPr>
            <w:r w:rsidRPr="000E1FAF">
              <w:rPr>
                <w:sz w:val="22"/>
                <w:szCs w:val="22"/>
              </w:rPr>
              <w:t>2014</w:t>
            </w:r>
          </w:p>
        </w:tc>
        <w:tc>
          <w:tcPr>
            <w:tcW w:w="1216" w:type="dxa"/>
            <w:tcBorders>
              <w:bottom w:val="single" w:sz="4" w:space="0" w:color="000000"/>
            </w:tcBorders>
            <w:shd w:val="clear" w:color="auto" w:fill="auto"/>
          </w:tcPr>
          <w:p w:rsidR="005B2E2B" w:rsidRPr="000E1FAF" w:rsidRDefault="00314164" w:rsidP="001812E8">
            <w:pPr>
              <w:jc w:val="center"/>
              <w:rPr>
                <w:bCs/>
                <w:sz w:val="22"/>
                <w:szCs w:val="22"/>
              </w:rPr>
            </w:pPr>
            <w:r w:rsidRPr="000E1FAF">
              <w:rPr>
                <w:bCs/>
                <w:sz w:val="22"/>
                <w:szCs w:val="22"/>
              </w:rPr>
              <w:t>Yes</w:t>
            </w:r>
          </w:p>
        </w:tc>
        <w:tc>
          <w:tcPr>
            <w:tcW w:w="644" w:type="dxa"/>
            <w:tcBorders>
              <w:bottom w:val="single" w:sz="4" w:space="0" w:color="000000"/>
            </w:tcBorders>
          </w:tcPr>
          <w:p w:rsidR="005B2E2B" w:rsidRPr="000E1FAF" w:rsidRDefault="005B2E2B" w:rsidP="001812E8">
            <w:pPr>
              <w:jc w:val="center"/>
              <w:rPr>
                <w:sz w:val="22"/>
                <w:szCs w:val="22"/>
              </w:rPr>
            </w:pPr>
            <w:r w:rsidRPr="000E1FAF">
              <w:rPr>
                <w:bCs/>
                <w:sz w:val="22"/>
                <w:szCs w:val="22"/>
              </w:rPr>
              <w:t>37</w:t>
            </w:r>
          </w:p>
        </w:tc>
        <w:tc>
          <w:tcPr>
            <w:tcW w:w="552" w:type="dxa"/>
            <w:tcBorders>
              <w:bottom w:val="single" w:sz="4" w:space="0" w:color="000000"/>
            </w:tcBorders>
          </w:tcPr>
          <w:p w:rsidR="005B2E2B" w:rsidRPr="000E1FAF" w:rsidRDefault="005B2E2B" w:rsidP="00582DDF">
            <w:pPr>
              <w:jc w:val="center"/>
              <w:rPr>
                <w:sz w:val="22"/>
                <w:szCs w:val="22"/>
              </w:rPr>
            </w:pPr>
            <w:r w:rsidRPr="000E1FAF">
              <w:rPr>
                <w:sz w:val="22"/>
                <w:szCs w:val="22"/>
              </w:rPr>
              <w:t>2</w:t>
            </w:r>
          </w:p>
        </w:tc>
        <w:tc>
          <w:tcPr>
            <w:tcW w:w="555" w:type="dxa"/>
            <w:tcBorders>
              <w:bottom w:val="single" w:sz="4" w:space="0" w:color="000000"/>
            </w:tcBorders>
          </w:tcPr>
          <w:p w:rsidR="005B2E2B" w:rsidRPr="000E1FAF" w:rsidRDefault="005B2E2B" w:rsidP="00582DDF">
            <w:pPr>
              <w:jc w:val="center"/>
              <w:rPr>
                <w:sz w:val="22"/>
                <w:szCs w:val="22"/>
              </w:rPr>
            </w:pPr>
            <w:r w:rsidRPr="000E1FAF">
              <w:rPr>
                <w:sz w:val="22"/>
                <w:szCs w:val="22"/>
              </w:rPr>
              <w:t>2</w:t>
            </w:r>
          </w:p>
        </w:tc>
        <w:tc>
          <w:tcPr>
            <w:tcW w:w="555" w:type="dxa"/>
            <w:tcBorders>
              <w:bottom w:val="single" w:sz="4" w:space="0" w:color="000000"/>
            </w:tcBorders>
          </w:tcPr>
          <w:p w:rsidR="005B2E2B" w:rsidRPr="000E1FAF" w:rsidRDefault="005B2E2B" w:rsidP="00582DDF">
            <w:pPr>
              <w:jc w:val="center"/>
              <w:rPr>
                <w:sz w:val="22"/>
                <w:szCs w:val="22"/>
              </w:rPr>
            </w:pPr>
            <w:r w:rsidRPr="000E1FAF">
              <w:rPr>
                <w:sz w:val="22"/>
                <w:szCs w:val="22"/>
              </w:rPr>
              <w:t>7</w:t>
            </w:r>
          </w:p>
        </w:tc>
      </w:tr>
      <w:tr w:rsidR="000E1FAF" w:rsidRPr="000E1FAF" w:rsidTr="0090128C">
        <w:tc>
          <w:tcPr>
            <w:tcW w:w="6852" w:type="dxa"/>
            <w:shd w:val="clear" w:color="auto" w:fill="auto"/>
          </w:tcPr>
          <w:p w:rsidR="005B2E2B" w:rsidRPr="000E1FAF" w:rsidRDefault="005B2E2B" w:rsidP="0040525C">
            <w:pPr>
              <w:rPr>
                <w:bCs/>
                <w:sz w:val="22"/>
                <w:szCs w:val="22"/>
              </w:rPr>
            </w:pPr>
            <w:r w:rsidRPr="000E1FAF">
              <w:rPr>
                <w:b/>
                <w:bCs/>
                <w:sz w:val="22"/>
                <w:szCs w:val="22"/>
              </w:rPr>
              <w:lastRenderedPageBreak/>
              <w:t xml:space="preserve">ECC/DEC/(02)07 - </w:t>
            </w:r>
            <w:r w:rsidRPr="000E1FAF">
              <w:rPr>
                <w:bCs/>
                <w:sz w:val="22"/>
                <w:szCs w:val="22"/>
              </w:rPr>
              <w:t>ECC Decision of 15 November 2002 on the harmonised European use of the bands 1670-1675 MHz and 1800-1805 MHz and on the withdrawal of the ERC Decision (92)01 "Decision on the frequency bands to be designated for the coordinated introduction of the Terrestrial Flight Telecommunications System"</w:t>
            </w:r>
          </w:p>
          <w:p w:rsidR="005B2E2B" w:rsidRPr="000E1FAF" w:rsidRDefault="005B2E2B" w:rsidP="00EB1645">
            <w:pPr>
              <w:rPr>
                <w:sz w:val="22"/>
                <w:szCs w:val="22"/>
              </w:rPr>
            </w:pPr>
            <w:r w:rsidRPr="000E1FAF">
              <w:rPr>
                <w:i/>
                <w:color w:val="FF0000"/>
                <w:sz w:val="22"/>
                <w:szCs w:val="22"/>
              </w:rPr>
              <w:t xml:space="preserve">Note: </w:t>
            </w:r>
            <w:r w:rsidR="000B04E9" w:rsidRPr="000E1FAF">
              <w:rPr>
                <w:i/>
                <w:color w:val="FF0000"/>
                <w:sz w:val="22"/>
                <w:szCs w:val="22"/>
              </w:rPr>
              <w:t>WGFM#79 consider</w:t>
            </w:r>
            <w:r w:rsidR="00EB1645" w:rsidRPr="000E1FAF">
              <w:rPr>
                <w:i/>
                <w:color w:val="FF0000"/>
                <w:sz w:val="22"/>
                <w:szCs w:val="22"/>
              </w:rPr>
              <w:t>ed</w:t>
            </w:r>
            <w:r w:rsidR="000B04E9" w:rsidRPr="000E1FAF">
              <w:rPr>
                <w:i/>
                <w:color w:val="FF0000"/>
                <w:sz w:val="22"/>
                <w:szCs w:val="22"/>
              </w:rPr>
              <w:t xml:space="preserve"> a new draft ECC Decision </w:t>
            </w:r>
            <w:r w:rsidRPr="000E1FAF">
              <w:rPr>
                <w:i/>
                <w:color w:val="FF0000"/>
                <w:sz w:val="22"/>
                <w:szCs w:val="22"/>
              </w:rPr>
              <w:t xml:space="preserve">for </w:t>
            </w:r>
            <w:r w:rsidR="000B04E9" w:rsidRPr="000E1FAF">
              <w:rPr>
                <w:i/>
                <w:color w:val="FF0000"/>
                <w:sz w:val="22"/>
                <w:szCs w:val="22"/>
              </w:rPr>
              <w:t>withdrawal of this Decision</w:t>
            </w:r>
          </w:p>
        </w:tc>
        <w:tc>
          <w:tcPr>
            <w:tcW w:w="1341" w:type="dxa"/>
            <w:shd w:val="clear" w:color="auto" w:fill="auto"/>
          </w:tcPr>
          <w:p w:rsidR="005B2E2B" w:rsidRPr="000E1FAF" w:rsidRDefault="005B2E2B" w:rsidP="00F265F8">
            <w:pPr>
              <w:rPr>
                <w:sz w:val="22"/>
                <w:szCs w:val="22"/>
              </w:rPr>
            </w:pPr>
            <w:r w:rsidRPr="000E1FAF">
              <w:rPr>
                <w:sz w:val="22"/>
                <w:szCs w:val="22"/>
              </w:rPr>
              <w:t>WG FM</w:t>
            </w:r>
          </w:p>
        </w:tc>
        <w:tc>
          <w:tcPr>
            <w:tcW w:w="1719" w:type="dxa"/>
            <w:shd w:val="clear" w:color="auto" w:fill="auto"/>
          </w:tcPr>
          <w:p w:rsidR="005B2E2B" w:rsidRPr="000E1FAF" w:rsidRDefault="005B2E2B" w:rsidP="00E573A1">
            <w:pPr>
              <w:rPr>
                <w:sz w:val="22"/>
                <w:szCs w:val="22"/>
              </w:rPr>
            </w:pPr>
            <w:r w:rsidRPr="000E1FAF">
              <w:rPr>
                <w:sz w:val="22"/>
                <w:szCs w:val="22"/>
                <w:lang w:val="en-US"/>
              </w:rPr>
              <w:t>Withdraw</w:t>
            </w:r>
          </w:p>
        </w:tc>
        <w:tc>
          <w:tcPr>
            <w:tcW w:w="1136" w:type="dxa"/>
            <w:shd w:val="clear" w:color="auto" w:fill="auto"/>
          </w:tcPr>
          <w:p w:rsidR="005B2E2B" w:rsidRPr="000E1FAF" w:rsidRDefault="005B2E2B" w:rsidP="00E573A1">
            <w:pPr>
              <w:rPr>
                <w:sz w:val="22"/>
                <w:szCs w:val="22"/>
              </w:rPr>
            </w:pPr>
            <w:r w:rsidRPr="000E1FAF">
              <w:rPr>
                <w:sz w:val="22"/>
                <w:szCs w:val="22"/>
              </w:rPr>
              <w:t>2014</w:t>
            </w:r>
          </w:p>
        </w:tc>
        <w:tc>
          <w:tcPr>
            <w:tcW w:w="1216" w:type="dxa"/>
            <w:shd w:val="clear" w:color="auto" w:fill="auto"/>
          </w:tcPr>
          <w:p w:rsidR="005B2E2B" w:rsidRPr="000E1FAF" w:rsidRDefault="000B04E9" w:rsidP="00582DDF">
            <w:pPr>
              <w:jc w:val="center"/>
              <w:rPr>
                <w:bCs/>
                <w:sz w:val="22"/>
                <w:szCs w:val="22"/>
              </w:rPr>
            </w:pPr>
            <w:r w:rsidRPr="000E1FAF">
              <w:rPr>
                <w:bCs/>
                <w:sz w:val="22"/>
                <w:szCs w:val="22"/>
              </w:rPr>
              <w:t>No</w:t>
            </w:r>
          </w:p>
        </w:tc>
        <w:tc>
          <w:tcPr>
            <w:tcW w:w="644" w:type="dxa"/>
            <w:shd w:val="clear" w:color="auto" w:fill="auto"/>
          </w:tcPr>
          <w:p w:rsidR="005B2E2B" w:rsidRPr="000E1FAF" w:rsidRDefault="005B2E2B" w:rsidP="00582DDF">
            <w:pPr>
              <w:jc w:val="center"/>
              <w:rPr>
                <w:sz w:val="22"/>
                <w:szCs w:val="22"/>
              </w:rPr>
            </w:pPr>
            <w:r w:rsidRPr="000E1FAF">
              <w:rPr>
                <w:bCs/>
                <w:sz w:val="22"/>
                <w:szCs w:val="22"/>
              </w:rPr>
              <w:t>32</w:t>
            </w:r>
          </w:p>
        </w:tc>
        <w:tc>
          <w:tcPr>
            <w:tcW w:w="552" w:type="dxa"/>
            <w:shd w:val="clear" w:color="auto" w:fill="auto"/>
          </w:tcPr>
          <w:p w:rsidR="005B2E2B" w:rsidRPr="000E1FAF" w:rsidRDefault="005B2E2B" w:rsidP="001812E8">
            <w:pPr>
              <w:jc w:val="center"/>
              <w:rPr>
                <w:sz w:val="22"/>
                <w:szCs w:val="22"/>
              </w:rPr>
            </w:pPr>
            <w:r w:rsidRPr="000E1FAF">
              <w:rPr>
                <w:sz w:val="22"/>
                <w:szCs w:val="22"/>
              </w:rPr>
              <w:t>2</w:t>
            </w:r>
          </w:p>
        </w:tc>
        <w:tc>
          <w:tcPr>
            <w:tcW w:w="555" w:type="dxa"/>
            <w:shd w:val="clear" w:color="auto" w:fill="auto"/>
          </w:tcPr>
          <w:p w:rsidR="005B2E2B" w:rsidRPr="000E1FAF" w:rsidRDefault="005B2E2B" w:rsidP="00B71E5A">
            <w:pPr>
              <w:jc w:val="center"/>
              <w:rPr>
                <w:sz w:val="22"/>
                <w:szCs w:val="22"/>
              </w:rPr>
            </w:pPr>
            <w:r w:rsidRPr="000E1FAF">
              <w:rPr>
                <w:sz w:val="22"/>
                <w:szCs w:val="22"/>
              </w:rPr>
              <w:t>3</w:t>
            </w:r>
          </w:p>
        </w:tc>
        <w:tc>
          <w:tcPr>
            <w:tcW w:w="555" w:type="dxa"/>
            <w:shd w:val="clear" w:color="auto" w:fill="auto"/>
          </w:tcPr>
          <w:p w:rsidR="005B2E2B" w:rsidRPr="000E1FAF" w:rsidRDefault="005B2E2B" w:rsidP="00B71E5A">
            <w:pPr>
              <w:jc w:val="center"/>
              <w:rPr>
                <w:sz w:val="22"/>
                <w:szCs w:val="22"/>
              </w:rPr>
            </w:pPr>
            <w:r w:rsidRPr="000E1FAF">
              <w:rPr>
                <w:sz w:val="22"/>
                <w:szCs w:val="22"/>
              </w:rPr>
              <w:t>11</w:t>
            </w:r>
          </w:p>
        </w:tc>
      </w:tr>
      <w:tr w:rsidR="000E1FAF" w:rsidRPr="000E1FAF" w:rsidTr="0090128C">
        <w:tc>
          <w:tcPr>
            <w:tcW w:w="6852" w:type="dxa"/>
          </w:tcPr>
          <w:p w:rsidR="005B2E2B" w:rsidRPr="000E1FAF" w:rsidRDefault="005B2E2B" w:rsidP="00002117">
            <w:pPr>
              <w:rPr>
                <w:sz w:val="22"/>
                <w:szCs w:val="22"/>
              </w:rPr>
            </w:pPr>
            <w:r w:rsidRPr="000E1FAF">
              <w:rPr>
                <w:b/>
                <w:bCs/>
                <w:sz w:val="22"/>
                <w:szCs w:val="22"/>
                <w:lang w:val="en-US"/>
              </w:rPr>
              <w:t xml:space="preserve">ECC/DEC/(02)09 </w:t>
            </w:r>
            <w:r w:rsidRPr="000E1FAF">
              <w:rPr>
                <w:b/>
                <w:bCs/>
                <w:sz w:val="22"/>
                <w:szCs w:val="22"/>
              </w:rPr>
              <w:t xml:space="preserve">- </w:t>
            </w:r>
            <w:r w:rsidRPr="000E1FAF">
              <w:rPr>
                <w:sz w:val="22"/>
                <w:szCs w:val="22"/>
              </w:rPr>
              <w:t>ECC Decision of 15 November 2002 on free circulation and use of GSM-R mobile terminals operating within the frequency bands 876-880 MHz and 921-925 MHz for railway purposes in CEPT countries, enlarging the field of application of ERC/DEC/(95)01</w:t>
            </w:r>
          </w:p>
          <w:p w:rsidR="005B2E2B" w:rsidRPr="000E1FAF" w:rsidRDefault="005B2E2B" w:rsidP="00AF6743">
            <w:pPr>
              <w:rPr>
                <w:sz w:val="22"/>
                <w:szCs w:val="22"/>
              </w:rPr>
            </w:pPr>
            <w:r w:rsidRPr="000E1FAF">
              <w:rPr>
                <w:i/>
                <w:color w:val="FF0000"/>
                <w:sz w:val="22"/>
                <w:szCs w:val="22"/>
              </w:rPr>
              <w:t>Note: this Decision was revised in 2011</w:t>
            </w:r>
          </w:p>
        </w:tc>
        <w:tc>
          <w:tcPr>
            <w:tcW w:w="1341" w:type="dxa"/>
          </w:tcPr>
          <w:p w:rsidR="005B2E2B" w:rsidRPr="000E1FAF" w:rsidRDefault="005B2E2B" w:rsidP="00002117">
            <w:pPr>
              <w:rPr>
                <w:sz w:val="22"/>
                <w:szCs w:val="22"/>
              </w:rPr>
            </w:pPr>
            <w:r w:rsidRPr="000E1FAF">
              <w:rPr>
                <w:sz w:val="22"/>
                <w:szCs w:val="22"/>
              </w:rPr>
              <w:t>WG FM</w:t>
            </w:r>
          </w:p>
          <w:p w:rsidR="005B2E2B" w:rsidRPr="000E1FAF" w:rsidRDefault="005B2E2B" w:rsidP="00002117">
            <w:pPr>
              <w:rPr>
                <w:sz w:val="22"/>
                <w:szCs w:val="22"/>
              </w:rPr>
            </w:pPr>
          </w:p>
        </w:tc>
        <w:tc>
          <w:tcPr>
            <w:tcW w:w="1719" w:type="dxa"/>
          </w:tcPr>
          <w:p w:rsidR="005B2E2B" w:rsidRPr="000E1FAF" w:rsidRDefault="005B2E2B" w:rsidP="00AF6743">
            <w:pPr>
              <w:rPr>
                <w:sz w:val="22"/>
                <w:szCs w:val="22"/>
              </w:rPr>
            </w:pPr>
            <w:r w:rsidRPr="000E1FAF">
              <w:rPr>
                <w:bCs/>
                <w:sz w:val="22"/>
                <w:szCs w:val="22"/>
              </w:rPr>
              <w:t>Retain</w:t>
            </w:r>
            <w:r w:rsidRPr="000E1FAF">
              <w:rPr>
                <w:sz w:val="22"/>
                <w:szCs w:val="22"/>
                <w:lang w:val="en-US"/>
              </w:rPr>
              <w:t xml:space="preserve"> </w:t>
            </w:r>
          </w:p>
        </w:tc>
        <w:tc>
          <w:tcPr>
            <w:tcW w:w="1136" w:type="dxa"/>
          </w:tcPr>
          <w:p w:rsidR="005B2E2B" w:rsidRPr="000E1FAF" w:rsidRDefault="005B2E2B" w:rsidP="00AF6743">
            <w:pPr>
              <w:rPr>
                <w:sz w:val="22"/>
                <w:szCs w:val="22"/>
              </w:rPr>
            </w:pPr>
            <w:r w:rsidRPr="000E1FAF">
              <w:rPr>
                <w:sz w:val="22"/>
                <w:szCs w:val="22"/>
              </w:rPr>
              <w:t>2016</w:t>
            </w:r>
          </w:p>
        </w:tc>
        <w:tc>
          <w:tcPr>
            <w:tcW w:w="1216" w:type="dxa"/>
            <w:shd w:val="clear" w:color="auto" w:fill="auto"/>
          </w:tcPr>
          <w:p w:rsidR="005B2E2B" w:rsidRPr="000E1FAF" w:rsidRDefault="005B2E2B" w:rsidP="00C446F0">
            <w:pPr>
              <w:jc w:val="center"/>
              <w:rPr>
                <w:sz w:val="22"/>
                <w:szCs w:val="22"/>
              </w:rPr>
            </w:pPr>
          </w:p>
        </w:tc>
        <w:tc>
          <w:tcPr>
            <w:tcW w:w="644" w:type="dxa"/>
          </w:tcPr>
          <w:p w:rsidR="005B2E2B" w:rsidRPr="000E1FAF" w:rsidRDefault="005B2E2B" w:rsidP="00C446F0">
            <w:pPr>
              <w:jc w:val="center"/>
              <w:rPr>
                <w:sz w:val="22"/>
                <w:szCs w:val="22"/>
              </w:rPr>
            </w:pPr>
            <w:r w:rsidRPr="000E1FAF">
              <w:rPr>
                <w:sz w:val="22"/>
                <w:szCs w:val="22"/>
              </w:rPr>
              <w:t>19</w:t>
            </w:r>
          </w:p>
        </w:tc>
        <w:tc>
          <w:tcPr>
            <w:tcW w:w="552" w:type="dxa"/>
          </w:tcPr>
          <w:p w:rsidR="005B2E2B" w:rsidRPr="000E1FAF" w:rsidRDefault="005B2E2B" w:rsidP="00002117">
            <w:pPr>
              <w:jc w:val="center"/>
              <w:rPr>
                <w:sz w:val="22"/>
                <w:szCs w:val="22"/>
              </w:rPr>
            </w:pPr>
            <w:r w:rsidRPr="000E1FAF">
              <w:rPr>
                <w:sz w:val="22"/>
                <w:szCs w:val="22"/>
              </w:rPr>
              <w:t>1</w:t>
            </w:r>
          </w:p>
        </w:tc>
        <w:tc>
          <w:tcPr>
            <w:tcW w:w="555" w:type="dxa"/>
          </w:tcPr>
          <w:p w:rsidR="005B2E2B" w:rsidRPr="000E1FAF" w:rsidRDefault="005B2E2B" w:rsidP="00002117">
            <w:pPr>
              <w:jc w:val="center"/>
              <w:rPr>
                <w:sz w:val="22"/>
                <w:szCs w:val="22"/>
              </w:rPr>
            </w:pPr>
            <w:r w:rsidRPr="000E1FAF">
              <w:rPr>
                <w:sz w:val="22"/>
                <w:szCs w:val="22"/>
              </w:rPr>
              <w:t>3</w:t>
            </w:r>
          </w:p>
        </w:tc>
        <w:tc>
          <w:tcPr>
            <w:tcW w:w="555" w:type="dxa"/>
          </w:tcPr>
          <w:p w:rsidR="005B2E2B" w:rsidRPr="000E1FAF" w:rsidRDefault="005B2E2B" w:rsidP="00C446F0">
            <w:pPr>
              <w:jc w:val="center"/>
              <w:rPr>
                <w:sz w:val="22"/>
                <w:szCs w:val="22"/>
              </w:rPr>
            </w:pPr>
            <w:r w:rsidRPr="000E1FAF">
              <w:rPr>
                <w:sz w:val="22"/>
                <w:szCs w:val="22"/>
              </w:rPr>
              <w:t>25</w:t>
            </w:r>
          </w:p>
        </w:tc>
      </w:tr>
      <w:tr w:rsidR="000E1FAF" w:rsidRPr="000E1FAF" w:rsidTr="0090128C">
        <w:tc>
          <w:tcPr>
            <w:tcW w:w="6852" w:type="dxa"/>
          </w:tcPr>
          <w:p w:rsidR="005B2E2B" w:rsidRPr="000E1FAF" w:rsidRDefault="005B2E2B" w:rsidP="00002117">
            <w:pPr>
              <w:rPr>
                <w:sz w:val="22"/>
                <w:szCs w:val="22"/>
                <w:lang w:val="en-US"/>
              </w:rPr>
            </w:pPr>
            <w:r w:rsidRPr="000E1FAF">
              <w:rPr>
                <w:b/>
                <w:bCs/>
                <w:sz w:val="22"/>
                <w:szCs w:val="22"/>
                <w:lang w:val="en-US"/>
              </w:rPr>
              <w:t xml:space="preserve">ECC/DEC/(02)10 </w:t>
            </w:r>
            <w:r w:rsidRPr="000E1FAF">
              <w:rPr>
                <w:b/>
                <w:bCs/>
                <w:sz w:val="22"/>
                <w:szCs w:val="22"/>
              </w:rPr>
              <w:t xml:space="preserve">- </w:t>
            </w:r>
            <w:r w:rsidRPr="000E1FAF">
              <w:rPr>
                <w:sz w:val="22"/>
                <w:szCs w:val="22"/>
                <w:lang w:val="en-US"/>
              </w:rPr>
              <w:t xml:space="preserve">ECC Decision of 15 November 2002 on exemption from individual licensing of GSM-R mobile terminals operating within the frequency bands 876-880 MHz and 921-925 MHz for railway purposes </w:t>
            </w:r>
          </w:p>
          <w:p w:rsidR="005B2E2B" w:rsidRPr="000E1FAF" w:rsidRDefault="005B2E2B" w:rsidP="00363E80">
            <w:pPr>
              <w:rPr>
                <w:sz w:val="22"/>
                <w:szCs w:val="22"/>
                <w:lang w:val="en-US"/>
              </w:rPr>
            </w:pPr>
            <w:r w:rsidRPr="000E1FAF">
              <w:rPr>
                <w:i/>
                <w:color w:val="FF0000"/>
                <w:sz w:val="22"/>
                <w:szCs w:val="22"/>
              </w:rPr>
              <w:t>Note: this Decision was revised in 2011</w:t>
            </w:r>
          </w:p>
        </w:tc>
        <w:tc>
          <w:tcPr>
            <w:tcW w:w="1341" w:type="dxa"/>
          </w:tcPr>
          <w:p w:rsidR="005B2E2B" w:rsidRPr="000E1FAF" w:rsidRDefault="005B2E2B" w:rsidP="00002117">
            <w:pPr>
              <w:rPr>
                <w:sz w:val="22"/>
                <w:szCs w:val="22"/>
              </w:rPr>
            </w:pPr>
            <w:r w:rsidRPr="000E1FAF">
              <w:rPr>
                <w:sz w:val="22"/>
                <w:szCs w:val="22"/>
              </w:rPr>
              <w:t>WG FM</w:t>
            </w:r>
          </w:p>
          <w:p w:rsidR="005B2E2B" w:rsidRPr="000E1FAF" w:rsidRDefault="005B2E2B" w:rsidP="00002117">
            <w:pPr>
              <w:rPr>
                <w:sz w:val="22"/>
                <w:szCs w:val="22"/>
              </w:rPr>
            </w:pPr>
          </w:p>
        </w:tc>
        <w:tc>
          <w:tcPr>
            <w:tcW w:w="1719" w:type="dxa"/>
          </w:tcPr>
          <w:p w:rsidR="005B2E2B" w:rsidRPr="000E1FAF" w:rsidRDefault="005B2E2B" w:rsidP="00AF6743">
            <w:pPr>
              <w:rPr>
                <w:sz w:val="22"/>
                <w:szCs w:val="22"/>
              </w:rPr>
            </w:pPr>
            <w:r w:rsidRPr="000E1FAF">
              <w:rPr>
                <w:bCs/>
                <w:sz w:val="22"/>
                <w:szCs w:val="22"/>
              </w:rPr>
              <w:t>Retain</w:t>
            </w:r>
            <w:r w:rsidRPr="000E1FAF">
              <w:rPr>
                <w:sz w:val="22"/>
                <w:szCs w:val="22"/>
                <w:lang w:val="en-US"/>
              </w:rPr>
              <w:t xml:space="preserve"> </w:t>
            </w:r>
          </w:p>
        </w:tc>
        <w:tc>
          <w:tcPr>
            <w:tcW w:w="1136" w:type="dxa"/>
          </w:tcPr>
          <w:p w:rsidR="005B2E2B" w:rsidRPr="000E1FAF" w:rsidRDefault="005B2E2B" w:rsidP="00AF6743">
            <w:pPr>
              <w:rPr>
                <w:sz w:val="22"/>
                <w:szCs w:val="22"/>
              </w:rPr>
            </w:pPr>
            <w:r w:rsidRPr="000E1FAF">
              <w:rPr>
                <w:sz w:val="22"/>
                <w:szCs w:val="22"/>
              </w:rPr>
              <w:t>2016</w:t>
            </w:r>
          </w:p>
        </w:tc>
        <w:tc>
          <w:tcPr>
            <w:tcW w:w="1216" w:type="dxa"/>
            <w:shd w:val="clear" w:color="auto" w:fill="auto"/>
          </w:tcPr>
          <w:p w:rsidR="005B2E2B" w:rsidRPr="000E1FAF" w:rsidRDefault="005B2E2B" w:rsidP="00C446F0">
            <w:pPr>
              <w:jc w:val="center"/>
              <w:rPr>
                <w:bCs/>
                <w:sz w:val="22"/>
                <w:szCs w:val="22"/>
              </w:rPr>
            </w:pPr>
          </w:p>
        </w:tc>
        <w:tc>
          <w:tcPr>
            <w:tcW w:w="644" w:type="dxa"/>
          </w:tcPr>
          <w:p w:rsidR="005B2E2B" w:rsidRPr="000E1FAF" w:rsidRDefault="005B2E2B" w:rsidP="00C446F0">
            <w:pPr>
              <w:jc w:val="center"/>
              <w:rPr>
                <w:sz w:val="22"/>
                <w:szCs w:val="22"/>
              </w:rPr>
            </w:pPr>
            <w:r w:rsidRPr="000E1FAF">
              <w:rPr>
                <w:bCs/>
                <w:sz w:val="22"/>
                <w:szCs w:val="22"/>
              </w:rPr>
              <w:t>20</w:t>
            </w:r>
          </w:p>
        </w:tc>
        <w:tc>
          <w:tcPr>
            <w:tcW w:w="552" w:type="dxa"/>
          </w:tcPr>
          <w:p w:rsidR="005B2E2B" w:rsidRPr="000E1FAF" w:rsidRDefault="005B2E2B" w:rsidP="00002117">
            <w:pPr>
              <w:jc w:val="center"/>
              <w:rPr>
                <w:sz w:val="22"/>
                <w:szCs w:val="22"/>
              </w:rPr>
            </w:pPr>
            <w:r w:rsidRPr="000E1FAF">
              <w:rPr>
                <w:sz w:val="22"/>
                <w:szCs w:val="22"/>
              </w:rPr>
              <w:t xml:space="preserve">1  </w:t>
            </w:r>
          </w:p>
        </w:tc>
        <w:tc>
          <w:tcPr>
            <w:tcW w:w="555" w:type="dxa"/>
          </w:tcPr>
          <w:p w:rsidR="005B2E2B" w:rsidRPr="000E1FAF" w:rsidRDefault="005B2E2B" w:rsidP="00582DDF">
            <w:pPr>
              <w:jc w:val="center"/>
              <w:rPr>
                <w:sz w:val="22"/>
                <w:szCs w:val="22"/>
              </w:rPr>
            </w:pPr>
            <w:r w:rsidRPr="000E1FAF">
              <w:rPr>
                <w:sz w:val="22"/>
                <w:szCs w:val="22"/>
              </w:rPr>
              <w:t>3</w:t>
            </w:r>
          </w:p>
        </w:tc>
        <w:tc>
          <w:tcPr>
            <w:tcW w:w="555" w:type="dxa"/>
          </w:tcPr>
          <w:p w:rsidR="005B2E2B" w:rsidRPr="000E1FAF" w:rsidRDefault="005B2E2B" w:rsidP="00C446F0">
            <w:pPr>
              <w:jc w:val="center"/>
              <w:rPr>
                <w:sz w:val="22"/>
                <w:szCs w:val="22"/>
              </w:rPr>
            </w:pPr>
            <w:r w:rsidRPr="000E1FAF">
              <w:rPr>
                <w:sz w:val="22"/>
                <w:szCs w:val="22"/>
              </w:rPr>
              <w:t>24</w:t>
            </w:r>
          </w:p>
        </w:tc>
      </w:tr>
      <w:tr w:rsidR="000E1FAF" w:rsidRPr="000E1FAF" w:rsidTr="0090128C">
        <w:tc>
          <w:tcPr>
            <w:tcW w:w="6852" w:type="dxa"/>
          </w:tcPr>
          <w:p w:rsidR="005B2E2B" w:rsidRPr="000E1FAF" w:rsidRDefault="005B2E2B">
            <w:pPr>
              <w:rPr>
                <w:sz w:val="22"/>
                <w:szCs w:val="22"/>
              </w:rPr>
            </w:pPr>
            <w:r w:rsidRPr="000E1FAF">
              <w:rPr>
                <w:b/>
                <w:bCs/>
                <w:sz w:val="22"/>
                <w:szCs w:val="22"/>
                <w:lang w:val="en-US" w:eastAsia="en-US"/>
              </w:rPr>
              <w:t xml:space="preserve">ECC/DEC/(03)04 – </w:t>
            </w:r>
            <w:r w:rsidRPr="000E1FAF">
              <w:rPr>
                <w:bCs/>
                <w:sz w:val="22"/>
                <w:szCs w:val="22"/>
                <w:lang w:val="en-US" w:eastAsia="en-US"/>
              </w:rPr>
              <w:t>ECC Decision of 17October 2003 on the Exemption from Individual Licensing of Very Small Aperture Terminals (VSAT) operating in the frequency bands 14.25 – 14.50 GHz Earth-to-space and 10.70-11.70 GHz space-to-Earth</w:t>
            </w:r>
          </w:p>
        </w:tc>
        <w:tc>
          <w:tcPr>
            <w:tcW w:w="1341" w:type="dxa"/>
          </w:tcPr>
          <w:p w:rsidR="005B2E2B" w:rsidRPr="000E1FAF" w:rsidRDefault="005B2E2B">
            <w:pPr>
              <w:rPr>
                <w:sz w:val="22"/>
                <w:szCs w:val="22"/>
              </w:rPr>
            </w:pPr>
            <w:r w:rsidRPr="000E1FAF">
              <w:rPr>
                <w:sz w:val="22"/>
                <w:szCs w:val="22"/>
              </w:rPr>
              <w:t>FM44</w:t>
            </w:r>
          </w:p>
        </w:tc>
        <w:tc>
          <w:tcPr>
            <w:tcW w:w="1719" w:type="dxa"/>
          </w:tcPr>
          <w:p w:rsidR="005B2E2B" w:rsidRPr="000E1FAF" w:rsidRDefault="005B2E2B">
            <w:pPr>
              <w:rPr>
                <w:sz w:val="22"/>
                <w:szCs w:val="22"/>
              </w:rPr>
            </w:pPr>
            <w:r w:rsidRPr="000E1FAF">
              <w:rPr>
                <w:bCs/>
                <w:sz w:val="22"/>
                <w:szCs w:val="22"/>
              </w:rPr>
              <w:t>Retain</w:t>
            </w:r>
          </w:p>
        </w:tc>
        <w:tc>
          <w:tcPr>
            <w:tcW w:w="1136" w:type="dxa"/>
          </w:tcPr>
          <w:p w:rsidR="005B2E2B" w:rsidRPr="000E1FAF" w:rsidRDefault="005B2E2B">
            <w:pPr>
              <w:rPr>
                <w:sz w:val="22"/>
                <w:szCs w:val="22"/>
              </w:rPr>
            </w:pPr>
            <w:r w:rsidRPr="000E1FAF">
              <w:rPr>
                <w:sz w:val="22"/>
                <w:szCs w:val="22"/>
              </w:rPr>
              <w:t>2016</w:t>
            </w:r>
          </w:p>
        </w:tc>
        <w:tc>
          <w:tcPr>
            <w:tcW w:w="1216" w:type="dxa"/>
            <w:shd w:val="clear" w:color="auto" w:fill="auto"/>
          </w:tcPr>
          <w:p w:rsidR="005B2E2B" w:rsidRPr="000E1FAF" w:rsidRDefault="005B2E2B" w:rsidP="00BA1FE5">
            <w:pPr>
              <w:jc w:val="center"/>
              <w:rPr>
                <w:bCs/>
                <w:sz w:val="22"/>
                <w:szCs w:val="22"/>
              </w:rPr>
            </w:pPr>
          </w:p>
        </w:tc>
        <w:tc>
          <w:tcPr>
            <w:tcW w:w="644" w:type="dxa"/>
          </w:tcPr>
          <w:p w:rsidR="005B2E2B" w:rsidRPr="000E1FAF" w:rsidRDefault="005B2E2B" w:rsidP="00BA1FE5">
            <w:pPr>
              <w:jc w:val="center"/>
              <w:rPr>
                <w:sz w:val="22"/>
                <w:szCs w:val="22"/>
              </w:rPr>
            </w:pPr>
            <w:r w:rsidRPr="000E1FAF">
              <w:rPr>
                <w:bCs/>
                <w:sz w:val="22"/>
                <w:szCs w:val="22"/>
              </w:rPr>
              <w:t>25</w:t>
            </w:r>
          </w:p>
        </w:tc>
        <w:tc>
          <w:tcPr>
            <w:tcW w:w="552" w:type="dxa"/>
          </w:tcPr>
          <w:p w:rsidR="005B2E2B" w:rsidRPr="000E1FAF" w:rsidRDefault="005B2E2B" w:rsidP="00293BBD">
            <w:pPr>
              <w:jc w:val="center"/>
              <w:rPr>
                <w:bCs/>
                <w:sz w:val="22"/>
                <w:szCs w:val="22"/>
              </w:rPr>
            </w:pPr>
            <w:r w:rsidRPr="000E1FAF">
              <w:rPr>
                <w:bCs/>
                <w:sz w:val="22"/>
                <w:szCs w:val="22"/>
              </w:rPr>
              <w:t>1</w:t>
            </w:r>
          </w:p>
        </w:tc>
        <w:tc>
          <w:tcPr>
            <w:tcW w:w="555" w:type="dxa"/>
          </w:tcPr>
          <w:p w:rsidR="005B2E2B" w:rsidRPr="000E1FAF" w:rsidRDefault="005B2E2B" w:rsidP="00BA1FE5">
            <w:pPr>
              <w:jc w:val="center"/>
              <w:rPr>
                <w:bCs/>
                <w:sz w:val="22"/>
                <w:szCs w:val="22"/>
              </w:rPr>
            </w:pPr>
            <w:r w:rsidRPr="000E1FAF">
              <w:rPr>
                <w:bCs/>
                <w:sz w:val="22"/>
                <w:szCs w:val="22"/>
              </w:rPr>
              <w:t>9</w:t>
            </w:r>
          </w:p>
        </w:tc>
        <w:tc>
          <w:tcPr>
            <w:tcW w:w="555" w:type="dxa"/>
          </w:tcPr>
          <w:p w:rsidR="005B2E2B" w:rsidRPr="000E1FAF" w:rsidRDefault="005B2E2B" w:rsidP="00582DDF">
            <w:pPr>
              <w:jc w:val="center"/>
              <w:rPr>
                <w:bCs/>
                <w:sz w:val="22"/>
                <w:szCs w:val="22"/>
              </w:rPr>
            </w:pPr>
            <w:r w:rsidRPr="000E1FAF">
              <w:rPr>
                <w:bCs/>
                <w:sz w:val="22"/>
                <w:szCs w:val="22"/>
              </w:rPr>
              <w:t>13</w:t>
            </w:r>
          </w:p>
        </w:tc>
      </w:tr>
      <w:tr w:rsidR="000E1FAF" w:rsidRPr="000E1FAF" w:rsidTr="0090128C">
        <w:trPr>
          <w:trHeight w:val="632"/>
        </w:trPr>
        <w:tc>
          <w:tcPr>
            <w:tcW w:w="6852" w:type="dxa"/>
            <w:tcBorders>
              <w:bottom w:val="single" w:sz="4" w:space="0" w:color="000000"/>
            </w:tcBorders>
          </w:tcPr>
          <w:p w:rsidR="005B2E2B" w:rsidRPr="000E1FAF" w:rsidRDefault="005B2E2B" w:rsidP="00D62556">
            <w:pPr>
              <w:rPr>
                <w:sz w:val="22"/>
                <w:szCs w:val="22"/>
              </w:rPr>
            </w:pPr>
            <w:r w:rsidRPr="000E1FAF">
              <w:rPr>
                <w:b/>
                <w:bCs/>
                <w:sz w:val="22"/>
                <w:szCs w:val="22"/>
              </w:rPr>
              <w:t xml:space="preserve">ECC/DEC/(03)05 – </w:t>
            </w:r>
            <w:r w:rsidRPr="000E1FAF">
              <w:rPr>
                <w:sz w:val="22"/>
                <w:szCs w:val="22"/>
              </w:rPr>
              <w:t>ECC Decision of 17 October 2003 on the publication of national tables of frequency allocations and utilizations</w:t>
            </w:r>
          </w:p>
        </w:tc>
        <w:tc>
          <w:tcPr>
            <w:tcW w:w="1341" w:type="dxa"/>
            <w:tcBorders>
              <w:bottom w:val="single" w:sz="4" w:space="0" w:color="000000"/>
            </w:tcBorders>
          </w:tcPr>
          <w:p w:rsidR="005B2E2B" w:rsidRPr="000E1FAF" w:rsidRDefault="005B2E2B" w:rsidP="00D62556">
            <w:pPr>
              <w:rPr>
                <w:sz w:val="22"/>
                <w:szCs w:val="22"/>
              </w:rPr>
            </w:pPr>
            <w:r w:rsidRPr="000E1FAF">
              <w:rPr>
                <w:sz w:val="22"/>
                <w:szCs w:val="22"/>
              </w:rPr>
              <w:t>EFIS/MG</w:t>
            </w:r>
          </w:p>
        </w:tc>
        <w:tc>
          <w:tcPr>
            <w:tcW w:w="1719" w:type="dxa"/>
            <w:tcBorders>
              <w:bottom w:val="single" w:sz="4" w:space="0" w:color="000000"/>
            </w:tcBorders>
          </w:tcPr>
          <w:p w:rsidR="005B2E2B" w:rsidRPr="000E1FAF" w:rsidRDefault="005B2E2B" w:rsidP="00D62556">
            <w:pPr>
              <w:rPr>
                <w:sz w:val="22"/>
                <w:szCs w:val="22"/>
                <w:lang w:val="en-US"/>
              </w:rPr>
            </w:pPr>
            <w:r w:rsidRPr="000E1FAF">
              <w:rPr>
                <w:sz w:val="22"/>
                <w:szCs w:val="22"/>
                <w:lang w:val="en-US"/>
              </w:rPr>
              <w:t>Retain</w:t>
            </w:r>
          </w:p>
        </w:tc>
        <w:tc>
          <w:tcPr>
            <w:tcW w:w="1136" w:type="dxa"/>
            <w:tcBorders>
              <w:bottom w:val="single" w:sz="4" w:space="0" w:color="000000"/>
            </w:tcBorders>
          </w:tcPr>
          <w:p w:rsidR="005B2E2B" w:rsidRPr="000E1FAF" w:rsidRDefault="005B2E2B" w:rsidP="004109E7">
            <w:pPr>
              <w:rPr>
                <w:sz w:val="22"/>
                <w:szCs w:val="22"/>
              </w:rPr>
            </w:pPr>
            <w:r w:rsidRPr="000E1FAF">
              <w:rPr>
                <w:sz w:val="22"/>
                <w:szCs w:val="22"/>
              </w:rPr>
              <w:t>2014</w:t>
            </w:r>
          </w:p>
        </w:tc>
        <w:tc>
          <w:tcPr>
            <w:tcW w:w="1216" w:type="dxa"/>
            <w:tcBorders>
              <w:bottom w:val="single" w:sz="4" w:space="0" w:color="000000"/>
            </w:tcBorders>
            <w:shd w:val="clear" w:color="auto" w:fill="auto"/>
          </w:tcPr>
          <w:p w:rsidR="005B2E2B" w:rsidRPr="000E1FAF" w:rsidRDefault="005B2E2B" w:rsidP="004109E7">
            <w:pPr>
              <w:jc w:val="center"/>
              <w:rPr>
                <w:bCs/>
                <w:sz w:val="22"/>
                <w:szCs w:val="22"/>
              </w:rPr>
            </w:pPr>
          </w:p>
        </w:tc>
        <w:tc>
          <w:tcPr>
            <w:tcW w:w="644" w:type="dxa"/>
            <w:tcBorders>
              <w:bottom w:val="single" w:sz="4" w:space="0" w:color="000000"/>
            </w:tcBorders>
          </w:tcPr>
          <w:p w:rsidR="005B2E2B" w:rsidRPr="000E1FAF" w:rsidRDefault="005B2E2B" w:rsidP="004109E7">
            <w:pPr>
              <w:jc w:val="center"/>
              <w:rPr>
                <w:sz w:val="22"/>
                <w:szCs w:val="22"/>
              </w:rPr>
            </w:pPr>
            <w:r w:rsidRPr="000E1FAF">
              <w:rPr>
                <w:bCs/>
                <w:sz w:val="22"/>
                <w:szCs w:val="22"/>
              </w:rPr>
              <w:t>395</w:t>
            </w:r>
          </w:p>
        </w:tc>
        <w:tc>
          <w:tcPr>
            <w:tcW w:w="552" w:type="dxa"/>
            <w:tcBorders>
              <w:bottom w:val="single" w:sz="4" w:space="0" w:color="000000"/>
            </w:tcBorders>
          </w:tcPr>
          <w:p w:rsidR="005B2E2B" w:rsidRPr="000E1FAF" w:rsidRDefault="005B2E2B" w:rsidP="00D62556">
            <w:pPr>
              <w:jc w:val="center"/>
              <w:rPr>
                <w:sz w:val="22"/>
                <w:szCs w:val="22"/>
              </w:rPr>
            </w:pPr>
            <w:r w:rsidRPr="000E1FAF">
              <w:rPr>
                <w:sz w:val="22"/>
                <w:szCs w:val="22"/>
              </w:rPr>
              <w:t>0</w:t>
            </w:r>
          </w:p>
        </w:tc>
        <w:tc>
          <w:tcPr>
            <w:tcW w:w="555" w:type="dxa"/>
            <w:tcBorders>
              <w:bottom w:val="single" w:sz="4" w:space="0" w:color="000000"/>
            </w:tcBorders>
          </w:tcPr>
          <w:p w:rsidR="005B2E2B" w:rsidRPr="000E1FAF" w:rsidRDefault="005B2E2B" w:rsidP="004F34BD">
            <w:pPr>
              <w:jc w:val="center"/>
              <w:rPr>
                <w:sz w:val="22"/>
                <w:szCs w:val="22"/>
              </w:rPr>
            </w:pPr>
            <w:r w:rsidRPr="000E1FAF">
              <w:rPr>
                <w:sz w:val="22"/>
                <w:szCs w:val="22"/>
              </w:rPr>
              <w:t>1</w:t>
            </w:r>
          </w:p>
        </w:tc>
        <w:tc>
          <w:tcPr>
            <w:tcW w:w="555" w:type="dxa"/>
            <w:tcBorders>
              <w:bottom w:val="single" w:sz="4" w:space="0" w:color="000000"/>
            </w:tcBorders>
          </w:tcPr>
          <w:p w:rsidR="005B2E2B" w:rsidRPr="000E1FAF" w:rsidRDefault="005B2E2B" w:rsidP="004109E7">
            <w:pPr>
              <w:jc w:val="center"/>
              <w:rPr>
                <w:sz w:val="22"/>
                <w:szCs w:val="22"/>
              </w:rPr>
            </w:pPr>
            <w:r w:rsidRPr="000E1FAF">
              <w:rPr>
                <w:sz w:val="22"/>
                <w:szCs w:val="22"/>
              </w:rPr>
              <w:t>8</w:t>
            </w:r>
          </w:p>
        </w:tc>
      </w:tr>
      <w:tr w:rsidR="000E1FAF" w:rsidRPr="000E1FAF" w:rsidTr="0090128C">
        <w:tc>
          <w:tcPr>
            <w:tcW w:w="6852" w:type="dxa"/>
            <w:shd w:val="clear" w:color="auto" w:fill="auto"/>
          </w:tcPr>
          <w:p w:rsidR="005B2E2B" w:rsidRPr="000E1FAF" w:rsidRDefault="005B2E2B" w:rsidP="00D62556">
            <w:pPr>
              <w:rPr>
                <w:sz w:val="22"/>
                <w:szCs w:val="22"/>
              </w:rPr>
            </w:pPr>
            <w:r w:rsidRPr="000E1FAF">
              <w:rPr>
                <w:b/>
                <w:bCs/>
                <w:sz w:val="22"/>
                <w:szCs w:val="22"/>
              </w:rPr>
              <w:t xml:space="preserve">ECC/DEC/(04)03 – </w:t>
            </w:r>
            <w:r w:rsidRPr="000E1FAF">
              <w:rPr>
                <w:bCs/>
                <w:sz w:val="22"/>
                <w:szCs w:val="22"/>
                <w:lang w:val="en-US"/>
              </w:rPr>
              <w:t>ECC Decision of 19 March 2004 on the frequency band 77-81 GHz to be designated for the use of Automotive Short Range Radars</w:t>
            </w:r>
          </w:p>
        </w:tc>
        <w:tc>
          <w:tcPr>
            <w:tcW w:w="1341" w:type="dxa"/>
            <w:shd w:val="clear" w:color="auto" w:fill="auto"/>
          </w:tcPr>
          <w:p w:rsidR="005B2E2B" w:rsidRPr="000E1FAF" w:rsidRDefault="005B2E2B" w:rsidP="00D62556">
            <w:pPr>
              <w:rPr>
                <w:sz w:val="22"/>
                <w:szCs w:val="22"/>
              </w:rPr>
            </w:pPr>
            <w:r w:rsidRPr="000E1FAF">
              <w:rPr>
                <w:sz w:val="22"/>
                <w:szCs w:val="22"/>
              </w:rPr>
              <w:t>SRD/MG</w:t>
            </w:r>
          </w:p>
        </w:tc>
        <w:tc>
          <w:tcPr>
            <w:tcW w:w="1719" w:type="dxa"/>
            <w:shd w:val="clear" w:color="auto" w:fill="auto"/>
          </w:tcPr>
          <w:p w:rsidR="005B2E2B" w:rsidRPr="000E1FAF" w:rsidRDefault="005B2E2B" w:rsidP="00D62556">
            <w:pPr>
              <w:rPr>
                <w:sz w:val="22"/>
                <w:szCs w:val="22"/>
              </w:rPr>
            </w:pPr>
            <w:r w:rsidRPr="000E1FAF">
              <w:rPr>
                <w:bCs/>
                <w:sz w:val="22"/>
                <w:szCs w:val="22"/>
              </w:rPr>
              <w:t>Retain</w:t>
            </w:r>
          </w:p>
        </w:tc>
        <w:tc>
          <w:tcPr>
            <w:tcW w:w="1136" w:type="dxa"/>
            <w:shd w:val="clear" w:color="auto" w:fill="auto"/>
          </w:tcPr>
          <w:p w:rsidR="005B2E2B" w:rsidRPr="000E1FAF" w:rsidRDefault="005B2E2B" w:rsidP="00D62556">
            <w:pPr>
              <w:rPr>
                <w:sz w:val="22"/>
                <w:szCs w:val="22"/>
              </w:rPr>
            </w:pPr>
            <w:r w:rsidRPr="000E1FAF">
              <w:rPr>
                <w:sz w:val="22"/>
                <w:szCs w:val="22"/>
              </w:rPr>
              <w:t>2016</w:t>
            </w:r>
          </w:p>
        </w:tc>
        <w:tc>
          <w:tcPr>
            <w:tcW w:w="1216" w:type="dxa"/>
            <w:shd w:val="clear" w:color="auto" w:fill="auto"/>
          </w:tcPr>
          <w:p w:rsidR="005B2E2B" w:rsidRPr="000E1FAF" w:rsidRDefault="005B2E2B" w:rsidP="00AF6F73">
            <w:pPr>
              <w:jc w:val="center"/>
              <w:rPr>
                <w:bCs/>
                <w:sz w:val="22"/>
                <w:szCs w:val="22"/>
              </w:rPr>
            </w:pPr>
          </w:p>
        </w:tc>
        <w:tc>
          <w:tcPr>
            <w:tcW w:w="644" w:type="dxa"/>
            <w:shd w:val="clear" w:color="auto" w:fill="auto"/>
          </w:tcPr>
          <w:p w:rsidR="005B2E2B" w:rsidRPr="000E1FAF" w:rsidRDefault="005B2E2B" w:rsidP="00AF6F73">
            <w:pPr>
              <w:jc w:val="center"/>
              <w:rPr>
                <w:sz w:val="22"/>
                <w:szCs w:val="22"/>
              </w:rPr>
            </w:pPr>
            <w:r w:rsidRPr="000E1FAF">
              <w:rPr>
                <w:bCs/>
                <w:sz w:val="22"/>
                <w:szCs w:val="22"/>
              </w:rPr>
              <w:t>38</w:t>
            </w:r>
          </w:p>
        </w:tc>
        <w:tc>
          <w:tcPr>
            <w:tcW w:w="552" w:type="dxa"/>
            <w:shd w:val="clear" w:color="auto" w:fill="auto"/>
          </w:tcPr>
          <w:p w:rsidR="005B2E2B" w:rsidRPr="000E1FAF" w:rsidRDefault="005B2E2B" w:rsidP="00D62556">
            <w:pPr>
              <w:jc w:val="center"/>
              <w:rPr>
                <w:sz w:val="22"/>
                <w:szCs w:val="22"/>
              </w:rPr>
            </w:pPr>
            <w:r w:rsidRPr="000E1FAF">
              <w:rPr>
                <w:sz w:val="22"/>
                <w:szCs w:val="22"/>
              </w:rPr>
              <w:t>1</w:t>
            </w:r>
          </w:p>
        </w:tc>
        <w:tc>
          <w:tcPr>
            <w:tcW w:w="555" w:type="dxa"/>
            <w:shd w:val="clear" w:color="auto" w:fill="auto"/>
          </w:tcPr>
          <w:p w:rsidR="005B2E2B" w:rsidRPr="000E1FAF" w:rsidRDefault="005B2E2B" w:rsidP="00D62556">
            <w:pPr>
              <w:jc w:val="center"/>
              <w:rPr>
                <w:sz w:val="22"/>
                <w:szCs w:val="22"/>
              </w:rPr>
            </w:pPr>
            <w:r w:rsidRPr="000E1FAF">
              <w:rPr>
                <w:sz w:val="22"/>
                <w:szCs w:val="22"/>
              </w:rPr>
              <w:t>4</w:t>
            </w:r>
          </w:p>
        </w:tc>
        <w:tc>
          <w:tcPr>
            <w:tcW w:w="555" w:type="dxa"/>
            <w:shd w:val="clear" w:color="auto" w:fill="auto"/>
          </w:tcPr>
          <w:p w:rsidR="005B2E2B" w:rsidRPr="000E1FAF" w:rsidRDefault="005B2E2B" w:rsidP="00AF6F73">
            <w:pPr>
              <w:jc w:val="center"/>
              <w:rPr>
                <w:sz w:val="22"/>
                <w:szCs w:val="22"/>
              </w:rPr>
            </w:pPr>
            <w:r w:rsidRPr="000E1FAF">
              <w:rPr>
                <w:sz w:val="22"/>
                <w:szCs w:val="22"/>
              </w:rPr>
              <w:t>5</w:t>
            </w:r>
          </w:p>
        </w:tc>
      </w:tr>
      <w:tr w:rsidR="000E1FAF" w:rsidRPr="000E1FAF" w:rsidTr="0090128C">
        <w:tc>
          <w:tcPr>
            <w:tcW w:w="6852" w:type="dxa"/>
            <w:tcBorders>
              <w:bottom w:val="single" w:sz="4" w:space="0" w:color="000000"/>
            </w:tcBorders>
            <w:shd w:val="clear" w:color="auto" w:fill="auto"/>
          </w:tcPr>
          <w:p w:rsidR="005B2E2B" w:rsidRPr="000E1FAF" w:rsidRDefault="005B2E2B" w:rsidP="00D62556">
            <w:pPr>
              <w:rPr>
                <w:bCs/>
                <w:sz w:val="22"/>
                <w:szCs w:val="22"/>
              </w:rPr>
            </w:pPr>
            <w:r w:rsidRPr="000E1FAF">
              <w:rPr>
                <w:b/>
                <w:bCs/>
                <w:sz w:val="22"/>
                <w:szCs w:val="22"/>
              </w:rPr>
              <w:t xml:space="preserve">ECC/DEC/(04)06 </w:t>
            </w:r>
            <w:r w:rsidRPr="000E1FAF">
              <w:rPr>
                <w:bCs/>
                <w:sz w:val="22"/>
                <w:szCs w:val="22"/>
              </w:rPr>
              <w:t xml:space="preserve">– ECC Decision of 19 March 2004 on the availability of frequency bands for the introduction of Wide Band Digital Land Mobile PMR/PAMR in the 400 MHz and 800/900 MHz bands </w:t>
            </w:r>
          </w:p>
          <w:p w:rsidR="00256AB5" w:rsidRPr="00F92C3E" w:rsidRDefault="000250FB">
            <w:pPr>
              <w:rPr>
                <w:b/>
                <w:bCs/>
                <w:i/>
                <w:color w:val="FF0000"/>
                <w:sz w:val="22"/>
                <w:szCs w:val="22"/>
                <w:lang w:val="en-US"/>
              </w:rPr>
            </w:pPr>
            <w:r w:rsidRPr="00F92C3E">
              <w:rPr>
                <w:bCs/>
                <w:i/>
                <w:color w:val="FF0000"/>
                <w:sz w:val="22"/>
                <w:szCs w:val="22"/>
              </w:rPr>
              <w:t>Note: - Incorporation of E-GSM-R frequencies in the harmoni</w:t>
            </w:r>
            <w:r w:rsidR="00314164" w:rsidRPr="00F92C3E">
              <w:rPr>
                <w:bCs/>
                <w:i/>
                <w:color w:val="FF0000"/>
                <w:sz w:val="22"/>
                <w:szCs w:val="22"/>
              </w:rPr>
              <w:t>s</w:t>
            </w:r>
            <w:r w:rsidRPr="00F92C3E">
              <w:rPr>
                <w:bCs/>
                <w:i/>
                <w:color w:val="FF0000"/>
                <w:sz w:val="22"/>
                <w:szCs w:val="22"/>
              </w:rPr>
              <w:t>ed standard</w:t>
            </w:r>
            <w:r w:rsidR="00314164" w:rsidRPr="00F92C3E">
              <w:rPr>
                <w:bCs/>
                <w:i/>
                <w:color w:val="FF0000"/>
                <w:sz w:val="22"/>
                <w:szCs w:val="22"/>
              </w:rPr>
              <w:t>s</w:t>
            </w:r>
            <w:r w:rsidRPr="00F92C3E">
              <w:rPr>
                <w:bCs/>
                <w:i/>
                <w:color w:val="FF0000"/>
                <w:sz w:val="22"/>
                <w:szCs w:val="22"/>
              </w:rPr>
              <w:t xml:space="preserve"> still outstanding</w:t>
            </w:r>
          </w:p>
        </w:tc>
        <w:tc>
          <w:tcPr>
            <w:tcW w:w="1341" w:type="dxa"/>
            <w:tcBorders>
              <w:bottom w:val="single" w:sz="4" w:space="0" w:color="000000"/>
            </w:tcBorders>
            <w:shd w:val="clear" w:color="auto" w:fill="auto"/>
          </w:tcPr>
          <w:p w:rsidR="005B2E2B" w:rsidRPr="000E1FAF" w:rsidRDefault="005B2E2B" w:rsidP="00D62556">
            <w:pPr>
              <w:rPr>
                <w:sz w:val="22"/>
                <w:szCs w:val="22"/>
              </w:rPr>
            </w:pPr>
            <w:r w:rsidRPr="000E1FAF">
              <w:rPr>
                <w:sz w:val="22"/>
                <w:szCs w:val="22"/>
              </w:rPr>
              <w:t>FM49</w:t>
            </w:r>
          </w:p>
        </w:tc>
        <w:tc>
          <w:tcPr>
            <w:tcW w:w="1719" w:type="dxa"/>
            <w:tcBorders>
              <w:bottom w:val="single" w:sz="4" w:space="0" w:color="000000"/>
            </w:tcBorders>
            <w:shd w:val="clear" w:color="auto" w:fill="auto"/>
          </w:tcPr>
          <w:p w:rsidR="005B2E2B" w:rsidRPr="000E1FAF" w:rsidRDefault="005B2E2B" w:rsidP="005E1AC7">
            <w:pPr>
              <w:rPr>
                <w:sz w:val="22"/>
                <w:szCs w:val="22"/>
              </w:rPr>
            </w:pPr>
            <w:r w:rsidRPr="000E1FAF">
              <w:rPr>
                <w:sz w:val="22"/>
                <w:szCs w:val="22"/>
              </w:rPr>
              <w:t>Retain</w:t>
            </w:r>
          </w:p>
        </w:tc>
        <w:tc>
          <w:tcPr>
            <w:tcW w:w="1136" w:type="dxa"/>
            <w:tcBorders>
              <w:bottom w:val="single" w:sz="4" w:space="0" w:color="000000"/>
            </w:tcBorders>
            <w:shd w:val="clear" w:color="auto" w:fill="auto"/>
          </w:tcPr>
          <w:p w:rsidR="005B2E2B" w:rsidRPr="000E1FAF" w:rsidRDefault="005B2E2B" w:rsidP="00D62556">
            <w:pPr>
              <w:rPr>
                <w:sz w:val="22"/>
                <w:szCs w:val="22"/>
              </w:rPr>
            </w:pPr>
            <w:r w:rsidRPr="000E1FAF">
              <w:rPr>
                <w:sz w:val="22"/>
                <w:szCs w:val="22"/>
              </w:rPr>
              <w:t>2016</w:t>
            </w:r>
          </w:p>
        </w:tc>
        <w:tc>
          <w:tcPr>
            <w:tcW w:w="1216" w:type="dxa"/>
            <w:tcBorders>
              <w:bottom w:val="single" w:sz="4" w:space="0" w:color="000000"/>
            </w:tcBorders>
            <w:shd w:val="clear" w:color="auto" w:fill="auto"/>
          </w:tcPr>
          <w:p w:rsidR="005B2E2B" w:rsidRPr="000E1FAF" w:rsidRDefault="00B42915" w:rsidP="001812E8">
            <w:pPr>
              <w:jc w:val="center"/>
              <w:rPr>
                <w:bCs/>
                <w:sz w:val="22"/>
                <w:szCs w:val="22"/>
                <w:lang w:val="da-DK"/>
              </w:rPr>
            </w:pPr>
            <w:r w:rsidRPr="000E1FAF">
              <w:rPr>
                <w:bCs/>
                <w:sz w:val="22"/>
                <w:szCs w:val="22"/>
                <w:lang w:val="da-DK"/>
              </w:rPr>
              <w:t>Yes</w:t>
            </w:r>
          </w:p>
        </w:tc>
        <w:tc>
          <w:tcPr>
            <w:tcW w:w="644" w:type="dxa"/>
            <w:tcBorders>
              <w:bottom w:val="single" w:sz="4" w:space="0" w:color="000000"/>
            </w:tcBorders>
            <w:shd w:val="clear" w:color="auto" w:fill="auto"/>
          </w:tcPr>
          <w:p w:rsidR="005B2E2B" w:rsidRPr="000E1FAF" w:rsidRDefault="005B2E2B" w:rsidP="001812E8">
            <w:pPr>
              <w:jc w:val="center"/>
              <w:rPr>
                <w:bCs/>
                <w:sz w:val="22"/>
                <w:szCs w:val="22"/>
                <w:lang w:val="da-DK"/>
              </w:rPr>
            </w:pPr>
            <w:r w:rsidRPr="000E1FAF">
              <w:rPr>
                <w:bCs/>
                <w:sz w:val="22"/>
                <w:szCs w:val="22"/>
                <w:lang w:val="ru-RU"/>
              </w:rPr>
              <w:t>2</w:t>
            </w:r>
            <w:r w:rsidRPr="000E1FAF">
              <w:rPr>
                <w:bCs/>
                <w:sz w:val="22"/>
                <w:szCs w:val="22"/>
                <w:lang w:val="da-DK"/>
              </w:rPr>
              <w:t>1</w:t>
            </w:r>
          </w:p>
        </w:tc>
        <w:tc>
          <w:tcPr>
            <w:tcW w:w="552" w:type="dxa"/>
            <w:tcBorders>
              <w:bottom w:val="single" w:sz="4" w:space="0" w:color="000000"/>
            </w:tcBorders>
            <w:shd w:val="clear" w:color="auto" w:fill="auto"/>
          </w:tcPr>
          <w:p w:rsidR="005B2E2B" w:rsidRPr="000E1FAF" w:rsidRDefault="005B2E2B" w:rsidP="00050D1A">
            <w:pPr>
              <w:jc w:val="center"/>
              <w:rPr>
                <w:bCs/>
                <w:sz w:val="22"/>
                <w:szCs w:val="22"/>
                <w:lang w:val="ru-RU"/>
              </w:rPr>
            </w:pPr>
            <w:r w:rsidRPr="000E1FAF">
              <w:rPr>
                <w:bCs/>
                <w:sz w:val="22"/>
                <w:szCs w:val="22"/>
                <w:lang w:val="da-DK"/>
              </w:rPr>
              <w:t>3</w:t>
            </w:r>
          </w:p>
        </w:tc>
        <w:tc>
          <w:tcPr>
            <w:tcW w:w="555" w:type="dxa"/>
            <w:tcBorders>
              <w:bottom w:val="single" w:sz="4" w:space="0" w:color="000000"/>
            </w:tcBorders>
            <w:shd w:val="clear" w:color="auto" w:fill="auto"/>
          </w:tcPr>
          <w:p w:rsidR="005B2E2B" w:rsidRPr="000E1FAF" w:rsidRDefault="005B2E2B" w:rsidP="00D62556">
            <w:pPr>
              <w:jc w:val="center"/>
              <w:rPr>
                <w:bCs/>
                <w:sz w:val="22"/>
                <w:szCs w:val="22"/>
                <w:lang w:val="da-DK"/>
              </w:rPr>
            </w:pPr>
            <w:r w:rsidRPr="000E1FAF">
              <w:rPr>
                <w:bCs/>
                <w:sz w:val="22"/>
                <w:szCs w:val="22"/>
                <w:lang w:val="da-DK"/>
              </w:rPr>
              <w:t>2</w:t>
            </w:r>
          </w:p>
        </w:tc>
        <w:tc>
          <w:tcPr>
            <w:tcW w:w="555" w:type="dxa"/>
            <w:tcBorders>
              <w:bottom w:val="single" w:sz="4" w:space="0" w:color="000000"/>
            </w:tcBorders>
            <w:shd w:val="clear" w:color="auto" w:fill="auto"/>
          </w:tcPr>
          <w:p w:rsidR="005B2E2B" w:rsidRPr="000E1FAF" w:rsidRDefault="005B2E2B" w:rsidP="00582DDF">
            <w:pPr>
              <w:jc w:val="center"/>
              <w:rPr>
                <w:bCs/>
                <w:sz w:val="22"/>
                <w:szCs w:val="22"/>
                <w:lang w:val="da-DK"/>
              </w:rPr>
            </w:pPr>
            <w:r w:rsidRPr="000E1FAF">
              <w:rPr>
                <w:bCs/>
                <w:sz w:val="22"/>
                <w:szCs w:val="22"/>
                <w:lang w:val="ru-RU"/>
              </w:rPr>
              <w:t>2</w:t>
            </w:r>
            <w:r w:rsidRPr="000E1FAF">
              <w:rPr>
                <w:bCs/>
                <w:sz w:val="22"/>
                <w:szCs w:val="22"/>
                <w:lang w:val="da-DK"/>
              </w:rPr>
              <w:t>2</w:t>
            </w:r>
          </w:p>
        </w:tc>
      </w:tr>
      <w:tr w:rsidR="000E1FAF" w:rsidRPr="000E1FAF" w:rsidTr="0090128C">
        <w:tc>
          <w:tcPr>
            <w:tcW w:w="6852" w:type="dxa"/>
          </w:tcPr>
          <w:p w:rsidR="005B2E2B" w:rsidRPr="000E1FAF" w:rsidRDefault="005B2E2B" w:rsidP="00B15115">
            <w:pPr>
              <w:rPr>
                <w:bCs/>
                <w:sz w:val="22"/>
                <w:szCs w:val="22"/>
              </w:rPr>
            </w:pPr>
            <w:r w:rsidRPr="000E1FAF">
              <w:rPr>
                <w:b/>
                <w:bCs/>
                <w:sz w:val="22"/>
                <w:szCs w:val="22"/>
              </w:rPr>
              <w:lastRenderedPageBreak/>
              <w:t xml:space="preserve">ECC/DEC/(04)08 – </w:t>
            </w:r>
            <w:r w:rsidRPr="000E1FAF">
              <w:rPr>
                <w:bCs/>
                <w:sz w:val="22"/>
                <w:szCs w:val="22"/>
              </w:rPr>
              <w:t>ECC Decision of 9 July 2004 on the harmonised use of the 5 GHz frequency bands for the implementation of Wireless Access Systems including Radio Local Area Networks (WAS/RLANs)</w:t>
            </w:r>
          </w:p>
          <w:p w:rsidR="005B2E2B" w:rsidRPr="000E1FAF" w:rsidRDefault="005B2E2B" w:rsidP="00E573A1">
            <w:pPr>
              <w:rPr>
                <w:i/>
                <w:sz w:val="22"/>
                <w:szCs w:val="22"/>
              </w:rPr>
            </w:pPr>
            <w:r w:rsidRPr="000E1FAF">
              <w:rPr>
                <w:bCs/>
                <w:i/>
                <w:sz w:val="22"/>
                <w:szCs w:val="22"/>
              </w:rPr>
              <w:t>Note: EC Mandate regarding 5 GHz may have some impact</w:t>
            </w:r>
          </w:p>
        </w:tc>
        <w:tc>
          <w:tcPr>
            <w:tcW w:w="1341" w:type="dxa"/>
          </w:tcPr>
          <w:p w:rsidR="005B2E2B" w:rsidRPr="000E1FAF" w:rsidRDefault="005B2E2B">
            <w:pPr>
              <w:rPr>
                <w:sz w:val="22"/>
                <w:szCs w:val="22"/>
              </w:rPr>
            </w:pPr>
            <w:r w:rsidRPr="000E1FAF">
              <w:rPr>
                <w:sz w:val="22"/>
                <w:szCs w:val="22"/>
              </w:rPr>
              <w:t>SRD/MG</w:t>
            </w:r>
          </w:p>
        </w:tc>
        <w:tc>
          <w:tcPr>
            <w:tcW w:w="1719" w:type="dxa"/>
          </w:tcPr>
          <w:p w:rsidR="005B2E2B" w:rsidRPr="000E1FAF" w:rsidRDefault="005B2E2B" w:rsidP="001756A0">
            <w:pPr>
              <w:rPr>
                <w:sz w:val="22"/>
                <w:szCs w:val="22"/>
              </w:rPr>
            </w:pPr>
            <w:r w:rsidRPr="000E1FAF">
              <w:rPr>
                <w:bCs/>
                <w:sz w:val="22"/>
                <w:szCs w:val="22"/>
              </w:rPr>
              <w:t>Retain</w:t>
            </w:r>
          </w:p>
        </w:tc>
        <w:tc>
          <w:tcPr>
            <w:tcW w:w="1136" w:type="dxa"/>
          </w:tcPr>
          <w:p w:rsidR="005B2E2B" w:rsidRPr="000E1FAF" w:rsidRDefault="005B2E2B">
            <w:pPr>
              <w:rPr>
                <w:sz w:val="22"/>
                <w:szCs w:val="22"/>
              </w:rPr>
            </w:pPr>
            <w:r w:rsidRPr="000E1FAF">
              <w:rPr>
                <w:sz w:val="22"/>
                <w:szCs w:val="22"/>
              </w:rPr>
              <w:t>2014</w:t>
            </w:r>
          </w:p>
        </w:tc>
        <w:tc>
          <w:tcPr>
            <w:tcW w:w="1216" w:type="dxa"/>
            <w:shd w:val="clear" w:color="auto" w:fill="auto"/>
          </w:tcPr>
          <w:p w:rsidR="005B2E2B" w:rsidRPr="000E1FAF" w:rsidRDefault="00B42915" w:rsidP="00AF6F73">
            <w:pPr>
              <w:jc w:val="center"/>
              <w:rPr>
                <w:bCs/>
                <w:sz w:val="22"/>
                <w:szCs w:val="22"/>
              </w:rPr>
            </w:pPr>
            <w:r w:rsidRPr="000E1FAF">
              <w:rPr>
                <w:bCs/>
                <w:sz w:val="22"/>
                <w:szCs w:val="22"/>
              </w:rPr>
              <w:t>Possible</w:t>
            </w:r>
          </w:p>
        </w:tc>
        <w:tc>
          <w:tcPr>
            <w:tcW w:w="644" w:type="dxa"/>
          </w:tcPr>
          <w:p w:rsidR="005B2E2B" w:rsidRPr="000E1FAF" w:rsidRDefault="005B2E2B" w:rsidP="00AF6F73">
            <w:pPr>
              <w:jc w:val="center"/>
              <w:rPr>
                <w:sz w:val="22"/>
                <w:szCs w:val="22"/>
              </w:rPr>
            </w:pPr>
            <w:r w:rsidRPr="000E1FAF">
              <w:rPr>
                <w:bCs/>
                <w:sz w:val="22"/>
                <w:szCs w:val="22"/>
              </w:rPr>
              <w:t>41</w:t>
            </w:r>
          </w:p>
        </w:tc>
        <w:tc>
          <w:tcPr>
            <w:tcW w:w="552" w:type="dxa"/>
          </w:tcPr>
          <w:p w:rsidR="005B2E2B" w:rsidRPr="000E1FAF" w:rsidRDefault="005B2E2B">
            <w:pPr>
              <w:jc w:val="center"/>
              <w:rPr>
                <w:sz w:val="22"/>
                <w:szCs w:val="22"/>
              </w:rPr>
            </w:pPr>
            <w:r w:rsidRPr="000E1FAF">
              <w:rPr>
                <w:sz w:val="22"/>
                <w:szCs w:val="22"/>
              </w:rPr>
              <w:t>1</w:t>
            </w:r>
          </w:p>
        </w:tc>
        <w:tc>
          <w:tcPr>
            <w:tcW w:w="555" w:type="dxa"/>
          </w:tcPr>
          <w:p w:rsidR="005B2E2B" w:rsidRPr="000E1FAF" w:rsidRDefault="005B2E2B">
            <w:pPr>
              <w:jc w:val="center"/>
              <w:rPr>
                <w:sz w:val="22"/>
                <w:szCs w:val="22"/>
              </w:rPr>
            </w:pPr>
            <w:r w:rsidRPr="000E1FAF">
              <w:rPr>
                <w:sz w:val="22"/>
                <w:szCs w:val="22"/>
              </w:rPr>
              <w:t>0</w:t>
            </w:r>
          </w:p>
        </w:tc>
        <w:tc>
          <w:tcPr>
            <w:tcW w:w="555" w:type="dxa"/>
          </w:tcPr>
          <w:p w:rsidR="005B2E2B" w:rsidRPr="000E1FAF" w:rsidRDefault="005B2E2B" w:rsidP="00AF6F73">
            <w:pPr>
              <w:jc w:val="center"/>
              <w:rPr>
                <w:sz w:val="22"/>
                <w:szCs w:val="22"/>
              </w:rPr>
            </w:pPr>
            <w:r w:rsidRPr="000E1FAF">
              <w:rPr>
                <w:sz w:val="22"/>
                <w:szCs w:val="22"/>
              </w:rPr>
              <w:t>6</w:t>
            </w:r>
          </w:p>
        </w:tc>
      </w:tr>
      <w:tr w:rsidR="000E1FAF" w:rsidRPr="000E1FAF" w:rsidTr="0090128C">
        <w:tc>
          <w:tcPr>
            <w:tcW w:w="6852" w:type="dxa"/>
            <w:tcBorders>
              <w:bottom w:val="single" w:sz="4" w:space="0" w:color="000000"/>
            </w:tcBorders>
          </w:tcPr>
          <w:p w:rsidR="005B2E2B" w:rsidRPr="000E1FAF" w:rsidRDefault="005B2E2B" w:rsidP="00933C14">
            <w:pPr>
              <w:rPr>
                <w:sz w:val="22"/>
                <w:szCs w:val="22"/>
              </w:rPr>
            </w:pPr>
            <w:r w:rsidRPr="000E1FAF">
              <w:rPr>
                <w:b/>
                <w:bCs/>
                <w:sz w:val="22"/>
                <w:szCs w:val="22"/>
                <w:lang w:val="en-US" w:eastAsia="en-US"/>
              </w:rPr>
              <w:t xml:space="preserve">ECC/DEC/(04)09 – </w:t>
            </w:r>
            <w:r w:rsidRPr="000E1FAF">
              <w:rPr>
                <w:bCs/>
                <w:sz w:val="22"/>
                <w:szCs w:val="22"/>
                <w:lang w:eastAsia="en-US"/>
              </w:rPr>
              <w:t>ECC Decision of 12 November 2004 on the designation of the bands 1518-1525 MHz and 1670-1675 MHz for the Mobile-Satellite Service</w:t>
            </w:r>
          </w:p>
        </w:tc>
        <w:tc>
          <w:tcPr>
            <w:tcW w:w="1341" w:type="dxa"/>
            <w:tcBorders>
              <w:bottom w:val="single" w:sz="4" w:space="0" w:color="000000"/>
            </w:tcBorders>
          </w:tcPr>
          <w:p w:rsidR="005B2E2B" w:rsidRPr="000E1FAF" w:rsidRDefault="005B2E2B" w:rsidP="00933C14">
            <w:pPr>
              <w:rPr>
                <w:sz w:val="22"/>
                <w:szCs w:val="22"/>
              </w:rPr>
            </w:pPr>
            <w:r w:rsidRPr="000E1FAF">
              <w:rPr>
                <w:sz w:val="22"/>
                <w:szCs w:val="22"/>
              </w:rPr>
              <w:t>FM44</w:t>
            </w:r>
          </w:p>
        </w:tc>
        <w:tc>
          <w:tcPr>
            <w:tcW w:w="1719" w:type="dxa"/>
            <w:tcBorders>
              <w:bottom w:val="single" w:sz="4" w:space="0" w:color="000000"/>
            </w:tcBorders>
          </w:tcPr>
          <w:p w:rsidR="005B2E2B" w:rsidRPr="000E1FAF" w:rsidRDefault="005B2E2B" w:rsidP="00933C14">
            <w:pPr>
              <w:rPr>
                <w:sz w:val="22"/>
                <w:szCs w:val="22"/>
              </w:rPr>
            </w:pPr>
            <w:r w:rsidRPr="000E1FAF">
              <w:rPr>
                <w:sz w:val="22"/>
                <w:szCs w:val="22"/>
              </w:rPr>
              <w:t>Retain</w:t>
            </w:r>
          </w:p>
        </w:tc>
        <w:tc>
          <w:tcPr>
            <w:tcW w:w="1136" w:type="dxa"/>
            <w:tcBorders>
              <w:bottom w:val="single" w:sz="4" w:space="0" w:color="000000"/>
            </w:tcBorders>
          </w:tcPr>
          <w:p w:rsidR="005B2E2B" w:rsidRPr="000E1FAF" w:rsidRDefault="005B2E2B" w:rsidP="006607D7">
            <w:pPr>
              <w:rPr>
                <w:sz w:val="22"/>
                <w:szCs w:val="22"/>
              </w:rPr>
            </w:pPr>
            <w:r w:rsidRPr="000E1FAF">
              <w:rPr>
                <w:sz w:val="22"/>
                <w:szCs w:val="22"/>
              </w:rPr>
              <w:t>201</w:t>
            </w:r>
            <w:r w:rsidR="006607D7" w:rsidRPr="000E1FAF">
              <w:rPr>
                <w:sz w:val="22"/>
                <w:szCs w:val="22"/>
              </w:rPr>
              <w:t>9</w:t>
            </w:r>
          </w:p>
        </w:tc>
        <w:tc>
          <w:tcPr>
            <w:tcW w:w="1216" w:type="dxa"/>
            <w:tcBorders>
              <w:bottom w:val="single" w:sz="4" w:space="0" w:color="000000"/>
            </w:tcBorders>
            <w:shd w:val="clear" w:color="auto" w:fill="auto"/>
          </w:tcPr>
          <w:p w:rsidR="005B2E2B" w:rsidRPr="000E1FAF" w:rsidRDefault="005B2E2B" w:rsidP="00050D1A">
            <w:pPr>
              <w:jc w:val="center"/>
              <w:rPr>
                <w:bCs/>
                <w:sz w:val="22"/>
                <w:szCs w:val="22"/>
              </w:rPr>
            </w:pPr>
          </w:p>
        </w:tc>
        <w:tc>
          <w:tcPr>
            <w:tcW w:w="644" w:type="dxa"/>
            <w:tcBorders>
              <w:bottom w:val="single" w:sz="4" w:space="0" w:color="000000"/>
            </w:tcBorders>
          </w:tcPr>
          <w:p w:rsidR="005B2E2B" w:rsidRPr="000E1FAF" w:rsidRDefault="005B2E2B" w:rsidP="00050D1A">
            <w:pPr>
              <w:jc w:val="center"/>
              <w:rPr>
                <w:sz w:val="22"/>
                <w:szCs w:val="22"/>
              </w:rPr>
            </w:pPr>
            <w:r w:rsidRPr="000E1FAF">
              <w:rPr>
                <w:bCs/>
                <w:sz w:val="22"/>
                <w:szCs w:val="22"/>
              </w:rPr>
              <w:t>21</w:t>
            </w:r>
          </w:p>
        </w:tc>
        <w:tc>
          <w:tcPr>
            <w:tcW w:w="552" w:type="dxa"/>
            <w:tcBorders>
              <w:bottom w:val="single" w:sz="4" w:space="0" w:color="000000"/>
            </w:tcBorders>
          </w:tcPr>
          <w:p w:rsidR="005B2E2B" w:rsidRPr="000E1FAF" w:rsidRDefault="005B2E2B" w:rsidP="00050D1A">
            <w:pPr>
              <w:jc w:val="center"/>
              <w:rPr>
                <w:bCs/>
                <w:sz w:val="22"/>
                <w:szCs w:val="22"/>
              </w:rPr>
            </w:pPr>
            <w:r w:rsidRPr="000E1FAF">
              <w:rPr>
                <w:bCs/>
                <w:sz w:val="22"/>
                <w:szCs w:val="22"/>
              </w:rPr>
              <w:t>4</w:t>
            </w:r>
          </w:p>
        </w:tc>
        <w:tc>
          <w:tcPr>
            <w:tcW w:w="555" w:type="dxa"/>
            <w:tcBorders>
              <w:bottom w:val="single" w:sz="4" w:space="0" w:color="000000"/>
            </w:tcBorders>
          </w:tcPr>
          <w:p w:rsidR="005B2E2B" w:rsidRPr="000E1FAF" w:rsidRDefault="005B2E2B" w:rsidP="00933C14">
            <w:pPr>
              <w:jc w:val="center"/>
              <w:rPr>
                <w:bCs/>
                <w:sz w:val="22"/>
                <w:szCs w:val="22"/>
              </w:rPr>
            </w:pPr>
            <w:r w:rsidRPr="000E1FAF">
              <w:rPr>
                <w:bCs/>
                <w:sz w:val="22"/>
                <w:szCs w:val="22"/>
              </w:rPr>
              <w:t>3</w:t>
            </w:r>
          </w:p>
        </w:tc>
        <w:tc>
          <w:tcPr>
            <w:tcW w:w="555" w:type="dxa"/>
            <w:tcBorders>
              <w:bottom w:val="single" w:sz="4" w:space="0" w:color="000000"/>
            </w:tcBorders>
          </w:tcPr>
          <w:p w:rsidR="005B2E2B" w:rsidRPr="000E1FAF" w:rsidRDefault="005B2E2B" w:rsidP="00050D1A">
            <w:pPr>
              <w:jc w:val="center"/>
              <w:rPr>
                <w:bCs/>
                <w:sz w:val="22"/>
                <w:szCs w:val="22"/>
              </w:rPr>
            </w:pPr>
            <w:r w:rsidRPr="000E1FAF">
              <w:rPr>
                <w:bCs/>
                <w:sz w:val="22"/>
                <w:szCs w:val="22"/>
              </w:rPr>
              <w:t>20</w:t>
            </w:r>
          </w:p>
        </w:tc>
      </w:tr>
      <w:tr w:rsidR="000E1FAF" w:rsidRPr="000E1FAF" w:rsidTr="0090128C">
        <w:tc>
          <w:tcPr>
            <w:tcW w:w="6852" w:type="dxa"/>
            <w:shd w:val="clear" w:color="auto" w:fill="auto"/>
          </w:tcPr>
          <w:p w:rsidR="005B2E2B" w:rsidRPr="000E1FAF" w:rsidRDefault="005B2E2B">
            <w:pPr>
              <w:rPr>
                <w:sz w:val="22"/>
                <w:szCs w:val="22"/>
              </w:rPr>
            </w:pPr>
            <w:r w:rsidRPr="000E1FAF">
              <w:rPr>
                <w:b/>
                <w:bCs/>
                <w:sz w:val="22"/>
                <w:szCs w:val="22"/>
              </w:rPr>
              <w:t xml:space="preserve">ECC/DEC/(04)10 – </w:t>
            </w:r>
            <w:r w:rsidRPr="000E1FAF">
              <w:rPr>
                <w:sz w:val="22"/>
                <w:szCs w:val="22"/>
              </w:rPr>
              <w:t>ECC Decision of 12 November 2004 on the frequency bands to be designated for the temporary introduction of Automotive Short Range Radars (SRR)</w:t>
            </w:r>
          </w:p>
          <w:p w:rsidR="005B2E2B" w:rsidRPr="000E1FAF" w:rsidRDefault="005B2E2B" w:rsidP="00F21C58">
            <w:pPr>
              <w:rPr>
                <w:sz w:val="22"/>
                <w:szCs w:val="22"/>
              </w:rPr>
            </w:pPr>
            <w:r w:rsidRPr="000E1FAF">
              <w:rPr>
                <w:i/>
                <w:color w:val="FF0000"/>
                <w:sz w:val="22"/>
                <w:szCs w:val="22"/>
              </w:rPr>
              <w:t>Note: this Decision was revised in 2012</w:t>
            </w:r>
          </w:p>
        </w:tc>
        <w:tc>
          <w:tcPr>
            <w:tcW w:w="1341" w:type="dxa"/>
            <w:shd w:val="clear" w:color="auto" w:fill="auto"/>
          </w:tcPr>
          <w:p w:rsidR="005B2E2B" w:rsidRPr="000E1FAF" w:rsidRDefault="005B2E2B">
            <w:pPr>
              <w:rPr>
                <w:sz w:val="22"/>
                <w:szCs w:val="22"/>
              </w:rPr>
            </w:pPr>
            <w:r w:rsidRPr="000E1FAF">
              <w:rPr>
                <w:sz w:val="22"/>
                <w:szCs w:val="22"/>
              </w:rPr>
              <w:t>SRD/MG</w:t>
            </w:r>
          </w:p>
        </w:tc>
        <w:tc>
          <w:tcPr>
            <w:tcW w:w="1719" w:type="dxa"/>
            <w:shd w:val="clear" w:color="auto" w:fill="auto"/>
          </w:tcPr>
          <w:p w:rsidR="005B2E2B" w:rsidRPr="000E1FAF" w:rsidRDefault="005B2E2B" w:rsidP="00C85D95">
            <w:pPr>
              <w:rPr>
                <w:sz w:val="22"/>
                <w:szCs w:val="22"/>
              </w:rPr>
            </w:pPr>
            <w:r w:rsidRPr="000E1FAF">
              <w:rPr>
                <w:bCs/>
                <w:sz w:val="22"/>
                <w:szCs w:val="22"/>
              </w:rPr>
              <w:t>Retain</w:t>
            </w:r>
          </w:p>
        </w:tc>
        <w:tc>
          <w:tcPr>
            <w:tcW w:w="1136" w:type="dxa"/>
            <w:shd w:val="clear" w:color="auto" w:fill="auto"/>
          </w:tcPr>
          <w:p w:rsidR="005B2E2B" w:rsidRPr="000E1FAF" w:rsidRDefault="005B2E2B" w:rsidP="00F21C58">
            <w:pPr>
              <w:rPr>
                <w:sz w:val="22"/>
                <w:szCs w:val="22"/>
              </w:rPr>
            </w:pPr>
            <w:r w:rsidRPr="000E1FAF">
              <w:rPr>
                <w:sz w:val="22"/>
                <w:szCs w:val="22"/>
              </w:rPr>
              <w:t>2017</w:t>
            </w:r>
          </w:p>
        </w:tc>
        <w:tc>
          <w:tcPr>
            <w:tcW w:w="1216" w:type="dxa"/>
            <w:shd w:val="clear" w:color="auto" w:fill="auto"/>
          </w:tcPr>
          <w:p w:rsidR="005B2E2B" w:rsidRPr="000E1FAF" w:rsidRDefault="005B2E2B" w:rsidP="00AF6F73">
            <w:pPr>
              <w:jc w:val="center"/>
              <w:rPr>
                <w:bCs/>
                <w:sz w:val="22"/>
                <w:szCs w:val="22"/>
              </w:rPr>
            </w:pPr>
          </w:p>
        </w:tc>
        <w:tc>
          <w:tcPr>
            <w:tcW w:w="644" w:type="dxa"/>
            <w:shd w:val="clear" w:color="auto" w:fill="auto"/>
          </w:tcPr>
          <w:p w:rsidR="005B2E2B" w:rsidRPr="000E1FAF" w:rsidRDefault="005B2E2B" w:rsidP="00AF6F73">
            <w:pPr>
              <w:jc w:val="center"/>
              <w:rPr>
                <w:sz w:val="22"/>
                <w:szCs w:val="22"/>
              </w:rPr>
            </w:pPr>
            <w:r w:rsidRPr="000E1FAF">
              <w:rPr>
                <w:bCs/>
                <w:sz w:val="22"/>
                <w:szCs w:val="22"/>
              </w:rPr>
              <w:t>34</w:t>
            </w:r>
          </w:p>
        </w:tc>
        <w:tc>
          <w:tcPr>
            <w:tcW w:w="552" w:type="dxa"/>
            <w:shd w:val="clear" w:color="auto" w:fill="auto"/>
          </w:tcPr>
          <w:p w:rsidR="005B2E2B" w:rsidRPr="000E1FAF" w:rsidRDefault="005B2E2B">
            <w:pPr>
              <w:jc w:val="center"/>
              <w:rPr>
                <w:sz w:val="22"/>
                <w:szCs w:val="22"/>
              </w:rPr>
            </w:pPr>
            <w:r w:rsidRPr="000E1FAF">
              <w:rPr>
                <w:sz w:val="22"/>
                <w:szCs w:val="22"/>
              </w:rPr>
              <w:t>3</w:t>
            </w:r>
          </w:p>
        </w:tc>
        <w:tc>
          <w:tcPr>
            <w:tcW w:w="555" w:type="dxa"/>
            <w:shd w:val="clear" w:color="auto" w:fill="auto"/>
          </w:tcPr>
          <w:p w:rsidR="005B2E2B" w:rsidRPr="000E1FAF" w:rsidRDefault="005B2E2B">
            <w:pPr>
              <w:jc w:val="center"/>
              <w:rPr>
                <w:sz w:val="22"/>
                <w:szCs w:val="22"/>
              </w:rPr>
            </w:pPr>
            <w:r w:rsidRPr="000E1FAF">
              <w:rPr>
                <w:sz w:val="22"/>
                <w:szCs w:val="22"/>
              </w:rPr>
              <w:t>2</w:t>
            </w:r>
          </w:p>
        </w:tc>
        <w:tc>
          <w:tcPr>
            <w:tcW w:w="555" w:type="dxa"/>
            <w:shd w:val="clear" w:color="auto" w:fill="auto"/>
          </w:tcPr>
          <w:p w:rsidR="005B2E2B" w:rsidRPr="000E1FAF" w:rsidRDefault="005B2E2B" w:rsidP="00AF6F73">
            <w:pPr>
              <w:jc w:val="center"/>
              <w:rPr>
                <w:sz w:val="22"/>
                <w:szCs w:val="22"/>
              </w:rPr>
            </w:pPr>
            <w:r w:rsidRPr="000E1FAF">
              <w:rPr>
                <w:sz w:val="22"/>
                <w:szCs w:val="22"/>
              </w:rPr>
              <w:t>7</w:t>
            </w:r>
          </w:p>
        </w:tc>
      </w:tr>
      <w:tr w:rsidR="000E1FAF" w:rsidRPr="000E1FAF" w:rsidTr="0090128C">
        <w:tc>
          <w:tcPr>
            <w:tcW w:w="6852" w:type="dxa"/>
            <w:tcBorders>
              <w:bottom w:val="single" w:sz="4" w:space="0" w:color="000000"/>
            </w:tcBorders>
          </w:tcPr>
          <w:p w:rsidR="005B2E2B" w:rsidRPr="000E1FAF" w:rsidRDefault="005B2E2B" w:rsidP="00D62556">
            <w:pPr>
              <w:rPr>
                <w:sz w:val="22"/>
                <w:szCs w:val="22"/>
              </w:rPr>
            </w:pPr>
            <w:r w:rsidRPr="000E1FAF">
              <w:rPr>
                <w:b/>
                <w:bCs/>
                <w:sz w:val="22"/>
                <w:szCs w:val="22"/>
              </w:rPr>
              <w:t xml:space="preserve">ECC/DEC/(05)01 – </w:t>
            </w:r>
            <w:r w:rsidRPr="000E1FAF">
              <w:rPr>
                <w:sz w:val="22"/>
                <w:szCs w:val="22"/>
              </w:rPr>
              <w:t>ECC Decision of 18 March 2005 on the use of the band 27.5-29.5 GHz by the Fixed Service and uncoordinated Earth stations of the Fixed-Satellite Service (Earth-to-space)</w:t>
            </w:r>
          </w:p>
          <w:p w:rsidR="005B2E2B" w:rsidRPr="000E1FAF" w:rsidRDefault="005B2E2B" w:rsidP="00ED5DBD">
            <w:pPr>
              <w:rPr>
                <w:sz w:val="22"/>
                <w:szCs w:val="22"/>
                <w:lang w:val="en-US"/>
              </w:rPr>
            </w:pPr>
            <w:r w:rsidRPr="000E1FAF">
              <w:rPr>
                <w:i/>
                <w:color w:val="FF0000"/>
                <w:sz w:val="22"/>
                <w:szCs w:val="22"/>
              </w:rPr>
              <w:t>Note: this Decision was revised in 2013</w:t>
            </w:r>
          </w:p>
        </w:tc>
        <w:tc>
          <w:tcPr>
            <w:tcW w:w="1341" w:type="dxa"/>
            <w:tcBorders>
              <w:bottom w:val="single" w:sz="4" w:space="0" w:color="000000"/>
            </w:tcBorders>
          </w:tcPr>
          <w:p w:rsidR="005B2E2B" w:rsidRPr="000E1FAF" w:rsidRDefault="005B2E2B" w:rsidP="00D62556">
            <w:pPr>
              <w:rPr>
                <w:sz w:val="22"/>
                <w:szCs w:val="22"/>
              </w:rPr>
            </w:pPr>
            <w:r w:rsidRPr="000E1FAF">
              <w:rPr>
                <w:sz w:val="22"/>
                <w:szCs w:val="22"/>
              </w:rPr>
              <w:t>FM44</w:t>
            </w:r>
          </w:p>
          <w:p w:rsidR="005B2E2B" w:rsidRPr="000E1FAF" w:rsidRDefault="005B2E2B" w:rsidP="00D62556">
            <w:pPr>
              <w:rPr>
                <w:sz w:val="22"/>
                <w:szCs w:val="22"/>
              </w:rPr>
            </w:pPr>
            <w:r w:rsidRPr="000E1FAF">
              <w:rPr>
                <w:sz w:val="22"/>
                <w:szCs w:val="22"/>
              </w:rPr>
              <w:t>WGSE</w:t>
            </w:r>
          </w:p>
        </w:tc>
        <w:tc>
          <w:tcPr>
            <w:tcW w:w="1719" w:type="dxa"/>
            <w:tcBorders>
              <w:bottom w:val="single" w:sz="4" w:space="0" w:color="000000"/>
            </w:tcBorders>
          </w:tcPr>
          <w:p w:rsidR="005B2E2B" w:rsidRPr="000E1FAF" w:rsidRDefault="005B2E2B" w:rsidP="00D62556">
            <w:pPr>
              <w:rPr>
                <w:bCs/>
                <w:sz w:val="22"/>
                <w:szCs w:val="22"/>
              </w:rPr>
            </w:pPr>
          </w:p>
          <w:p w:rsidR="005B2E2B" w:rsidRPr="000E1FAF" w:rsidRDefault="005B2E2B" w:rsidP="00C85D95">
            <w:pPr>
              <w:rPr>
                <w:sz w:val="22"/>
                <w:szCs w:val="22"/>
              </w:rPr>
            </w:pPr>
            <w:r w:rsidRPr="000E1FAF">
              <w:rPr>
                <w:sz w:val="22"/>
                <w:szCs w:val="22"/>
                <w:lang w:val="en-US"/>
              </w:rPr>
              <w:t>Retain</w:t>
            </w:r>
          </w:p>
        </w:tc>
        <w:tc>
          <w:tcPr>
            <w:tcW w:w="1136" w:type="dxa"/>
            <w:tcBorders>
              <w:bottom w:val="single" w:sz="4" w:space="0" w:color="000000"/>
            </w:tcBorders>
          </w:tcPr>
          <w:p w:rsidR="005B2E2B" w:rsidRPr="000E1FAF" w:rsidRDefault="005B2E2B" w:rsidP="00D62556">
            <w:pPr>
              <w:rPr>
                <w:sz w:val="22"/>
                <w:szCs w:val="22"/>
              </w:rPr>
            </w:pPr>
          </w:p>
          <w:p w:rsidR="005B2E2B" w:rsidRPr="000E1FAF" w:rsidRDefault="005B2E2B" w:rsidP="00C85D95">
            <w:pPr>
              <w:rPr>
                <w:sz w:val="22"/>
                <w:szCs w:val="22"/>
              </w:rPr>
            </w:pPr>
            <w:r w:rsidRPr="000E1FAF">
              <w:rPr>
                <w:sz w:val="22"/>
                <w:szCs w:val="22"/>
              </w:rPr>
              <w:t>2018</w:t>
            </w:r>
          </w:p>
        </w:tc>
        <w:tc>
          <w:tcPr>
            <w:tcW w:w="1216" w:type="dxa"/>
            <w:tcBorders>
              <w:bottom w:val="single" w:sz="4" w:space="0" w:color="000000"/>
            </w:tcBorders>
            <w:shd w:val="clear" w:color="auto" w:fill="auto"/>
          </w:tcPr>
          <w:p w:rsidR="005B2E2B" w:rsidRPr="000E1FAF" w:rsidRDefault="005B2E2B" w:rsidP="00050D1A">
            <w:pPr>
              <w:jc w:val="center"/>
              <w:rPr>
                <w:bCs/>
                <w:sz w:val="22"/>
                <w:szCs w:val="22"/>
              </w:rPr>
            </w:pPr>
          </w:p>
        </w:tc>
        <w:tc>
          <w:tcPr>
            <w:tcW w:w="644" w:type="dxa"/>
            <w:tcBorders>
              <w:bottom w:val="single" w:sz="4" w:space="0" w:color="000000"/>
            </w:tcBorders>
          </w:tcPr>
          <w:p w:rsidR="005B2E2B" w:rsidRPr="000E1FAF" w:rsidRDefault="005B2E2B" w:rsidP="00050D1A">
            <w:pPr>
              <w:jc w:val="center"/>
              <w:rPr>
                <w:sz w:val="22"/>
                <w:szCs w:val="22"/>
              </w:rPr>
            </w:pPr>
            <w:r w:rsidRPr="000E1FAF">
              <w:rPr>
                <w:bCs/>
                <w:sz w:val="22"/>
                <w:szCs w:val="22"/>
              </w:rPr>
              <w:t>32</w:t>
            </w:r>
          </w:p>
        </w:tc>
        <w:tc>
          <w:tcPr>
            <w:tcW w:w="552" w:type="dxa"/>
            <w:tcBorders>
              <w:bottom w:val="single" w:sz="4" w:space="0" w:color="000000"/>
            </w:tcBorders>
          </w:tcPr>
          <w:p w:rsidR="005B2E2B" w:rsidRPr="000E1FAF" w:rsidRDefault="005B2E2B" w:rsidP="00BA1FE5">
            <w:pPr>
              <w:jc w:val="center"/>
              <w:rPr>
                <w:bCs/>
                <w:sz w:val="22"/>
                <w:szCs w:val="22"/>
              </w:rPr>
            </w:pPr>
            <w:r w:rsidRPr="000E1FAF">
              <w:rPr>
                <w:bCs/>
                <w:sz w:val="22"/>
                <w:szCs w:val="22"/>
              </w:rPr>
              <w:t>4</w:t>
            </w:r>
          </w:p>
        </w:tc>
        <w:tc>
          <w:tcPr>
            <w:tcW w:w="555" w:type="dxa"/>
            <w:tcBorders>
              <w:bottom w:val="single" w:sz="4" w:space="0" w:color="000000"/>
            </w:tcBorders>
          </w:tcPr>
          <w:p w:rsidR="005B2E2B" w:rsidRPr="000E1FAF" w:rsidRDefault="005B2E2B" w:rsidP="00BA1FE5">
            <w:pPr>
              <w:jc w:val="center"/>
              <w:rPr>
                <w:bCs/>
                <w:sz w:val="22"/>
                <w:szCs w:val="22"/>
              </w:rPr>
            </w:pPr>
            <w:r w:rsidRPr="000E1FAF">
              <w:rPr>
                <w:bCs/>
                <w:sz w:val="22"/>
                <w:szCs w:val="22"/>
              </w:rPr>
              <w:t>2</w:t>
            </w:r>
          </w:p>
        </w:tc>
        <w:tc>
          <w:tcPr>
            <w:tcW w:w="555" w:type="dxa"/>
            <w:tcBorders>
              <w:bottom w:val="single" w:sz="4" w:space="0" w:color="000000"/>
            </w:tcBorders>
          </w:tcPr>
          <w:p w:rsidR="005B2E2B" w:rsidRPr="000E1FAF" w:rsidRDefault="005B2E2B" w:rsidP="00050D1A">
            <w:pPr>
              <w:jc w:val="center"/>
              <w:rPr>
                <w:bCs/>
                <w:sz w:val="22"/>
                <w:szCs w:val="22"/>
              </w:rPr>
            </w:pPr>
            <w:r w:rsidRPr="000E1FAF">
              <w:rPr>
                <w:bCs/>
                <w:sz w:val="22"/>
                <w:szCs w:val="22"/>
              </w:rPr>
              <w:t>10</w:t>
            </w:r>
          </w:p>
        </w:tc>
      </w:tr>
      <w:tr w:rsidR="000E1FAF" w:rsidRPr="000E1FAF" w:rsidTr="0090128C">
        <w:tc>
          <w:tcPr>
            <w:tcW w:w="6852" w:type="dxa"/>
          </w:tcPr>
          <w:p w:rsidR="005B2E2B" w:rsidRPr="000E1FAF" w:rsidRDefault="005B2E2B" w:rsidP="00431FB7">
            <w:pPr>
              <w:rPr>
                <w:sz w:val="22"/>
                <w:szCs w:val="22"/>
                <w:lang w:val="en-US"/>
              </w:rPr>
            </w:pPr>
            <w:r w:rsidRPr="000E1FAF">
              <w:rPr>
                <w:b/>
                <w:bCs/>
                <w:sz w:val="22"/>
                <w:szCs w:val="22"/>
              </w:rPr>
              <w:t xml:space="preserve">ECC/DEC/(05)02 – </w:t>
            </w:r>
            <w:r w:rsidRPr="000E1FAF">
              <w:rPr>
                <w:sz w:val="22"/>
                <w:szCs w:val="22"/>
                <w:lang w:val="en-US"/>
              </w:rPr>
              <w:t>ECC Decision of 18 March 2005 on the use of the frequency band 169.4-169.8125 MHz</w:t>
            </w:r>
          </w:p>
          <w:p w:rsidR="005B2E2B" w:rsidRPr="000E1FAF" w:rsidRDefault="005B2E2B" w:rsidP="006607D7">
            <w:pPr>
              <w:rPr>
                <w:sz w:val="22"/>
                <w:szCs w:val="22"/>
              </w:rPr>
            </w:pPr>
            <w:r w:rsidRPr="000E1FAF">
              <w:rPr>
                <w:i/>
                <w:color w:val="FF0000"/>
                <w:sz w:val="22"/>
                <w:szCs w:val="22"/>
              </w:rPr>
              <w:t xml:space="preserve">Note: </w:t>
            </w:r>
            <w:r w:rsidR="000B04E9" w:rsidRPr="000E1FAF">
              <w:rPr>
                <w:i/>
                <w:color w:val="FF0000"/>
                <w:sz w:val="22"/>
                <w:szCs w:val="22"/>
              </w:rPr>
              <w:t>Approved at ECC#35; ETSI standardisation activities in progress</w:t>
            </w:r>
            <w:r w:rsidRPr="000E1FAF">
              <w:rPr>
                <w:i/>
                <w:color w:val="FF0000"/>
                <w:sz w:val="22"/>
                <w:szCs w:val="22"/>
              </w:rPr>
              <w:t xml:space="preserve">. </w:t>
            </w:r>
          </w:p>
        </w:tc>
        <w:tc>
          <w:tcPr>
            <w:tcW w:w="1341" w:type="dxa"/>
          </w:tcPr>
          <w:p w:rsidR="005B2E2B" w:rsidRPr="000E1FAF" w:rsidRDefault="005B2E2B">
            <w:pPr>
              <w:rPr>
                <w:sz w:val="22"/>
                <w:szCs w:val="22"/>
              </w:rPr>
            </w:pPr>
            <w:r w:rsidRPr="000E1FAF">
              <w:rPr>
                <w:sz w:val="22"/>
                <w:szCs w:val="22"/>
              </w:rPr>
              <w:t>SRD/MG</w:t>
            </w:r>
          </w:p>
          <w:p w:rsidR="005B2E2B" w:rsidRPr="000E1FAF" w:rsidRDefault="005B2E2B">
            <w:pPr>
              <w:rPr>
                <w:sz w:val="22"/>
                <w:szCs w:val="22"/>
              </w:rPr>
            </w:pPr>
          </w:p>
        </w:tc>
        <w:tc>
          <w:tcPr>
            <w:tcW w:w="1719" w:type="dxa"/>
          </w:tcPr>
          <w:p w:rsidR="005B2E2B" w:rsidRPr="000E1FAF" w:rsidRDefault="005B2E2B" w:rsidP="00CF5B5F">
            <w:pPr>
              <w:rPr>
                <w:sz w:val="22"/>
                <w:szCs w:val="22"/>
              </w:rPr>
            </w:pPr>
            <w:r w:rsidRPr="000E1FAF">
              <w:rPr>
                <w:bCs/>
                <w:sz w:val="22"/>
                <w:szCs w:val="22"/>
              </w:rPr>
              <w:t>Retain</w:t>
            </w:r>
          </w:p>
        </w:tc>
        <w:tc>
          <w:tcPr>
            <w:tcW w:w="1136" w:type="dxa"/>
          </w:tcPr>
          <w:p w:rsidR="005B2E2B" w:rsidRPr="000E1FAF" w:rsidRDefault="005B2E2B">
            <w:pPr>
              <w:rPr>
                <w:sz w:val="22"/>
                <w:szCs w:val="22"/>
              </w:rPr>
            </w:pPr>
            <w:r w:rsidRPr="000E1FAF">
              <w:rPr>
                <w:sz w:val="22"/>
                <w:szCs w:val="22"/>
              </w:rPr>
              <w:t>2018</w:t>
            </w:r>
          </w:p>
          <w:p w:rsidR="005B2E2B" w:rsidRPr="000E1FAF" w:rsidRDefault="005B2E2B">
            <w:pPr>
              <w:rPr>
                <w:sz w:val="22"/>
                <w:szCs w:val="22"/>
              </w:rPr>
            </w:pPr>
          </w:p>
        </w:tc>
        <w:tc>
          <w:tcPr>
            <w:tcW w:w="1216" w:type="dxa"/>
            <w:shd w:val="clear" w:color="auto" w:fill="auto"/>
          </w:tcPr>
          <w:p w:rsidR="005B2E2B" w:rsidRPr="000E1FAF" w:rsidRDefault="000B04E9" w:rsidP="00AF6F73">
            <w:pPr>
              <w:jc w:val="center"/>
              <w:rPr>
                <w:bCs/>
                <w:sz w:val="22"/>
                <w:szCs w:val="22"/>
              </w:rPr>
            </w:pPr>
            <w:r w:rsidRPr="000E1FAF">
              <w:rPr>
                <w:bCs/>
                <w:sz w:val="22"/>
                <w:szCs w:val="22"/>
              </w:rPr>
              <w:t>Yes</w:t>
            </w:r>
          </w:p>
        </w:tc>
        <w:tc>
          <w:tcPr>
            <w:tcW w:w="644" w:type="dxa"/>
          </w:tcPr>
          <w:p w:rsidR="005B2E2B" w:rsidRPr="000E1FAF" w:rsidRDefault="005B2E2B" w:rsidP="00AF6F73">
            <w:pPr>
              <w:jc w:val="center"/>
              <w:rPr>
                <w:sz w:val="22"/>
                <w:szCs w:val="22"/>
              </w:rPr>
            </w:pPr>
          </w:p>
        </w:tc>
        <w:tc>
          <w:tcPr>
            <w:tcW w:w="552" w:type="dxa"/>
          </w:tcPr>
          <w:p w:rsidR="005B2E2B" w:rsidRPr="000E1FAF" w:rsidRDefault="005B2E2B">
            <w:pPr>
              <w:jc w:val="center"/>
              <w:rPr>
                <w:sz w:val="22"/>
                <w:szCs w:val="22"/>
              </w:rPr>
            </w:pPr>
          </w:p>
        </w:tc>
        <w:tc>
          <w:tcPr>
            <w:tcW w:w="555" w:type="dxa"/>
          </w:tcPr>
          <w:p w:rsidR="005B2E2B" w:rsidRPr="000E1FAF" w:rsidRDefault="005B2E2B">
            <w:pPr>
              <w:jc w:val="center"/>
              <w:rPr>
                <w:sz w:val="22"/>
                <w:szCs w:val="22"/>
              </w:rPr>
            </w:pPr>
          </w:p>
        </w:tc>
        <w:tc>
          <w:tcPr>
            <w:tcW w:w="555" w:type="dxa"/>
          </w:tcPr>
          <w:p w:rsidR="005B2E2B" w:rsidRPr="000E1FAF" w:rsidRDefault="005B2E2B" w:rsidP="00AF6F73">
            <w:pPr>
              <w:jc w:val="center"/>
              <w:rPr>
                <w:sz w:val="22"/>
                <w:szCs w:val="22"/>
              </w:rPr>
            </w:pPr>
          </w:p>
        </w:tc>
      </w:tr>
      <w:tr w:rsidR="000E1FAF" w:rsidRPr="000E1FAF" w:rsidTr="0090128C">
        <w:tc>
          <w:tcPr>
            <w:tcW w:w="6852" w:type="dxa"/>
          </w:tcPr>
          <w:p w:rsidR="005B2E2B" w:rsidRPr="000E1FAF" w:rsidRDefault="005B2E2B">
            <w:pPr>
              <w:rPr>
                <w:sz w:val="22"/>
                <w:szCs w:val="22"/>
              </w:rPr>
            </w:pPr>
            <w:r w:rsidRPr="000E1FAF">
              <w:rPr>
                <w:b/>
                <w:bCs/>
                <w:sz w:val="22"/>
                <w:szCs w:val="22"/>
              </w:rPr>
              <w:t xml:space="preserve">ECC/DEC/(05)05 – </w:t>
            </w:r>
            <w:r w:rsidRPr="000E1FAF">
              <w:rPr>
                <w:sz w:val="22"/>
                <w:szCs w:val="22"/>
              </w:rPr>
              <w:t>ECC Decision of 18 March 2005 on harmonised utilisation of spectrum for IMT-2000/UMTS systems operating within the band 2500-2690 MHz</w:t>
            </w:r>
          </w:p>
          <w:p w:rsidR="0049417A" w:rsidRPr="0049417A" w:rsidRDefault="005B2E2B" w:rsidP="0049417A">
            <w:pPr>
              <w:rPr>
                <w:i/>
                <w:color w:val="FF0000"/>
                <w:sz w:val="22"/>
                <w:szCs w:val="22"/>
                <w:lang w:val="en-US"/>
              </w:rPr>
            </w:pPr>
            <w:r w:rsidRPr="000E1FAF">
              <w:rPr>
                <w:i/>
                <w:color w:val="FF0000"/>
                <w:sz w:val="22"/>
                <w:szCs w:val="22"/>
              </w:rPr>
              <w:t>Note: linkage with the ongoing licensing process in the 2.6 GHz and within CEPT is noted; need to ensure consistency with Commission Decision 2008/477/EC is noted;</w:t>
            </w:r>
            <w:r w:rsidR="0049417A" w:rsidRPr="0049417A">
              <w:rPr>
                <w:i/>
                <w:color w:val="FF0000"/>
                <w:sz w:val="22"/>
                <w:szCs w:val="22"/>
                <w:lang w:val="en-US"/>
              </w:rPr>
              <w:t xml:space="preserve"> </w:t>
            </w:r>
          </w:p>
          <w:p w:rsidR="00031761" w:rsidRPr="00F92C3E" w:rsidRDefault="0049417A" w:rsidP="0049417A">
            <w:pPr>
              <w:rPr>
                <w:i/>
                <w:color w:val="FF0000"/>
                <w:sz w:val="22"/>
                <w:szCs w:val="22"/>
              </w:rPr>
            </w:pPr>
            <w:r w:rsidRPr="00F92C3E">
              <w:rPr>
                <w:i/>
                <w:color w:val="FF0000"/>
                <w:sz w:val="22"/>
                <w:szCs w:val="22"/>
              </w:rPr>
              <w:t xml:space="preserve">Review </w:t>
            </w:r>
            <w:r w:rsidR="00031761" w:rsidRPr="00F92C3E">
              <w:rPr>
                <w:i/>
                <w:color w:val="FF0000"/>
                <w:sz w:val="22"/>
                <w:szCs w:val="22"/>
              </w:rPr>
              <w:t>in progress</w:t>
            </w:r>
          </w:p>
        </w:tc>
        <w:tc>
          <w:tcPr>
            <w:tcW w:w="1341" w:type="dxa"/>
          </w:tcPr>
          <w:p w:rsidR="005B2E2B" w:rsidRPr="000E1FAF" w:rsidRDefault="005B2E2B">
            <w:pPr>
              <w:rPr>
                <w:sz w:val="22"/>
                <w:szCs w:val="22"/>
              </w:rPr>
            </w:pPr>
            <w:r w:rsidRPr="000E1FAF">
              <w:rPr>
                <w:sz w:val="22"/>
                <w:szCs w:val="22"/>
              </w:rPr>
              <w:t xml:space="preserve">ECC PT1 </w:t>
            </w:r>
          </w:p>
        </w:tc>
        <w:tc>
          <w:tcPr>
            <w:tcW w:w="1719" w:type="dxa"/>
          </w:tcPr>
          <w:p w:rsidR="00256AB5" w:rsidRPr="000E1FAF" w:rsidRDefault="005B2E2B">
            <w:pPr>
              <w:rPr>
                <w:sz w:val="22"/>
                <w:szCs w:val="22"/>
              </w:rPr>
            </w:pPr>
            <w:r w:rsidRPr="000E1FAF">
              <w:rPr>
                <w:sz w:val="22"/>
                <w:szCs w:val="22"/>
              </w:rPr>
              <w:t>Re</w:t>
            </w:r>
            <w:r w:rsidR="00ED1E3F" w:rsidRPr="000E1FAF">
              <w:rPr>
                <w:sz w:val="22"/>
                <w:szCs w:val="22"/>
              </w:rPr>
              <w:t>view</w:t>
            </w:r>
          </w:p>
        </w:tc>
        <w:tc>
          <w:tcPr>
            <w:tcW w:w="1136" w:type="dxa"/>
          </w:tcPr>
          <w:p w:rsidR="005B2E2B" w:rsidRPr="000E1FAF" w:rsidRDefault="005B2E2B">
            <w:pPr>
              <w:rPr>
                <w:sz w:val="22"/>
                <w:szCs w:val="22"/>
              </w:rPr>
            </w:pPr>
            <w:r w:rsidRPr="000E1FAF">
              <w:rPr>
                <w:sz w:val="22"/>
                <w:szCs w:val="22"/>
              </w:rPr>
              <w:t>2014</w:t>
            </w:r>
          </w:p>
        </w:tc>
        <w:tc>
          <w:tcPr>
            <w:tcW w:w="1216" w:type="dxa"/>
            <w:shd w:val="clear" w:color="auto" w:fill="auto"/>
          </w:tcPr>
          <w:p w:rsidR="005B2E2B" w:rsidRPr="000E1FAF" w:rsidRDefault="00314164" w:rsidP="00AE5E91">
            <w:pPr>
              <w:jc w:val="center"/>
              <w:rPr>
                <w:bCs/>
                <w:sz w:val="22"/>
                <w:szCs w:val="22"/>
              </w:rPr>
            </w:pPr>
            <w:r w:rsidRPr="000E1FAF">
              <w:rPr>
                <w:bCs/>
                <w:sz w:val="22"/>
                <w:szCs w:val="22"/>
              </w:rPr>
              <w:t>Yes</w:t>
            </w:r>
          </w:p>
        </w:tc>
        <w:tc>
          <w:tcPr>
            <w:tcW w:w="644" w:type="dxa"/>
          </w:tcPr>
          <w:p w:rsidR="005B2E2B" w:rsidRPr="000E1FAF" w:rsidRDefault="005B2E2B" w:rsidP="00AE5E91">
            <w:pPr>
              <w:jc w:val="center"/>
              <w:rPr>
                <w:sz w:val="22"/>
                <w:szCs w:val="22"/>
              </w:rPr>
            </w:pPr>
            <w:r w:rsidRPr="000E1FAF">
              <w:rPr>
                <w:bCs/>
                <w:sz w:val="22"/>
                <w:szCs w:val="22"/>
              </w:rPr>
              <w:t>25</w:t>
            </w:r>
          </w:p>
        </w:tc>
        <w:tc>
          <w:tcPr>
            <w:tcW w:w="552" w:type="dxa"/>
          </w:tcPr>
          <w:p w:rsidR="005B2E2B" w:rsidRPr="000E1FAF" w:rsidRDefault="005B2E2B">
            <w:pPr>
              <w:jc w:val="center"/>
              <w:rPr>
                <w:sz w:val="22"/>
                <w:szCs w:val="22"/>
              </w:rPr>
            </w:pPr>
            <w:r w:rsidRPr="000E1FAF">
              <w:rPr>
                <w:sz w:val="22"/>
                <w:szCs w:val="22"/>
              </w:rPr>
              <w:t>5</w:t>
            </w:r>
          </w:p>
        </w:tc>
        <w:tc>
          <w:tcPr>
            <w:tcW w:w="555" w:type="dxa"/>
          </w:tcPr>
          <w:p w:rsidR="005B2E2B" w:rsidRPr="000E1FAF" w:rsidRDefault="005B2E2B" w:rsidP="00050D1A">
            <w:pPr>
              <w:jc w:val="center"/>
              <w:rPr>
                <w:sz w:val="22"/>
                <w:szCs w:val="22"/>
              </w:rPr>
            </w:pPr>
            <w:r w:rsidRPr="000E1FAF">
              <w:rPr>
                <w:sz w:val="22"/>
                <w:szCs w:val="22"/>
              </w:rPr>
              <w:t>5</w:t>
            </w:r>
          </w:p>
        </w:tc>
        <w:tc>
          <w:tcPr>
            <w:tcW w:w="555" w:type="dxa"/>
          </w:tcPr>
          <w:p w:rsidR="005B2E2B" w:rsidRPr="000E1FAF" w:rsidRDefault="005B2E2B" w:rsidP="00050D1A">
            <w:pPr>
              <w:jc w:val="center"/>
              <w:rPr>
                <w:sz w:val="22"/>
                <w:szCs w:val="22"/>
              </w:rPr>
            </w:pPr>
            <w:r w:rsidRPr="000E1FAF">
              <w:rPr>
                <w:sz w:val="22"/>
                <w:szCs w:val="22"/>
              </w:rPr>
              <w:t>13</w:t>
            </w:r>
          </w:p>
        </w:tc>
      </w:tr>
      <w:tr w:rsidR="000E1FAF" w:rsidRPr="000E1FAF" w:rsidTr="0090128C">
        <w:tc>
          <w:tcPr>
            <w:tcW w:w="6852" w:type="dxa"/>
          </w:tcPr>
          <w:p w:rsidR="005B2E2B" w:rsidRPr="000E1FAF" w:rsidRDefault="005B2E2B" w:rsidP="00D62556">
            <w:pPr>
              <w:rPr>
                <w:sz w:val="22"/>
                <w:szCs w:val="22"/>
              </w:rPr>
            </w:pPr>
            <w:r w:rsidRPr="000E1FAF">
              <w:rPr>
                <w:b/>
                <w:sz w:val="22"/>
                <w:szCs w:val="22"/>
              </w:rPr>
              <w:t xml:space="preserve">ECC/DEC/(05)08 – </w:t>
            </w:r>
            <w:r w:rsidRPr="000E1FAF">
              <w:rPr>
                <w:sz w:val="22"/>
                <w:szCs w:val="22"/>
              </w:rPr>
              <w:t>ECC Decision of 24 June 2005 on the availability of frequency bands for high density applications in the Fixed-Satellite Service (space-to-Earth and Earth-to-space)</w:t>
            </w:r>
          </w:p>
          <w:p w:rsidR="005B2E2B" w:rsidRPr="00F92C3E" w:rsidRDefault="005B2E2B" w:rsidP="000E098D">
            <w:pPr>
              <w:rPr>
                <w:i/>
                <w:color w:val="FF0000"/>
                <w:sz w:val="22"/>
                <w:szCs w:val="22"/>
              </w:rPr>
            </w:pPr>
            <w:r w:rsidRPr="00F92C3E">
              <w:rPr>
                <w:i/>
                <w:color w:val="FF0000"/>
                <w:sz w:val="22"/>
                <w:szCs w:val="22"/>
              </w:rPr>
              <w:t>Note: this Decision was revised in 2013</w:t>
            </w:r>
          </w:p>
        </w:tc>
        <w:tc>
          <w:tcPr>
            <w:tcW w:w="1341" w:type="dxa"/>
          </w:tcPr>
          <w:p w:rsidR="005B2E2B" w:rsidRPr="000E1FAF" w:rsidRDefault="005B2E2B" w:rsidP="00D62556">
            <w:pPr>
              <w:rPr>
                <w:sz w:val="22"/>
                <w:szCs w:val="22"/>
              </w:rPr>
            </w:pPr>
            <w:r w:rsidRPr="000E1FAF">
              <w:rPr>
                <w:sz w:val="22"/>
                <w:szCs w:val="22"/>
              </w:rPr>
              <w:t>FM44</w:t>
            </w:r>
          </w:p>
        </w:tc>
        <w:tc>
          <w:tcPr>
            <w:tcW w:w="1719" w:type="dxa"/>
          </w:tcPr>
          <w:p w:rsidR="005B2E2B" w:rsidRPr="000E1FAF" w:rsidRDefault="005B2E2B" w:rsidP="00D62556">
            <w:pPr>
              <w:rPr>
                <w:sz w:val="22"/>
                <w:szCs w:val="22"/>
              </w:rPr>
            </w:pPr>
            <w:r w:rsidRPr="000E1FAF">
              <w:rPr>
                <w:bCs/>
                <w:sz w:val="22"/>
                <w:szCs w:val="22"/>
              </w:rPr>
              <w:t>Retain</w:t>
            </w:r>
          </w:p>
        </w:tc>
        <w:tc>
          <w:tcPr>
            <w:tcW w:w="1136" w:type="dxa"/>
          </w:tcPr>
          <w:p w:rsidR="005B2E2B" w:rsidRPr="000E1FAF" w:rsidRDefault="005B2E2B" w:rsidP="00C85D95">
            <w:pPr>
              <w:rPr>
                <w:sz w:val="22"/>
                <w:szCs w:val="22"/>
                <w:lang w:val="ru-RU"/>
              </w:rPr>
            </w:pPr>
            <w:r w:rsidRPr="000E1FAF">
              <w:rPr>
                <w:sz w:val="22"/>
                <w:szCs w:val="22"/>
                <w:lang w:val="ru-RU"/>
              </w:rPr>
              <w:t>201</w:t>
            </w:r>
            <w:r w:rsidRPr="000E1FAF">
              <w:rPr>
                <w:sz w:val="22"/>
                <w:szCs w:val="22"/>
                <w:lang w:val="en-US"/>
              </w:rPr>
              <w:t>8</w:t>
            </w:r>
          </w:p>
        </w:tc>
        <w:tc>
          <w:tcPr>
            <w:tcW w:w="1216" w:type="dxa"/>
            <w:shd w:val="clear" w:color="auto" w:fill="auto"/>
          </w:tcPr>
          <w:p w:rsidR="005B2E2B" w:rsidRPr="000E1FAF" w:rsidRDefault="005B2E2B" w:rsidP="00D62556">
            <w:pPr>
              <w:jc w:val="center"/>
              <w:rPr>
                <w:sz w:val="22"/>
                <w:szCs w:val="22"/>
              </w:rPr>
            </w:pPr>
          </w:p>
        </w:tc>
        <w:tc>
          <w:tcPr>
            <w:tcW w:w="644" w:type="dxa"/>
          </w:tcPr>
          <w:p w:rsidR="005B2E2B" w:rsidRPr="000E1FAF" w:rsidRDefault="005B2E2B" w:rsidP="00D62556">
            <w:pPr>
              <w:jc w:val="center"/>
              <w:rPr>
                <w:sz w:val="22"/>
                <w:szCs w:val="22"/>
              </w:rPr>
            </w:pPr>
            <w:r w:rsidRPr="000E1FAF">
              <w:rPr>
                <w:sz w:val="22"/>
                <w:szCs w:val="22"/>
              </w:rPr>
              <w:t>27</w:t>
            </w:r>
          </w:p>
        </w:tc>
        <w:tc>
          <w:tcPr>
            <w:tcW w:w="552" w:type="dxa"/>
          </w:tcPr>
          <w:p w:rsidR="005B2E2B" w:rsidRPr="000E1FAF" w:rsidRDefault="005B2E2B" w:rsidP="00BA1FE5">
            <w:pPr>
              <w:jc w:val="center"/>
              <w:rPr>
                <w:sz w:val="22"/>
                <w:szCs w:val="22"/>
              </w:rPr>
            </w:pPr>
            <w:r w:rsidRPr="000E1FAF">
              <w:rPr>
                <w:sz w:val="22"/>
                <w:szCs w:val="22"/>
              </w:rPr>
              <w:t>3</w:t>
            </w:r>
          </w:p>
        </w:tc>
        <w:tc>
          <w:tcPr>
            <w:tcW w:w="555" w:type="dxa"/>
          </w:tcPr>
          <w:p w:rsidR="005B2E2B" w:rsidRPr="000E1FAF" w:rsidRDefault="005B2E2B" w:rsidP="00D62556">
            <w:pPr>
              <w:jc w:val="center"/>
              <w:rPr>
                <w:sz w:val="22"/>
                <w:szCs w:val="22"/>
              </w:rPr>
            </w:pPr>
            <w:r w:rsidRPr="000E1FAF">
              <w:rPr>
                <w:sz w:val="22"/>
                <w:szCs w:val="22"/>
              </w:rPr>
              <w:t>4</w:t>
            </w:r>
          </w:p>
        </w:tc>
        <w:tc>
          <w:tcPr>
            <w:tcW w:w="555" w:type="dxa"/>
          </w:tcPr>
          <w:p w:rsidR="005B2E2B" w:rsidRPr="000E1FAF" w:rsidRDefault="005B2E2B" w:rsidP="00BA1FE5">
            <w:pPr>
              <w:jc w:val="center"/>
              <w:rPr>
                <w:sz w:val="22"/>
                <w:szCs w:val="22"/>
              </w:rPr>
            </w:pPr>
            <w:r w:rsidRPr="000E1FAF">
              <w:rPr>
                <w:sz w:val="22"/>
                <w:szCs w:val="22"/>
              </w:rPr>
              <w:t>14</w:t>
            </w:r>
          </w:p>
        </w:tc>
      </w:tr>
      <w:tr w:rsidR="000E1FAF" w:rsidRPr="000E1FAF" w:rsidTr="0090128C">
        <w:tc>
          <w:tcPr>
            <w:tcW w:w="6852" w:type="dxa"/>
          </w:tcPr>
          <w:p w:rsidR="005B2E2B" w:rsidRPr="000E1FAF" w:rsidRDefault="005B2E2B" w:rsidP="00D62556">
            <w:pPr>
              <w:rPr>
                <w:sz w:val="22"/>
                <w:szCs w:val="22"/>
              </w:rPr>
            </w:pPr>
            <w:r w:rsidRPr="000E1FAF">
              <w:rPr>
                <w:b/>
                <w:sz w:val="22"/>
                <w:szCs w:val="22"/>
              </w:rPr>
              <w:t xml:space="preserve">ECC/DEC/(05)09 – </w:t>
            </w:r>
            <w:r w:rsidRPr="000E1FAF">
              <w:rPr>
                <w:sz w:val="22"/>
                <w:szCs w:val="22"/>
              </w:rPr>
              <w:t>ECC Decision of 24 June 2005</w:t>
            </w:r>
            <w:r w:rsidRPr="000E1FAF">
              <w:rPr>
                <w:b/>
                <w:sz w:val="22"/>
                <w:szCs w:val="22"/>
              </w:rPr>
              <w:t xml:space="preserve"> </w:t>
            </w:r>
            <w:r w:rsidRPr="000E1FAF">
              <w:rPr>
                <w:sz w:val="22"/>
                <w:szCs w:val="22"/>
              </w:rPr>
              <w:t>on the free circulation and use of Earth Stations on board Vessels operating in fixed satellite service networks in the frequency bands 5 925-6 425 MHz (Earth-to-space) and 3 700-4 200 MHz (space-to- Earth)</w:t>
            </w:r>
          </w:p>
          <w:p w:rsidR="00E2301A" w:rsidRPr="00F92C3E" w:rsidRDefault="000250FB" w:rsidP="00D62556">
            <w:pPr>
              <w:rPr>
                <w:i/>
                <w:color w:val="FF0000"/>
                <w:sz w:val="22"/>
                <w:szCs w:val="22"/>
              </w:rPr>
            </w:pPr>
            <w:r w:rsidRPr="00F92C3E">
              <w:rPr>
                <w:i/>
                <w:color w:val="FF0000"/>
                <w:sz w:val="22"/>
                <w:szCs w:val="22"/>
              </w:rPr>
              <w:lastRenderedPageBreak/>
              <w:t>Note: should be reviewed after WRC-15</w:t>
            </w:r>
          </w:p>
        </w:tc>
        <w:tc>
          <w:tcPr>
            <w:tcW w:w="1341" w:type="dxa"/>
          </w:tcPr>
          <w:p w:rsidR="005B2E2B" w:rsidRPr="000E1FAF" w:rsidRDefault="005B2E2B" w:rsidP="00D62556">
            <w:pPr>
              <w:rPr>
                <w:sz w:val="22"/>
                <w:szCs w:val="22"/>
              </w:rPr>
            </w:pPr>
            <w:r w:rsidRPr="000E1FAF">
              <w:rPr>
                <w:sz w:val="22"/>
                <w:szCs w:val="22"/>
              </w:rPr>
              <w:lastRenderedPageBreak/>
              <w:t>FM44</w:t>
            </w:r>
          </w:p>
        </w:tc>
        <w:tc>
          <w:tcPr>
            <w:tcW w:w="1719" w:type="dxa"/>
          </w:tcPr>
          <w:p w:rsidR="005B2E2B" w:rsidRPr="000E1FAF" w:rsidRDefault="005B2E2B" w:rsidP="00D62556">
            <w:pPr>
              <w:rPr>
                <w:sz w:val="22"/>
                <w:szCs w:val="22"/>
              </w:rPr>
            </w:pPr>
            <w:r w:rsidRPr="000E1FAF">
              <w:rPr>
                <w:bCs/>
                <w:sz w:val="22"/>
                <w:szCs w:val="22"/>
              </w:rPr>
              <w:t>Retain</w:t>
            </w:r>
          </w:p>
        </w:tc>
        <w:tc>
          <w:tcPr>
            <w:tcW w:w="1136" w:type="dxa"/>
          </w:tcPr>
          <w:p w:rsidR="005B2E2B" w:rsidRPr="000E1FAF" w:rsidRDefault="005B2E2B" w:rsidP="006607D7">
            <w:pPr>
              <w:rPr>
                <w:sz w:val="22"/>
                <w:szCs w:val="22"/>
                <w:lang w:val="ru-RU"/>
              </w:rPr>
            </w:pPr>
            <w:r w:rsidRPr="000E1FAF">
              <w:rPr>
                <w:sz w:val="22"/>
                <w:szCs w:val="22"/>
                <w:lang w:val="ru-RU"/>
              </w:rPr>
              <w:t>201</w:t>
            </w:r>
            <w:r w:rsidR="00E2301A" w:rsidRPr="000E1FAF">
              <w:rPr>
                <w:sz w:val="22"/>
                <w:szCs w:val="22"/>
                <w:lang w:val="da-DK"/>
              </w:rPr>
              <w:t>6</w:t>
            </w:r>
          </w:p>
        </w:tc>
        <w:tc>
          <w:tcPr>
            <w:tcW w:w="1216" w:type="dxa"/>
            <w:shd w:val="clear" w:color="auto" w:fill="auto"/>
          </w:tcPr>
          <w:p w:rsidR="005B2E2B" w:rsidRPr="000E1FAF" w:rsidRDefault="005B2E2B" w:rsidP="00D62556">
            <w:pPr>
              <w:jc w:val="center"/>
              <w:rPr>
                <w:sz w:val="22"/>
                <w:szCs w:val="22"/>
              </w:rPr>
            </w:pPr>
          </w:p>
        </w:tc>
        <w:tc>
          <w:tcPr>
            <w:tcW w:w="644" w:type="dxa"/>
          </w:tcPr>
          <w:p w:rsidR="005B2E2B" w:rsidRPr="000E1FAF" w:rsidRDefault="005B2E2B" w:rsidP="00D62556">
            <w:pPr>
              <w:jc w:val="center"/>
              <w:rPr>
                <w:sz w:val="22"/>
                <w:szCs w:val="22"/>
              </w:rPr>
            </w:pPr>
            <w:r w:rsidRPr="000E1FAF">
              <w:rPr>
                <w:sz w:val="22"/>
                <w:szCs w:val="22"/>
              </w:rPr>
              <w:t>22</w:t>
            </w:r>
          </w:p>
        </w:tc>
        <w:tc>
          <w:tcPr>
            <w:tcW w:w="552" w:type="dxa"/>
          </w:tcPr>
          <w:p w:rsidR="005B2E2B" w:rsidRPr="000E1FAF" w:rsidRDefault="005B2E2B" w:rsidP="00D62556">
            <w:pPr>
              <w:jc w:val="center"/>
              <w:rPr>
                <w:sz w:val="22"/>
                <w:szCs w:val="22"/>
              </w:rPr>
            </w:pPr>
            <w:r w:rsidRPr="000E1FAF">
              <w:rPr>
                <w:sz w:val="22"/>
                <w:szCs w:val="22"/>
              </w:rPr>
              <w:t>1</w:t>
            </w:r>
          </w:p>
        </w:tc>
        <w:tc>
          <w:tcPr>
            <w:tcW w:w="555" w:type="dxa"/>
          </w:tcPr>
          <w:p w:rsidR="005B2E2B" w:rsidRPr="000E1FAF" w:rsidRDefault="005B2E2B" w:rsidP="00050D1A">
            <w:pPr>
              <w:jc w:val="center"/>
              <w:rPr>
                <w:sz w:val="22"/>
                <w:szCs w:val="22"/>
              </w:rPr>
            </w:pPr>
            <w:r w:rsidRPr="000E1FAF">
              <w:rPr>
                <w:sz w:val="22"/>
                <w:szCs w:val="22"/>
              </w:rPr>
              <w:t>11</w:t>
            </w:r>
          </w:p>
        </w:tc>
        <w:tc>
          <w:tcPr>
            <w:tcW w:w="555" w:type="dxa"/>
          </w:tcPr>
          <w:p w:rsidR="005B2E2B" w:rsidRPr="000E1FAF" w:rsidRDefault="005B2E2B" w:rsidP="00050D1A">
            <w:pPr>
              <w:jc w:val="center"/>
              <w:rPr>
                <w:sz w:val="22"/>
                <w:szCs w:val="22"/>
              </w:rPr>
            </w:pPr>
            <w:r w:rsidRPr="000E1FAF">
              <w:rPr>
                <w:sz w:val="22"/>
                <w:szCs w:val="22"/>
              </w:rPr>
              <w:t>14</w:t>
            </w:r>
          </w:p>
        </w:tc>
      </w:tr>
      <w:tr w:rsidR="000E1FAF" w:rsidRPr="000E1FAF" w:rsidTr="0090128C">
        <w:tc>
          <w:tcPr>
            <w:tcW w:w="6852" w:type="dxa"/>
          </w:tcPr>
          <w:p w:rsidR="005B2E2B" w:rsidRPr="000E1FAF" w:rsidRDefault="005B2E2B" w:rsidP="00D62556">
            <w:pPr>
              <w:rPr>
                <w:sz w:val="22"/>
                <w:szCs w:val="22"/>
              </w:rPr>
            </w:pPr>
            <w:r w:rsidRPr="000E1FAF">
              <w:rPr>
                <w:b/>
                <w:sz w:val="22"/>
                <w:szCs w:val="22"/>
              </w:rPr>
              <w:lastRenderedPageBreak/>
              <w:t xml:space="preserve">ECC/DEC/(05)10 – </w:t>
            </w:r>
            <w:r w:rsidRPr="000E1FAF">
              <w:rPr>
                <w:sz w:val="22"/>
                <w:szCs w:val="22"/>
              </w:rPr>
              <w:t>ECC Decision of 24 June 2005 on the free circulation and use of Earth Stations on board Vessels operating in fixed satellite service networks in the frequency bands 14-14.5 GHz (Earth-to-space), 10.7-11.7 GHz (space-to-Earth) and 12.5-12.75  GHz (space-to-Earth)</w:t>
            </w:r>
          </w:p>
          <w:p w:rsidR="00E2301A" w:rsidRPr="00F92C3E" w:rsidRDefault="000250FB" w:rsidP="00D62556">
            <w:pPr>
              <w:rPr>
                <w:i/>
                <w:color w:val="FF0000"/>
                <w:sz w:val="22"/>
                <w:szCs w:val="22"/>
              </w:rPr>
            </w:pPr>
            <w:r w:rsidRPr="00F92C3E">
              <w:rPr>
                <w:i/>
                <w:color w:val="FF0000"/>
                <w:sz w:val="22"/>
                <w:szCs w:val="22"/>
              </w:rPr>
              <w:t>Note: should be reviewed after WRC-15</w:t>
            </w:r>
          </w:p>
        </w:tc>
        <w:tc>
          <w:tcPr>
            <w:tcW w:w="1341" w:type="dxa"/>
          </w:tcPr>
          <w:p w:rsidR="005B2E2B" w:rsidRPr="000E1FAF" w:rsidRDefault="005B2E2B" w:rsidP="00D62556">
            <w:pPr>
              <w:rPr>
                <w:sz w:val="22"/>
                <w:szCs w:val="22"/>
              </w:rPr>
            </w:pPr>
            <w:r w:rsidRPr="000E1FAF">
              <w:rPr>
                <w:sz w:val="22"/>
                <w:szCs w:val="22"/>
              </w:rPr>
              <w:t>FM44</w:t>
            </w:r>
          </w:p>
        </w:tc>
        <w:tc>
          <w:tcPr>
            <w:tcW w:w="1719" w:type="dxa"/>
          </w:tcPr>
          <w:p w:rsidR="005B2E2B" w:rsidRPr="000E1FAF" w:rsidRDefault="005B2E2B" w:rsidP="00D62556">
            <w:pPr>
              <w:rPr>
                <w:sz w:val="22"/>
                <w:szCs w:val="22"/>
              </w:rPr>
            </w:pPr>
            <w:r w:rsidRPr="000E1FAF">
              <w:rPr>
                <w:bCs/>
                <w:sz w:val="22"/>
                <w:szCs w:val="22"/>
              </w:rPr>
              <w:t>Retain</w:t>
            </w:r>
          </w:p>
        </w:tc>
        <w:tc>
          <w:tcPr>
            <w:tcW w:w="1136" w:type="dxa"/>
          </w:tcPr>
          <w:p w:rsidR="005B2E2B" w:rsidRPr="000E1FAF" w:rsidRDefault="005B2E2B" w:rsidP="006607D7">
            <w:pPr>
              <w:rPr>
                <w:sz w:val="22"/>
                <w:szCs w:val="22"/>
                <w:lang w:val="ru-RU"/>
              </w:rPr>
            </w:pPr>
            <w:r w:rsidRPr="000E1FAF">
              <w:rPr>
                <w:sz w:val="22"/>
                <w:szCs w:val="22"/>
                <w:lang w:val="ru-RU"/>
              </w:rPr>
              <w:t>201</w:t>
            </w:r>
            <w:r w:rsidR="00E2301A" w:rsidRPr="000E1FAF">
              <w:rPr>
                <w:sz w:val="22"/>
                <w:szCs w:val="22"/>
                <w:lang w:val="da-DK"/>
              </w:rPr>
              <w:t>6</w:t>
            </w:r>
          </w:p>
        </w:tc>
        <w:tc>
          <w:tcPr>
            <w:tcW w:w="1216" w:type="dxa"/>
            <w:shd w:val="clear" w:color="auto" w:fill="auto"/>
          </w:tcPr>
          <w:p w:rsidR="005B2E2B" w:rsidRPr="000E1FAF" w:rsidRDefault="005B2E2B" w:rsidP="00050D1A">
            <w:pPr>
              <w:jc w:val="center"/>
              <w:rPr>
                <w:sz w:val="22"/>
                <w:szCs w:val="22"/>
              </w:rPr>
            </w:pPr>
          </w:p>
        </w:tc>
        <w:tc>
          <w:tcPr>
            <w:tcW w:w="644" w:type="dxa"/>
          </w:tcPr>
          <w:p w:rsidR="005B2E2B" w:rsidRPr="000E1FAF" w:rsidRDefault="005B2E2B" w:rsidP="00050D1A">
            <w:pPr>
              <w:jc w:val="center"/>
              <w:rPr>
                <w:sz w:val="22"/>
                <w:szCs w:val="22"/>
              </w:rPr>
            </w:pPr>
            <w:r w:rsidRPr="000E1FAF">
              <w:rPr>
                <w:sz w:val="22"/>
                <w:szCs w:val="22"/>
              </w:rPr>
              <w:t>26</w:t>
            </w:r>
          </w:p>
        </w:tc>
        <w:tc>
          <w:tcPr>
            <w:tcW w:w="552" w:type="dxa"/>
          </w:tcPr>
          <w:p w:rsidR="005B2E2B" w:rsidRPr="000E1FAF" w:rsidRDefault="005B2E2B" w:rsidP="00050D1A">
            <w:pPr>
              <w:jc w:val="center"/>
              <w:rPr>
                <w:sz w:val="22"/>
                <w:szCs w:val="22"/>
              </w:rPr>
            </w:pPr>
            <w:r w:rsidRPr="000E1FAF">
              <w:rPr>
                <w:sz w:val="22"/>
                <w:szCs w:val="22"/>
              </w:rPr>
              <w:t>1</w:t>
            </w:r>
          </w:p>
        </w:tc>
        <w:tc>
          <w:tcPr>
            <w:tcW w:w="555" w:type="dxa"/>
          </w:tcPr>
          <w:p w:rsidR="005B2E2B" w:rsidRPr="000E1FAF" w:rsidRDefault="005B2E2B" w:rsidP="00050D1A">
            <w:pPr>
              <w:jc w:val="center"/>
              <w:rPr>
                <w:sz w:val="22"/>
                <w:szCs w:val="22"/>
              </w:rPr>
            </w:pPr>
            <w:r w:rsidRPr="000E1FAF">
              <w:rPr>
                <w:sz w:val="22"/>
                <w:szCs w:val="22"/>
              </w:rPr>
              <w:t>7</w:t>
            </w:r>
          </w:p>
        </w:tc>
        <w:tc>
          <w:tcPr>
            <w:tcW w:w="555" w:type="dxa"/>
          </w:tcPr>
          <w:p w:rsidR="005B2E2B" w:rsidRPr="000E1FAF" w:rsidRDefault="005B2E2B" w:rsidP="00050D1A">
            <w:pPr>
              <w:jc w:val="center"/>
              <w:rPr>
                <w:sz w:val="22"/>
                <w:szCs w:val="22"/>
              </w:rPr>
            </w:pPr>
            <w:r w:rsidRPr="000E1FAF">
              <w:rPr>
                <w:sz w:val="22"/>
                <w:szCs w:val="22"/>
              </w:rPr>
              <w:t>14</w:t>
            </w:r>
          </w:p>
        </w:tc>
      </w:tr>
      <w:tr w:rsidR="000E1FAF" w:rsidRPr="000E1FAF" w:rsidTr="0090128C">
        <w:tc>
          <w:tcPr>
            <w:tcW w:w="6852" w:type="dxa"/>
          </w:tcPr>
          <w:p w:rsidR="005B2E2B" w:rsidRPr="000E1FAF" w:rsidRDefault="005B2E2B">
            <w:pPr>
              <w:rPr>
                <w:sz w:val="22"/>
                <w:szCs w:val="22"/>
              </w:rPr>
            </w:pPr>
            <w:r w:rsidRPr="000E1FAF">
              <w:rPr>
                <w:b/>
                <w:sz w:val="22"/>
                <w:szCs w:val="22"/>
              </w:rPr>
              <w:t xml:space="preserve">ECC/DEC/(05)11 – </w:t>
            </w:r>
            <w:r w:rsidRPr="000E1FAF">
              <w:rPr>
                <w:sz w:val="22"/>
                <w:szCs w:val="22"/>
              </w:rPr>
              <w:t>ECC Decision of 24 June 2005 on the free circulation and use of Aircraft Earth Stations (AES) in the frequency bands 14.0-14.5 GHz (Earth-to-space), 10.7-11.7 GHz (space-to-Earth) and 12.5-12.75 GHz (space-to-Earth)</w:t>
            </w:r>
          </w:p>
          <w:p w:rsidR="006607D7" w:rsidRPr="00F92C3E" w:rsidRDefault="000250FB" w:rsidP="006607D7">
            <w:pPr>
              <w:rPr>
                <w:color w:val="FF0000"/>
                <w:sz w:val="22"/>
                <w:szCs w:val="22"/>
              </w:rPr>
            </w:pPr>
            <w:r w:rsidRPr="00F92C3E">
              <w:rPr>
                <w:i/>
                <w:color w:val="FF0000"/>
                <w:sz w:val="22"/>
                <w:szCs w:val="22"/>
              </w:rPr>
              <w:t xml:space="preserve">Note: FM44 proposes to review this Decision </w:t>
            </w:r>
            <w:r w:rsidR="006607D7" w:rsidRPr="00F92C3E">
              <w:rPr>
                <w:i/>
                <w:color w:val="FF0000"/>
                <w:sz w:val="22"/>
                <w:szCs w:val="22"/>
              </w:rPr>
              <w:t xml:space="preserve">in 2014 </w:t>
            </w:r>
            <w:r w:rsidRPr="00F92C3E">
              <w:rPr>
                <w:i/>
                <w:color w:val="FF0000"/>
                <w:sz w:val="22"/>
                <w:szCs w:val="22"/>
              </w:rPr>
              <w:t>and the outcome may or may not lead to a revision of the Decision</w:t>
            </w:r>
            <w:r w:rsidR="006607D7" w:rsidRPr="00F92C3E">
              <w:rPr>
                <w:color w:val="FF0000"/>
                <w:sz w:val="22"/>
                <w:szCs w:val="22"/>
              </w:rPr>
              <w:t>.</w:t>
            </w:r>
          </w:p>
        </w:tc>
        <w:tc>
          <w:tcPr>
            <w:tcW w:w="1341" w:type="dxa"/>
          </w:tcPr>
          <w:p w:rsidR="005B2E2B" w:rsidRPr="000E1FAF" w:rsidRDefault="005B2E2B">
            <w:pPr>
              <w:rPr>
                <w:sz w:val="22"/>
                <w:szCs w:val="22"/>
              </w:rPr>
            </w:pPr>
            <w:r w:rsidRPr="000E1FAF">
              <w:rPr>
                <w:sz w:val="22"/>
                <w:szCs w:val="22"/>
              </w:rPr>
              <w:t>FM44</w:t>
            </w:r>
          </w:p>
        </w:tc>
        <w:tc>
          <w:tcPr>
            <w:tcW w:w="1719" w:type="dxa"/>
          </w:tcPr>
          <w:p w:rsidR="005B2E2B" w:rsidRPr="000E1FAF" w:rsidRDefault="005B2E2B" w:rsidP="006607D7">
            <w:pPr>
              <w:rPr>
                <w:sz w:val="22"/>
                <w:szCs w:val="22"/>
              </w:rPr>
            </w:pPr>
            <w:r w:rsidRPr="000E1FAF">
              <w:rPr>
                <w:bCs/>
                <w:sz w:val="22"/>
                <w:szCs w:val="22"/>
              </w:rPr>
              <w:t>Re</w:t>
            </w:r>
            <w:r w:rsidR="006607D7" w:rsidRPr="000E1FAF">
              <w:rPr>
                <w:bCs/>
                <w:sz w:val="22"/>
                <w:szCs w:val="22"/>
              </w:rPr>
              <w:t>view</w:t>
            </w:r>
          </w:p>
        </w:tc>
        <w:tc>
          <w:tcPr>
            <w:tcW w:w="1136" w:type="dxa"/>
          </w:tcPr>
          <w:p w:rsidR="005B2E2B" w:rsidRPr="000E1FAF" w:rsidRDefault="005B2E2B">
            <w:pPr>
              <w:rPr>
                <w:sz w:val="22"/>
                <w:szCs w:val="22"/>
                <w:lang w:val="ru-RU"/>
              </w:rPr>
            </w:pPr>
            <w:r w:rsidRPr="000E1FAF">
              <w:rPr>
                <w:sz w:val="22"/>
                <w:szCs w:val="22"/>
                <w:lang w:val="ru-RU"/>
              </w:rPr>
              <w:t>2014</w:t>
            </w:r>
          </w:p>
        </w:tc>
        <w:tc>
          <w:tcPr>
            <w:tcW w:w="1216" w:type="dxa"/>
            <w:shd w:val="clear" w:color="auto" w:fill="auto"/>
          </w:tcPr>
          <w:p w:rsidR="005B2E2B" w:rsidRPr="000E1FAF" w:rsidRDefault="005B2E2B" w:rsidP="00BA1FE5">
            <w:pPr>
              <w:jc w:val="center"/>
              <w:rPr>
                <w:sz w:val="22"/>
                <w:szCs w:val="22"/>
              </w:rPr>
            </w:pPr>
          </w:p>
        </w:tc>
        <w:tc>
          <w:tcPr>
            <w:tcW w:w="644" w:type="dxa"/>
          </w:tcPr>
          <w:p w:rsidR="005B2E2B" w:rsidRPr="000E1FAF" w:rsidRDefault="005B2E2B" w:rsidP="00BA1FE5">
            <w:pPr>
              <w:jc w:val="center"/>
              <w:rPr>
                <w:sz w:val="22"/>
                <w:szCs w:val="22"/>
              </w:rPr>
            </w:pPr>
            <w:r w:rsidRPr="000E1FAF">
              <w:rPr>
                <w:sz w:val="22"/>
                <w:szCs w:val="22"/>
              </w:rPr>
              <w:t>31</w:t>
            </w:r>
          </w:p>
        </w:tc>
        <w:tc>
          <w:tcPr>
            <w:tcW w:w="552" w:type="dxa"/>
          </w:tcPr>
          <w:p w:rsidR="005B2E2B" w:rsidRPr="000E1FAF" w:rsidRDefault="005B2E2B">
            <w:pPr>
              <w:jc w:val="center"/>
              <w:rPr>
                <w:bCs/>
                <w:sz w:val="22"/>
                <w:szCs w:val="22"/>
              </w:rPr>
            </w:pPr>
            <w:r w:rsidRPr="000E1FAF">
              <w:rPr>
                <w:bCs/>
                <w:sz w:val="22"/>
                <w:szCs w:val="22"/>
              </w:rPr>
              <w:t>2</w:t>
            </w:r>
          </w:p>
        </w:tc>
        <w:tc>
          <w:tcPr>
            <w:tcW w:w="555" w:type="dxa"/>
          </w:tcPr>
          <w:p w:rsidR="005B2E2B" w:rsidRPr="000E1FAF" w:rsidRDefault="005B2E2B" w:rsidP="00BA1FE5">
            <w:pPr>
              <w:jc w:val="center"/>
              <w:rPr>
                <w:bCs/>
                <w:sz w:val="22"/>
                <w:szCs w:val="22"/>
              </w:rPr>
            </w:pPr>
            <w:r w:rsidRPr="000E1FAF">
              <w:rPr>
                <w:bCs/>
                <w:sz w:val="22"/>
                <w:szCs w:val="22"/>
              </w:rPr>
              <w:t>2</w:t>
            </w:r>
          </w:p>
        </w:tc>
        <w:tc>
          <w:tcPr>
            <w:tcW w:w="555" w:type="dxa"/>
          </w:tcPr>
          <w:p w:rsidR="005B2E2B" w:rsidRPr="000E1FAF" w:rsidRDefault="005B2E2B" w:rsidP="00050D1A">
            <w:pPr>
              <w:jc w:val="center"/>
              <w:rPr>
                <w:bCs/>
                <w:sz w:val="22"/>
                <w:szCs w:val="22"/>
              </w:rPr>
            </w:pPr>
            <w:r w:rsidRPr="000E1FAF">
              <w:rPr>
                <w:bCs/>
                <w:sz w:val="22"/>
                <w:szCs w:val="22"/>
              </w:rPr>
              <w:t>13</w:t>
            </w:r>
          </w:p>
        </w:tc>
      </w:tr>
      <w:tr w:rsidR="000E1FAF" w:rsidRPr="000E1FAF" w:rsidTr="0090128C">
        <w:tc>
          <w:tcPr>
            <w:tcW w:w="6852" w:type="dxa"/>
            <w:tcBorders>
              <w:bottom w:val="single" w:sz="4" w:space="0" w:color="000000"/>
            </w:tcBorders>
          </w:tcPr>
          <w:p w:rsidR="005B2E2B" w:rsidRPr="000E1FAF" w:rsidRDefault="005B2E2B" w:rsidP="00F21C58">
            <w:pPr>
              <w:rPr>
                <w:bCs/>
                <w:sz w:val="22"/>
                <w:szCs w:val="22"/>
              </w:rPr>
            </w:pPr>
            <w:r w:rsidRPr="000E1FAF">
              <w:rPr>
                <w:b/>
                <w:sz w:val="22"/>
                <w:szCs w:val="22"/>
              </w:rPr>
              <w:t xml:space="preserve">ECC/DEC/(05)12 – </w:t>
            </w:r>
            <w:r w:rsidRPr="000E1FAF">
              <w:rPr>
                <w:sz w:val="22"/>
                <w:szCs w:val="22"/>
              </w:rPr>
              <w:t xml:space="preserve">ECC Decision of 28 October 2005 </w:t>
            </w:r>
            <w:r w:rsidRPr="000E1FAF">
              <w:rPr>
                <w:bCs/>
                <w:sz w:val="22"/>
                <w:szCs w:val="22"/>
              </w:rPr>
              <w:t>on harmonised frequencies, technical characteristics, exemption from individual licensing and free carriage and use  of digital PMR 446 applications operating in the frequency band 446.1- 446.2 MHz</w:t>
            </w:r>
          </w:p>
          <w:p w:rsidR="00256AB5" w:rsidRPr="00F92C3E" w:rsidRDefault="008E51F4">
            <w:pPr>
              <w:rPr>
                <w:i/>
                <w:color w:val="FF0000"/>
                <w:sz w:val="22"/>
                <w:szCs w:val="22"/>
              </w:rPr>
            </w:pPr>
            <w:r w:rsidRPr="00F92C3E">
              <w:rPr>
                <w:bCs/>
                <w:i/>
                <w:color w:val="FF0000"/>
                <w:sz w:val="22"/>
                <w:szCs w:val="22"/>
              </w:rPr>
              <w:t xml:space="preserve">Note: More robust analogue receiver specifications in place now at ETSI as requested by WGFM/SRD/MG. Review on-going in SRD/MG. May also affect ERC/DEC/(98)25 </w:t>
            </w:r>
          </w:p>
        </w:tc>
        <w:tc>
          <w:tcPr>
            <w:tcW w:w="1341" w:type="dxa"/>
            <w:tcBorders>
              <w:bottom w:val="single" w:sz="4" w:space="0" w:color="000000"/>
            </w:tcBorders>
          </w:tcPr>
          <w:p w:rsidR="005B2E2B" w:rsidRPr="000E1FAF" w:rsidRDefault="005B2E2B">
            <w:pPr>
              <w:rPr>
                <w:sz w:val="22"/>
                <w:szCs w:val="22"/>
              </w:rPr>
            </w:pPr>
            <w:r w:rsidRPr="000E1FAF">
              <w:rPr>
                <w:sz w:val="22"/>
                <w:szCs w:val="22"/>
              </w:rPr>
              <w:t>SRD/MG</w:t>
            </w:r>
          </w:p>
        </w:tc>
        <w:tc>
          <w:tcPr>
            <w:tcW w:w="1719" w:type="dxa"/>
            <w:tcBorders>
              <w:bottom w:val="single" w:sz="4" w:space="0" w:color="000000"/>
            </w:tcBorders>
          </w:tcPr>
          <w:p w:rsidR="005B2E2B" w:rsidRPr="000E1FAF" w:rsidRDefault="005B2E2B" w:rsidP="006607D7">
            <w:pPr>
              <w:rPr>
                <w:sz w:val="22"/>
                <w:szCs w:val="22"/>
              </w:rPr>
            </w:pPr>
            <w:r w:rsidRPr="000E1FAF">
              <w:rPr>
                <w:bCs/>
                <w:sz w:val="22"/>
                <w:szCs w:val="22"/>
              </w:rPr>
              <w:t>Re</w:t>
            </w:r>
            <w:r w:rsidR="006607D7" w:rsidRPr="000E1FAF">
              <w:rPr>
                <w:bCs/>
                <w:sz w:val="22"/>
                <w:szCs w:val="22"/>
              </w:rPr>
              <w:t>vise</w:t>
            </w:r>
          </w:p>
        </w:tc>
        <w:tc>
          <w:tcPr>
            <w:tcW w:w="1136" w:type="dxa"/>
            <w:tcBorders>
              <w:bottom w:val="single" w:sz="4" w:space="0" w:color="000000"/>
            </w:tcBorders>
          </w:tcPr>
          <w:p w:rsidR="005B2E2B" w:rsidRPr="000E1FAF" w:rsidRDefault="005B2E2B">
            <w:pPr>
              <w:rPr>
                <w:sz w:val="22"/>
                <w:szCs w:val="22"/>
                <w:lang w:val="ru-RU"/>
              </w:rPr>
            </w:pPr>
            <w:r w:rsidRPr="000E1FAF">
              <w:rPr>
                <w:sz w:val="22"/>
                <w:szCs w:val="22"/>
                <w:lang w:val="ru-RU"/>
              </w:rPr>
              <w:t>2014</w:t>
            </w:r>
          </w:p>
        </w:tc>
        <w:tc>
          <w:tcPr>
            <w:tcW w:w="1216" w:type="dxa"/>
            <w:tcBorders>
              <w:bottom w:val="single" w:sz="4" w:space="0" w:color="000000"/>
            </w:tcBorders>
            <w:shd w:val="clear" w:color="auto" w:fill="auto"/>
          </w:tcPr>
          <w:p w:rsidR="005B2E2B" w:rsidRPr="000E1FAF" w:rsidRDefault="006607D7">
            <w:pPr>
              <w:jc w:val="center"/>
              <w:rPr>
                <w:sz w:val="22"/>
                <w:szCs w:val="22"/>
              </w:rPr>
            </w:pPr>
            <w:r w:rsidRPr="000E1FAF">
              <w:rPr>
                <w:sz w:val="22"/>
                <w:szCs w:val="22"/>
              </w:rPr>
              <w:t>Yes</w:t>
            </w:r>
          </w:p>
        </w:tc>
        <w:tc>
          <w:tcPr>
            <w:tcW w:w="644" w:type="dxa"/>
            <w:tcBorders>
              <w:bottom w:val="single" w:sz="4" w:space="0" w:color="000000"/>
            </w:tcBorders>
          </w:tcPr>
          <w:p w:rsidR="005B2E2B" w:rsidRPr="000E1FAF" w:rsidRDefault="005B2E2B">
            <w:pPr>
              <w:jc w:val="center"/>
              <w:rPr>
                <w:sz w:val="22"/>
                <w:szCs w:val="22"/>
              </w:rPr>
            </w:pPr>
            <w:r w:rsidRPr="000E1FAF">
              <w:rPr>
                <w:sz w:val="22"/>
                <w:szCs w:val="22"/>
              </w:rPr>
              <w:t>38</w:t>
            </w:r>
          </w:p>
        </w:tc>
        <w:tc>
          <w:tcPr>
            <w:tcW w:w="552" w:type="dxa"/>
            <w:tcBorders>
              <w:bottom w:val="single" w:sz="4" w:space="0" w:color="000000"/>
            </w:tcBorders>
          </w:tcPr>
          <w:p w:rsidR="005B2E2B" w:rsidRPr="000E1FAF" w:rsidRDefault="005B2E2B" w:rsidP="00AF6F73">
            <w:pPr>
              <w:jc w:val="center"/>
              <w:rPr>
                <w:bCs/>
                <w:sz w:val="22"/>
                <w:szCs w:val="22"/>
              </w:rPr>
            </w:pPr>
            <w:r w:rsidRPr="000E1FAF">
              <w:rPr>
                <w:bCs/>
                <w:sz w:val="22"/>
                <w:szCs w:val="22"/>
              </w:rPr>
              <w:t>1</w:t>
            </w:r>
          </w:p>
        </w:tc>
        <w:tc>
          <w:tcPr>
            <w:tcW w:w="555" w:type="dxa"/>
            <w:tcBorders>
              <w:bottom w:val="single" w:sz="4" w:space="0" w:color="000000"/>
            </w:tcBorders>
          </w:tcPr>
          <w:p w:rsidR="005B2E2B" w:rsidRPr="000E1FAF" w:rsidRDefault="005B2E2B">
            <w:pPr>
              <w:jc w:val="center"/>
              <w:rPr>
                <w:bCs/>
                <w:sz w:val="22"/>
                <w:szCs w:val="22"/>
              </w:rPr>
            </w:pPr>
            <w:r w:rsidRPr="000E1FAF">
              <w:rPr>
                <w:bCs/>
                <w:sz w:val="22"/>
                <w:szCs w:val="22"/>
              </w:rPr>
              <w:t>2</w:t>
            </w:r>
          </w:p>
        </w:tc>
        <w:tc>
          <w:tcPr>
            <w:tcW w:w="555" w:type="dxa"/>
            <w:tcBorders>
              <w:bottom w:val="single" w:sz="4" w:space="0" w:color="000000"/>
            </w:tcBorders>
          </w:tcPr>
          <w:p w:rsidR="005B2E2B" w:rsidRPr="000E1FAF" w:rsidRDefault="005B2E2B" w:rsidP="00AF6F73">
            <w:pPr>
              <w:jc w:val="center"/>
              <w:rPr>
                <w:bCs/>
                <w:sz w:val="22"/>
                <w:szCs w:val="22"/>
              </w:rPr>
            </w:pPr>
            <w:r w:rsidRPr="000E1FAF">
              <w:rPr>
                <w:bCs/>
                <w:sz w:val="22"/>
                <w:szCs w:val="22"/>
              </w:rPr>
              <w:t>7</w:t>
            </w:r>
          </w:p>
        </w:tc>
      </w:tr>
      <w:tr w:rsidR="000E1FAF" w:rsidRPr="000E1FAF" w:rsidTr="0090128C">
        <w:tc>
          <w:tcPr>
            <w:tcW w:w="6852" w:type="dxa"/>
            <w:shd w:val="clear" w:color="auto" w:fill="auto"/>
          </w:tcPr>
          <w:p w:rsidR="005B2E2B" w:rsidRPr="000E1FAF" w:rsidRDefault="005B2E2B" w:rsidP="000E098D">
            <w:pPr>
              <w:rPr>
                <w:sz w:val="22"/>
                <w:szCs w:val="22"/>
              </w:rPr>
            </w:pPr>
            <w:r w:rsidRPr="000E1FAF">
              <w:rPr>
                <w:b/>
                <w:sz w:val="22"/>
                <w:szCs w:val="22"/>
              </w:rPr>
              <w:t xml:space="preserve">ECC/DEC/(06)01 – </w:t>
            </w:r>
            <w:r w:rsidRPr="000E1FAF">
              <w:rPr>
                <w:sz w:val="22"/>
                <w:szCs w:val="22"/>
              </w:rPr>
              <w:t>ECC Decision of 24 March 2006 on the harmonised utilisation of spectrum for terrestrial IMT-2000/UMTS systems operating within the bands 1900 – 1980 MHz, 2010 – 2025 MHz and 2110 – 2170 MHz</w:t>
            </w:r>
          </w:p>
          <w:p w:rsidR="00031761" w:rsidRPr="00F92C3E" w:rsidRDefault="00031761" w:rsidP="00EC62A3">
            <w:pPr>
              <w:rPr>
                <w:i/>
                <w:color w:val="FF0000"/>
                <w:sz w:val="22"/>
                <w:szCs w:val="22"/>
              </w:rPr>
            </w:pPr>
            <w:r w:rsidRPr="00F92C3E">
              <w:rPr>
                <w:i/>
                <w:color w:val="FF0000"/>
                <w:sz w:val="22"/>
                <w:szCs w:val="22"/>
              </w:rPr>
              <w:t>Note:</w:t>
            </w:r>
            <w:r w:rsidR="00EC62A3" w:rsidRPr="00F92C3E">
              <w:rPr>
                <w:i/>
                <w:color w:val="FF0000"/>
                <w:sz w:val="22"/>
                <w:szCs w:val="22"/>
              </w:rPr>
              <w:t xml:space="preserve"> Amended 02 November 2012 as follows</w:t>
            </w:r>
            <w:r w:rsidR="00EC62A3" w:rsidRPr="00F92C3E">
              <w:rPr>
                <w:i/>
                <w:color w:val="FF0000"/>
                <w:sz w:val="22"/>
                <w:szCs w:val="22"/>
                <w:lang w:val="en-US"/>
              </w:rPr>
              <w:t xml:space="preserve"> </w:t>
            </w:r>
            <w:r w:rsidRPr="00F92C3E">
              <w:rPr>
                <w:i/>
                <w:color w:val="FF0000"/>
                <w:sz w:val="22"/>
                <w:szCs w:val="22"/>
              </w:rPr>
              <w:t>(scope was reduced to the paired 2GHz bands only):</w:t>
            </w:r>
          </w:p>
          <w:p w:rsidR="00901051" w:rsidRDefault="00031761" w:rsidP="00F92C3E">
            <w:pPr>
              <w:autoSpaceDE w:val="0"/>
              <w:autoSpaceDN w:val="0"/>
              <w:adjustRightInd w:val="0"/>
              <w:rPr>
                <w:sz w:val="22"/>
                <w:szCs w:val="22"/>
              </w:rPr>
            </w:pPr>
            <w:r w:rsidRPr="00F92C3E">
              <w:rPr>
                <w:i/>
                <w:color w:val="FF0000"/>
                <w:sz w:val="22"/>
                <w:szCs w:val="22"/>
              </w:rPr>
              <w:t>The harmonised utilisation of the bands1920-1980 MHz and 2110-2170 MHz for mobile/fixed communications networks (MFCN) including terrestrial IMT systems</w:t>
            </w:r>
          </w:p>
        </w:tc>
        <w:tc>
          <w:tcPr>
            <w:tcW w:w="1341" w:type="dxa"/>
            <w:shd w:val="clear" w:color="auto" w:fill="auto"/>
          </w:tcPr>
          <w:p w:rsidR="005B2E2B" w:rsidRPr="000E1FAF" w:rsidRDefault="005B2E2B" w:rsidP="00D62556">
            <w:pPr>
              <w:rPr>
                <w:sz w:val="22"/>
                <w:szCs w:val="22"/>
              </w:rPr>
            </w:pPr>
            <w:r w:rsidRPr="000E1FAF">
              <w:rPr>
                <w:sz w:val="22"/>
                <w:szCs w:val="22"/>
              </w:rPr>
              <w:t>ECC PT1</w:t>
            </w:r>
          </w:p>
        </w:tc>
        <w:tc>
          <w:tcPr>
            <w:tcW w:w="1719" w:type="dxa"/>
            <w:shd w:val="clear" w:color="auto" w:fill="auto"/>
          </w:tcPr>
          <w:p w:rsidR="005B2E2B" w:rsidRPr="000E1FAF" w:rsidRDefault="005B2E2B" w:rsidP="00C85D95">
            <w:pPr>
              <w:rPr>
                <w:bCs/>
                <w:sz w:val="22"/>
                <w:szCs w:val="22"/>
              </w:rPr>
            </w:pPr>
            <w:r w:rsidRPr="000E1FAF">
              <w:rPr>
                <w:bCs/>
                <w:sz w:val="22"/>
                <w:szCs w:val="22"/>
              </w:rPr>
              <w:t xml:space="preserve">Retain </w:t>
            </w:r>
          </w:p>
        </w:tc>
        <w:tc>
          <w:tcPr>
            <w:tcW w:w="1136" w:type="dxa"/>
            <w:shd w:val="clear" w:color="auto" w:fill="auto"/>
          </w:tcPr>
          <w:p w:rsidR="005B2E2B" w:rsidRPr="000E1FAF" w:rsidRDefault="005B2E2B" w:rsidP="00C85D95">
            <w:pPr>
              <w:rPr>
                <w:sz w:val="22"/>
                <w:szCs w:val="22"/>
                <w:lang w:val="en-US"/>
              </w:rPr>
            </w:pPr>
            <w:r w:rsidRPr="000E1FAF">
              <w:rPr>
                <w:sz w:val="22"/>
                <w:szCs w:val="22"/>
                <w:lang w:val="en-US"/>
              </w:rPr>
              <w:t>2017</w:t>
            </w:r>
          </w:p>
        </w:tc>
        <w:tc>
          <w:tcPr>
            <w:tcW w:w="1216" w:type="dxa"/>
            <w:shd w:val="clear" w:color="auto" w:fill="auto"/>
          </w:tcPr>
          <w:p w:rsidR="005B2E2B" w:rsidRPr="000E1FAF" w:rsidRDefault="005B2E2B" w:rsidP="00050D1A">
            <w:pPr>
              <w:jc w:val="center"/>
              <w:rPr>
                <w:sz w:val="22"/>
                <w:szCs w:val="22"/>
              </w:rPr>
            </w:pPr>
          </w:p>
        </w:tc>
        <w:tc>
          <w:tcPr>
            <w:tcW w:w="644" w:type="dxa"/>
            <w:shd w:val="clear" w:color="auto" w:fill="auto"/>
          </w:tcPr>
          <w:p w:rsidR="005B2E2B" w:rsidRPr="000E1FAF" w:rsidRDefault="005B2E2B" w:rsidP="00050D1A">
            <w:pPr>
              <w:jc w:val="center"/>
              <w:rPr>
                <w:sz w:val="22"/>
                <w:szCs w:val="22"/>
              </w:rPr>
            </w:pPr>
            <w:r w:rsidRPr="000E1FAF">
              <w:rPr>
                <w:sz w:val="22"/>
                <w:szCs w:val="22"/>
              </w:rPr>
              <w:t>33</w:t>
            </w:r>
          </w:p>
        </w:tc>
        <w:tc>
          <w:tcPr>
            <w:tcW w:w="552" w:type="dxa"/>
            <w:shd w:val="clear" w:color="auto" w:fill="auto"/>
          </w:tcPr>
          <w:p w:rsidR="005B2E2B" w:rsidRPr="000E1FAF" w:rsidRDefault="005B2E2B" w:rsidP="00050D1A">
            <w:pPr>
              <w:jc w:val="center"/>
              <w:rPr>
                <w:bCs/>
                <w:sz w:val="22"/>
                <w:szCs w:val="22"/>
              </w:rPr>
            </w:pPr>
            <w:r w:rsidRPr="000E1FAF">
              <w:rPr>
                <w:bCs/>
                <w:sz w:val="22"/>
                <w:szCs w:val="22"/>
              </w:rPr>
              <w:t>3</w:t>
            </w:r>
          </w:p>
        </w:tc>
        <w:tc>
          <w:tcPr>
            <w:tcW w:w="555" w:type="dxa"/>
            <w:shd w:val="clear" w:color="auto" w:fill="auto"/>
          </w:tcPr>
          <w:p w:rsidR="005B2E2B" w:rsidRPr="000E1FAF" w:rsidRDefault="005B2E2B" w:rsidP="00D62556">
            <w:pPr>
              <w:jc w:val="center"/>
              <w:rPr>
                <w:bCs/>
                <w:sz w:val="22"/>
                <w:szCs w:val="22"/>
              </w:rPr>
            </w:pPr>
            <w:r w:rsidRPr="000E1FAF">
              <w:rPr>
                <w:bCs/>
                <w:sz w:val="22"/>
                <w:szCs w:val="22"/>
              </w:rPr>
              <w:t>1</w:t>
            </w:r>
          </w:p>
        </w:tc>
        <w:tc>
          <w:tcPr>
            <w:tcW w:w="555" w:type="dxa"/>
            <w:shd w:val="clear" w:color="auto" w:fill="auto"/>
          </w:tcPr>
          <w:p w:rsidR="005B2E2B" w:rsidRPr="000E1FAF" w:rsidRDefault="005B2E2B" w:rsidP="00050D1A">
            <w:pPr>
              <w:jc w:val="center"/>
              <w:rPr>
                <w:bCs/>
                <w:sz w:val="22"/>
                <w:szCs w:val="22"/>
              </w:rPr>
            </w:pPr>
            <w:r w:rsidRPr="000E1FAF">
              <w:rPr>
                <w:bCs/>
                <w:sz w:val="22"/>
                <w:szCs w:val="22"/>
              </w:rPr>
              <w:t>11</w:t>
            </w:r>
          </w:p>
        </w:tc>
      </w:tr>
      <w:tr w:rsidR="000E1FAF" w:rsidRPr="000E1FAF" w:rsidTr="0090128C">
        <w:tc>
          <w:tcPr>
            <w:tcW w:w="6852" w:type="dxa"/>
          </w:tcPr>
          <w:p w:rsidR="005B2E2B" w:rsidRPr="000E1FAF" w:rsidRDefault="005B2E2B">
            <w:pPr>
              <w:rPr>
                <w:sz w:val="22"/>
                <w:szCs w:val="22"/>
              </w:rPr>
            </w:pPr>
            <w:r w:rsidRPr="000E1FAF">
              <w:rPr>
                <w:b/>
                <w:sz w:val="22"/>
                <w:szCs w:val="22"/>
              </w:rPr>
              <w:t xml:space="preserve">ECC/DEC/(06)02 – </w:t>
            </w:r>
            <w:r w:rsidRPr="000E1FAF">
              <w:rPr>
                <w:sz w:val="22"/>
                <w:szCs w:val="22"/>
              </w:rPr>
              <w:t xml:space="preserve">ECC Decision of 24 March 2006 on Exemption from Individual Licensing of low </w:t>
            </w:r>
            <w:proofErr w:type="spellStart"/>
            <w:r w:rsidRPr="000E1FAF">
              <w:rPr>
                <w:sz w:val="22"/>
                <w:szCs w:val="22"/>
              </w:rPr>
              <w:t>e.i.r.p</w:t>
            </w:r>
            <w:proofErr w:type="spellEnd"/>
            <w:r w:rsidRPr="000E1FAF">
              <w:rPr>
                <w:sz w:val="22"/>
                <w:szCs w:val="22"/>
              </w:rPr>
              <w:t>. satellite terminals (LEST) operating within the frequency bands 10.70 – 12.75 GHz or 19.70 – 20.20 GHz Space-to-Earth and 14.00 – 14.25 GHz or 29.50 – 30.00 GHz Earth-to-Space</w:t>
            </w:r>
          </w:p>
        </w:tc>
        <w:tc>
          <w:tcPr>
            <w:tcW w:w="1341" w:type="dxa"/>
          </w:tcPr>
          <w:p w:rsidR="005B2E2B" w:rsidRPr="000E1FAF" w:rsidRDefault="005B2E2B">
            <w:pPr>
              <w:rPr>
                <w:sz w:val="22"/>
                <w:szCs w:val="22"/>
              </w:rPr>
            </w:pPr>
            <w:r w:rsidRPr="000E1FAF">
              <w:rPr>
                <w:sz w:val="22"/>
                <w:szCs w:val="22"/>
              </w:rPr>
              <w:t>FM44</w:t>
            </w:r>
          </w:p>
        </w:tc>
        <w:tc>
          <w:tcPr>
            <w:tcW w:w="1719" w:type="dxa"/>
          </w:tcPr>
          <w:p w:rsidR="005B2E2B" w:rsidRPr="000E1FAF" w:rsidRDefault="005B2E2B">
            <w:pPr>
              <w:rPr>
                <w:sz w:val="22"/>
                <w:szCs w:val="22"/>
              </w:rPr>
            </w:pPr>
            <w:r w:rsidRPr="000E1FAF">
              <w:rPr>
                <w:bCs/>
                <w:sz w:val="22"/>
                <w:szCs w:val="22"/>
              </w:rPr>
              <w:t>Retain</w:t>
            </w:r>
          </w:p>
        </w:tc>
        <w:tc>
          <w:tcPr>
            <w:tcW w:w="1136" w:type="dxa"/>
          </w:tcPr>
          <w:p w:rsidR="005B2E2B" w:rsidRPr="000E1FAF" w:rsidRDefault="005B2E2B" w:rsidP="006607D7">
            <w:pPr>
              <w:rPr>
                <w:sz w:val="22"/>
                <w:szCs w:val="22"/>
                <w:lang w:val="ru-RU"/>
              </w:rPr>
            </w:pPr>
            <w:r w:rsidRPr="000E1FAF">
              <w:rPr>
                <w:sz w:val="22"/>
                <w:szCs w:val="22"/>
                <w:lang w:val="ru-RU"/>
              </w:rPr>
              <w:t>201</w:t>
            </w:r>
            <w:r w:rsidR="006607D7" w:rsidRPr="000E1FAF">
              <w:rPr>
                <w:sz w:val="22"/>
                <w:szCs w:val="22"/>
                <w:lang w:val="da-DK"/>
              </w:rPr>
              <w:t>9</w:t>
            </w:r>
          </w:p>
        </w:tc>
        <w:tc>
          <w:tcPr>
            <w:tcW w:w="1216" w:type="dxa"/>
            <w:shd w:val="clear" w:color="auto" w:fill="auto"/>
          </w:tcPr>
          <w:p w:rsidR="005B2E2B" w:rsidRPr="000E1FAF" w:rsidRDefault="005B2E2B" w:rsidP="00BA1FE5">
            <w:pPr>
              <w:jc w:val="center"/>
              <w:rPr>
                <w:sz w:val="22"/>
                <w:szCs w:val="22"/>
              </w:rPr>
            </w:pPr>
          </w:p>
        </w:tc>
        <w:tc>
          <w:tcPr>
            <w:tcW w:w="644" w:type="dxa"/>
          </w:tcPr>
          <w:p w:rsidR="005B2E2B" w:rsidRPr="000E1FAF" w:rsidRDefault="005B2E2B" w:rsidP="00BA1FE5">
            <w:pPr>
              <w:jc w:val="center"/>
              <w:rPr>
                <w:sz w:val="22"/>
                <w:szCs w:val="22"/>
              </w:rPr>
            </w:pPr>
            <w:r w:rsidRPr="000E1FAF">
              <w:rPr>
                <w:sz w:val="22"/>
                <w:szCs w:val="22"/>
              </w:rPr>
              <w:t>28</w:t>
            </w:r>
          </w:p>
        </w:tc>
        <w:tc>
          <w:tcPr>
            <w:tcW w:w="552" w:type="dxa"/>
          </w:tcPr>
          <w:p w:rsidR="005B2E2B" w:rsidRPr="000E1FAF" w:rsidRDefault="005B2E2B" w:rsidP="00AE5E91">
            <w:pPr>
              <w:jc w:val="center"/>
              <w:rPr>
                <w:bCs/>
                <w:sz w:val="22"/>
                <w:szCs w:val="22"/>
              </w:rPr>
            </w:pPr>
            <w:r w:rsidRPr="000E1FAF">
              <w:rPr>
                <w:bCs/>
                <w:sz w:val="22"/>
                <w:szCs w:val="22"/>
              </w:rPr>
              <w:t>3</w:t>
            </w:r>
          </w:p>
        </w:tc>
        <w:tc>
          <w:tcPr>
            <w:tcW w:w="555" w:type="dxa"/>
          </w:tcPr>
          <w:p w:rsidR="005B2E2B" w:rsidRPr="000E1FAF" w:rsidRDefault="005B2E2B" w:rsidP="00AE5E91">
            <w:pPr>
              <w:jc w:val="center"/>
              <w:rPr>
                <w:bCs/>
                <w:sz w:val="22"/>
                <w:szCs w:val="22"/>
              </w:rPr>
            </w:pPr>
            <w:r w:rsidRPr="000E1FAF">
              <w:rPr>
                <w:bCs/>
                <w:sz w:val="22"/>
                <w:szCs w:val="22"/>
              </w:rPr>
              <w:t>5</w:t>
            </w:r>
          </w:p>
        </w:tc>
        <w:tc>
          <w:tcPr>
            <w:tcW w:w="555" w:type="dxa"/>
          </w:tcPr>
          <w:p w:rsidR="005B2E2B" w:rsidRPr="000E1FAF" w:rsidRDefault="005B2E2B" w:rsidP="00050D1A">
            <w:pPr>
              <w:jc w:val="center"/>
              <w:rPr>
                <w:bCs/>
                <w:sz w:val="22"/>
                <w:szCs w:val="22"/>
              </w:rPr>
            </w:pPr>
            <w:r w:rsidRPr="000E1FAF">
              <w:rPr>
                <w:bCs/>
                <w:sz w:val="22"/>
                <w:szCs w:val="22"/>
              </w:rPr>
              <w:t>12</w:t>
            </w:r>
          </w:p>
        </w:tc>
      </w:tr>
      <w:tr w:rsidR="000E1FAF" w:rsidRPr="000E1FAF" w:rsidTr="0090128C">
        <w:tc>
          <w:tcPr>
            <w:tcW w:w="6852" w:type="dxa"/>
          </w:tcPr>
          <w:p w:rsidR="005B2E2B" w:rsidRPr="000E1FAF" w:rsidRDefault="005B2E2B">
            <w:pPr>
              <w:rPr>
                <w:sz w:val="22"/>
                <w:szCs w:val="22"/>
              </w:rPr>
            </w:pPr>
            <w:r w:rsidRPr="000E1FAF">
              <w:rPr>
                <w:b/>
                <w:sz w:val="22"/>
                <w:szCs w:val="22"/>
              </w:rPr>
              <w:lastRenderedPageBreak/>
              <w:t xml:space="preserve">ECC/DEC/(06)03 – </w:t>
            </w:r>
            <w:r w:rsidRPr="000E1FAF">
              <w:rPr>
                <w:sz w:val="22"/>
                <w:szCs w:val="22"/>
              </w:rPr>
              <w:t xml:space="preserve">ECC Decision of 24 March 2006 on Exemption from Individual Licensing of high </w:t>
            </w:r>
            <w:proofErr w:type="spellStart"/>
            <w:r w:rsidRPr="000E1FAF">
              <w:rPr>
                <w:sz w:val="22"/>
                <w:szCs w:val="22"/>
              </w:rPr>
              <w:t>e.i.r.p</w:t>
            </w:r>
            <w:proofErr w:type="spellEnd"/>
            <w:r w:rsidRPr="000E1FAF">
              <w:rPr>
                <w:sz w:val="22"/>
                <w:szCs w:val="22"/>
              </w:rPr>
              <w:t>. satellite terminals (HEST) operating within the frequency bands 10.70 – 12.75 GHz or 19.70 – 20.20 GHz space-to-Earth and 14.00 -14.25 GHz or 29.50 – 30.00 GHz Earth-to-space</w:t>
            </w:r>
          </w:p>
        </w:tc>
        <w:tc>
          <w:tcPr>
            <w:tcW w:w="1341" w:type="dxa"/>
          </w:tcPr>
          <w:p w:rsidR="005B2E2B" w:rsidRPr="000E1FAF" w:rsidRDefault="005B2E2B">
            <w:pPr>
              <w:rPr>
                <w:sz w:val="22"/>
                <w:szCs w:val="22"/>
              </w:rPr>
            </w:pPr>
            <w:r w:rsidRPr="000E1FAF">
              <w:rPr>
                <w:sz w:val="22"/>
                <w:szCs w:val="22"/>
              </w:rPr>
              <w:t>FM44</w:t>
            </w:r>
          </w:p>
        </w:tc>
        <w:tc>
          <w:tcPr>
            <w:tcW w:w="1719" w:type="dxa"/>
          </w:tcPr>
          <w:p w:rsidR="005B2E2B" w:rsidRPr="000E1FAF" w:rsidRDefault="005B2E2B">
            <w:pPr>
              <w:rPr>
                <w:sz w:val="22"/>
                <w:szCs w:val="22"/>
              </w:rPr>
            </w:pPr>
            <w:r w:rsidRPr="000E1FAF">
              <w:rPr>
                <w:bCs/>
                <w:sz w:val="22"/>
                <w:szCs w:val="22"/>
              </w:rPr>
              <w:t>Retain</w:t>
            </w:r>
          </w:p>
        </w:tc>
        <w:tc>
          <w:tcPr>
            <w:tcW w:w="1136" w:type="dxa"/>
          </w:tcPr>
          <w:p w:rsidR="005B2E2B" w:rsidRPr="000E1FAF" w:rsidRDefault="005B2E2B" w:rsidP="006607D7">
            <w:pPr>
              <w:rPr>
                <w:sz w:val="22"/>
                <w:szCs w:val="22"/>
                <w:lang w:val="ru-RU"/>
              </w:rPr>
            </w:pPr>
            <w:r w:rsidRPr="000E1FAF">
              <w:rPr>
                <w:sz w:val="22"/>
                <w:szCs w:val="22"/>
                <w:lang w:val="ru-RU"/>
              </w:rPr>
              <w:t>201</w:t>
            </w:r>
            <w:r w:rsidR="006607D7" w:rsidRPr="000E1FAF">
              <w:rPr>
                <w:sz w:val="22"/>
                <w:szCs w:val="22"/>
                <w:lang w:val="da-DK"/>
              </w:rPr>
              <w:t>9</w:t>
            </w:r>
          </w:p>
        </w:tc>
        <w:tc>
          <w:tcPr>
            <w:tcW w:w="1216" w:type="dxa"/>
            <w:shd w:val="clear" w:color="auto" w:fill="auto"/>
          </w:tcPr>
          <w:p w:rsidR="005B2E2B" w:rsidRPr="000E1FAF" w:rsidRDefault="005B2E2B" w:rsidP="00BA1FE5">
            <w:pPr>
              <w:jc w:val="center"/>
              <w:rPr>
                <w:sz w:val="22"/>
                <w:szCs w:val="22"/>
              </w:rPr>
            </w:pPr>
          </w:p>
        </w:tc>
        <w:tc>
          <w:tcPr>
            <w:tcW w:w="644" w:type="dxa"/>
          </w:tcPr>
          <w:p w:rsidR="005B2E2B" w:rsidRPr="000E1FAF" w:rsidRDefault="005B2E2B" w:rsidP="00BA1FE5">
            <w:pPr>
              <w:jc w:val="center"/>
              <w:rPr>
                <w:sz w:val="22"/>
                <w:szCs w:val="22"/>
              </w:rPr>
            </w:pPr>
            <w:r w:rsidRPr="000E1FAF">
              <w:rPr>
                <w:sz w:val="22"/>
                <w:szCs w:val="22"/>
              </w:rPr>
              <w:t>28</w:t>
            </w:r>
          </w:p>
        </w:tc>
        <w:tc>
          <w:tcPr>
            <w:tcW w:w="552" w:type="dxa"/>
          </w:tcPr>
          <w:p w:rsidR="005B2E2B" w:rsidRPr="000E1FAF" w:rsidRDefault="005B2E2B" w:rsidP="00BA1FE5">
            <w:pPr>
              <w:jc w:val="center"/>
              <w:rPr>
                <w:bCs/>
                <w:sz w:val="22"/>
                <w:szCs w:val="22"/>
              </w:rPr>
            </w:pPr>
            <w:r w:rsidRPr="000E1FAF">
              <w:rPr>
                <w:bCs/>
                <w:sz w:val="22"/>
                <w:szCs w:val="22"/>
              </w:rPr>
              <w:t>3</w:t>
            </w:r>
          </w:p>
        </w:tc>
        <w:tc>
          <w:tcPr>
            <w:tcW w:w="555" w:type="dxa"/>
          </w:tcPr>
          <w:p w:rsidR="005B2E2B" w:rsidRPr="000E1FAF" w:rsidRDefault="005B2E2B" w:rsidP="00050D1A">
            <w:pPr>
              <w:jc w:val="center"/>
              <w:rPr>
                <w:bCs/>
                <w:sz w:val="22"/>
                <w:szCs w:val="22"/>
              </w:rPr>
            </w:pPr>
            <w:r w:rsidRPr="000E1FAF">
              <w:rPr>
                <w:bCs/>
                <w:sz w:val="22"/>
                <w:szCs w:val="22"/>
              </w:rPr>
              <w:t>5</w:t>
            </w:r>
          </w:p>
        </w:tc>
        <w:tc>
          <w:tcPr>
            <w:tcW w:w="555" w:type="dxa"/>
          </w:tcPr>
          <w:p w:rsidR="005B2E2B" w:rsidRPr="000E1FAF" w:rsidRDefault="005B2E2B" w:rsidP="00050D1A">
            <w:pPr>
              <w:jc w:val="center"/>
              <w:rPr>
                <w:bCs/>
                <w:sz w:val="22"/>
                <w:szCs w:val="22"/>
              </w:rPr>
            </w:pPr>
            <w:r w:rsidRPr="000E1FAF">
              <w:rPr>
                <w:bCs/>
                <w:sz w:val="22"/>
                <w:szCs w:val="22"/>
              </w:rPr>
              <w:t>12</w:t>
            </w:r>
          </w:p>
        </w:tc>
      </w:tr>
      <w:tr w:rsidR="000E1FAF" w:rsidRPr="000E1FAF" w:rsidTr="0090128C">
        <w:tc>
          <w:tcPr>
            <w:tcW w:w="6852" w:type="dxa"/>
            <w:tcBorders>
              <w:bottom w:val="single" w:sz="4" w:space="0" w:color="000000"/>
            </w:tcBorders>
          </w:tcPr>
          <w:p w:rsidR="005B2E2B" w:rsidRPr="000E1FAF" w:rsidRDefault="005B2E2B">
            <w:pPr>
              <w:rPr>
                <w:sz w:val="22"/>
                <w:szCs w:val="22"/>
              </w:rPr>
            </w:pPr>
            <w:r w:rsidRPr="000E1FAF">
              <w:rPr>
                <w:b/>
                <w:sz w:val="22"/>
                <w:szCs w:val="22"/>
              </w:rPr>
              <w:t xml:space="preserve">ECC/DEC/(06)04 – </w:t>
            </w:r>
            <w:r w:rsidRPr="000E1FAF">
              <w:rPr>
                <w:sz w:val="22"/>
                <w:szCs w:val="22"/>
              </w:rPr>
              <w:t>ECC Decision of 24 March 2006 (amended 6 July 2007) on the harmonised conditions for devices using Ultra-Wideband (UWB) technology in bands below 10.6 GHz</w:t>
            </w:r>
          </w:p>
          <w:p w:rsidR="006607D7" w:rsidRPr="00F92C3E" w:rsidRDefault="000250FB">
            <w:pPr>
              <w:rPr>
                <w:i/>
                <w:color w:val="FF0000"/>
                <w:sz w:val="22"/>
                <w:szCs w:val="22"/>
              </w:rPr>
            </w:pPr>
            <w:r w:rsidRPr="00F92C3E">
              <w:rPr>
                <w:i/>
                <w:color w:val="FF0000"/>
                <w:sz w:val="22"/>
                <w:szCs w:val="22"/>
              </w:rPr>
              <w:t>Note: Decision should be revised in line with indication already provided in CEPT Report 45</w:t>
            </w:r>
            <w:r w:rsidR="00314164" w:rsidRPr="00F92C3E">
              <w:rPr>
                <w:i/>
                <w:color w:val="FF0000"/>
                <w:sz w:val="22"/>
                <w:szCs w:val="22"/>
              </w:rPr>
              <w:t xml:space="preserve"> and if needed by results in PT SE24</w:t>
            </w:r>
          </w:p>
        </w:tc>
        <w:tc>
          <w:tcPr>
            <w:tcW w:w="1341" w:type="dxa"/>
            <w:tcBorders>
              <w:bottom w:val="single" w:sz="4" w:space="0" w:color="000000"/>
            </w:tcBorders>
          </w:tcPr>
          <w:p w:rsidR="005B2E2B" w:rsidRPr="000E1FAF" w:rsidRDefault="005B2E2B">
            <w:pPr>
              <w:rPr>
                <w:sz w:val="22"/>
                <w:szCs w:val="22"/>
              </w:rPr>
            </w:pPr>
            <w:r w:rsidRPr="000E1FAF">
              <w:rPr>
                <w:sz w:val="22"/>
                <w:szCs w:val="22"/>
              </w:rPr>
              <w:t>SRD/MG</w:t>
            </w:r>
          </w:p>
        </w:tc>
        <w:tc>
          <w:tcPr>
            <w:tcW w:w="1719" w:type="dxa"/>
            <w:tcBorders>
              <w:bottom w:val="single" w:sz="4" w:space="0" w:color="000000"/>
            </w:tcBorders>
          </w:tcPr>
          <w:p w:rsidR="005B2E2B" w:rsidRPr="000E1FAF" w:rsidRDefault="005B2E2B" w:rsidP="006607D7">
            <w:pPr>
              <w:rPr>
                <w:sz w:val="22"/>
                <w:szCs w:val="22"/>
              </w:rPr>
            </w:pPr>
            <w:r w:rsidRPr="000E1FAF">
              <w:rPr>
                <w:sz w:val="22"/>
                <w:szCs w:val="22"/>
              </w:rPr>
              <w:t>Re</w:t>
            </w:r>
            <w:r w:rsidR="006607D7" w:rsidRPr="000E1FAF">
              <w:rPr>
                <w:sz w:val="22"/>
                <w:szCs w:val="22"/>
              </w:rPr>
              <w:t>vise</w:t>
            </w:r>
            <w:r w:rsidRPr="000E1FAF">
              <w:rPr>
                <w:sz w:val="22"/>
                <w:szCs w:val="22"/>
              </w:rPr>
              <w:t xml:space="preserve"> </w:t>
            </w:r>
          </w:p>
        </w:tc>
        <w:tc>
          <w:tcPr>
            <w:tcW w:w="1136" w:type="dxa"/>
            <w:tcBorders>
              <w:bottom w:val="single" w:sz="4" w:space="0" w:color="000000"/>
            </w:tcBorders>
          </w:tcPr>
          <w:p w:rsidR="005B2E2B" w:rsidRPr="000E1FAF" w:rsidRDefault="005B2E2B" w:rsidP="006020DE">
            <w:pPr>
              <w:rPr>
                <w:sz w:val="22"/>
                <w:szCs w:val="22"/>
              </w:rPr>
            </w:pPr>
            <w:r w:rsidRPr="000E1FAF">
              <w:rPr>
                <w:sz w:val="22"/>
                <w:szCs w:val="22"/>
              </w:rPr>
              <w:t>2014</w:t>
            </w:r>
          </w:p>
        </w:tc>
        <w:tc>
          <w:tcPr>
            <w:tcW w:w="1216" w:type="dxa"/>
            <w:tcBorders>
              <w:bottom w:val="single" w:sz="4" w:space="0" w:color="000000"/>
            </w:tcBorders>
            <w:shd w:val="clear" w:color="auto" w:fill="auto"/>
          </w:tcPr>
          <w:p w:rsidR="005B2E2B" w:rsidRPr="000E1FAF" w:rsidRDefault="006607D7" w:rsidP="00BA1FE5">
            <w:pPr>
              <w:jc w:val="center"/>
              <w:rPr>
                <w:sz w:val="22"/>
                <w:szCs w:val="22"/>
              </w:rPr>
            </w:pPr>
            <w:r w:rsidRPr="000E1FAF">
              <w:rPr>
                <w:sz w:val="22"/>
                <w:szCs w:val="22"/>
              </w:rPr>
              <w:t>Possible</w:t>
            </w:r>
          </w:p>
        </w:tc>
        <w:tc>
          <w:tcPr>
            <w:tcW w:w="644" w:type="dxa"/>
            <w:tcBorders>
              <w:bottom w:val="single" w:sz="4" w:space="0" w:color="000000"/>
            </w:tcBorders>
          </w:tcPr>
          <w:p w:rsidR="005B2E2B" w:rsidRPr="000E1FAF" w:rsidRDefault="005B2E2B" w:rsidP="00BA1FE5">
            <w:pPr>
              <w:jc w:val="center"/>
              <w:rPr>
                <w:sz w:val="22"/>
                <w:szCs w:val="22"/>
              </w:rPr>
            </w:pPr>
            <w:r w:rsidRPr="000E1FAF">
              <w:rPr>
                <w:sz w:val="22"/>
                <w:szCs w:val="22"/>
              </w:rPr>
              <w:t>36</w:t>
            </w:r>
          </w:p>
        </w:tc>
        <w:tc>
          <w:tcPr>
            <w:tcW w:w="552" w:type="dxa"/>
            <w:tcBorders>
              <w:bottom w:val="single" w:sz="4" w:space="0" w:color="000000"/>
            </w:tcBorders>
          </w:tcPr>
          <w:p w:rsidR="005B2E2B" w:rsidRPr="000E1FAF" w:rsidRDefault="005B2E2B" w:rsidP="00BA1FE5">
            <w:pPr>
              <w:jc w:val="center"/>
              <w:rPr>
                <w:bCs/>
                <w:sz w:val="22"/>
                <w:szCs w:val="22"/>
              </w:rPr>
            </w:pPr>
            <w:r w:rsidRPr="000E1FAF">
              <w:rPr>
                <w:bCs/>
                <w:sz w:val="22"/>
                <w:szCs w:val="22"/>
              </w:rPr>
              <w:t>2</w:t>
            </w:r>
          </w:p>
        </w:tc>
        <w:tc>
          <w:tcPr>
            <w:tcW w:w="555" w:type="dxa"/>
            <w:tcBorders>
              <w:bottom w:val="single" w:sz="4" w:space="0" w:color="000000"/>
            </w:tcBorders>
          </w:tcPr>
          <w:p w:rsidR="005B2E2B" w:rsidRPr="000E1FAF" w:rsidRDefault="005B2E2B" w:rsidP="00AF6F73">
            <w:pPr>
              <w:jc w:val="center"/>
              <w:rPr>
                <w:bCs/>
                <w:sz w:val="22"/>
                <w:szCs w:val="22"/>
              </w:rPr>
            </w:pPr>
            <w:r w:rsidRPr="000E1FAF">
              <w:rPr>
                <w:bCs/>
                <w:sz w:val="22"/>
                <w:szCs w:val="22"/>
              </w:rPr>
              <w:t>4</w:t>
            </w:r>
          </w:p>
        </w:tc>
        <w:tc>
          <w:tcPr>
            <w:tcW w:w="555" w:type="dxa"/>
            <w:tcBorders>
              <w:bottom w:val="single" w:sz="4" w:space="0" w:color="000000"/>
            </w:tcBorders>
          </w:tcPr>
          <w:p w:rsidR="005B2E2B" w:rsidRPr="000E1FAF" w:rsidRDefault="005B2E2B" w:rsidP="00AF6F73">
            <w:pPr>
              <w:jc w:val="center"/>
              <w:rPr>
                <w:bCs/>
                <w:sz w:val="22"/>
                <w:szCs w:val="22"/>
              </w:rPr>
            </w:pPr>
            <w:r w:rsidRPr="000E1FAF">
              <w:rPr>
                <w:bCs/>
                <w:sz w:val="22"/>
                <w:szCs w:val="22"/>
              </w:rPr>
              <w:t>6</w:t>
            </w:r>
          </w:p>
        </w:tc>
      </w:tr>
      <w:tr w:rsidR="000E1FAF" w:rsidRPr="000E1FAF" w:rsidTr="0090128C">
        <w:tc>
          <w:tcPr>
            <w:tcW w:w="6852" w:type="dxa"/>
            <w:shd w:val="clear" w:color="auto" w:fill="auto"/>
          </w:tcPr>
          <w:p w:rsidR="005B2E2B" w:rsidRPr="000E1FAF" w:rsidRDefault="005B2E2B" w:rsidP="007C1312">
            <w:pPr>
              <w:rPr>
                <w:sz w:val="22"/>
                <w:szCs w:val="22"/>
              </w:rPr>
            </w:pPr>
            <w:r w:rsidRPr="000E1FAF">
              <w:rPr>
                <w:b/>
                <w:sz w:val="22"/>
                <w:szCs w:val="22"/>
              </w:rPr>
              <w:t xml:space="preserve">ECC/DEC/(06)05 – </w:t>
            </w:r>
            <w:r w:rsidRPr="000E1FAF">
              <w:rPr>
                <w:sz w:val="22"/>
                <w:szCs w:val="22"/>
              </w:rPr>
              <w:t>ECC Decision of 7 July 2006 on the harmonised frequency bands to be designated for Air-Ground-Air operation (AGA) of the Digital Land Mobile Systems for the Emergency Services</w:t>
            </w:r>
          </w:p>
        </w:tc>
        <w:tc>
          <w:tcPr>
            <w:tcW w:w="1341" w:type="dxa"/>
            <w:shd w:val="clear" w:color="auto" w:fill="auto"/>
          </w:tcPr>
          <w:p w:rsidR="005B2E2B" w:rsidRPr="000E1FAF" w:rsidRDefault="005B2E2B" w:rsidP="00D0793D">
            <w:pPr>
              <w:rPr>
                <w:sz w:val="22"/>
                <w:szCs w:val="22"/>
              </w:rPr>
            </w:pPr>
            <w:r w:rsidRPr="000E1FAF">
              <w:rPr>
                <w:sz w:val="22"/>
                <w:szCs w:val="22"/>
              </w:rPr>
              <w:t xml:space="preserve"> WG FM</w:t>
            </w:r>
          </w:p>
        </w:tc>
        <w:tc>
          <w:tcPr>
            <w:tcW w:w="1719" w:type="dxa"/>
            <w:shd w:val="clear" w:color="auto" w:fill="auto"/>
          </w:tcPr>
          <w:p w:rsidR="005B2E2B" w:rsidRPr="000E1FAF" w:rsidRDefault="005B2E2B" w:rsidP="00A36E5E">
            <w:pPr>
              <w:rPr>
                <w:sz w:val="22"/>
                <w:szCs w:val="22"/>
              </w:rPr>
            </w:pPr>
            <w:r w:rsidRPr="000E1FAF">
              <w:rPr>
                <w:bCs/>
                <w:sz w:val="22"/>
                <w:szCs w:val="22"/>
              </w:rPr>
              <w:t>Retain</w:t>
            </w:r>
          </w:p>
        </w:tc>
        <w:tc>
          <w:tcPr>
            <w:tcW w:w="1136" w:type="dxa"/>
            <w:shd w:val="clear" w:color="auto" w:fill="auto"/>
          </w:tcPr>
          <w:p w:rsidR="005B2E2B" w:rsidRPr="000E1FAF" w:rsidRDefault="005B2E2B" w:rsidP="00A36E5E">
            <w:pPr>
              <w:rPr>
                <w:sz w:val="22"/>
                <w:szCs w:val="22"/>
              </w:rPr>
            </w:pPr>
            <w:r w:rsidRPr="000E1FAF">
              <w:rPr>
                <w:sz w:val="22"/>
                <w:szCs w:val="22"/>
              </w:rPr>
              <w:t>2016</w:t>
            </w:r>
          </w:p>
        </w:tc>
        <w:tc>
          <w:tcPr>
            <w:tcW w:w="1216" w:type="dxa"/>
            <w:shd w:val="clear" w:color="auto" w:fill="auto"/>
          </w:tcPr>
          <w:p w:rsidR="005B2E2B" w:rsidRPr="000E1FAF" w:rsidRDefault="005B2E2B" w:rsidP="00050D1A">
            <w:pPr>
              <w:jc w:val="center"/>
              <w:rPr>
                <w:sz w:val="22"/>
                <w:szCs w:val="22"/>
              </w:rPr>
            </w:pPr>
          </w:p>
        </w:tc>
        <w:tc>
          <w:tcPr>
            <w:tcW w:w="644" w:type="dxa"/>
            <w:shd w:val="clear" w:color="auto" w:fill="auto"/>
          </w:tcPr>
          <w:p w:rsidR="005B2E2B" w:rsidRPr="000E1FAF" w:rsidRDefault="005B2E2B" w:rsidP="00050D1A">
            <w:pPr>
              <w:jc w:val="center"/>
              <w:rPr>
                <w:sz w:val="22"/>
                <w:szCs w:val="22"/>
              </w:rPr>
            </w:pPr>
            <w:r w:rsidRPr="000E1FAF">
              <w:rPr>
                <w:sz w:val="22"/>
                <w:szCs w:val="22"/>
              </w:rPr>
              <w:t>27</w:t>
            </w:r>
          </w:p>
        </w:tc>
        <w:tc>
          <w:tcPr>
            <w:tcW w:w="552" w:type="dxa"/>
            <w:shd w:val="clear" w:color="auto" w:fill="auto"/>
          </w:tcPr>
          <w:p w:rsidR="005B2E2B" w:rsidRPr="000E1FAF" w:rsidRDefault="005B2E2B" w:rsidP="00BA1FE5">
            <w:pPr>
              <w:jc w:val="center"/>
              <w:rPr>
                <w:bCs/>
                <w:sz w:val="22"/>
                <w:szCs w:val="22"/>
              </w:rPr>
            </w:pPr>
            <w:r w:rsidRPr="000E1FAF">
              <w:rPr>
                <w:bCs/>
                <w:sz w:val="22"/>
                <w:szCs w:val="22"/>
              </w:rPr>
              <w:t>3</w:t>
            </w:r>
          </w:p>
        </w:tc>
        <w:tc>
          <w:tcPr>
            <w:tcW w:w="555" w:type="dxa"/>
            <w:shd w:val="clear" w:color="auto" w:fill="auto"/>
          </w:tcPr>
          <w:p w:rsidR="005B2E2B" w:rsidRPr="000E1FAF" w:rsidRDefault="005B2E2B" w:rsidP="00BA1FE5">
            <w:pPr>
              <w:jc w:val="center"/>
              <w:rPr>
                <w:bCs/>
                <w:sz w:val="22"/>
                <w:szCs w:val="22"/>
              </w:rPr>
            </w:pPr>
            <w:r w:rsidRPr="000E1FAF">
              <w:rPr>
                <w:bCs/>
                <w:sz w:val="22"/>
                <w:szCs w:val="22"/>
              </w:rPr>
              <w:t>7</w:t>
            </w:r>
          </w:p>
        </w:tc>
        <w:tc>
          <w:tcPr>
            <w:tcW w:w="555" w:type="dxa"/>
            <w:shd w:val="clear" w:color="auto" w:fill="auto"/>
          </w:tcPr>
          <w:p w:rsidR="005B2E2B" w:rsidRPr="000E1FAF" w:rsidRDefault="005B2E2B" w:rsidP="00050D1A">
            <w:pPr>
              <w:jc w:val="center"/>
              <w:rPr>
                <w:bCs/>
                <w:sz w:val="22"/>
                <w:szCs w:val="22"/>
              </w:rPr>
            </w:pPr>
            <w:r w:rsidRPr="000E1FAF">
              <w:rPr>
                <w:bCs/>
                <w:sz w:val="22"/>
                <w:szCs w:val="22"/>
              </w:rPr>
              <w:t>11</w:t>
            </w:r>
          </w:p>
        </w:tc>
      </w:tr>
      <w:tr w:rsidR="000E1FAF" w:rsidRPr="000E1FAF" w:rsidTr="0090128C">
        <w:tc>
          <w:tcPr>
            <w:tcW w:w="6852" w:type="dxa"/>
            <w:tcBorders>
              <w:bottom w:val="single" w:sz="4" w:space="0" w:color="000000"/>
            </w:tcBorders>
            <w:shd w:val="clear" w:color="auto" w:fill="auto"/>
          </w:tcPr>
          <w:p w:rsidR="005B2E2B" w:rsidRPr="000E1FAF" w:rsidRDefault="005B2E2B" w:rsidP="00E410CA">
            <w:pPr>
              <w:rPr>
                <w:bCs/>
                <w:sz w:val="22"/>
                <w:szCs w:val="22"/>
              </w:rPr>
            </w:pPr>
            <w:r w:rsidRPr="000E1FAF">
              <w:rPr>
                <w:b/>
                <w:sz w:val="22"/>
                <w:szCs w:val="22"/>
              </w:rPr>
              <w:t xml:space="preserve">ECC/DEC/(06)06 – </w:t>
            </w:r>
            <w:r w:rsidRPr="000E1FAF">
              <w:rPr>
                <w:bCs/>
                <w:sz w:val="22"/>
                <w:szCs w:val="22"/>
              </w:rPr>
              <w:t>ECC Decision of 7 July 2006 on the availability of frequency bands for the introduction of Narrow Band Digital Land Mobile PMR/PAMR in the 80 MHz, 160 MHz and 400 MHz bands</w:t>
            </w:r>
          </w:p>
          <w:p w:rsidR="005B2E2B" w:rsidRPr="00EC197E" w:rsidRDefault="005B2E2B" w:rsidP="00EC197E">
            <w:pPr>
              <w:rPr>
                <w:bCs/>
                <w:i/>
                <w:color w:val="FF0000"/>
                <w:sz w:val="22"/>
                <w:szCs w:val="22"/>
              </w:rPr>
            </w:pPr>
            <w:r w:rsidRPr="00EC197E">
              <w:rPr>
                <w:bCs/>
                <w:i/>
                <w:color w:val="FF0000"/>
                <w:sz w:val="22"/>
                <w:szCs w:val="22"/>
              </w:rPr>
              <w:t xml:space="preserve">Note: </w:t>
            </w:r>
            <w:r w:rsidR="00F515E5" w:rsidRPr="00EC197E">
              <w:rPr>
                <w:bCs/>
                <w:i/>
                <w:color w:val="FF0000"/>
                <w:sz w:val="22"/>
                <w:szCs w:val="22"/>
              </w:rPr>
              <w:t xml:space="preserve">Amendment </w:t>
            </w:r>
            <w:r w:rsidRPr="00EC197E">
              <w:rPr>
                <w:bCs/>
                <w:i/>
                <w:color w:val="FF0000"/>
                <w:sz w:val="22"/>
                <w:szCs w:val="22"/>
              </w:rPr>
              <w:t>approv</w:t>
            </w:r>
            <w:r w:rsidR="00F515E5" w:rsidRPr="00EC197E">
              <w:rPr>
                <w:bCs/>
                <w:i/>
                <w:color w:val="FF0000"/>
                <w:sz w:val="22"/>
                <w:szCs w:val="22"/>
              </w:rPr>
              <w:t>ed</w:t>
            </w:r>
            <w:r w:rsidRPr="00EC197E">
              <w:rPr>
                <w:bCs/>
                <w:i/>
                <w:color w:val="FF0000"/>
                <w:sz w:val="22"/>
                <w:szCs w:val="22"/>
              </w:rPr>
              <w:t xml:space="preserve"> at ECC#35 </w:t>
            </w:r>
          </w:p>
        </w:tc>
        <w:tc>
          <w:tcPr>
            <w:tcW w:w="1341" w:type="dxa"/>
            <w:tcBorders>
              <w:bottom w:val="single" w:sz="4" w:space="0" w:color="000000"/>
            </w:tcBorders>
            <w:shd w:val="clear" w:color="auto" w:fill="auto"/>
          </w:tcPr>
          <w:p w:rsidR="005B2E2B" w:rsidRPr="000E1FAF" w:rsidRDefault="005B2E2B" w:rsidP="00D0793D">
            <w:pPr>
              <w:rPr>
                <w:sz w:val="22"/>
                <w:szCs w:val="22"/>
              </w:rPr>
            </w:pPr>
            <w:r w:rsidRPr="000E1FAF">
              <w:rPr>
                <w:sz w:val="22"/>
                <w:szCs w:val="22"/>
              </w:rPr>
              <w:t>WG FM</w:t>
            </w:r>
          </w:p>
        </w:tc>
        <w:tc>
          <w:tcPr>
            <w:tcW w:w="1719" w:type="dxa"/>
            <w:tcBorders>
              <w:bottom w:val="single" w:sz="4" w:space="0" w:color="000000"/>
            </w:tcBorders>
            <w:shd w:val="clear" w:color="auto" w:fill="auto"/>
          </w:tcPr>
          <w:p w:rsidR="005B2E2B" w:rsidRPr="000E1FAF" w:rsidRDefault="005B2E2B" w:rsidP="00CF5B5F">
            <w:pPr>
              <w:rPr>
                <w:sz w:val="22"/>
                <w:szCs w:val="22"/>
              </w:rPr>
            </w:pPr>
            <w:r w:rsidRPr="000E1FAF">
              <w:rPr>
                <w:bCs/>
                <w:sz w:val="22"/>
                <w:szCs w:val="22"/>
              </w:rPr>
              <w:t>Retain</w:t>
            </w:r>
          </w:p>
        </w:tc>
        <w:tc>
          <w:tcPr>
            <w:tcW w:w="1136" w:type="dxa"/>
            <w:tcBorders>
              <w:bottom w:val="single" w:sz="4" w:space="0" w:color="000000"/>
            </w:tcBorders>
            <w:shd w:val="clear" w:color="auto" w:fill="auto"/>
          </w:tcPr>
          <w:p w:rsidR="005B2E2B" w:rsidRPr="000E1FAF" w:rsidRDefault="005B2E2B" w:rsidP="00CF5B5F">
            <w:pPr>
              <w:rPr>
                <w:sz w:val="22"/>
                <w:szCs w:val="22"/>
              </w:rPr>
            </w:pPr>
            <w:r w:rsidRPr="000E1FAF">
              <w:rPr>
                <w:sz w:val="22"/>
                <w:szCs w:val="22"/>
              </w:rPr>
              <w:t>2018</w:t>
            </w:r>
          </w:p>
        </w:tc>
        <w:tc>
          <w:tcPr>
            <w:tcW w:w="1216" w:type="dxa"/>
            <w:tcBorders>
              <w:bottom w:val="single" w:sz="4" w:space="0" w:color="000000"/>
            </w:tcBorders>
            <w:shd w:val="clear" w:color="auto" w:fill="auto"/>
          </w:tcPr>
          <w:p w:rsidR="005B2E2B" w:rsidRPr="000E1FAF" w:rsidRDefault="005B2E2B" w:rsidP="00050D1A">
            <w:pPr>
              <w:jc w:val="center"/>
              <w:rPr>
                <w:sz w:val="22"/>
                <w:szCs w:val="22"/>
              </w:rPr>
            </w:pPr>
          </w:p>
        </w:tc>
        <w:tc>
          <w:tcPr>
            <w:tcW w:w="644" w:type="dxa"/>
            <w:tcBorders>
              <w:bottom w:val="single" w:sz="4" w:space="0" w:color="000000"/>
            </w:tcBorders>
            <w:shd w:val="clear" w:color="auto" w:fill="auto"/>
          </w:tcPr>
          <w:p w:rsidR="005B2E2B" w:rsidRPr="000E1FAF" w:rsidRDefault="005B2E2B" w:rsidP="00050D1A">
            <w:pPr>
              <w:jc w:val="center"/>
              <w:rPr>
                <w:sz w:val="22"/>
                <w:szCs w:val="22"/>
              </w:rPr>
            </w:pPr>
            <w:r w:rsidRPr="000E1FAF">
              <w:rPr>
                <w:sz w:val="22"/>
                <w:szCs w:val="22"/>
              </w:rPr>
              <w:t>34</w:t>
            </w:r>
          </w:p>
        </w:tc>
        <w:tc>
          <w:tcPr>
            <w:tcW w:w="552" w:type="dxa"/>
            <w:tcBorders>
              <w:bottom w:val="single" w:sz="4" w:space="0" w:color="000000"/>
            </w:tcBorders>
            <w:shd w:val="clear" w:color="auto" w:fill="auto"/>
          </w:tcPr>
          <w:p w:rsidR="005B2E2B" w:rsidRPr="000E1FAF" w:rsidRDefault="005B2E2B" w:rsidP="00A36E5E">
            <w:pPr>
              <w:jc w:val="center"/>
              <w:rPr>
                <w:bCs/>
                <w:sz w:val="22"/>
                <w:szCs w:val="22"/>
              </w:rPr>
            </w:pPr>
            <w:r w:rsidRPr="000E1FAF">
              <w:rPr>
                <w:bCs/>
                <w:sz w:val="22"/>
                <w:szCs w:val="22"/>
              </w:rPr>
              <w:t>1</w:t>
            </w:r>
          </w:p>
        </w:tc>
        <w:tc>
          <w:tcPr>
            <w:tcW w:w="555" w:type="dxa"/>
            <w:tcBorders>
              <w:bottom w:val="single" w:sz="4" w:space="0" w:color="000000"/>
            </w:tcBorders>
            <w:shd w:val="clear" w:color="auto" w:fill="auto"/>
          </w:tcPr>
          <w:p w:rsidR="005B2E2B" w:rsidRPr="000E1FAF" w:rsidRDefault="005B2E2B" w:rsidP="001F3251">
            <w:pPr>
              <w:jc w:val="center"/>
              <w:rPr>
                <w:bCs/>
                <w:sz w:val="22"/>
                <w:szCs w:val="22"/>
              </w:rPr>
            </w:pPr>
            <w:r w:rsidRPr="000E1FAF">
              <w:rPr>
                <w:bCs/>
                <w:sz w:val="22"/>
                <w:szCs w:val="22"/>
              </w:rPr>
              <w:t>1</w:t>
            </w:r>
          </w:p>
        </w:tc>
        <w:tc>
          <w:tcPr>
            <w:tcW w:w="555" w:type="dxa"/>
            <w:tcBorders>
              <w:bottom w:val="single" w:sz="4" w:space="0" w:color="000000"/>
            </w:tcBorders>
            <w:shd w:val="clear" w:color="auto" w:fill="auto"/>
          </w:tcPr>
          <w:p w:rsidR="005B2E2B" w:rsidRPr="000E1FAF" w:rsidRDefault="005B2E2B" w:rsidP="00050D1A">
            <w:pPr>
              <w:jc w:val="center"/>
              <w:rPr>
                <w:bCs/>
                <w:sz w:val="22"/>
                <w:szCs w:val="22"/>
              </w:rPr>
            </w:pPr>
            <w:r w:rsidRPr="000E1FAF">
              <w:rPr>
                <w:bCs/>
                <w:sz w:val="22"/>
                <w:szCs w:val="22"/>
              </w:rPr>
              <w:t>12</w:t>
            </w:r>
          </w:p>
        </w:tc>
      </w:tr>
      <w:tr w:rsidR="000E1FAF" w:rsidRPr="000E1FAF" w:rsidTr="0090128C">
        <w:tc>
          <w:tcPr>
            <w:tcW w:w="6852" w:type="dxa"/>
            <w:shd w:val="clear" w:color="auto" w:fill="auto"/>
          </w:tcPr>
          <w:p w:rsidR="005B2E2B" w:rsidRPr="000E1FAF" w:rsidRDefault="005B2E2B" w:rsidP="00AD77F3">
            <w:pPr>
              <w:rPr>
                <w:i/>
                <w:color w:val="FF0000"/>
                <w:sz w:val="22"/>
                <w:szCs w:val="22"/>
              </w:rPr>
            </w:pPr>
            <w:r w:rsidRPr="000E1FAF">
              <w:rPr>
                <w:b/>
                <w:sz w:val="22"/>
                <w:szCs w:val="22"/>
              </w:rPr>
              <w:t>ECC/DEC/(06)07</w:t>
            </w:r>
            <w:r w:rsidRPr="000E1FAF">
              <w:rPr>
                <w:sz w:val="22"/>
                <w:szCs w:val="22"/>
              </w:rPr>
              <w:t xml:space="preserve"> – ECC Decision of 1 December 2006 on the harmonised use of airborne GSM systems in the frequency bands 1710-1785 and 1805-1880 MHz</w:t>
            </w:r>
            <w:r w:rsidRPr="000E1FAF">
              <w:rPr>
                <w:i/>
                <w:color w:val="FF0000"/>
                <w:sz w:val="22"/>
                <w:szCs w:val="22"/>
              </w:rPr>
              <w:t xml:space="preserve"> </w:t>
            </w:r>
          </w:p>
          <w:p w:rsidR="00031761" w:rsidRPr="00EC197E" w:rsidRDefault="00031761" w:rsidP="00527A5C">
            <w:pPr>
              <w:rPr>
                <w:b/>
                <w:color w:val="FF0000"/>
                <w:sz w:val="22"/>
                <w:szCs w:val="22"/>
              </w:rPr>
            </w:pPr>
            <w:r w:rsidRPr="00EC197E">
              <w:rPr>
                <w:i/>
                <w:color w:val="FF0000"/>
                <w:sz w:val="22"/>
                <w:szCs w:val="22"/>
              </w:rPr>
              <w:t>Note: Revision was completed at ECC PT1 #45 in January 2014</w:t>
            </w:r>
          </w:p>
        </w:tc>
        <w:tc>
          <w:tcPr>
            <w:tcW w:w="1341" w:type="dxa"/>
            <w:shd w:val="clear" w:color="auto" w:fill="auto"/>
          </w:tcPr>
          <w:p w:rsidR="005B2E2B" w:rsidRPr="000E1FAF" w:rsidRDefault="005B2E2B" w:rsidP="00A36E5E">
            <w:pPr>
              <w:rPr>
                <w:sz w:val="22"/>
                <w:szCs w:val="22"/>
                <w:lang w:val="en-US"/>
              </w:rPr>
            </w:pPr>
            <w:r w:rsidRPr="000E1FAF">
              <w:rPr>
                <w:sz w:val="22"/>
                <w:szCs w:val="22"/>
                <w:lang w:val="en-US"/>
              </w:rPr>
              <w:t>ECC PT1</w:t>
            </w:r>
          </w:p>
          <w:p w:rsidR="005B2E2B" w:rsidRPr="000E1FAF" w:rsidRDefault="005B2E2B" w:rsidP="00CF5B5F">
            <w:pPr>
              <w:rPr>
                <w:sz w:val="22"/>
                <w:szCs w:val="22"/>
              </w:rPr>
            </w:pPr>
          </w:p>
        </w:tc>
        <w:tc>
          <w:tcPr>
            <w:tcW w:w="1719" w:type="dxa"/>
            <w:shd w:val="clear" w:color="auto" w:fill="auto"/>
          </w:tcPr>
          <w:p w:rsidR="005B2E2B" w:rsidRPr="000E1FAF" w:rsidRDefault="000250FB" w:rsidP="00A36E5E">
            <w:pPr>
              <w:rPr>
                <w:sz w:val="22"/>
                <w:szCs w:val="22"/>
              </w:rPr>
            </w:pPr>
            <w:r w:rsidRPr="000E1FAF">
              <w:rPr>
                <w:sz w:val="22"/>
                <w:szCs w:val="22"/>
              </w:rPr>
              <w:t>Retain</w:t>
            </w:r>
          </w:p>
          <w:p w:rsidR="005B2E2B" w:rsidRPr="000E1FAF" w:rsidRDefault="005B2E2B" w:rsidP="00A36E5E">
            <w:pPr>
              <w:rPr>
                <w:i/>
                <w:sz w:val="22"/>
                <w:szCs w:val="22"/>
              </w:rPr>
            </w:pPr>
          </w:p>
        </w:tc>
        <w:tc>
          <w:tcPr>
            <w:tcW w:w="1136" w:type="dxa"/>
            <w:shd w:val="clear" w:color="auto" w:fill="auto"/>
          </w:tcPr>
          <w:p w:rsidR="00031761" w:rsidRPr="000E1FAF" w:rsidRDefault="00031761" w:rsidP="00CF5B5F">
            <w:pPr>
              <w:rPr>
                <w:sz w:val="22"/>
                <w:szCs w:val="22"/>
              </w:rPr>
            </w:pPr>
            <w:r w:rsidRPr="000E1FAF">
              <w:rPr>
                <w:sz w:val="22"/>
                <w:szCs w:val="22"/>
              </w:rPr>
              <w:t>2019</w:t>
            </w:r>
          </w:p>
        </w:tc>
        <w:tc>
          <w:tcPr>
            <w:tcW w:w="1216" w:type="dxa"/>
            <w:shd w:val="clear" w:color="auto" w:fill="auto"/>
          </w:tcPr>
          <w:p w:rsidR="005B2E2B" w:rsidRPr="000E1FAF" w:rsidRDefault="00A547AD" w:rsidP="00AE5E91">
            <w:pPr>
              <w:jc w:val="center"/>
              <w:rPr>
                <w:sz w:val="22"/>
                <w:szCs w:val="22"/>
              </w:rPr>
            </w:pPr>
            <w:r w:rsidRPr="000E1FAF">
              <w:rPr>
                <w:sz w:val="22"/>
                <w:szCs w:val="22"/>
              </w:rPr>
              <w:t>Yes</w:t>
            </w:r>
          </w:p>
        </w:tc>
        <w:tc>
          <w:tcPr>
            <w:tcW w:w="644" w:type="dxa"/>
            <w:shd w:val="clear" w:color="auto" w:fill="auto"/>
          </w:tcPr>
          <w:p w:rsidR="005B2E2B" w:rsidRPr="000E1FAF" w:rsidRDefault="005B2E2B" w:rsidP="00AE5E91">
            <w:pPr>
              <w:jc w:val="center"/>
              <w:rPr>
                <w:sz w:val="22"/>
                <w:szCs w:val="22"/>
              </w:rPr>
            </w:pPr>
            <w:r w:rsidRPr="000E1FAF">
              <w:rPr>
                <w:sz w:val="22"/>
                <w:szCs w:val="22"/>
              </w:rPr>
              <w:t>27</w:t>
            </w:r>
          </w:p>
        </w:tc>
        <w:tc>
          <w:tcPr>
            <w:tcW w:w="552" w:type="dxa"/>
            <w:shd w:val="clear" w:color="auto" w:fill="auto"/>
          </w:tcPr>
          <w:p w:rsidR="005B2E2B" w:rsidRPr="000E1FAF" w:rsidRDefault="005B2E2B" w:rsidP="00050D1A">
            <w:pPr>
              <w:jc w:val="center"/>
              <w:rPr>
                <w:sz w:val="22"/>
                <w:szCs w:val="22"/>
              </w:rPr>
            </w:pPr>
            <w:r w:rsidRPr="000E1FAF">
              <w:rPr>
                <w:sz w:val="22"/>
                <w:szCs w:val="22"/>
              </w:rPr>
              <w:t>2</w:t>
            </w:r>
          </w:p>
        </w:tc>
        <w:tc>
          <w:tcPr>
            <w:tcW w:w="555" w:type="dxa"/>
            <w:shd w:val="clear" w:color="auto" w:fill="auto"/>
          </w:tcPr>
          <w:p w:rsidR="005B2E2B" w:rsidRPr="000E1FAF" w:rsidRDefault="005B2E2B" w:rsidP="00A36E5E">
            <w:pPr>
              <w:jc w:val="center"/>
              <w:rPr>
                <w:sz w:val="22"/>
                <w:szCs w:val="22"/>
              </w:rPr>
            </w:pPr>
            <w:r w:rsidRPr="000E1FAF">
              <w:rPr>
                <w:sz w:val="22"/>
                <w:szCs w:val="22"/>
              </w:rPr>
              <w:t>1</w:t>
            </w:r>
          </w:p>
        </w:tc>
        <w:tc>
          <w:tcPr>
            <w:tcW w:w="555" w:type="dxa"/>
            <w:shd w:val="clear" w:color="auto" w:fill="auto"/>
          </w:tcPr>
          <w:p w:rsidR="005B2E2B" w:rsidRPr="000E1FAF" w:rsidRDefault="005B2E2B" w:rsidP="00C446F0">
            <w:pPr>
              <w:jc w:val="center"/>
              <w:rPr>
                <w:sz w:val="22"/>
                <w:szCs w:val="22"/>
              </w:rPr>
            </w:pPr>
            <w:r w:rsidRPr="000E1FAF">
              <w:rPr>
                <w:sz w:val="22"/>
                <w:szCs w:val="22"/>
              </w:rPr>
              <w:t>19</w:t>
            </w:r>
          </w:p>
        </w:tc>
      </w:tr>
      <w:tr w:rsidR="000E1FAF" w:rsidRPr="000E1FAF" w:rsidTr="0090128C">
        <w:tc>
          <w:tcPr>
            <w:tcW w:w="6852" w:type="dxa"/>
            <w:shd w:val="clear" w:color="auto" w:fill="auto"/>
          </w:tcPr>
          <w:p w:rsidR="005B2E2B" w:rsidRPr="000E1FAF" w:rsidRDefault="005B2E2B" w:rsidP="007C1312">
            <w:pPr>
              <w:rPr>
                <w:bCs/>
                <w:sz w:val="22"/>
                <w:szCs w:val="22"/>
              </w:rPr>
            </w:pPr>
            <w:r w:rsidRPr="000E1FAF">
              <w:rPr>
                <w:b/>
                <w:sz w:val="22"/>
                <w:szCs w:val="22"/>
              </w:rPr>
              <w:t xml:space="preserve">ECC/DEC/(06)08 – </w:t>
            </w:r>
            <w:r w:rsidRPr="000E1FAF">
              <w:rPr>
                <w:bCs/>
                <w:sz w:val="22"/>
                <w:szCs w:val="22"/>
              </w:rPr>
              <w:t xml:space="preserve">ECC Decision of 1 December 2006 </w:t>
            </w:r>
            <w:r w:rsidRPr="000E1FAF">
              <w:rPr>
                <w:sz w:val="22"/>
                <w:szCs w:val="22"/>
              </w:rPr>
              <w:t>on the conditions for the use of the radio spectrum by Ground- and Wall- Probing Radar (GPR/WPR) imaging systems</w:t>
            </w:r>
          </w:p>
        </w:tc>
        <w:tc>
          <w:tcPr>
            <w:tcW w:w="1341" w:type="dxa"/>
            <w:shd w:val="clear" w:color="auto" w:fill="auto"/>
          </w:tcPr>
          <w:p w:rsidR="005B2E2B" w:rsidRPr="000E1FAF" w:rsidRDefault="005B2E2B" w:rsidP="00A36E5E">
            <w:pPr>
              <w:rPr>
                <w:sz w:val="22"/>
                <w:szCs w:val="22"/>
              </w:rPr>
            </w:pPr>
            <w:r w:rsidRPr="000E1FAF">
              <w:rPr>
                <w:sz w:val="22"/>
                <w:szCs w:val="22"/>
              </w:rPr>
              <w:t>SRD/MG</w:t>
            </w:r>
          </w:p>
        </w:tc>
        <w:tc>
          <w:tcPr>
            <w:tcW w:w="1719" w:type="dxa"/>
            <w:shd w:val="clear" w:color="auto" w:fill="auto"/>
          </w:tcPr>
          <w:p w:rsidR="005B2E2B" w:rsidRPr="000E1FAF" w:rsidRDefault="005B2E2B" w:rsidP="00A36E5E">
            <w:pPr>
              <w:rPr>
                <w:sz w:val="22"/>
                <w:szCs w:val="22"/>
              </w:rPr>
            </w:pPr>
            <w:r w:rsidRPr="000E1FAF">
              <w:rPr>
                <w:bCs/>
                <w:sz w:val="22"/>
                <w:szCs w:val="22"/>
              </w:rPr>
              <w:t>Retain</w:t>
            </w:r>
          </w:p>
        </w:tc>
        <w:tc>
          <w:tcPr>
            <w:tcW w:w="1136" w:type="dxa"/>
            <w:shd w:val="clear" w:color="auto" w:fill="auto"/>
          </w:tcPr>
          <w:p w:rsidR="005B2E2B" w:rsidRPr="000E1FAF" w:rsidRDefault="005B2E2B" w:rsidP="00A36E5E">
            <w:pPr>
              <w:rPr>
                <w:sz w:val="22"/>
                <w:szCs w:val="22"/>
              </w:rPr>
            </w:pPr>
            <w:r w:rsidRPr="000E1FAF">
              <w:rPr>
                <w:sz w:val="22"/>
                <w:szCs w:val="22"/>
              </w:rPr>
              <w:t>2015</w:t>
            </w:r>
          </w:p>
        </w:tc>
        <w:tc>
          <w:tcPr>
            <w:tcW w:w="1216" w:type="dxa"/>
            <w:shd w:val="clear" w:color="auto" w:fill="auto"/>
          </w:tcPr>
          <w:p w:rsidR="005B2E2B" w:rsidRPr="000E1FAF" w:rsidRDefault="005B2E2B" w:rsidP="009B7281">
            <w:pPr>
              <w:jc w:val="center"/>
              <w:rPr>
                <w:sz w:val="22"/>
                <w:szCs w:val="22"/>
              </w:rPr>
            </w:pPr>
          </w:p>
        </w:tc>
        <w:tc>
          <w:tcPr>
            <w:tcW w:w="644" w:type="dxa"/>
            <w:shd w:val="clear" w:color="auto" w:fill="auto"/>
          </w:tcPr>
          <w:p w:rsidR="005B2E2B" w:rsidRPr="000E1FAF" w:rsidRDefault="005B2E2B" w:rsidP="009B7281">
            <w:pPr>
              <w:jc w:val="center"/>
              <w:rPr>
                <w:sz w:val="22"/>
                <w:szCs w:val="22"/>
              </w:rPr>
            </w:pPr>
            <w:r w:rsidRPr="000E1FAF">
              <w:rPr>
                <w:sz w:val="22"/>
                <w:szCs w:val="22"/>
              </w:rPr>
              <w:t>25</w:t>
            </w:r>
          </w:p>
        </w:tc>
        <w:tc>
          <w:tcPr>
            <w:tcW w:w="552" w:type="dxa"/>
            <w:shd w:val="clear" w:color="auto" w:fill="auto"/>
          </w:tcPr>
          <w:p w:rsidR="005B2E2B" w:rsidRPr="000E1FAF" w:rsidRDefault="005B2E2B" w:rsidP="005A3CC1">
            <w:pPr>
              <w:jc w:val="center"/>
              <w:rPr>
                <w:sz w:val="22"/>
                <w:szCs w:val="22"/>
              </w:rPr>
            </w:pPr>
            <w:r w:rsidRPr="000E1FAF">
              <w:rPr>
                <w:sz w:val="22"/>
                <w:szCs w:val="22"/>
              </w:rPr>
              <w:t>10</w:t>
            </w:r>
          </w:p>
        </w:tc>
        <w:tc>
          <w:tcPr>
            <w:tcW w:w="555" w:type="dxa"/>
            <w:shd w:val="clear" w:color="auto" w:fill="auto"/>
          </w:tcPr>
          <w:p w:rsidR="005B2E2B" w:rsidRPr="000E1FAF" w:rsidRDefault="005B2E2B" w:rsidP="009B7281">
            <w:pPr>
              <w:jc w:val="center"/>
              <w:rPr>
                <w:sz w:val="22"/>
                <w:szCs w:val="22"/>
              </w:rPr>
            </w:pPr>
            <w:r w:rsidRPr="000E1FAF">
              <w:rPr>
                <w:sz w:val="22"/>
                <w:szCs w:val="22"/>
              </w:rPr>
              <w:t>5</w:t>
            </w:r>
          </w:p>
        </w:tc>
        <w:tc>
          <w:tcPr>
            <w:tcW w:w="555" w:type="dxa"/>
            <w:shd w:val="clear" w:color="auto" w:fill="auto"/>
          </w:tcPr>
          <w:p w:rsidR="005B2E2B" w:rsidRPr="000E1FAF" w:rsidRDefault="005B2E2B" w:rsidP="009B7281">
            <w:pPr>
              <w:jc w:val="center"/>
              <w:rPr>
                <w:sz w:val="22"/>
                <w:szCs w:val="22"/>
              </w:rPr>
            </w:pPr>
            <w:r w:rsidRPr="000E1FAF">
              <w:rPr>
                <w:sz w:val="22"/>
                <w:szCs w:val="22"/>
              </w:rPr>
              <w:t>8</w:t>
            </w:r>
          </w:p>
        </w:tc>
      </w:tr>
      <w:tr w:rsidR="000E1FAF" w:rsidRPr="000E1FAF" w:rsidTr="0090128C">
        <w:tc>
          <w:tcPr>
            <w:tcW w:w="6852" w:type="dxa"/>
          </w:tcPr>
          <w:p w:rsidR="005B2E2B" w:rsidRPr="000E1FAF" w:rsidRDefault="005B2E2B" w:rsidP="00AD77F3">
            <w:pPr>
              <w:rPr>
                <w:b/>
                <w:sz w:val="22"/>
                <w:szCs w:val="22"/>
              </w:rPr>
            </w:pPr>
            <w:r w:rsidRPr="000E1FAF">
              <w:rPr>
                <w:b/>
                <w:sz w:val="22"/>
                <w:szCs w:val="22"/>
              </w:rPr>
              <w:t>ECC/DEC/(06)09</w:t>
            </w:r>
            <w:r w:rsidRPr="000E1FAF">
              <w:rPr>
                <w:sz w:val="22"/>
                <w:szCs w:val="22"/>
              </w:rPr>
              <w:t xml:space="preserve"> – ECC Decision of 1 December 2006 on the designation of the bands 1980-2010 MHz and 2170-2200 MHz for use by systems in the Mobile-Satellite Service including those supplemented by a Complementary Ground Component (CGC)</w:t>
            </w:r>
          </w:p>
        </w:tc>
        <w:tc>
          <w:tcPr>
            <w:tcW w:w="1341" w:type="dxa"/>
          </w:tcPr>
          <w:p w:rsidR="005B2E2B" w:rsidRPr="000E1FAF" w:rsidRDefault="005B2E2B" w:rsidP="00A36E5E">
            <w:pPr>
              <w:rPr>
                <w:sz w:val="22"/>
                <w:szCs w:val="22"/>
              </w:rPr>
            </w:pPr>
            <w:r w:rsidRPr="000E1FAF">
              <w:rPr>
                <w:sz w:val="22"/>
                <w:szCs w:val="22"/>
              </w:rPr>
              <w:t>FM44</w:t>
            </w:r>
          </w:p>
        </w:tc>
        <w:tc>
          <w:tcPr>
            <w:tcW w:w="1719" w:type="dxa"/>
          </w:tcPr>
          <w:p w:rsidR="005B2E2B" w:rsidRPr="000E1FAF" w:rsidRDefault="005B2E2B" w:rsidP="00A36E5E">
            <w:pPr>
              <w:rPr>
                <w:bCs/>
                <w:sz w:val="22"/>
                <w:szCs w:val="22"/>
              </w:rPr>
            </w:pPr>
            <w:r w:rsidRPr="000E1FAF">
              <w:rPr>
                <w:bCs/>
                <w:sz w:val="22"/>
                <w:szCs w:val="22"/>
              </w:rPr>
              <w:t>Retain</w:t>
            </w:r>
          </w:p>
        </w:tc>
        <w:tc>
          <w:tcPr>
            <w:tcW w:w="1136" w:type="dxa"/>
          </w:tcPr>
          <w:p w:rsidR="005B2E2B" w:rsidRPr="000E1FAF" w:rsidRDefault="005B2E2B" w:rsidP="00A36E5E">
            <w:pPr>
              <w:rPr>
                <w:sz w:val="22"/>
                <w:szCs w:val="22"/>
              </w:rPr>
            </w:pPr>
            <w:r w:rsidRPr="000E1FAF">
              <w:rPr>
                <w:sz w:val="22"/>
                <w:szCs w:val="22"/>
              </w:rPr>
              <w:t>2016</w:t>
            </w:r>
          </w:p>
        </w:tc>
        <w:tc>
          <w:tcPr>
            <w:tcW w:w="1216" w:type="dxa"/>
            <w:shd w:val="clear" w:color="auto" w:fill="auto"/>
          </w:tcPr>
          <w:p w:rsidR="005B2E2B" w:rsidRPr="000E1FAF" w:rsidRDefault="005B2E2B" w:rsidP="001F3251">
            <w:pPr>
              <w:jc w:val="center"/>
              <w:rPr>
                <w:sz w:val="22"/>
                <w:szCs w:val="22"/>
              </w:rPr>
            </w:pPr>
          </w:p>
        </w:tc>
        <w:tc>
          <w:tcPr>
            <w:tcW w:w="644" w:type="dxa"/>
          </w:tcPr>
          <w:p w:rsidR="005B2E2B" w:rsidRPr="000E1FAF" w:rsidRDefault="005B2E2B" w:rsidP="001F3251">
            <w:pPr>
              <w:jc w:val="center"/>
              <w:rPr>
                <w:sz w:val="22"/>
                <w:szCs w:val="22"/>
              </w:rPr>
            </w:pPr>
            <w:r w:rsidRPr="000E1FAF">
              <w:rPr>
                <w:sz w:val="22"/>
                <w:szCs w:val="22"/>
              </w:rPr>
              <w:t>29</w:t>
            </w:r>
          </w:p>
        </w:tc>
        <w:tc>
          <w:tcPr>
            <w:tcW w:w="552" w:type="dxa"/>
          </w:tcPr>
          <w:p w:rsidR="005B2E2B" w:rsidRPr="000E1FAF" w:rsidRDefault="005B2E2B" w:rsidP="0048556B">
            <w:pPr>
              <w:jc w:val="center"/>
              <w:rPr>
                <w:sz w:val="22"/>
                <w:szCs w:val="22"/>
              </w:rPr>
            </w:pPr>
            <w:r w:rsidRPr="000E1FAF">
              <w:rPr>
                <w:sz w:val="22"/>
                <w:szCs w:val="22"/>
              </w:rPr>
              <w:t>4</w:t>
            </w:r>
          </w:p>
        </w:tc>
        <w:tc>
          <w:tcPr>
            <w:tcW w:w="555" w:type="dxa"/>
          </w:tcPr>
          <w:p w:rsidR="005B2E2B" w:rsidRPr="000E1FAF" w:rsidRDefault="005B2E2B" w:rsidP="00A36E5E">
            <w:pPr>
              <w:jc w:val="center"/>
              <w:rPr>
                <w:sz w:val="22"/>
                <w:szCs w:val="22"/>
              </w:rPr>
            </w:pPr>
            <w:r w:rsidRPr="000E1FAF">
              <w:rPr>
                <w:sz w:val="22"/>
                <w:szCs w:val="22"/>
              </w:rPr>
              <w:t>3</w:t>
            </w:r>
          </w:p>
        </w:tc>
        <w:tc>
          <w:tcPr>
            <w:tcW w:w="555" w:type="dxa"/>
          </w:tcPr>
          <w:p w:rsidR="005B2E2B" w:rsidRPr="000E1FAF" w:rsidRDefault="005B2E2B" w:rsidP="0048556B">
            <w:pPr>
              <w:jc w:val="center"/>
              <w:rPr>
                <w:sz w:val="22"/>
                <w:szCs w:val="22"/>
              </w:rPr>
            </w:pPr>
            <w:r w:rsidRPr="000E1FAF">
              <w:rPr>
                <w:sz w:val="22"/>
                <w:szCs w:val="22"/>
              </w:rPr>
              <w:t>12</w:t>
            </w:r>
          </w:p>
        </w:tc>
      </w:tr>
      <w:tr w:rsidR="000E1FAF" w:rsidRPr="000E1FAF" w:rsidTr="0090128C">
        <w:tc>
          <w:tcPr>
            <w:tcW w:w="6852" w:type="dxa"/>
            <w:tcBorders>
              <w:bottom w:val="single" w:sz="4" w:space="0" w:color="000000"/>
            </w:tcBorders>
          </w:tcPr>
          <w:p w:rsidR="005B2E2B" w:rsidRPr="000E1FAF" w:rsidRDefault="005B2E2B" w:rsidP="00196C82">
            <w:pPr>
              <w:rPr>
                <w:bCs/>
                <w:sz w:val="22"/>
                <w:szCs w:val="22"/>
              </w:rPr>
            </w:pPr>
            <w:r w:rsidRPr="000E1FAF">
              <w:rPr>
                <w:b/>
                <w:sz w:val="22"/>
                <w:szCs w:val="22"/>
              </w:rPr>
              <w:t xml:space="preserve">ECC/DEC/(06)10 - </w:t>
            </w:r>
            <w:r w:rsidRPr="000E1FAF">
              <w:rPr>
                <w:sz w:val="22"/>
                <w:szCs w:val="22"/>
              </w:rPr>
              <w:t xml:space="preserve"> ECC Decision of 1 December 2006 on 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w:t>
            </w:r>
          </w:p>
        </w:tc>
        <w:tc>
          <w:tcPr>
            <w:tcW w:w="1341" w:type="dxa"/>
            <w:tcBorders>
              <w:bottom w:val="single" w:sz="4" w:space="0" w:color="000000"/>
            </w:tcBorders>
          </w:tcPr>
          <w:p w:rsidR="005B2E2B" w:rsidRPr="000E1FAF" w:rsidRDefault="005B2E2B" w:rsidP="00A36E5E">
            <w:pPr>
              <w:rPr>
                <w:sz w:val="22"/>
                <w:szCs w:val="22"/>
              </w:rPr>
            </w:pPr>
            <w:r w:rsidRPr="000E1FAF">
              <w:rPr>
                <w:sz w:val="22"/>
                <w:szCs w:val="22"/>
              </w:rPr>
              <w:t>FM44</w:t>
            </w:r>
          </w:p>
        </w:tc>
        <w:tc>
          <w:tcPr>
            <w:tcW w:w="1719" w:type="dxa"/>
            <w:tcBorders>
              <w:bottom w:val="single" w:sz="4" w:space="0" w:color="000000"/>
            </w:tcBorders>
          </w:tcPr>
          <w:p w:rsidR="005B2E2B" w:rsidRPr="000E1FAF" w:rsidRDefault="005B2E2B" w:rsidP="00A36E5E">
            <w:pPr>
              <w:rPr>
                <w:sz w:val="22"/>
                <w:szCs w:val="22"/>
              </w:rPr>
            </w:pPr>
            <w:r w:rsidRPr="000E1FAF">
              <w:rPr>
                <w:bCs/>
                <w:sz w:val="22"/>
                <w:szCs w:val="22"/>
              </w:rPr>
              <w:t>Retain</w:t>
            </w:r>
          </w:p>
        </w:tc>
        <w:tc>
          <w:tcPr>
            <w:tcW w:w="1136" w:type="dxa"/>
            <w:tcBorders>
              <w:bottom w:val="single" w:sz="4" w:space="0" w:color="000000"/>
            </w:tcBorders>
          </w:tcPr>
          <w:p w:rsidR="005B2E2B" w:rsidRPr="000E1FAF" w:rsidRDefault="005B2E2B" w:rsidP="00A36E5E">
            <w:pPr>
              <w:rPr>
                <w:sz w:val="22"/>
                <w:szCs w:val="22"/>
              </w:rPr>
            </w:pPr>
            <w:r w:rsidRPr="000E1FAF">
              <w:rPr>
                <w:sz w:val="22"/>
                <w:szCs w:val="22"/>
              </w:rPr>
              <w:t>2016</w:t>
            </w:r>
          </w:p>
        </w:tc>
        <w:tc>
          <w:tcPr>
            <w:tcW w:w="1216" w:type="dxa"/>
            <w:tcBorders>
              <w:bottom w:val="single" w:sz="4" w:space="0" w:color="000000"/>
            </w:tcBorders>
            <w:shd w:val="clear" w:color="auto" w:fill="auto"/>
          </w:tcPr>
          <w:p w:rsidR="005B2E2B" w:rsidRPr="000E1FAF" w:rsidRDefault="005B2E2B" w:rsidP="0048556B">
            <w:pPr>
              <w:jc w:val="center"/>
              <w:rPr>
                <w:sz w:val="22"/>
                <w:szCs w:val="22"/>
              </w:rPr>
            </w:pPr>
          </w:p>
        </w:tc>
        <w:tc>
          <w:tcPr>
            <w:tcW w:w="644" w:type="dxa"/>
            <w:tcBorders>
              <w:bottom w:val="single" w:sz="4" w:space="0" w:color="000000"/>
            </w:tcBorders>
          </w:tcPr>
          <w:p w:rsidR="005B2E2B" w:rsidRPr="000E1FAF" w:rsidRDefault="005B2E2B" w:rsidP="0048556B">
            <w:pPr>
              <w:jc w:val="center"/>
              <w:rPr>
                <w:sz w:val="22"/>
                <w:szCs w:val="22"/>
              </w:rPr>
            </w:pPr>
            <w:r w:rsidRPr="000E1FAF">
              <w:rPr>
                <w:sz w:val="22"/>
                <w:szCs w:val="22"/>
              </w:rPr>
              <w:t>26</w:t>
            </w:r>
          </w:p>
        </w:tc>
        <w:tc>
          <w:tcPr>
            <w:tcW w:w="552" w:type="dxa"/>
            <w:tcBorders>
              <w:bottom w:val="single" w:sz="4" w:space="0" w:color="000000"/>
            </w:tcBorders>
          </w:tcPr>
          <w:p w:rsidR="005B2E2B" w:rsidRPr="000E1FAF" w:rsidRDefault="005B2E2B" w:rsidP="0048556B">
            <w:pPr>
              <w:jc w:val="center"/>
              <w:rPr>
                <w:sz w:val="22"/>
                <w:szCs w:val="22"/>
              </w:rPr>
            </w:pPr>
            <w:r w:rsidRPr="000E1FAF">
              <w:rPr>
                <w:sz w:val="22"/>
                <w:szCs w:val="22"/>
              </w:rPr>
              <w:t>1</w:t>
            </w:r>
          </w:p>
        </w:tc>
        <w:tc>
          <w:tcPr>
            <w:tcW w:w="555" w:type="dxa"/>
            <w:tcBorders>
              <w:bottom w:val="single" w:sz="4" w:space="0" w:color="000000"/>
            </w:tcBorders>
          </w:tcPr>
          <w:p w:rsidR="005B2E2B" w:rsidRPr="000E1FAF" w:rsidRDefault="005B2E2B" w:rsidP="00293BBD">
            <w:pPr>
              <w:jc w:val="center"/>
              <w:rPr>
                <w:sz w:val="22"/>
                <w:szCs w:val="22"/>
              </w:rPr>
            </w:pPr>
            <w:r w:rsidRPr="000E1FAF">
              <w:rPr>
                <w:sz w:val="22"/>
                <w:szCs w:val="22"/>
              </w:rPr>
              <w:t>7</w:t>
            </w:r>
          </w:p>
        </w:tc>
        <w:tc>
          <w:tcPr>
            <w:tcW w:w="555" w:type="dxa"/>
            <w:tcBorders>
              <w:bottom w:val="single" w:sz="4" w:space="0" w:color="000000"/>
            </w:tcBorders>
          </w:tcPr>
          <w:p w:rsidR="005B2E2B" w:rsidRPr="000E1FAF" w:rsidRDefault="005B2E2B" w:rsidP="00293BBD">
            <w:pPr>
              <w:jc w:val="center"/>
              <w:rPr>
                <w:sz w:val="22"/>
                <w:szCs w:val="22"/>
              </w:rPr>
            </w:pPr>
            <w:r w:rsidRPr="000E1FAF">
              <w:rPr>
                <w:sz w:val="22"/>
                <w:szCs w:val="22"/>
              </w:rPr>
              <w:t>14</w:t>
            </w:r>
          </w:p>
        </w:tc>
      </w:tr>
      <w:tr w:rsidR="000E1FAF" w:rsidRPr="000E1FAF" w:rsidTr="0090128C">
        <w:tc>
          <w:tcPr>
            <w:tcW w:w="6852" w:type="dxa"/>
            <w:shd w:val="clear" w:color="auto" w:fill="auto"/>
          </w:tcPr>
          <w:p w:rsidR="005B2E2B" w:rsidRPr="000E1FAF" w:rsidRDefault="005B2E2B" w:rsidP="009E1890">
            <w:pPr>
              <w:rPr>
                <w:sz w:val="22"/>
                <w:szCs w:val="22"/>
              </w:rPr>
            </w:pPr>
            <w:r w:rsidRPr="000E1FAF">
              <w:rPr>
                <w:b/>
                <w:sz w:val="22"/>
                <w:szCs w:val="22"/>
              </w:rPr>
              <w:lastRenderedPageBreak/>
              <w:t xml:space="preserve">ECC/DEC/(06)13 – </w:t>
            </w:r>
            <w:r w:rsidRPr="000E1FAF">
              <w:rPr>
                <w:bCs/>
                <w:sz w:val="22"/>
                <w:szCs w:val="22"/>
              </w:rPr>
              <w:t xml:space="preserve">ECC Decision of 1 December 2006 </w:t>
            </w:r>
            <w:r w:rsidRPr="000E1FAF">
              <w:rPr>
                <w:sz w:val="22"/>
                <w:szCs w:val="22"/>
              </w:rPr>
              <w:t>on the designation of the bands</w:t>
            </w:r>
            <w:r w:rsidRPr="000E1FAF">
              <w:rPr>
                <w:bCs/>
                <w:sz w:val="22"/>
                <w:szCs w:val="22"/>
              </w:rPr>
              <w:t xml:space="preserve"> </w:t>
            </w:r>
            <w:r w:rsidRPr="000E1FAF">
              <w:rPr>
                <w:sz w:val="22"/>
                <w:szCs w:val="22"/>
              </w:rPr>
              <w:t>880-915 MHz, 925-960 MHz, 1710-1785 MHz and 1805-1880 MHz for terrestrial IMT-2000/UMTS systems</w:t>
            </w:r>
          </w:p>
          <w:p w:rsidR="00111772" w:rsidRPr="00EC197E" w:rsidRDefault="00111772" w:rsidP="005509BD">
            <w:pPr>
              <w:rPr>
                <w:bCs/>
                <w:i/>
                <w:color w:val="FF0000"/>
                <w:sz w:val="22"/>
                <w:szCs w:val="22"/>
              </w:rPr>
            </w:pPr>
            <w:r w:rsidRPr="00EC197E">
              <w:rPr>
                <w:i/>
                <w:color w:val="FF0000"/>
                <w:sz w:val="22"/>
                <w:szCs w:val="22"/>
              </w:rPr>
              <w:t>Note: Revision was completed at ECC PT1 #43 in May 2013.</w:t>
            </w:r>
          </w:p>
        </w:tc>
        <w:tc>
          <w:tcPr>
            <w:tcW w:w="1341" w:type="dxa"/>
            <w:shd w:val="clear" w:color="auto" w:fill="auto"/>
          </w:tcPr>
          <w:p w:rsidR="005B2E2B" w:rsidRPr="000E1FAF" w:rsidRDefault="005B2E2B" w:rsidP="00A36E5E">
            <w:pPr>
              <w:rPr>
                <w:sz w:val="22"/>
                <w:szCs w:val="22"/>
              </w:rPr>
            </w:pPr>
            <w:r w:rsidRPr="000E1FAF">
              <w:rPr>
                <w:sz w:val="22"/>
                <w:szCs w:val="22"/>
              </w:rPr>
              <w:t>ECC PT1</w:t>
            </w:r>
          </w:p>
        </w:tc>
        <w:tc>
          <w:tcPr>
            <w:tcW w:w="1719" w:type="dxa"/>
            <w:shd w:val="clear" w:color="auto" w:fill="auto"/>
          </w:tcPr>
          <w:p w:rsidR="005B2E2B" w:rsidRPr="000E1FAF" w:rsidRDefault="005B2E2B" w:rsidP="00CF5B5F">
            <w:pPr>
              <w:rPr>
                <w:sz w:val="22"/>
                <w:szCs w:val="22"/>
              </w:rPr>
            </w:pPr>
            <w:r w:rsidRPr="000E1FAF">
              <w:rPr>
                <w:bCs/>
                <w:sz w:val="22"/>
                <w:szCs w:val="22"/>
              </w:rPr>
              <w:t>Retain</w:t>
            </w:r>
          </w:p>
        </w:tc>
        <w:tc>
          <w:tcPr>
            <w:tcW w:w="1136" w:type="dxa"/>
            <w:shd w:val="clear" w:color="auto" w:fill="auto"/>
          </w:tcPr>
          <w:p w:rsidR="005B2E2B" w:rsidRPr="000E1FAF" w:rsidRDefault="005B2E2B" w:rsidP="00CF5B5F">
            <w:pPr>
              <w:rPr>
                <w:sz w:val="22"/>
                <w:szCs w:val="22"/>
              </w:rPr>
            </w:pPr>
            <w:r w:rsidRPr="000E1FAF">
              <w:rPr>
                <w:sz w:val="22"/>
                <w:szCs w:val="22"/>
              </w:rPr>
              <w:t>2018</w:t>
            </w:r>
          </w:p>
        </w:tc>
        <w:tc>
          <w:tcPr>
            <w:tcW w:w="1216" w:type="dxa"/>
            <w:shd w:val="clear" w:color="auto" w:fill="auto"/>
          </w:tcPr>
          <w:p w:rsidR="005B2E2B" w:rsidRPr="000E1FAF" w:rsidRDefault="005B2E2B" w:rsidP="00AE5E91">
            <w:pPr>
              <w:jc w:val="center"/>
              <w:rPr>
                <w:sz w:val="22"/>
                <w:szCs w:val="22"/>
              </w:rPr>
            </w:pPr>
          </w:p>
        </w:tc>
        <w:tc>
          <w:tcPr>
            <w:tcW w:w="644" w:type="dxa"/>
            <w:shd w:val="clear" w:color="auto" w:fill="auto"/>
          </w:tcPr>
          <w:p w:rsidR="005B2E2B" w:rsidRPr="000E1FAF" w:rsidRDefault="005B2E2B" w:rsidP="00AE5E91">
            <w:pPr>
              <w:jc w:val="center"/>
              <w:rPr>
                <w:sz w:val="22"/>
                <w:szCs w:val="22"/>
              </w:rPr>
            </w:pPr>
            <w:r w:rsidRPr="000E1FAF">
              <w:rPr>
                <w:sz w:val="22"/>
                <w:szCs w:val="22"/>
              </w:rPr>
              <w:t>0</w:t>
            </w:r>
          </w:p>
        </w:tc>
        <w:tc>
          <w:tcPr>
            <w:tcW w:w="552" w:type="dxa"/>
            <w:shd w:val="clear" w:color="auto" w:fill="auto"/>
          </w:tcPr>
          <w:p w:rsidR="005B2E2B" w:rsidRPr="000E1FAF" w:rsidRDefault="005B2E2B" w:rsidP="0048556B">
            <w:pPr>
              <w:jc w:val="center"/>
              <w:rPr>
                <w:sz w:val="22"/>
                <w:szCs w:val="22"/>
              </w:rPr>
            </w:pPr>
          </w:p>
        </w:tc>
        <w:tc>
          <w:tcPr>
            <w:tcW w:w="555" w:type="dxa"/>
            <w:shd w:val="clear" w:color="auto" w:fill="auto"/>
          </w:tcPr>
          <w:p w:rsidR="005B2E2B" w:rsidRPr="000E1FAF" w:rsidRDefault="005B2E2B" w:rsidP="00A36E5E">
            <w:pPr>
              <w:jc w:val="center"/>
              <w:rPr>
                <w:sz w:val="22"/>
                <w:szCs w:val="22"/>
              </w:rPr>
            </w:pPr>
          </w:p>
        </w:tc>
        <w:tc>
          <w:tcPr>
            <w:tcW w:w="555" w:type="dxa"/>
            <w:shd w:val="clear" w:color="auto" w:fill="auto"/>
          </w:tcPr>
          <w:p w:rsidR="005B2E2B" w:rsidRPr="000E1FAF" w:rsidRDefault="005B2E2B" w:rsidP="007D4122">
            <w:pPr>
              <w:jc w:val="center"/>
              <w:rPr>
                <w:sz w:val="22"/>
                <w:szCs w:val="22"/>
              </w:rPr>
            </w:pPr>
          </w:p>
        </w:tc>
      </w:tr>
      <w:tr w:rsidR="000E1FAF" w:rsidRPr="000E1FAF" w:rsidTr="0090128C">
        <w:tc>
          <w:tcPr>
            <w:tcW w:w="6852" w:type="dxa"/>
          </w:tcPr>
          <w:p w:rsidR="005B2E2B" w:rsidRPr="000E1FAF" w:rsidRDefault="005B2E2B" w:rsidP="009E1890">
            <w:pPr>
              <w:rPr>
                <w:b/>
                <w:sz w:val="22"/>
                <w:szCs w:val="22"/>
              </w:rPr>
            </w:pPr>
            <w:r w:rsidRPr="000E1FAF">
              <w:rPr>
                <w:b/>
                <w:sz w:val="22"/>
                <w:szCs w:val="22"/>
              </w:rPr>
              <w:t>ECC/DEC/(07)01</w:t>
            </w:r>
            <w:r w:rsidRPr="000E1FAF">
              <w:rPr>
                <w:sz w:val="22"/>
                <w:szCs w:val="22"/>
              </w:rPr>
              <w:t xml:space="preserve"> – ECC Decision of 30 March 2007 on specific Material Sensing devices using Ultra-Wideband (UWB) technology</w:t>
            </w:r>
          </w:p>
        </w:tc>
        <w:tc>
          <w:tcPr>
            <w:tcW w:w="1341" w:type="dxa"/>
          </w:tcPr>
          <w:p w:rsidR="005B2E2B" w:rsidRPr="000E1FAF" w:rsidRDefault="005B2E2B" w:rsidP="00A36E5E">
            <w:pPr>
              <w:rPr>
                <w:sz w:val="22"/>
                <w:szCs w:val="22"/>
              </w:rPr>
            </w:pPr>
            <w:r w:rsidRPr="000E1FAF">
              <w:rPr>
                <w:sz w:val="22"/>
                <w:szCs w:val="22"/>
              </w:rPr>
              <w:t>SRD/MG</w:t>
            </w:r>
          </w:p>
        </w:tc>
        <w:tc>
          <w:tcPr>
            <w:tcW w:w="1719" w:type="dxa"/>
          </w:tcPr>
          <w:p w:rsidR="005B2E2B" w:rsidRPr="000E1FAF" w:rsidRDefault="005B2E2B" w:rsidP="00A36E5E">
            <w:pPr>
              <w:rPr>
                <w:bCs/>
                <w:sz w:val="22"/>
                <w:szCs w:val="22"/>
              </w:rPr>
            </w:pPr>
            <w:r w:rsidRPr="000E1FAF">
              <w:rPr>
                <w:bCs/>
                <w:sz w:val="22"/>
                <w:szCs w:val="22"/>
              </w:rPr>
              <w:t>Retain</w:t>
            </w:r>
          </w:p>
        </w:tc>
        <w:tc>
          <w:tcPr>
            <w:tcW w:w="1136" w:type="dxa"/>
          </w:tcPr>
          <w:p w:rsidR="005B2E2B" w:rsidRPr="000E1FAF" w:rsidRDefault="005B2E2B" w:rsidP="00F21C58">
            <w:pPr>
              <w:rPr>
                <w:sz w:val="22"/>
                <w:szCs w:val="22"/>
              </w:rPr>
            </w:pPr>
            <w:r w:rsidRPr="000E1FAF">
              <w:rPr>
                <w:sz w:val="22"/>
                <w:szCs w:val="22"/>
              </w:rPr>
              <w:t>2017</w:t>
            </w:r>
          </w:p>
        </w:tc>
        <w:tc>
          <w:tcPr>
            <w:tcW w:w="1216" w:type="dxa"/>
            <w:shd w:val="clear" w:color="auto" w:fill="auto"/>
          </w:tcPr>
          <w:p w:rsidR="005B2E2B" w:rsidRPr="000E1FAF" w:rsidRDefault="005B2E2B" w:rsidP="009B7281">
            <w:pPr>
              <w:jc w:val="center"/>
              <w:rPr>
                <w:sz w:val="22"/>
                <w:szCs w:val="22"/>
              </w:rPr>
            </w:pPr>
          </w:p>
        </w:tc>
        <w:tc>
          <w:tcPr>
            <w:tcW w:w="644" w:type="dxa"/>
          </w:tcPr>
          <w:p w:rsidR="005B2E2B" w:rsidRPr="000E1FAF" w:rsidRDefault="005B2E2B" w:rsidP="009B7281">
            <w:pPr>
              <w:jc w:val="center"/>
              <w:rPr>
                <w:sz w:val="22"/>
                <w:szCs w:val="22"/>
              </w:rPr>
            </w:pPr>
            <w:r w:rsidRPr="000E1FAF">
              <w:rPr>
                <w:sz w:val="22"/>
                <w:szCs w:val="22"/>
              </w:rPr>
              <w:t>25</w:t>
            </w:r>
          </w:p>
        </w:tc>
        <w:tc>
          <w:tcPr>
            <w:tcW w:w="552" w:type="dxa"/>
          </w:tcPr>
          <w:p w:rsidR="005B2E2B" w:rsidRPr="000E1FAF" w:rsidRDefault="005B2E2B" w:rsidP="009B7281">
            <w:pPr>
              <w:jc w:val="center"/>
              <w:rPr>
                <w:bCs/>
                <w:sz w:val="22"/>
                <w:szCs w:val="22"/>
              </w:rPr>
            </w:pPr>
            <w:r w:rsidRPr="000E1FAF">
              <w:rPr>
                <w:bCs/>
                <w:sz w:val="22"/>
                <w:szCs w:val="22"/>
              </w:rPr>
              <w:t>8</w:t>
            </w:r>
          </w:p>
        </w:tc>
        <w:tc>
          <w:tcPr>
            <w:tcW w:w="555" w:type="dxa"/>
          </w:tcPr>
          <w:p w:rsidR="005B2E2B" w:rsidRPr="000E1FAF" w:rsidRDefault="005B2E2B" w:rsidP="009B7281">
            <w:pPr>
              <w:jc w:val="center"/>
              <w:rPr>
                <w:bCs/>
                <w:sz w:val="22"/>
                <w:szCs w:val="22"/>
              </w:rPr>
            </w:pPr>
            <w:r w:rsidRPr="000E1FAF">
              <w:rPr>
                <w:bCs/>
                <w:sz w:val="22"/>
                <w:szCs w:val="22"/>
              </w:rPr>
              <w:t>6</w:t>
            </w:r>
          </w:p>
        </w:tc>
        <w:tc>
          <w:tcPr>
            <w:tcW w:w="555" w:type="dxa"/>
          </w:tcPr>
          <w:p w:rsidR="005B2E2B" w:rsidRPr="000E1FAF" w:rsidRDefault="005B2E2B" w:rsidP="009B7281">
            <w:pPr>
              <w:jc w:val="center"/>
              <w:rPr>
                <w:bCs/>
                <w:sz w:val="22"/>
                <w:szCs w:val="22"/>
              </w:rPr>
            </w:pPr>
            <w:r w:rsidRPr="000E1FAF">
              <w:rPr>
                <w:bCs/>
                <w:sz w:val="22"/>
                <w:szCs w:val="22"/>
              </w:rPr>
              <w:t>9</w:t>
            </w:r>
          </w:p>
        </w:tc>
      </w:tr>
      <w:tr w:rsidR="000E1FAF" w:rsidRPr="000E1FAF" w:rsidTr="0090128C">
        <w:tc>
          <w:tcPr>
            <w:tcW w:w="6852" w:type="dxa"/>
          </w:tcPr>
          <w:p w:rsidR="005B2E2B" w:rsidRPr="000E1FAF" w:rsidRDefault="005B2E2B" w:rsidP="000E098D">
            <w:pPr>
              <w:rPr>
                <w:sz w:val="22"/>
                <w:szCs w:val="22"/>
              </w:rPr>
            </w:pPr>
            <w:r w:rsidRPr="000E1FAF">
              <w:rPr>
                <w:b/>
                <w:sz w:val="22"/>
                <w:szCs w:val="22"/>
              </w:rPr>
              <w:t xml:space="preserve">ECC/DEC/(07)02 – </w:t>
            </w:r>
            <w:r w:rsidRPr="000E1FAF">
              <w:rPr>
                <w:sz w:val="22"/>
                <w:szCs w:val="22"/>
              </w:rPr>
              <w:t xml:space="preserve">ECC Decision of 30 March 2007 on availability of frequency bands between 3400-3800 MHz for the harmonised implementation of </w:t>
            </w:r>
            <w:r w:rsidRPr="000E1FAF">
              <w:rPr>
                <w:bCs/>
                <w:sz w:val="22"/>
                <w:szCs w:val="22"/>
              </w:rPr>
              <w:t>B</w:t>
            </w:r>
            <w:r w:rsidRPr="000E1FAF">
              <w:rPr>
                <w:sz w:val="22"/>
                <w:szCs w:val="22"/>
              </w:rPr>
              <w:t xml:space="preserve">roadband </w:t>
            </w:r>
            <w:r w:rsidRPr="000E1FAF">
              <w:rPr>
                <w:bCs/>
                <w:sz w:val="22"/>
                <w:szCs w:val="22"/>
              </w:rPr>
              <w:t>W</w:t>
            </w:r>
            <w:r w:rsidRPr="000E1FAF">
              <w:rPr>
                <w:sz w:val="22"/>
                <w:szCs w:val="22"/>
              </w:rPr>
              <w:t xml:space="preserve">ireless </w:t>
            </w:r>
            <w:r w:rsidRPr="000E1FAF">
              <w:rPr>
                <w:bCs/>
                <w:sz w:val="22"/>
                <w:szCs w:val="22"/>
              </w:rPr>
              <w:t>A</w:t>
            </w:r>
            <w:r w:rsidRPr="000E1FAF">
              <w:rPr>
                <w:sz w:val="22"/>
                <w:szCs w:val="22"/>
              </w:rPr>
              <w:t>ccess systems (BWA)</w:t>
            </w:r>
          </w:p>
          <w:p w:rsidR="00111772" w:rsidRPr="000E1FAF" w:rsidRDefault="005B2E2B" w:rsidP="00EC197E">
            <w:pPr>
              <w:rPr>
                <w:bCs/>
                <w:i/>
                <w:color w:val="FF0000"/>
                <w:sz w:val="22"/>
                <w:szCs w:val="22"/>
              </w:rPr>
            </w:pPr>
            <w:r w:rsidRPr="000E1FAF">
              <w:rPr>
                <w:i/>
                <w:color w:val="FF0000"/>
                <w:sz w:val="22"/>
                <w:szCs w:val="22"/>
              </w:rPr>
              <w:t xml:space="preserve">Note: </w:t>
            </w:r>
            <w:r w:rsidR="00A547AD" w:rsidRPr="000E1FAF">
              <w:rPr>
                <w:i/>
                <w:color w:val="FF0000"/>
                <w:sz w:val="22"/>
                <w:szCs w:val="22"/>
              </w:rPr>
              <w:t>ECC#35 agreed to keep ECC Decision (07)02 and ECC Recommendation (04)05 in force for the time being, but this should be reconsidered in few years.</w:t>
            </w:r>
            <w:r w:rsidR="00A547AD" w:rsidRPr="005509BD">
              <w:rPr>
                <w:i/>
                <w:color w:val="FF0000"/>
                <w:sz w:val="22"/>
                <w:szCs w:val="22"/>
              </w:rPr>
              <w:t xml:space="preserve"> It is </w:t>
            </w:r>
            <w:r w:rsidR="00A547AD" w:rsidRPr="000E1FAF">
              <w:rPr>
                <w:i/>
                <w:color w:val="FF0000"/>
                <w:sz w:val="22"/>
                <w:szCs w:val="22"/>
              </w:rPr>
              <w:t>recognised that at the later stage this Decision could be combined with the amended ECC/</w:t>
            </w:r>
            <w:proofErr w:type="gramStart"/>
            <w:r w:rsidR="00A547AD" w:rsidRPr="000E1FAF">
              <w:rPr>
                <w:i/>
                <w:color w:val="FF0000"/>
                <w:sz w:val="22"/>
                <w:szCs w:val="22"/>
              </w:rPr>
              <w:t>DEC(</w:t>
            </w:r>
            <w:proofErr w:type="gramEnd"/>
            <w:r w:rsidR="00A547AD" w:rsidRPr="000E1FAF">
              <w:rPr>
                <w:i/>
                <w:color w:val="FF0000"/>
                <w:sz w:val="22"/>
                <w:szCs w:val="22"/>
              </w:rPr>
              <w:t>11)06 and ECC/REC(04)05.</w:t>
            </w:r>
            <w:r w:rsidRPr="000E1FAF">
              <w:rPr>
                <w:i/>
                <w:color w:val="FF0000"/>
                <w:sz w:val="22"/>
                <w:szCs w:val="22"/>
              </w:rPr>
              <w:t xml:space="preserve"> </w:t>
            </w:r>
          </w:p>
        </w:tc>
        <w:tc>
          <w:tcPr>
            <w:tcW w:w="1341" w:type="dxa"/>
          </w:tcPr>
          <w:p w:rsidR="005B2E2B" w:rsidRPr="000E1FAF" w:rsidRDefault="005B2E2B" w:rsidP="00A36E5E">
            <w:pPr>
              <w:rPr>
                <w:sz w:val="22"/>
                <w:szCs w:val="22"/>
              </w:rPr>
            </w:pPr>
            <w:r w:rsidRPr="000E1FAF">
              <w:rPr>
                <w:sz w:val="22"/>
                <w:szCs w:val="22"/>
              </w:rPr>
              <w:t>WG FM</w:t>
            </w:r>
          </w:p>
        </w:tc>
        <w:tc>
          <w:tcPr>
            <w:tcW w:w="1719" w:type="dxa"/>
          </w:tcPr>
          <w:p w:rsidR="005B2E2B" w:rsidRPr="000E1FAF" w:rsidRDefault="005B2E2B" w:rsidP="00A36E5E">
            <w:pPr>
              <w:rPr>
                <w:sz w:val="22"/>
                <w:szCs w:val="22"/>
              </w:rPr>
            </w:pPr>
            <w:r w:rsidRPr="000E1FAF">
              <w:rPr>
                <w:bCs/>
                <w:sz w:val="22"/>
                <w:szCs w:val="22"/>
              </w:rPr>
              <w:t>Retain</w:t>
            </w:r>
          </w:p>
        </w:tc>
        <w:tc>
          <w:tcPr>
            <w:tcW w:w="1136" w:type="dxa"/>
          </w:tcPr>
          <w:p w:rsidR="005B2E2B" w:rsidRPr="000E1FAF" w:rsidRDefault="005B2E2B" w:rsidP="00A547AD">
            <w:pPr>
              <w:rPr>
                <w:sz w:val="22"/>
                <w:szCs w:val="22"/>
              </w:rPr>
            </w:pPr>
            <w:r w:rsidRPr="000E1FAF">
              <w:rPr>
                <w:sz w:val="22"/>
                <w:szCs w:val="22"/>
              </w:rPr>
              <w:t>201</w:t>
            </w:r>
            <w:r w:rsidR="00A547AD" w:rsidRPr="000E1FAF">
              <w:rPr>
                <w:sz w:val="22"/>
                <w:szCs w:val="22"/>
              </w:rPr>
              <w:t>6</w:t>
            </w:r>
          </w:p>
        </w:tc>
        <w:tc>
          <w:tcPr>
            <w:tcW w:w="1216" w:type="dxa"/>
            <w:shd w:val="clear" w:color="auto" w:fill="auto"/>
          </w:tcPr>
          <w:p w:rsidR="005B2E2B" w:rsidRPr="000E1FAF" w:rsidRDefault="005B2E2B" w:rsidP="00AE5E91">
            <w:pPr>
              <w:jc w:val="center"/>
              <w:rPr>
                <w:sz w:val="22"/>
                <w:szCs w:val="22"/>
              </w:rPr>
            </w:pPr>
          </w:p>
        </w:tc>
        <w:tc>
          <w:tcPr>
            <w:tcW w:w="644" w:type="dxa"/>
          </w:tcPr>
          <w:p w:rsidR="005B2E2B" w:rsidRPr="000E1FAF" w:rsidRDefault="005B2E2B" w:rsidP="00AE5E91">
            <w:pPr>
              <w:jc w:val="center"/>
              <w:rPr>
                <w:sz w:val="22"/>
                <w:szCs w:val="22"/>
              </w:rPr>
            </w:pPr>
            <w:r w:rsidRPr="000E1FAF">
              <w:rPr>
                <w:sz w:val="22"/>
                <w:szCs w:val="22"/>
              </w:rPr>
              <w:t>31</w:t>
            </w:r>
          </w:p>
        </w:tc>
        <w:tc>
          <w:tcPr>
            <w:tcW w:w="552" w:type="dxa"/>
          </w:tcPr>
          <w:p w:rsidR="005B2E2B" w:rsidRPr="000E1FAF" w:rsidRDefault="005B2E2B" w:rsidP="0048556B">
            <w:pPr>
              <w:jc w:val="center"/>
              <w:rPr>
                <w:bCs/>
                <w:sz w:val="22"/>
                <w:szCs w:val="22"/>
              </w:rPr>
            </w:pPr>
            <w:r w:rsidRPr="000E1FAF">
              <w:rPr>
                <w:bCs/>
                <w:sz w:val="22"/>
                <w:szCs w:val="22"/>
              </w:rPr>
              <w:t>2</w:t>
            </w:r>
          </w:p>
        </w:tc>
        <w:tc>
          <w:tcPr>
            <w:tcW w:w="555" w:type="dxa"/>
          </w:tcPr>
          <w:p w:rsidR="005B2E2B" w:rsidRPr="000E1FAF" w:rsidRDefault="005B2E2B" w:rsidP="00A36E5E">
            <w:pPr>
              <w:jc w:val="center"/>
              <w:rPr>
                <w:bCs/>
                <w:sz w:val="22"/>
                <w:szCs w:val="22"/>
              </w:rPr>
            </w:pPr>
            <w:r w:rsidRPr="000E1FAF">
              <w:rPr>
                <w:bCs/>
                <w:sz w:val="22"/>
                <w:szCs w:val="22"/>
              </w:rPr>
              <w:t>2</w:t>
            </w:r>
          </w:p>
        </w:tc>
        <w:tc>
          <w:tcPr>
            <w:tcW w:w="555" w:type="dxa"/>
          </w:tcPr>
          <w:p w:rsidR="005B2E2B" w:rsidRPr="000E1FAF" w:rsidRDefault="005B2E2B" w:rsidP="0048556B">
            <w:pPr>
              <w:jc w:val="center"/>
              <w:rPr>
                <w:bCs/>
                <w:sz w:val="22"/>
                <w:szCs w:val="22"/>
              </w:rPr>
            </w:pPr>
            <w:r w:rsidRPr="000E1FAF">
              <w:rPr>
                <w:bCs/>
                <w:sz w:val="22"/>
                <w:szCs w:val="22"/>
              </w:rPr>
              <w:t>13</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ECC/DEC/(08)01</w:t>
            </w:r>
            <w:r w:rsidRPr="000E1FAF">
              <w:rPr>
                <w:sz w:val="22"/>
                <w:szCs w:val="22"/>
              </w:rPr>
              <w:t xml:space="preserve"> – ECC Decision of 14 March 2008 on the harmonised use of the 5875-5925 MHz frequency band for Intelligent Transport Systems (ITS)</w:t>
            </w:r>
          </w:p>
          <w:p w:rsidR="005B2E2B" w:rsidRPr="000E1FAF" w:rsidRDefault="005B2E2B" w:rsidP="005430C9">
            <w:pPr>
              <w:rPr>
                <w:sz w:val="22"/>
                <w:szCs w:val="22"/>
              </w:rPr>
            </w:pPr>
            <w:r w:rsidRPr="000E1FAF">
              <w:rPr>
                <w:sz w:val="22"/>
                <w:szCs w:val="22"/>
              </w:rPr>
              <w:t xml:space="preserve">ETSI </w:t>
            </w:r>
            <w:proofErr w:type="spellStart"/>
            <w:r w:rsidRPr="000E1FAF">
              <w:rPr>
                <w:sz w:val="22"/>
                <w:szCs w:val="22"/>
              </w:rPr>
              <w:t>SRDoc</w:t>
            </w:r>
            <w:proofErr w:type="spellEnd"/>
            <w:r w:rsidRPr="000E1FAF">
              <w:rPr>
                <w:sz w:val="22"/>
                <w:szCs w:val="22"/>
              </w:rPr>
              <w:t xml:space="preserve"> under preparation</w:t>
            </w:r>
          </w:p>
          <w:p w:rsidR="00256AB5" w:rsidRPr="000E1FAF" w:rsidRDefault="005B2E2B">
            <w:pPr>
              <w:rPr>
                <w:sz w:val="22"/>
                <w:szCs w:val="22"/>
              </w:rPr>
            </w:pPr>
            <w:r w:rsidRPr="000E1FAF">
              <w:rPr>
                <w:i/>
                <w:color w:val="FF0000"/>
                <w:sz w:val="22"/>
                <w:szCs w:val="22"/>
              </w:rPr>
              <w:t>Note: revision confirmed by ECC#34 (in addition: ECC/REC</w:t>
            </w:r>
            <w:proofErr w:type="gramStart"/>
            <w:r w:rsidRPr="000E1FAF">
              <w:rPr>
                <w:i/>
                <w:color w:val="FF0000"/>
                <w:sz w:val="22"/>
                <w:szCs w:val="22"/>
              </w:rPr>
              <w:t>/(</w:t>
            </w:r>
            <w:proofErr w:type="gramEnd"/>
            <w:r w:rsidRPr="000E1FAF">
              <w:rPr>
                <w:i/>
                <w:color w:val="FF0000"/>
                <w:sz w:val="22"/>
                <w:szCs w:val="22"/>
              </w:rPr>
              <w:t>08)01. ITS in 5855-5875 MHz</w:t>
            </w:r>
            <w:r w:rsidR="00314164" w:rsidRPr="000E1FAF">
              <w:rPr>
                <w:i/>
                <w:color w:val="FF0000"/>
                <w:sz w:val="22"/>
                <w:szCs w:val="22"/>
              </w:rPr>
              <w:t xml:space="preserve"> under ECC/REC/(08)01 </w:t>
            </w:r>
            <w:r w:rsidRPr="000E1FAF">
              <w:rPr>
                <w:i/>
                <w:color w:val="FF0000"/>
                <w:sz w:val="22"/>
                <w:szCs w:val="22"/>
              </w:rPr>
              <w:t>is also affected)</w:t>
            </w:r>
          </w:p>
        </w:tc>
        <w:tc>
          <w:tcPr>
            <w:tcW w:w="1341" w:type="dxa"/>
          </w:tcPr>
          <w:p w:rsidR="005B2E2B" w:rsidRPr="000E1FAF" w:rsidRDefault="005B2E2B" w:rsidP="003602F2">
            <w:pPr>
              <w:rPr>
                <w:sz w:val="22"/>
                <w:szCs w:val="22"/>
              </w:rPr>
            </w:pPr>
            <w:r w:rsidRPr="000E1FAF">
              <w:rPr>
                <w:sz w:val="22"/>
                <w:szCs w:val="22"/>
              </w:rPr>
              <w:t>SRD/MG</w:t>
            </w:r>
          </w:p>
        </w:tc>
        <w:tc>
          <w:tcPr>
            <w:tcW w:w="1719" w:type="dxa"/>
          </w:tcPr>
          <w:p w:rsidR="005B2E2B" w:rsidRPr="000E1FAF" w:rsidRDefault="005B2E2B" w:rsidP="00CF5B5F">
            <w:pPr>
              <w:rPr>
                <w:sz w:val="22"/>
                <w:szCs w:val="22"/>
              </w:rPr>
            </w:pPr>
            <w:r w:rsidRPr="000E1FAF">
              <w:rPr>
                <w:sz w:val="22"/>
                <w:szCs w:val="22"/>
              </w:rPr>
              <w:t xml:space="preserve">Revise </w:t>
            </w:r>
          </w:p>
        </w:tc>
        <w:tc>
          <w:tcPr>
            <w:tcW w:w="1136" w:type="dxa"/>
          </w:tcPr>
          <w:p w:rsidR="005B2E2B" w:rsidRPr="000E1FAF" w:rsidRDefault="005B2E2B" w:rsidP="00F20EF7">
            <w:pPr>
              <w:rPr>
                <w:sz w:val="22"/>
                <w:szCs w:val="22"/>
              </w:rPr>
            </w:pPr>
            <w:r w:rsidRPr="000E1FAF">
              <w:rPr>
                <w:sz w:val="22"/>
                <w:szCs w:val="22"/>
              </w:rPr>
              <w:t>2014</w:t>
            </w:r>
          </w:p>
        </w:tc>
        <w:tc>
          <w:tcPr>
            <w:tcW w:w="1216" w:type="dxa"/>
            <w:shd w:val="clear" w:color="auto" w:fill="auto"/>
          </w:tcPr>
          <w:p w:rsidR="005B2E2B" w:rsidRPr="000E1FAF" w:rsidRDefault="000B04E9" w:rsidP="00AF6F73">
            <w:pPr>
              <w:jc w:val="center"/>
              <w:rPr>
                <w:sz w:val="22"/>
                <w:szCs w:val="22"/>
              </w:rPr>
            </w:pPr>
            <w:r w:rsidRPr="000E1FAF">
              <w:rPr>
                <w:sz w:val="22"/>
                <w:szCs w:val="22"/>
              </w:rPr>
              <w:t>Yes</w:t>
            </w:r>
          </w:p>
        </w:tc>
        <w:tc>
          <w:tcPr>
            <w:tcW w:w="644" w:type="dxa"/>
          </w:tcPr>
          <w:p w:rsidR="005B2E2B" w:rsidRPr="000E1FAF" w:rsidRDefault="005B2E2B" w:rsidP="00AF6F73">
            <w:pPr>
              <w:jc w:val="center"/>
              <w:rPr>
                <w:sz w:val="22"/>
                <w:szCs w:val="22"/>
              </w:rPr>
            </w:pPr>
            <w:r w:rsidRPr="000E1FAF">
              <w:rPr>
                <w:sz w:val="22"/>
                <w:szCs w:val="22"/>
              </w:rPr>
              <w:t>38</w:t>
            </w:r>
          </w:p>
        </w:tc>
        <w:tc>
          <w:tcPr>
            <w:tcW w:w="552" w:type="dxa"/>
          </w:tcPr>
          <w:p w:rsidR="005B2E2B" w:rsidRPr="000E1FAF" w:rsidRDefault="005B2E2B" w:rsidP="00A36E5E">
            <w:pPr>
              <w:jc w:val="center"/>
              <w:rPr>
                <w:sz w:val="22"/>
                <w:szCs w:val="22"/>
              </w:rPr>
            </w:pPr>
            <w:r w:rsidRPr="000E1FAF">
              <w:rPr>
                <w:sz w:val="22"/>
                <w:szCs w:val="22"/>
              </w:rPr>
              <w:t>3</w:t>
            </w:r>
          </w:p>
        </w:tc>
        <w:tc>
          <w:tcPr>
            <w:tcW w:w="555" w:type="dxa"/>
          </w:tcPr>
          <w:p w:rsidR="005B2E2B" w:rsidRPr="000E1FAF" w:rsidRDefault="005B2E2B" w:rsidP="00AF6F73">
            <w:pPr>
              <w:jc w:val="center"/>
              <w:rPr>
                <w:sz w:val="22"/>
                <w:szCs w:val="22"/>
              </w:rPr>
            </w:pPr>
            <w:r w:rsidRPr="000E1FAF">
              <w:rPr>
                <w:sz w:val="22"/>
                <w:szCs w:val="22"/>
              </w:rPr>
              <w:t>3</w:t>
            </w:r>
          </w:p>
        </w:tc>
        <w:tc>
          <w:tcPr>
            <w:tcW w:w="555" w:type="dxa"/>
          </w:tcPr>
          <w:p w:rsidR="005B2E2B" w:rsidRPr="000E1FAF" w:rsidRDefault="005B2E2B" w:rsidP="00AF6F73">
            <w:pPr>
              <w:jc w:val="center"/>
              <w:rPr>
                <w:sz w:val="22"/>
                <w:szCs w:val="22"/>
              </w:rPr>
            </w:pPr>
            <w:r w:rsidRPr="000E1FAF">
              <w:rPr>
                <w:sz w:val="22"/>
                <w:szCs w:val="22"/>
              </w:rPr>
              <w:t>4</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ECC/DEC/(08)05</w:t>
            </w:r>
            <w:r w:rsidRPr="000E1FAF">
              <w:rPr>
                <w:sz w:val="22"/>
                <w:szCs w:val="22"/>
              </w:rPr>
              <w:t xml:space="preserve">  ECC Decision of 27 June 2008 on the harmonisation of frequency bands for the implementation of digital Public Protection and Disaster Relief (PPDR) radio applications in bands within the 380-470 MHz range</w:t>
            </w:r>
          </w:p>
        </w:tc>
        <w:tc>
          <w:tcPr>
            <w:tcW w:w="1341" w:type="dxa"/>
          </w:tcPr>
          <w:p w:rsidR="005B2E2B" w:rsidRPr="000E1FAF" w:rsidRDefault="005B2E2B" w:rsidP="00A36E5E">
            <w:pPr>
              <w:rPr>
                <w:sz w:val="22"/>
                <w:szCs w:val="22"/>
              </w:rPr>
            </w:pPr>
            <w:r w:rsidRPr="000E1FAF">
              <w:rPr>
                <w:sz w:val="22"/>
                <w:szCs w:val="22"/>
              </w:rPr>
              <w:t>FM49</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BF7946">
            <w:pPr>
              <w:rPr>
                <w:sz w:val="22"/>
                <w:szCs w:val="22"/>
              </w:rPr>
            </w:pPr>
            <w:r w:rsidRPr="000E1FAF">
              <w:rPr>
                <w:sz w:val="22"/>
                <w:szCs w:val="22"/>
              </w:rPr>
              <w:t>201</w:t>
            </w:r>
            <w:r w:rsidR="00BF7946" w:rsidRPr="000E1FAF">
              <w:rPr>
                <w:sz w:val="22"/>
                <w:szCs w:val="22"/>
              </w:rPr>
              <w:t>5</w:t>
            </w:r>
          </w:p>
        </w:tc>
        <w:tc>
          <w:tcPr>
            <w:tcW w:w="1216" w:type="dxa"/>
            <w:shd w:val="clear" w:color="auto" w:fill="auto"/>
          </w:tcPr>
          <w:p w:rsidR="005B2E2B" w:rsidRPr="000E1FAF" w:rsidRDefault="005B2E2B" w:rsidP="0048556B">
            <w:pPr>
              <w:jc w:val="center"/>
              <w:rPr>
                <w:sz w:val="22"/>
                <w:szCs w:val="22"/>
              </w:rPr>
            </w:pPr>
          </w:p>
        </w:tc>
        <w:tc>
          <w:tcPr>
            <w:tcW w:w="644" w:type="dxa"/>
          </w:tcPr>
          <w:p w:rsidR="005B2E2B" w:rsidRPr="000E1FAF" w:rsidRDefault="005B2E2B" w:rsidP="0048556B">
            <w:pPr>
              <w:jc w:val="center"/>
              <w:rPr>
                <w:sz w:val="22"/>
                <w:szCs w:val="22"/>
              </w:rPr>
            </w:pPr>
            <w:r w:rsidRPr="000E1FAF">
              <w:rPr>
                <w:sz w:val="22"/>
                <w:szCs w:val="22"/>
              </w:rPr>
              <w:t>24</w:t>
            </w:r>
          </w:p>
        </w:tc>
        <w:tc>
          <w:tcPr>
            <w:tcW w:w="552" w:type="dxa"/>
          </w:tcPr>
          <w:p w:rsidR="005B2E2B" w:rsidRPr="000E1FAF" w:rsidRDefault="005B2E2B" w:rsidP="00A36E5E">
            <w:pPr>
              <w:jc w:val="center"/>
              <w:rPr>
                <w:sz w:val="22"/>
                <w:szCs w:val="22"/>
              </w:rPr>
            </w:pPr>
            <w:r w:rsidRPr="000E1FAF">
              <w:rPr>
                <w:sz w:val="22"/>
                <w:szCs w:val="22"/>
              </w:rPr>
              <w:t>1</w:t>
            </w:r>
          </w:p>
        </w:tc>
        <w:tc>
          <w:tcPr>
            <w:tcW w:w="555" w:type="dxa"/>
          </w:tcPr>
          <w:p w:rsidR="005B2E2B" w:rsidRPr="000E1FAF" w:rsidRDefault="005B2E2B" w:rsidP="0048556B">
            <w:pPr>
              <w:jc w:val="center"/>
              <w:rPr>
                <w:sz w:val="22"/>
                <w:szCs w:val="22"/>
              </w:rPr>
            </w:pPr>
            <w:r w:rsidRPr="000E1FAF">
              <w:rPr>
                <w:sz w:val="22"/>
                <w:szCs w:val="22"/>
              </w:rPr>
              <w:t>2</w:t>
            </w:r>
          </w:p>
        </w:tc>
        <w:tc>
          <w:tcPr>
            <w:tcW w:w="555" w:type="dxa"/>
          </w:tcPr>
          <w:p w:rsidR="005B2E2B" w:rsidRPr="000E1FAF" w:rsidRDefault="005B2E2B" w:rsidP="0048556B">
            <w:pPr>
              <w:jc w:val="center"/>
              <w:rPr>
                <w:sz w:val="22"/>
                <w:szCs w:val="22"/>
              </w:rPr>
            </w:pPr>
            <w:r w:rsidRPr="000E1FAF">
              <w:rPr>
                <w:sz w:val="22"/>
                <w:szCs w:val="22"/>
              </w:rPr>
              <w:t>21</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ECC/DEC/(08)08</w:t>
            </w:r>
            <w:r w:rsidRPr="000E1FAF">
              <w:rPr>
                <w:sz w:val="22"/>
                <w:szCs w:val="22"/>
              </w:rPr>
              <w:t xml:space="preserve"> – ECC Decision of 31 October 2008 on the harmonised use of GSM system on board vessels in the frequency bands 880-915/925-960 MHz and 1710-1785/1805-1880 MHz</w:t>
            </w:r>
          </w:p>
          <w:p w:rsidR="00051CF3" w:rsidRPr="000E1FAF" w:rsidRDefault="00EC197E" w:rsidP="00136A6A">
            <w:pPr>
              <w:rPr>
                <w:sz w:val="22"/>
                <w:szCs w:val="22"/>
              </w:rPr>
            </w:pPr>
            <w:r w:rsidRPr="000E1FAF">
              <w:rPr>
                <w:i/>
                <w:color w:val="FF0000"/>
                <w:sz w:val="22"/>
                <w:szCs w:val="22"/>
              </w:rPr>
              <w:t xml:space="preserve">Note: </w:t>
            </w:r>
            <w:r w:rsidRPr="00136A6A">
              <w:rPr>
                <w:i/>
                <w:sz w:val="22"/>
                <w:szCs w:val="22"/>
              </w:rPr>
              <w:t>Review in progress</w:t>
            </w:r>
            <w:r w:rsidR="00136A6A" w:rsidRPr="00136A6A">
              <w:rPr>
                <w:i/>
                <w:sz w:val="22"/>
                <w:szCs w:val="22"/>
              </w:rPr>
              <w:t>.</w:t>
            </w:r>
            <w:r w:rsidRPr="00136A6A">
              <w:rPr>
                <w:i/>
                <w:sz w:val="22"/>
                <w:szCs w:val="22"/>
                <w:lang w:val="en-US"/>
              </w:rPr>
              <w:t xml:space="preserve"> </w:t>
            </w:r>
            <w:r w:rsidR="00111772" w:rsidRPr="00136A6A">
              <w:rPr>
                <w:i/>
                <w:color w:val="FF0000"/>
                <w:sz w:val="22"/>
                <w:szCs w:val="22"/>
              </w:rPr>
              <w:t>SWG-C is currently developing a draft ECC Report covering coexistence of MCV system (UMTS (2 GHz) and LTE (2.5 GHz)) with land-based systems as well as unintended roaming.</w:t>
            </w:r>
            <w:r w:rsidRPr="00136A6A">
              <w:rPr>
                <w:i/>
                <w:color w:val="FF0000"/>
                <w:sz w:val="22"/>
                <w:szCs w:val="22"/>
                <w:lang w:val="en-US"/>
              </w:rPr>
              <w:t xml:space="preserve"> </w:t>
            </w:r>
            <w:r w:rsidR="00111772" w:rsidRPr="00136A6A">
              <w:rPr>
                <w:i/>
                <w:color w:val="FF0000"/>
                <w:sz w:val="22"/>
                <w:szCs w:val="22"/>
              </w:rPr>
              <w:t>Revision will be continued in SWG A once the sharing and compatibility work has been completed SWG C.</w:t>
            </w:r>
          </w:p>
        </w:tc>
        <w:tc>
          <w:tcPr>
            <w:tcW w:w="1341" w:type="dxa"/>
          </w:tcPr>
          <w:p w:rsidR="005B2E2B" w:rsidRPr="000E1FAF" w:rsidRDefault="005B2E2B" w:rsidP="00EC0BF0">
            <w:pPr>
              <w:rPr>
                <w:sz w:val="22"/>
                <w:szCs w:val="22"/>
              </w:rPr>
            </w:pPr>
            <w:r w:rsidRPr="000E1FAF">
              <w:rPr>
                <w:sz w:val="22"/>
                <w:szCs w:val="22"/>
              </w:rPr>
              <w:t>ECC PT1</w:t>
            </w:r>
          </w:p>
          <w:p w:rsidR="005B2E2B" w:rsidRPr="000E1FAF" w:rsidRDefault="005B2E2B" w:rsidP="00EC0BF0">
            <w:pPr>
              <w:rPr>
                <w:sz w:val="22"/>
                <w:szCs w:val="22"/>
              </w:rPr>
            </w:pPr>
          </w:p>
          <w:p w:rsidR="005B2E2B" w:rsidRPr="000E1FAF" w:rsidRDefault="005B2E2B" w:rsidP="00EC0BF0">
            <w:pPr>
              <w:rPr>
                <w:sz w:val="22"/>
                <w:szCs w:val="22"/>
              </w:rPr>
            </w:pPr>
          </w:p>
        </w:tc>
        <w:tc>
          <w:tcPr>
            <w:tcW w:w="1719" w:type="dxa"/>
          </w:tcPr>
          <w:p w:rsidR="005B2E2B" w:rsidRPr="000E1FAF" w:rsidRDefault="005B2E2B" w:rsidP="00A36E5E">
            <w:pPr>
              <w:rPr>
                <w:sz w:val="22"/>
                <w:szCs w:val="22"/>
              </w:rPr>
            </w:pPr>
            <w:r w:rsidRPr="000E1FAF">
              <w:rPr>
                <w:sz w:val="22"/>
                <w:szCs w:val="22"/>
              </w:rPr>
              <w:t>Revision</w:t>
            </w:r>
          </w:p>
          <w:p w:rsidR="005B2E2B" w:rsidRPr="000E1FAF" w:rsidRDefault="005B2E2B" w:rsidP="00A36E5E">
            <w:pPr>
              <w:rPr>
                <w:sz w:val="22"/>
                <w:szCs w:val="22"/>
              </w:rPr>
            </w:pPr>
          </w:p>
        </w:tc>
        <w:tc>
          <w:tcPr>
            <w:tcW w:w="1136" w:type="dxa"/>
          </w:tcPr>
          <w:p w:rsidR="00256AB5" w:rsidRPr="000E1FAF" w:rsidRDefault="005B2E2B">
            <w:pPr>
              <w:rPr>
                <w:sz w:val="22"/>
                <w:szCs w:val="22"/>
              </w:rPr>
            </w:pPr>
            <w:r w:rsidRPr="000E1FAF">
              <w:rPr>
                <w:sz w:val="22"/>
                <w:szCs w:val="22"/>
              </w:rPr>
              <w:t>201</w:t>
            </w:r>
            <w:r w:rsidR="00ED1E3F" w:rsidRPr="000E1FAF">
              <w:rPr>
                <w:sz w:val="22"/>
                <w:szCs w:val="22"/>
              </w:rPr>
              <w:t>3-14</w:t>
            </w:r>
          </w:p>
        </w:tc>
        <w:tc>
          <w:tcPr>
            <w:tcW w:w="1216" w:type="dxa"/>
            <w:shd w:val="clear" w:color="auto" w:fill="auto"/>
          </w:tcPr>
          <w:p w:rsidR="00256AB5" w:rsidRPr="000E1FAF" w:rsidRDefault="00ED1E3F">
            <w:pPr>
              <w:jc w:val="center"/>
              <w:rPr>
                <w:sz w:val="22"/>
                <w:szCs w:val="22"/>
              </w:rPr>
            </w:pPr>
            <w:r w:rsidRPr="000E1FAF">
              <w:rPr>
                <w:sz w:val="22"/>
                <w:szCs w:val="22"/>
              </w:rPr>
              <w:t>Possible</w:t>
            </w:r>
          </w:p>
        </w:tc>
        <w:tc>
          <w:tcPr>
            <w:tcW w:w="644" w:type="dxa"/>
          </w:tcPr>
          <w:p w:rsidR="005B2E2B" w:rsidRPr="000E1FAF" w:rsidRDefault="005B2E2B" w:rsidP="0048556B">
            <w:pPr>
              <w:jc w:val="center"/>
              <w:rPr>
                <w:sz w:val="22"/>
                <w:szCs w:val="22"/>
              </w:rPr>
            </w:pPr>
            <w:r w:rsidRPr="000E1FAF">
              <w:rPr>
                <w:sz w:val="22"/>
                <w:szCs w:val="22"/>
              </w:rPr>
              <w:t>15</w:t>
            </w:r>
          </w:p>
        </w:tc>
        <w:tc>
          <w:tcPr>
            <w:tcW w:w="552" w:type="dxa"/>
          </w:tcPr>
          <w:p w:rsidR="005B2E2B" w:rsidRPr="000E1FAF" w:rsidRDefault="005B2E2B" w:rsidP="009B7281">
            <w:pPr>
              <w:jc w:val="center"/>
              <w:rPr>
                <w:sz w:val="22"/>
                <w:szCs w:val="22"/>
              </w:rPr>
            </w:pPr>
            <w:r w:rsidRPr="000E1FAF">
              <w:rPr>
                <w:sz w:val="22"/>
                <w:szCs w:val="22"/>
              </w:rPr>
              <w:t>8</w:t>
            </w:r>
          </w:p>
        </w:tc>
        <w:tc>
          <w:tcPr>
            <w:tcW w:w="555" w:type="dxa"/>
          </w:tcPr>
          <w:p w:rsidR="005B2E2B" w:rsidRPr="000E1FAF" w:rsidRDefault="005B2E2B" w:rsidP="00A36E5E">
            <w:pPr>
              <w:jc w:val="center"/>
              <w:rPr>
                <w:sz w:val="22"/>
                <w:szCs w:val="22"/>
              </w:rPr>
            </w:pPr>
            <w:r w:rsidRPr="000E1FAF">
              <w:rPr>
                <w:sz w:val="22"/>
                <w:szCs w:val="22"/>
              </w:rPr>
              <w:t>4</w:t>
            </w:r>
          </w:p>
        </w:tc>
        <w:tc>
          <w:tcPr>
            <w:tcW w:w="555" w:type="dxa"/>
          </w:tcPr>
          <w:p w:rsidR="005B2E2B" w:rsidRPr="000E1FAF" w:rsidRDefault="005B2E2B" w:rsidP="009B7281">
            <w:pPr>
              <w:jc w:val="center"/>
              <w:rPr>
                <w:sz w:val="22"/>
                <w:szCs w:val="22"/>
              </w:rPr>
            </w:pPr>
            <w:r w:rsidRPr="000E1FAF">
              <w:rPr>
                <w:sz w:val="22"/>
                <w:szCs w:val="22"/>
              </w:rPr>
              <w:t>21</w:t>
            </w:r>
          </w:p>
        </w:tc>
      </w:tr>
      <w:tr w:rsidR="000E1FAF" w:rsidRPr="000E1FAF" w:rsidTr="0090128C">
        <w:tc>
          <w:tcPr>
            <w:tcW w:w="6852" w:type="dxa"/>
          </w:tcPr>
          <w:p w:rsidR="005B2E2B" w:rsidRPr="000E1FAF" w:rsidRDefault="005B2E2B" w:rsidP="00262E30">
            <w:pPr>
              <w:rPr>
                <w:sz w:val="22"/>
                <w:szCs w:val="22"/>
              </w:rPr>
            </w:pPr>
            <w:r w:rsidRPr="000E1FAF">
              <w:rPr>
                <w:b/>
                <w:sz w:val="22"/>
                <w:szCs w:val="22"/>
              </w:rPr>
              <w:t>ECC/DEC/ (09)01</w:t>
            </w:r>
            <w:r w:rsidRPr="000E1FAF">
              <w:rPr>
                <w:sz w:val="22"/>
                <w:szCs w:val="22"/>
              </w:rPr>
              <w:t xml:space="preserve"> – ECC Decision of 13 March 2009 on the harmonised </w:t>
            </w:r>
            <w:r w:rsidRPr="000E1FAF">
              <w:rPr>
                <w:sz w:val="22"/>
                <w:szCs w:val="22"/>
              </w:rPr>
              <w:lastRenderedPageBreak/>
              <w:t>use of the 63-64 GHz frequency band for Intelligent Transport Systems (ITS)</w:t>
            </w:r>
          </w:p>
        </w:tc>
        <w:tc>
          <w:tcPr>
            <w:tcW w:w="1341" w:type="dxa"/>
          </w:tcPr>
          <w:p w:rsidR="005B2E2B" w:rsidRPr="000E1FAF" w:rsidRDefault="005B2E2B" w:rsidP="00F265F8">
            <w:pPr>
              <w:rPr>
                <w:sz w:val="22"/>
                <w:szCs w:val="22"/>
              </w:rPr>
            </w:pPr>
            <w:r w:rsidRPr="000E1FAF">
              <w:rPr>
                <w:sz w:val="22"/>
                <w:szCs w:val="22"/>
              </w:rPr>
              <w:lastRenderedPageBreak/>
              <w:t>SRD/MG</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A36E5E">
            <w:pPr>
              <w:rPr>
                <w:sz w:val="22"/>
                <w:szCs w:val="22"/>
              </w:rPr>
            </w:pPr>
            <w:r w:rsidRPr="000E1FAF">
              <w:rPr>
                <w:sz w:val="22"/>
                <w:szCs w:val="22"/>
              </w:rPr>
              <w:t>2014</w:t>
            </w:r>
          </w:p>
        </w:tc>
        <w:tc>
          <w:tcPr>
            <w:tcW w:w="1216" w:type="dxa"/>
            <w:shd w:val="clear" w:color="auto" w:fill="auto"/>
          </w:tcPr>
          <w:p w:rsidR="005B2E2B" w:rsidRPr="000E1FAF" w:rsidRDefault="000B04E9" w:rsidP="006607D7">
            <w:pPr>
              <w:jc w:val="center"/>
              <w:rPr>
                <w:sz w:val="22"/>
                <w:szCs w:val="22"/>
              </w:rPr>
            </w:pPr>
            <w:r w:rsidRPr="000E1FAF">
              <w:rPr>
                <w:sz w:val="22"/>
                <w:szCs w:val="22"/>
              </w:rPr>
              <w:t>Possible</w:t>
            </w:r>
          </w:p>
        </w:tc>
        <w:tc>
          <w:tcPr>
            <w:tcW w:w="644" w:type="dxa"/>
          </w:tcPr>
          <w:p w:rsidR="005B2E2B" w:rsidRPr="000E1FAF" w:rsidRDefault="005B2E2B" w:rsidP="00AF6F73">
            <w:pPr>
              <w:jc w:val="center"/>
              <w:rPr>
                <w:sz w:val="22"/>
                <w:szCs w:val="22"/>
              </w:rPr>
            </w:pPr>
            <w:r w:rsidRPr="000E1FAF">
              <w:rPr>
                <w:sz w:val="22"/>
                <w:szCs w:val="22"/>
              </w:rPr>
              <w:t>34</w:t>
            </w:r>
          </w:p>
        </w:tc>
        <w:tc>
          <w:tcPr>
            <w:tcW w:w="552" w:type="dxa"/>
          </w:tcPr>
          <w:p w:rsidR="005B2E2B" w:rsidRPr="000E1FAF" w:rsidRDefault="005B2E2B" w:rsidP="00A36E5E">
            <w:pPr>
              <w:jc w:val="center"/>
              <w:rPr>
                <w:sz w:val="22"/>
                <w:szCs w:val="22"/>
              </w:rPr>
            </w:pPr>
            <w:r w:rsidRPr="000E1FAF">
              <w:rPr>
                <w:sz w:val="22"/>
                <w:szCs w:val="22"/>
              </w:rPr>
              <w:t>2</w:t>
            </w:r>
          </w:p>
        </w:tc>
        <w:tc>
          <w:tcPr>
            <w:tcW w:w="555" w:type="dxa"/>
          </w:tcPr>
          <w:p w:rsidR="005B2E2B" w:rsidRPr="000E1FAF" w:rsidRDefault="005B2E2B" w:rsidP="00AF6F73">
            <w:pPr>
              <w:jc w:val="center"/>
              <w:rPr>
                <w:sz w:val="22"/>
                <w:szCs w:val="22"/>
              </w:rPr>
            </w:pPr>
            <w:r w:rsidRPr="000E1FAF">
              <w:rPr>
                <w:sz w:val="22"/>
                <w:szCs w:val="22"/>
              </w:rPr>
              <w:t>6</w:t>
            </w:r>
          </w:p>
        </w:tc>
        <w:tc>
          <w:tcPr>
            <w:tcW w:w="555" w:type="dxa"/>
          </w:tcPr>
          <w:p w:rsidR="005B2E2B" w:rsidRPr="000E1FAF" w:rsidRDefault="005B2E2B" w:rsidP="00AF6F73">
            <w:pPr>
              <w:jc w:val="center"/>
              <w:rPr>
                <w:sz w:val="22"/>
                <w:szCs w:val="22"/>
              </w:rPr>
            </w:pPr>
            <w:r w:rsidRPr="000E1FAF">
              <w:rPr>
                <w:sz w:val="22"/>
                <w:szCs w:val="22"/>
              </w:rPr>
              <w:t>6</w:t>
            </w:r>
          </w:p>
        </w:tc>
      </w:tr>
      <w:tr w:rsidR="000E1FAF" w:rsidRPr="000E1FAF" w:rsidTr="0090128C">
        <w:tc>
          <w:tcPr>
            <w:tcW w:w="6852" w:type="dxa"/>
          </w:tcPr>
          <w:p w:rsidR="005B2E2B" w:rsidRPr="000E1FAF" w:rsidRDefault="005B2E2B" w:rsidP="00262E30">
            <w:pPr>
              <w:rPr>
                <w:sz w:val="22"/>
                <w:szCs w:val="22"/>
              </w:rPr>
            </w:pPr>
            <w:r w:rsidRPr="000E1FAF">
              <w:rPr>
                <w:b/>
                <w:sz w:val="22"/>
                <w:szCs w:val="22"/>
              </w:rPr>
              <w:lastRenderedPageBreak/>
              <w:t>ECC/DEC/(09)02</w:t>
            </w:r>
            <w:r w:rsidRPr="000E1FAF">
              <w:rPr>
                <w:sz w:val="22"/>
                <w:szCs w:val="22"/>
              </w:rPr>
              <w:t xml:space="preserve"> – ECC Decision of 26 June 2009 on the harmonisation of the bands 1610-1626.5 MHz and 2483.5-2500 MHz for use by systems in the Mobile-Satellite Service</w:t>
            </w:r>
          </w:p>
          <w:p w:rsidR="005B2E2B" w:rsidRPr="00F92C3E" w:rsidRDefault="005B2E2B" w:rsidP="000E098D">
            <w:pPr>
              <w:rPr>
                <w:i/>
                <w:color w:val="FF0000"/>
                <w:sz w:val="22"/>
                <w:szCs w:val="22"/>
              </w:rPr>
            </w:pPr>
            <w:r w:rsidRPr="00F92C3E">
              <w:rPr>
                <w:i/>
                <w:color w:val="FF0000"/>
                <w:sz w:val="22"/>
                <w:szCs w:val="22"/>
              </w:rPr>
              <w:t>Note: this Decision was amended in 2012</w:t>
            </w:r>
          </w:p>
          <w:p w:rsidR="00256AB5" w:rsidRPr="000E1FAF" w:rsidRDefault="008E51F4">
            <w:pPr>
              <w:rPr>
                <w:sz w:val="22"/>
                <w:szCs w:val="22"/>
              </w:rPr>
            </w:pPr>
            <w:r w:rsidRPr="00F92C3E">
              <w:rPr>
                <w:i/>
                <w:color w:val="FF0000"/>
                <w:sz w:val="22"/>
                <w:szCs w:val="22"/>
              </w:rPr>
              <w:t>WGFM#78 requested bilateral discussions between IRIDIUM and CRAF</w:t>
            </w:r>
          </w:p>
        </w:tc>
        <w:tc>
          <w:tcPr>
            <w:tcW w:w="1341" w:type="dxa"/>
          </w:tcPr>
          <w:p w:rsidR="005B2E2B" w:rsidRPr="000E1FAF" w:rsidRDefault="005B2E2B" w:rsidP="00A36E5E">
            <w:pPr>
              <w:rPr>
                <w:sz w:val="22"/>
                <w:szCs w:val="22"/>
              </w:rPr>
            </w:pPr>
            <w:r w:rsidRPr="000E1FAF">
              <w:rPr>
                <w:sz w:val="22"/>
                <w:szCs w:val="22"/>
              </w:rPr>
              <w:t>FM44</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C85D95">
            <w:pPr>
              <w:rPr>
                <w:sz w:val="22"/>
                <w:szCs w:val="22"/>
              </w:rPr>
            </w:pPr>
            <w:r w:rsidRPr="000E1FAF">
              <w:rPr>
                <w:sz w:val="22"/>
                <w:szCs w:val="22"/>
              </w:rPr>
              <w:t>2017</w:t>
            </w:r>
          </w:p>
        </w:tc>
        <w:tc>
          <w:tcPr>
            <w:tcW w:w="1216" w:type="dxa"/>
            <w:shd w:val="clear" w:color="auto" w:fill="auto"/>
          </w:tcPr>
          <w:p w:rsidR="005B2E2B" w:rsidRPr="000E1FAF" w:rsidRDefault="000B04E9" w:rsidP="009B7281">
            <w:pPr>
              <w:jc w:val="center"/>
              <w:rPr>
                <w:sz w:val="22"/>
                <w:szCs w:val="22"/>
              </w:rPr>
            </w:pPr>
            <w:r w:rsidRPr="000E1FAF">
              <w:rPr>
                <w:sz w:val="22"/>
                <w:szCs w:val="22"/>
              </w:rPr>
              <w:t>No</w:t>
            </w:r>
          </w:p>
        </w:tc>
        <w:tc>
          <w:tcPr>
            <w:tcW w:w="644" w:type="dxa"/>
          </w:tcPr>
          <w:p w:rsidR="005B2E2B" w:rsidRPr="000E1FAF" w:rsidRDefault="005B2E2B" w:rsidP="009B7281">
            <w:pPr>
              <w:jc w:val="center"/>
              <w:rPr>
                <w:sz w:val="22"/>
                <w:szCs w:val="22"/>
              </w:rPr>
            </w:pPr>
            <w:r w:rsidRPr="000E1FAF">
              <w:rPr>
                <w:sz w:val="22"/>
                <w:szCs w:val="22"/>
              </w:rPr>
              <w:t>21</w:t>
            </w:r>
          </w:p>
        </w:tc>
        <w:tc>
          <w:tcPr>
            <w:tcW w:w="552" w:type="dxa"/>
          </w:tcPr>
          <w:p w:rsidR="005B2E2B" w:rsidRPr="000E1FAF" w:rsidRDefault="005B2E2B" w:rsidP="009B7281">
            <w:pPr>
              <w:jc w:val="center"/>
              <w:rPr>
                <w:sz w:val="22"/>
                <w:szCs w:val="22"/>
              </w:rPr>
            </w:pPr>
            <w:r w:rsidRPr="000E1FAF">
              <w:rPr>
                <w:sz w:val="22"/>
                <w:szCs w:val="22"/>
              </w:rPr>
              <w:t>7</w:t>
            </w:r>
          </w:p>
        </w:tc>
        <w:tc>
          <w:tcPr>
            <w:tcW w:w="555" w:type="dxa"/>
          </w:tcPr>
          <w:p w:rsidR="005B2E2B" w:rsidRPr="000E1FAF" w:rsidRDefault="005B2E2B" w:rsidP="00A36E5E">
            <w:pPr>
              <w:jc w:val="center"/>
              <w:rPr>
                <w:sz w:val="22"/>
                <w:szCs w:val="22"/>
              </w:rPr>
            </w:pPr>
            <w:r w:rsidRPr="000E1FAF">
              <w:rPr>
                <w:sz w:val="22"/>
                <w:szCs w:val="22"/>
              </w:rPr>
              <w:t>3</w:t>
            </w:r>
          </w:p>
        </w:tc>
        <w:tc>
          <w:tcPr>
            <w:tcW w:w="555" w:type="dxa"/>
          </w:tcPr>
          <w:p w:rsidR="005B2E2B" w:rsidRPr="000E1FAF" w:rsidRDefault="005B2E2B" w:rsidP="0048556B">
            <w:pPr>
              <w:jc w:val="center"/>
              <w:rPr>
                <w:sz w:val="22"/>
                <w:szCs w:val="22"/>
              </w:rPr>
            </w:pPr>
            <w:r w:rsidRPr="000E1FAF">
              <w:rPr>
                <w:sz w:val="22"/>
                <w:szCs w:val="22"/>
              </w:rPr>
              <w:t>17</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ECC/DEC/(09)03</w:t>
            </w:r>
            <w:r w:rsidRPr="000E1FAF">
              <w:rPr>
                <w:sz w:val="22"/>
                <w:szCs w:val="22"/>
              </w:rPr>
              <w:t xml:space="preserve">  - ECC Decision of 30 October 2009 on harmonised conditions for Mobile/Fixed Communications Networks (MFCN)operating in the band 790-862 MHz</w:t>
            </w:r>
          </w:p>
          <w:p w:rsidR="00051CF3" w:rsidRPr="00F92C3E" w:rsidRDefault="00051CF3" w:rsidP="00700E37">
            <w:pPr>
              <w:rPr>
                <w:color w:val="FF0000"/>
                <w:sz w:val="22"/>
                <w:szCs w:val="22"/>
              </w:rPr>
            </w:pPr>
            <w:r w:rsidRPr="00F92C3E">
              <w:rPr>
                <w:i/>
                <w:color w:val="FF0000"/>
                <w:sz w:val="22"/>
                <w:szCs w:val="22"/>
              </w:rPr>
              <w:t xml:space="preserve">Note: </w:t>
            </w:r>
            <w:r w:rsidR="00700E37" w:rsidRPr="00F92C3E">
              <w:rPr>
                <w:i/>
                <w:color w:val="FF0000"/>
                <w:sz w:val="22"/>
                <w:szCs w:val="22"/>
              </w:rPr>
              <w:t xml:space="preserve">Review </w:t>
            </w:r>
            <w:r w:rsidRPr="00F92C3E">
              <w:rPr>
                <w:i/>
                <w:color w:val="FF0000"/>
                <w:sz w:val="22"/>
                <w:szCs w:val="22"/>
              </w:rPr>
              <w:t>in progress</w:t>
            </w:r>
          </w:p>
        </w:tc>
        <w:tc>
          <w:tcPr>
            <w:tcW w:w="1341" w:type="dxa"/>
          </w:tcPr>
          <w:p w:rsidR="005B2E2B" w:rsidRPr="000E1FAF" w:rsidRDefault="005B2E2B" w:rsidP="00A36E5E">
            <w:pPr>
              <w:rPr>
                <w:sz w:val="22"/>
                <w:szCs w:val="22"/>
              </w:rPr>
            </w:pPr>
            <w:r w:rsidRPr="000E1FAF">
              <w:rPr>
                <w:sz w:val="22"/>
                <w:szCs w:val="22"/>
              </w:rPr>
              <w:t>ECC PT1</w:t>
            </w:r>
          </w:p>
        </w:tc>
        <w:tc>
          <w:tcPr>
            <w:tcW w:w="1719" w:type="dxa"/>
          </w:tcPr>
          <w:p w:rsidR="00256AB5" w:rsidRPr="000E1FAF" w:rsidRDefault="005B2E2B">
            <w:pPr>
              <w:rPr>
                <w:sz w:val="22"/>
                <w:szCs w:val="22"/>
              </w:rPr>
            </w:pPr>
            <w:r w:rsidRPr="000E1FAF">
              <w:rPr>
                <w:sz w:val="22"/>
                <w:szCs w:val="22"/>
              </w:rPr>
              <w:t>Re</w:t>
            </w:r>
            <w:r w:rsidR="00ED1E3F" w:rsidRPr="000E1FAF">
              <w:rPr>
                <w:sz w:val="22"/>
                <w:szCs w:val="22"/>
              </w:rPr>
              <w:t>view</w:t>
            </w:r>
          </w:p>
        </w:tc>
        <w:tc>
          <w:tcPr>
            <w:tcW w:w="1136" w:type="dxa"/>
          </w:tcPr>
          <w:p w:rsidR="005B2E2B" w:rsidRPr="000E1FAF" w:rsidRDefault="005B2E2B" w:rsidP="00A36E5E">
            <w:pPr>
              <w:rPr>
                <w:sz w:val="22"/>
                <w:szCs w:val="22"/>
              </w:rPr>
            </w:pPr>
            <w:r w:rsidRPr="000E1FAF">
              <w:rPr>
                <w:sz w:val="22"/>
                <w:szCs w:val="22"/>
              </w:rPr>
              <w:t>2014</w:t>
            </w:r>
          </w:p>
        </w:tc>
        <w:tc>
          <w:tcPr>
            <w:tcW w:w="1216" w:type="dxa"/>
            <w:shd w:val="clear" w:color="auto" w:fill="auto"/>
          </w:tcPr>
          <w:p w:rsidR="00256AB5" w:rsidRPr="000E1FAF" w:rsidRDefault="00ED1E3F">
            <w:pPr>
              <w:jc w:val="center"/>
              <w:rPr>
                <w:sz w:val="22"/>
                <w:szCs w:val="22"/>
              </w:rPr>
            </w:pPr>
            <w:r w:rsidRPr="000E1FAF">
              <w:rPr>
                <w:sz w:val="22"/>
                <w:szCs w:val="22"/>
              </w:rPr>
              <w:t>Possible</w:t>
            </w:r>
          </w:p>
        </w:tc>
        <w:tc>
          <w:tcPr>
            <w:tcW w:w="644" w:type="dxa"/>
          </w:tcPr>
          <w:p w:rsidR="005B2E2B" w:rsidRPr="000E1FAF" w:rsidRDefault="005B2E2B" w:rsidP="0048556B">
            <w:pPr>
              <w:jc w:val="center"/>
              <w:rPr>
                <w:sz w:val="22"/>
                <w:szCs w:val="22"/>
              </w:rPr>
            </w:pPr>
            <w:r w:rsidRPr="000E1FAF">
              <w:rPr>
                <w:sz w:val="22"/>
                <w:szCs w:val="22"/>
              </w:rPr>
              <w:t>17</w:t>
            </w:r>
          </w:p>
        </w:tc>
        <w:tc>
          <w:tcPr>
            <w:tcW w:w="552" w:type="dxa"/>
          </w:tcPr>
          <w:p w:rsidR="005B2E2B" w:rsidRPr="000E1FAF" w:rsidRDefault="005B2E2B" w:rsidP="0048556B">
            <w:pPr>
              <w:jc w:val="center"/>
              <w:rPr>
                <w:sz w:val="22"/>
                <w:szCs w:val="22"/>
              </w:rPr>
            </w:pPr>
            <w:r w:rsidRPr="000E1FAF">
              <w:rPr>
                <w:sz w:val="22"/>
                <w:szCs w:val="22"/>
              </w:rPr>
              <w:t>8</w:t>
            </w:r>
          </w:p>
        </w:tc>
        <w:tc>
          <w:tcPr>
            <w:tcW w:w="555" w:type="dxa"/>
          </w:tcPr>
          <w:p w:rsidR="005B2E2B" w:rsidRPr="000E1FAF" w:rsidRDefault="005B2E2B" w:rsidP="0048556B">
            <w:pPr>
              <w:jc w:val="center"/>
              <w:rPr>
                <w:sz w:val="22"/>
                <w:szCs w:val="22"/>
              </w:rPr>
            </w:pPr>
            <w:r w:rsidRPr="000E1FAF">
              <w:rPr>
                <w:sz w:val="22"/>
                <w:szCs w:val="22"/>
              </w:rPr>
              <w:t>5</w:t>
            </w:r>
          </w:p>
        </w:tc>
        <w:tc>
          <w:tcPr>
            <w:tcW w:w="555" w:type="dxa"/>
          </w:tcPr>
          <w:p w:rsidR="005B2E2B" w:rsidRPr="000E1FAF" w:rsidRDefault="005B2E2B" w:rsidP="00A36E5E">
            <w:pPr>
              <w:jc w:val="center"/>
              <w:rPr>
                <w:sz w:val="22"/>
                <w:szCs w:val="22"/>
              </w:rPr>
            </w:pPr>
            <w:r w:rsidRPr="000E1FAF">
              <w:rPr>
                <w:sz w:val="22"/>
                <w:szCs w:val="22"/>
              </w:rPr>
              <w:t>18</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ECC/DEC/(09)04</w:t>
            </w:r>
            <w:r w:rsidRPr="000E1FAF">
              <w:rPr>
                <w:sz w:val="22"/>
                <w:szCs w:val="22"/>
              </w:rPr>
              <w:t xml:space="preserve"> - ECC Decision of 30 October 2009 on exemption from individual licensing and the free circulation and use of transmit-only mobile satellite terminals operating in the Mobile-Satellite Service allocations in the 1613.8 - 1626.5 MHz band</w:t>
            </w:r>
          </w:p>
        </w:tc>
        <w:tc>
          <w:tcPr>
            <w:tcW w:w="1341" w:type="dxa"/>
          </w:tcPr>
          <w:p w:rsidR="005B2E2B" w:rsidRPr="000E1FAF" w:rsidRDefault="005B2E2B" w:rsidP="00A36E5E">
            <w:pPr>
              <w:rPr>
                <w:sz w:val="22"/>
                <w:szCs w:val="22"/>
              </w:rPr>
            </w:pPr>
            <w:r w:rsidRPr="000E1FAF">
              <w:rPr>
                <w:sz w:val="22"/>
                <w:szCs w:val="22"/>
              </w:rPr>
              <w:t>FM44</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6607D7">
            <w:pPr>
              <w:rPr>
                <w:sz w:val="22"/>
                <w:szCs w:val="22"/>
              </w:rPr>
            </w:pPr>
            <w:r w:rsidRPr="000E1FAF">
              <w:rPr>
                <w:sz w:val="22"/>
                <w:szCs w:val="22"/>
              </w:rPr>
              <w:t>201</w:t>
            </w:r>
            <w:r w:rsidR="006607D7" w:rsidRPr="000E1FAF">
              <w:rPr>
                <w:sz w:val="22"/>
                <w:szCs w:val="22"/>
              </w:rPr>
              <w:t>9</w:t>
            </w:r>
          </w:p>
        </w:tc>
        <w:tc>
          <w:tcPr>
            <w:tcW w:w="1216" w:type="dxa"/>
            <w:shd w:val="clear" w:color="auto" w:fill="auto"/>
          </w:tcPr>
          <w:p w:rsidR="005B2E2B" w:rsidRPr="000E1FAF" w:rsidRDefault="005B2E2B" w:rsidP="0048556B">
            <w:pPr>
              <w:jc w:val="center"/>
              <w:rPr>
                <w:sz w:val="22"/>
                <w:szCs w:val="22"/>
              </w:rPr>
            </w:pPr>
          </w:p>
        </w:tc>
        <w:tc>
          <w:tcPr>
            <w:tcW w:w="644" w:type="dxa"/>
          </w:tcPr>
          <w:p w:rsidR="005B2E2B" w:rsidRPr="000E1FAF" w:rsidRDefault="005B2E2B" w:rsidP="0048556B">
            <w:pPr>
              <w:jc w:val="center"/>
              <w:rPr>
                <w:sz w:val="22"/>
                <w:szCs w:val="22"/>
              </w:rPr>
            </w:pPr>
            <w:r w:rsidRPr="000E1FAF">
              <w:rPr>
                <w:sz w:val="22"/>
                <w:szCs w:val="22"/>
              </w:rPr>
              <w:t>17</w:t>
            </w:r>
          </w:p>
        </w:tc>
        <w:tc>
          <w:tcPr>
            <w:tcW w:w="552" w:type="dxa"/>
          </w:tcPr>
          <w:p w:rsidR="005B2E2B" w:rsidRPr="000E1FAF" w:rsidRDefault="005B2E2B" w:rsidP="0048556B">
            <w:pPr>
              <w:jc w:val="center"/>
              <w:rPr>
                <w:sz w:val="22"/>
                <w:szCs w:val="22"/>
              </w:rPr>
            </w:pPr>
            <w:r w:rsidRPr="000E1FAF">
              <w:rPr>
                <w:sz w:val="22"/>
                <w:szCs w:val="22"/>
              </w:rPr>
              <w:t>5</w:t>
            </w:r>
          </w:p>
        </w:tc>
        <w:tc>
          <w:tcPr>
            <w:tcW w:w="555" w:type="dxa"/>
          </w:tcPr>
          <w:p w:rsidR="005B2E2B" w:rsidRPr="000E1FAF" w:rsidRDefault="005B2E2B" w:rsidP="0048556B">
            <w:pPr>
              <w:jc w:val="center"/>
              <w:rPr>
                <w:sz w:val="22"/>
                <w:szCs w:val="22"/>
              </w:rPr>
            </w:pPr>
            <w:r w:rsidRPr="000E1FAF">
              <w:rPr>
                <w:sz w:val="22"/>
                <w:szCs w:val="22"/>
              </w:rPr>
              <w:t>7</w:t>
            </w:r>
          </w:p>
        </w:tc>
        <w:tc>
          <w:tcPr>
            <w:tcW w:w="555" w:type="dxa"/>
          </w:tcPr>
          <w:p w:rsidR="005B2E2B" w:rsidRPr="000E1FAF" w:rsidRDefault="005B2E2B" w:rsidP="0048556B">
            <w:pPr>
              <w:jc w:val="center"/>
              <w:rPr>
                <w:sz w:val="22"/>
                <w:szCs w:val="22"/>
              </w:rPr>
            </w:pPr>
            <w:r w:rsidRPr="000E1FAF">
              <w:rPr>
                <w:sz w:val="22"/>
                <w:szCs w:val="22"/>
              </w:rPr>
              <w:t>19</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ECC/DEC/(10)01</w:t>
            </w:r>
            <w:r w:rsidRPr="000E1FAF">
              <w:rPr>
                <w:sz w:val="22"/>
                <w:szCs w:val="22"/>
              </w:rPr>
              <w:t xml:space="preserve"> ECC Decision of 12 November 2010 on sharing conditions in the 10.6-10.68 GHz band between the fixed service, mobile service and Earth exploration satellite service (passive)</w:t>
            </w:r>
          </w:p>
        </w:tc>
        <w:tc>
          <w:tcPr>
            <w:tcW w:w="1341" w:type="dxa"/>
          </w:tcPr>
          <w:p w:rsidR="005B2E2B" w:rsidRPr="000E1FAF" w:rsidRDefault="005B2E2B" w:rsidP="00A36E5E">
            <w:pPr>
              <w:rPr>
                <w:sz w:val="22"/>
                <w:szCs w:val="22"/>
              </w:rPr>
            </w:pPr>
            <w:r w:rsidRPr="000E1FAF">
              <w:rPr>
                <w:sz w:val="22"/>
                <w:szCs w:val="22"/>
              </w:rPr>
              <w:t>FM44</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0E098D">
            <w:pPr>
              <w:rPr>
                <w:sz w:val="22"/>
                <w:szCs w:val="22"/>
              </w:rPr>
            </w:pPr>
            <w:r w:rsidRPr="000E1FAF">
              <w:rPr>
                <w:sz w:val="22"/>
                <w:szCs w:val="22"/>
              </w:rPr>
              <w:t>2015</w:t>
            </w:r>
          </w:p>
        </w:tc>
        <w:tc>
          <w:tcPr>
            <w:tcW w:w="1216" w:type="dxa"/>
            <w:shd w:val="clear" w:color="auto" w:fill="auto"/>
          </w:tcPr>
          <w:p w:rsidR="005B2E2B" w:rsidRPr="000E1FAF" w:rsidRDefault="005B2E2B" w:rsidP="00A36E5E">
            <w:pPr>
              <w:jc w:val="center"/>
              <w:rPr>
                <w:sz w:val="22"/>
                <w:szCs w:val="22"/>
              </w:rPr>
            </w:pPr>
          </w:p>
        </w:tc>
        <w:tc>
          <w:tcPr>
            <w:tcW w:w="644" w:type="dxa"/>
          </w:tcPr>
          <w:p w:rsidR="005B2E2B" w:rsidRPr="000E1FAF" w:rsidRDefault="005B2E2B" w:rsidP="00A36E5E">
            <w:pPr>
              <w:jc w:val="center"/>
              <w:rPr>
                <w:sz w:val="22"/>
                <w:szCs w:val="22"/>
              </w:rPr>
            </w:pPr>
            <w:r w:rsidRPr="000E1FAF">
              <w:rPr>
                <w:sz w:val="22"/>
                <w:szCs w:val="22"/>
              </w:rPr>
              <w:t>12</w:t>
            </w:r>
          </w:p>
        </w:tc>
        <w:tc>
          <w:tcPr>
            <w:tcW w:w="552" w:type="dxa"/>
          </w:tcPr>
          <w:p w:rsidR="005B2E2B" w:rsidRPr="000E1FAF" w:rsidRDefault="005B2E2B" w:rsidP="007D4122">
            <w:pPr>
              <w:jc w:val="center"/>
              <w:rPr>
                <w:sz w:val="22"/>
                <w:szCs w:val="22"/>
              </w:rPr>
            </w:pPr>
            <w:r w:rsidRPr="000E1FAF">
              <w:rPr>
                <w:sz w:val="22"/>
                <w:szCs w:val="22"/>
              </w:rPr>
              <w:t>9</w:t>
            </w:r>
          </w:p>
        </w:tc>
        <w:tc>
          <w:tcPr>
            <w:tcW w:w="555" w:type="dxa"/>
          </w:tcPr>
          <w:p w:rsidR="005B2E2B" w:rsidRPr="000E1FAF" w:rsidRDefault="005B2E2B" w:rsidP="00A36E5E">
            <w:pPr>
              <w:jc w:val="center"/>
              <w:rPr>
                <w:sz w:val="22"/>
                <w:szCs w:val="22"/>
              </w:rPr>
            </w:pPr>
            <w:r w:rsidRPr="000E1FAF">
              <w:rPr>
                <w:sz w:val="22"/>
                <w:szCs w:val="22"/>
              </w:rPr>
              <w:t>5</w:t>
            </w:r>
          </w:p>
        </w:tc>
        <w:tc>
          <w:tcPr>
            <w:tcW w:w="555" w:type="dxa"/>
          </w:tcPr>
          <w:p w:rsidR="005B2E2B" w:rsidRPr="000E1FAF" w:rsidRDefault="005B2E2B" w:rsidP="007D4122">
            <w:pPr>
              <w:jc w:val="center"/>
              <w:rPr>
                <w:sz w:val="22"/>
                <w:szCs w:val="22"/>
              </w:rPr>
            </w:pPr>
            <w:r w:rsidRPr="000E1FAF">
              <w:rPr>
                <w:sz w:val="22"/>
                <w:szCs w:val="22"/>
              </w:rPr>
              <w:t>22</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ECC/DEC/(10)02</w:t>
            </w:r>
            <w:r w:rsidRPr="000E1FAF">
              <w:rPr>
                <w:sz w:val="22"/>
                <w:szCs w:val="22"/>
              </w:rPr>
              <w:t xml:space="preserve"> ECC Decision of 12 November 2010 on compatibility between the fixed satellite service in the 30-31 GHz band and the Earth exploration satellite service (passive) in the 31.3-31.5 GHz band</w:t>
            </w:r>
          </w:p>
        </w:tc>
        <w:tc>
          <w:tcPr>
            <w:tcW w:w="1341" w:type="dxa"/>
          </w:tcPr>
          <w:p w:rsidR="005B2E2B" w:rsidRPr="000E1FAF" w:rsidRDefault="005B2E2B" w:rsidP="00A36E5E">
            <w:pPr>
              <w:rPr>
                <w:sz w:val="22"/>
                <w:szCs w:val="22"/>
              </w:rPr>
            </w:pPr>
            <w:r w:rsidRPr="000E1FAF">
              <w:rPr>
                <w:sz w:val="22"/>
                <w:szCs w:val="22"/>
              </w:rPr>
              <w:t>FM44</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A36E5E">
            <w:pPr>
              <w:rPr>
                <w:sz w:val="22"/>
                <w:szCs w:val="22"/>
              </w:rPr>
            </w:pPr>
            <w:r w:rsidRPr="000E1FAF">
              <w:rPr>
                <w:sz w:val="22"/>
                <w:szCs w:val="22"/>
              </w:rPr>
              <w:t>2015</w:t>
            </w:r>
          </w:p>
        </w:tc>
        <w:tc>
          <w:tcPr>
            <w:tcW w:w="1216" w:type="dxa"/>
            <w:shd w:val="clear" w:color="auto" w:fill="auto"/>
          </w:tcPr>
          <w:p w:rsidR="005B2E2B" w:rsidRPr="000E1FAF" w:rsidRDefault="005B2E2B" w:rsidP="007D4122">
            <w:pPr>
              <w:jc w:val="center"/>
              <w:rPr>
                <w:sz w:val="22"/>
                <w:szCs w:val="22"/>
              </w:rPr>
            </w:pPr>
          </w:p>
        </w:tc>
        <w:tc>
          <w:tcPr>
            <w:tcW w:w="644" w:type="dxa"/>
          </w:tcPr>
          <w:p w:rsidR="005B2E2B" w:rsidRPr="000E1FAF" w:rsidRDefault="005B2E2B" w:rsidP="007D4122">
            <w:pPr>
              <w:jc w:val="center"/>
              <w:rPr>
                <w:sz w:val="22"/>
                <w:szCs w:val="22"/>
              </w:rPr>
            </w:pPr>
            <w:r w:rsidRPr="000E1FAF">
              <w:rPr>
                <w:sz w:val="22"/>
                <w:szCs w:val="22"/>
              </w:rPr>
              <w:t>11</w:t>
            </w:r>
          </w:p>
        </w:tc>
        <w:tc>
          <w:tcPr>
            <w:tcW w:w="552" w:type="dxa"/>
          </w:tcPr>
          <w:p w:rsidR="005B2E2B" w:rsidRPr="000E1FAF" w:rsidRDefault="005B2E2B" w:rsidP="00A36E5E">
            <w:pPr>
              <w:jc w:val="center"/>
              <w:rPr>
                <w:sz w:val="22"/>
                <w:szCs w:val="22"/>
              </w:rPr>
            </w:pPr>
            <w:r w:rsidRPr="000E1FAF">
              <w:rPr>
                <w:sz w:val="22"/>
                <w:szCs w:val="22"/>
              </w:rPr>
              <w:t>11</w:t>
            </w:r>
          </w:p>
        </w:tc>
        <w:tc>
          <w:tcPr>
            <w:tcW w:w="555" w:type="dxa"/>
          </w:tcPr>
          <w:p w:rsidR="005B2E2B" w:rsidRPr="000E1FAF" w:rsidRDefault="005B2E2B" w:rsidP="0048556B">
            <w:pPr>
              <w:jc w:val="center"/>
              <w:rPr>
                <w:sz w:val="22"/>
                <w:szCs w:val="22"/>
              </w:rPr>
            </w:pPr>
            <w:r w:rsidRPr="000E1FAF">
              <w:rPr>
                <w:sz w:val="22"/>
                <w:szCs w:val="22"/>
              </w:rPr>
              <w:t>4</w:t>
            </w:r>
          </w:p>
        </w:tc>
        <w:tc>
          <w:tcPr>
            <w:tcW w:w="555" w:type="dxa"/>
          </w:tcPr>
          <w:p w:rsidR="005B2E2B" w:rsidRPr="000E1FAF" w:rsidRDefault="005B2E2B" w:rsidP="007D4122">
            <w:pPr>
              <w:jc w:val="center"/>
              <w:rPr>
                <w:sz w:val="22"/>
                <w:szCs w:val="22"/>
              </w:rPr>
            </w:pPr>
            <w:r w:rsidRPr="000E1FAF">
              <w:rPr>
                <w:sz w:val="22"/>
                <w:szCs w:val="22"/>
              </w:rPr>
              <w:t>22</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ECC/DEC/(11)01</w:t>
            </w:r>
            <w:r w:rsidRPr="000E1FAF">
              <w:rPr>
                <w:sz w:val="22"/>
                <w:szCs w:val="22"/>
              </w:rPr>
              <w:t xml:space="preserve"> - ECC Decision of 11 March 2011 on the protection of the earth exploration satellite service (passive) in the 1400-1427 MHz band</w:t>
            </w:r>
          </w:p>
        </w:tc>
        <w:tc>
          <w:tcPr>
            <w:tcW w:w="1341" w:type="dxa"/>
          </w:tcPr>
          <w:p w:rsidR="005B2E2B" w:rsidRPr="000E1FAF" w:rsidRDefault="005B2E2B" w:rsidP="00A36E5E">
            <w:pPr>
              <w:rPr>
                <w:sz w:val="22"/>
                <w:szCs w:val="22"/>
              </w:rPr>
            </w:pPr>
            <w:r w:rsidRPr="000E1FAF">
              <w:rPr>
                <w:sz w:val="22"/>
                <w:szCs w:val="22"/>
              </w:rPr>
              <w:t>FM44</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A36E5E">
            <w:pPr>
              <w:rPr>
                <w:sz w:val="22"/>
                <w:szCs w:val="22"/>
              </w:rPr>
            </w:pPr>
            <w:r w:rsidRPr="000E1FAF">
              <w:rPr>
                <w:sz w:val="22"/>
                <w:szCs w:val="22"/>
              </w:rPr>
              <w:t>2016</w:t>
            </w:r>
          </w:p>
        </w:tc>
        <w:tc>
          <w:tcPr>
            <w:tcW w:w="1216" w:type="dxa"/>
            <w:shd w:val="clear" w:color="auto" w:fill="auto"/>
          </w:tcPr>
          <w:p w:rsidR="005B2E2B" w:rsidRPr="000E1FAF" w:rsidRDefault="005B2E2B" w:rsidP="007D4122">
            <w:pPr>
              <w:jc w:val="center"/>
              <w:rPr>
                <w:sz w:val="22"/>
                <w:szCs w:val="22"/>
              </w:rPr>
            </w:pPr>
          </w:p>
        </w:tc>
        <w:tc>
          <w:tcPr>
            <w:tcW w:w="644" w:type="dxa"/>
          </w:tcPr>
          <w:p w:rsidR="005B2E2B" w:rsidRPr="000E1FAF" w:rsidRDefault="005B2E2B" w:rsidP="007D4122">
            <w:pPr>
              <w:jc w:val="center"/>
              <w:rPr>
                <w:sz w:val="22"/>
                <w:szCs w:val="22"/>
              </w:rPr>
            </w:pPr>
            <w:r w:rsidRPr="000E1FAF">
              <w:rPr>
                <w:sz w:val="22"/>
                <w:szCs w:val="22"/>
              </w:rPr>
              <w:t>13</w:t>
            </w:r>
          </w:p>
        </w:tc>
        <w:tc>
          <w:tcPr>
            <w:tcW w:w="552" w:type="dxa"/>
          </w:tcPr>
          <w:p w:rsidR="005B2E2B" w:rsidRPr="000E1FAF" w:rsidRDefault="005B2E2B" w:rsidP="00A36E5E">
            <w:pPr>
              <w:jc w:val="center"/>
              <w:rPr>
                <w:sz w:val="22"/>
                <w:szCs w:val="22"/>
              </w:rPr>
            </w:pPr>
            <w:r w:rsidRPr="000E1FAF">
              <w:rPr>
                <w:sz w:val="22"/>
                <w:szCs w:val="22"/>
              </w:rPr>
              <w:t>8</w:t>
            </w:r>
          </w:p>
        </w:tc>
        <w:tc>
          <w:tcPr>
            <w:tcW w:w="555" w:type="dxa"/>
          </w:tcPr>
          <w:p w:rsidR="005B2E2B" w:rsidRPr="000E1FAF" w:rsidRDefault="005B2E2B" w:rsidP="00A36E5E">
            <w:pPr>
              <w:jc w:val="center"/>
              <w:rPr>
                <w:sz w:val="22"/>
                <w:szCs w:val="22"/>
              </w:rPr>
            </w:pPr>
            <w:r w:rsidRPr="000E1FAF">
              <w:rPr>
                <w:sz w:val="22"/>
                <w:szCs w:val="22"/>
              </w:rPr>
              <w:t>4</w:t>
            </w:r>
          </w:p>
        </w:tc>
        <w:tc>
          <w:tcPr>
            <w:tcW w:w="555" w:type="dxa"/>
          </w:tcPr>
          <w:p w:rsidR="005B2E2B" w:rsidRPr="000E1FAF" w:rsidRDefault="005B2E2B" w:rsidP="007D4122">
            <w:pPr>
              <w:jc w:val="center"/>
              <w:rPr>
                <w:sz w:val="22"/>
                <w:szCs w:val="22"/>
              </w:rPr>
            </w:pPr>
            <w:r w:rsidRPr="000E1FAF">
              <w:rPr>
                <w:sz w:val="22"/>
                <w:szCs w:val="22"/>
              </w:rPr>
              <w:t>23</w:t>
            </w:r>
          </w:p>
        </w:tc>
      </w:tr>
      <w:tr w:rsidR="000E1FAF" w:rsidRPr="000E1FAF" w:rsidTr="0090128C">
        <w:tc>
          <w:tcPr>
            <w:tcW w:w="6852" w:type="dxa"/>
          </w:tcPr>
          <w:p w:rsidR="005B2E2B" w:rsidRPr="000E1FAF" w:rsidRDefault="005B2E2B" w:rsidP="00363E80">
            <w:pPr>
              <w:rPr>
                <w:sz w:val="22"/>
                <w:szCs w:val="22"/>
              </w:rPr>
            </w:pPr>
            <w:r w:rsidRPr="000E1FAF">
              <w:rPr>
                <w:b/>
                <w:sz w:val="22"/>
                <w:szCs w:val="22"/>
              </w:rPr>
              <w:t>ECC/DEC/(11)02</w:t>
            </w:r>
            <w:r w:rsidRPr="000E1FAF">
              <w:rPr>
                <w:sz w:val="22"/>
                <w:szCs w:val="22"/>
              </w:rPr>
              <w:t xml:space="preserve"> - ECC Decision of 11 March 2011 on industrial Level Probing Radars (LPR) operating in frequency bands 6 - 8.5 GHz, 24.05 - 26.5 GHz, 57 - 64 GHz and 75 - 85 GHz</w:t>
            </w:r>
          </w:p>
        </w:tc>
        <w:tc>
          <w:tcPr>
            <w:tcW w:w="1341" w:type="dxa"/>
          </w:tcPr>
          <w:p w:rsidR="005B2E2B" w:rsidRPr="000E1FAF" w:rsidRDefault="005B2E2B" w:rsidP="00F265F8">
            <w:pPr>
              <w:rPr>
                <w:sz w:val="22"/>
                <w:szCs w:val="22"/>
              </w:rPr>
            </w:pPr>
            <w:r w:rsidRPr="000E1FAF">
              <w:rPr>
                <w:sz w:val="22"/>
                <w:szCs w:val="22"/>
              </w:rPr>
              <w:t>SRD/MG</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A36E5E">
            <w:pPr>
              <w:rPr>
                <w:sz w:val="22"/>
                <w:szCs w:val="22"/>
              </w:rPr>
            </w:pPr>
            <w:r w:rsidRPr="000E1FAF">
              <w:rPr>
                <w:sz w:val="22"/>
                <w:szCs w:val="22"/>
              </w:rPr>
              <w:t>2016</w:t>
            </w:r>
          </w:p>
        </w:tc>
        <w:tc>
          <w:tcPr>
            <w:tcW w:w="1216" w:type="dxa"/>
            <w:shd w:val="clear" w:color="auto" w:fill="auto"/>
          </w:tcPr>
          <w:p w:rsidR="005B2E2B" w:rsidRPr="000E1FAF" w:rsidRDefault="005B2E2B" w:rsidP="007D4122">
            <w:pPr>
              <w:jc w:val="center"/>
              <w:rPr>
                <w:sz w:val="22"/>
                <w:szCs w:val="22"/>
              </w:rPr>
            </w:pPr>
          </w:p>
        </w:tc>
        <w:tc>
          <w:tcPr>
            <w:tcW w:w="644" w:type="dxa"/>
          </w:tcPr>
          <w:p w:rsidR="005B2E2B" w:rsidRPr="000E1FAF" w:rsidRDefault="005B2E2B" w:rsidP="007D4122">
            <w:pPr>
              <w:jc w:val="center"/>
              <w:rPr>
                <w:sz w:val="22"/>
                <w:szCs w:val="22"/>
              </w:rPr>
            </w:pPr>
            <w:r w:rsidRPr="000E1FAF">
              <w:rPr>
                <w:sz w:val="22"/>
                <w:szCs w:val="22"/>
              </w:rPr>
              <w:t>11</w:t>
            </w:r>
          </w:p>
        </w:tc>
        <w:tc>
          <w:tcPr>
            <w:tcW w:w="552" w:type="dxa"/>
          </w:tcPr>
          <w:p w:rsidR="005B2E2B" w:rsidRPr="000E1FAF" w:rsidRDefault="005B2E2B" w:rsidP="007D4122">
            <w:pPr>
              <w:jc w:val="center"/>
              <w:rPr>
                <w:sz w:val="22"/>
                <w:szCs w:val="22"/>
              </w:rPr>
            </w:pPr>
            <w:r w:rsidRPr="000E1FAF">
              <w:rPr>
                <w:sz w:val="22"/>
                <w:szCs w:val="22"/>
              </w:rPr>
              <w:t>10</w:t>
            </w:r>
          </w:p>
        </w:tc>
        <w:tc>
          <w:tcPr>
            <w:tcW w:w="555" w:type="dxa"/>
          </w:tcPr>
          <w:p w:rsidR="005B2E2B" w:rsidRPr="000E1FAF" w:rsidRDefault="005B2E2B" w:rsidP="00A36E5E">
            <w:pPr>
              <w:jc w:val="center"/>
              <w:rPr>
                <w:sz w:val="22"/>
                <w:szCs w:val="22"/>
              </w:rPr>
            </w:pPr>
            <w:r w:rsidRPr="000E1FAF">
              <w:rPr>
                <w:sz w:val="22"/>
                <w:szCs w:val="22"/>
              </w:rPr>
              <w:t>4</w:t>
            </w:r>
          </w:p>
        </w:tc>
        <w:tc>
          <w:tcPr>
            <w:tcW w:w="555" w:type="dxa"/>
          </w:tcPr>
          <w:p w:rsidR="005B2E2B" w:rsidRPr="000E1FAF" w:rsidRDefault="005B2E2B" w:rsidP="007D4122">
            <w:pPr>
              <w:jc w:val="center"/>
              <w:rPr>
                <w:sz w:val="22"/>
                <w:szCs w:val="22"/>
              </w:rPr>
            </w:pPr>
            <w:r w:rsidRPr="000E1FAF">
              <w:rPr>
                <w:sz w:val="22"/>
                <w:szCs w:val="22"/>
              </w:rPr>
              <w:t>23</w:t>
            </w:r>
          </w:p>
        </w:tc>
      </w:tr>
      <w:tr w:rsidR="000E1FAF" w:rsidRPr="000E1FAF" w:rsidTr="0090128C">
        <w:tc>
          <w:tcPr>
            <w:tcW w:w="6852" w:type="dxa"/>
          </w:tcPr>
          <w:p w:rsidR="005B2E2B" w:rsidRPr="000E1FAF" w:rsidRDefault="005B2E2B" w:rsidP="00363E80">
            <w:pPr>
              <w:rPr>
                <w:b/>
                <w:sz w:val="22"/>
                <w:szCs w:val="22"/>
              </w:rPr>
            </w:pPr>
            <w:r w:rsidRPr="000E1FAF">
              <w:rPr>
                <w:b/>
                <w:sz w:val="22"/>
                <w:szCs w:val="22"/>
              </w:rPr>
              <w:t>ECC/DEC/(11)03</w:t>
            </w:r>
            <w:r w:rsidRPr="000E1FAF">
              <w:rPr>
                <w:sz w:val="22"/>
                <w:szCs w:val="22"/>
              </w:rPr>
              <w:t xml:space="preserve"> </w:t>
            </w:r>
            <w:r w:rsidRPr="000E1FAF">
              <w:rPr>
                <w:b/>
                <w:sz w:val="22"/>
                <w:szCs w:val="22"/>
              </w:rPr>
              <w:t>–</w:t>
            </w:r>
            <w:r w:rsidRPr="000E1FAF">
              <w:rPr>
                <w:sz w:val="22"/>
                <w:szCs w:val="22"/>
              </w:rPr>
              <w:t>ECC Decision of 24 June 2011 on the harmonised use of frequencies for Citizens' Band (CB) radio equipment</w:t>
            </w:r>
          </w:p>
        </w:tc>
        <w:tc>
          <w:tcPr>
            <w:tcW w:w="1341" w:type="dxa"/>
          </w:tcPr>
          <w:p w:rsidR="005B2E2B" w:rsidRPr="000E1FAF" w:rsidRDefault="005B2E2B" w:rsidP="00F265F8">
            <w:pPr>
              <w:rPr>
                <w:sz w:val="22"/>
                <w:szCs w:val="22"/>
              </w:rPr>
            </w:pPr>
            <w:r w:rsidRPr="000E1FAF">
              <w:rPr>
                <w:sz w:val="22"/>
                <w:szCs w:val="22"/>
              </w:rPr>
              <w:t>WGFM</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A36E5E">
            <w:pPr>
              <w:rPr>
                <w:sz w:val="22"/>
                <w:szCs w:val="22"/>
              </w:rPr>
            </w:pPr>
            <w:r w:rsidRPr="000E1FAF">
              <w:rPr>
                <w:sz w:val="22"/>
                <w:szCs w:val="22"/>
              </w:rPr>
              <w:t>2016</w:t>
            </w:r>
          </w:p>
        </w:tc>
        <w:tc>
          <w:tcPr>
            <w:tcW w:w="1216" w:type="dxa"/>
            <w:shd w:val="clear" w:color="auto" w:fill="auto"/>
          </w:tcPr>
          <w:p w:rsidR="005B2E2B" w:rsidRPr="000E1FAF" w:rsidRDefault="005B2E2B" w:rsidP="007D4122">
            <w:pPr>
              <w:jc w:val="center"/>
              <w:rPr>
                <w:sz w:val="22"/>
                <w:szCs w:val="22"/>
              </w:rPr>
            </w:pPr>
          </w:p>
        </w:tc>
        <w:tc>
          <w:tcPr>
            <w:tcW w:w="644" w:type="dxa"/>
          </w:tcPr>
          <w:p w:rsidR="005B2E2B" w:rsidRPr="000E1FAF" w:rsidRDefault="005B2E2B" w:rsidP="007D4122">
            <w:pPr>
              <w:jc w:val="center"/>
              <w:rPr>
                <w:sz w:val="22"/>
                <w:szCs w:val="22"/>
              </w:rPr>
            </w:pPr>
            <w:r w:rsidRPr="000E1FAF">
              <w:rPr>
                <w:sz w:val="22"/>
                <w:szCs w:val="22"/>
              </w:rPr>
              <w:t>13</w:t>
            </w:r>
          </w:p>
        </w:tc>
        <w:tc>
          <w:tcPr>
            <w:tcW w:w="552" w:type="dxa"/>
          </w:tcPr>
          <w:p w:rsidR="005B2E2B" w:rsidRPr="000E1FAF" w:rsidRDefault="005B2E2B" w:rsidP="00A36E5E">
            <w:pPr>
              <w:jc w:val="center"/>
              <w:rPr>
                <w:sz w:val="22"/>
                <w:szCs w:val="22"/>
              </w:rPr>
            </w:pPr>
            <w:r w:rsidRPr="000E1FAF">
              <w:rPr>
                <w:sz w:val="22"/>
                <w:szCs w:val="22"/>
              </w:rPr>
              <w:t>7</w:t>
            </w:r>
          </w:p>
        </w:tc>
        <w:tc>
          <w:tcPr>
            <w:tcW w:w="555" w:type="dxa"/>
          </w:tcPr>
          <w:p w:rsidR="005B2E2B" w:rsidRPr="000E1FAF" w:rsidRDefault="005B2E2B" w:rsidP="00A36E5E">
            <w:pPr>
              <w:jc w:val="center"/>
              <w:rPr>
                <w:sz w:val="22"/>
                <w:szCs w:val="22"/>
              </w:rPr>
            </w:pPr>
            <w:r w:rsidRPr="000E1FAF">
              <w:rPr>
                <w:sz w:val="22"/>
                <w:szCs w:val="22"/>
              </w:rPr>
              <w:t>4</w:t>
            </w:r>
          </w:p>
        </w:tc>
        <w:tc>
          <w:tcPr>
            <w:tcW w:w="555" w:type="dxa"/>
          </w:tcPr>
          <w:p w:rsidR="005B2E2B" w:rsidRPr="000E1FAF" w:rsidRDefault="005B2E2B" w:rsidP="007D4122">
            <w:pPr>
              <w:jc w:val="center"/>
              <w:rPr>
                <w:sz w:val="22"/>
                <w:szCs w:val="22"/>
              </w:rPr>
            </w:pPr>
            <w:r w:rsidRPr="000E1FAF">
              <w:rPr>
                <w:sz w:val="22"/>
                <w:szCs w:val="22"/>
              </w:rPr>
              <w:t>24</w:t>
            </w:r>
          </w:p>
        </w:tc>
      </w:tr>
      <w:tr w:rsidR="000E1FAF" w:rsidRPr="000E1FAF" w:rsidTr="0090128C">
        <w:tc>
          <w:tcPr>
            <w:tcW w:w="6852" w:type="dxa"/>
          </w:tcPr>
          <w:p w:rsidR="005B2E2B" w:rsidRPr="000E1FAF" w:rsidRDefault="005B2E2B" w:rsidP="00BB61A3">
            <w:pPr>
              <w:rPr>
                <w:b/>
                <w:sz w:val="22"/>
                <w:szCs w:val="22"/>
                <w:lang w:val="en-US"/>
              </w:rPr>
            </w:pPr>
            <w:r w:rsidRPr="000E1FAF">
              <w:rPr>
                <w:b/>
                <w:sz w:val="22"/>
                <w:szCs w:val="22"/>
              </w:rPr>
              <w:t>ECC/DEC/(11)04</w:t>
            </w:r>
            <w:r w:rsidRPr="000E1FAF">
              <w:rPr>
                <w:sz w:val="22"/>
                <w:szCs w:val="22"/>
              </w:rPr>
              <w:t xml:space="preserve"> - ECC Decision of 15 December 2011 on exemption from individual licensing of digital terminals of PMR/PAMR/PPDR systems and free circulation and use of digital terminals of PPDR systems in the 80 MHz, 160 MHz, 380-470 MHz and 800/900 MHz bands</w:t>
            </w:r>
          </w:p>
        </w:tc>
        <w:tc>
          <w:tcPr>
            <w:tcW w:w="1341" w:type="dxa"/>
          </w:tcPr>
          <w:p w:rsidR="005B2E2B" w:rsidRPr="000E1FAF" w:rsidRDefault="005B2E2B" w:rsidP="00F265F8">
            <w:pPr>
              <w:rPr>
                <w:sz w:val="22"/>
                <w:szCs w:val="22"/>
              </w:rPr>
            </w:pPr>
            <w:r w:rsidRPr="000E1FAF">
              <w:rPr>
                <w:sz w:val="22"/>
                <w:szCs w:val="22"/>
              </w:rPr>
              <w:t>WGFM</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A36E5E">
            <w:pPr>
              <w:rPr>
                <w:sz w:val="22"/>
                <w:szCs w:val="22"/>
              </w:rPr>
            </w:pPr>
            <w:r w:rsidRPr="000E1FAF">
              <w:rPr>
                <w:sz w:val="22"/>
                <w:szCs w:val="22"/>
              </w:rPr>
              <w:t>2016</w:t>
            </w:r>
          </w:p>
        </w:tc>
        <w:tc>
          <w:tcPr>
            <w:tcW w:w="1216" w:type="dxa"/>
            <w:shd w:val="clear" w:color="auto" w:fill="auto"/>
          </w:tcPr>
          <w:p w:rsidR="005B2E2B" w:rsidRPr="000E1FAF" w:rsidRDefault="005B2E2B" w:rsidP="007D4122">
            <w:pPr>
              <w:jc w:val="center"/>
              <w:rPr>
                <w:sz w:val="22"/>
                <w:szCs w:val="22"/>
              </w:rPr>
            </w:pPr>
          </w:p>
        </w:tc>
        <w:tc>
          <w:tcPr>
            <w:tcW w:w="644" w:type="dxa"/>
          </w:tcPr>
          <w:p w:rsidR="005B2E2B" w:rsidRPr="000E1FAF" w:rsidRDefault="005B2E2B" w:rsidP="007D4122">
            <w:pPr>
              <w:jc w:val="center"/>
              <w:rPr>
                <w:sz w:val="22"/>
                <w:szCs w:val="22"/>
              </w:rPr>
            </w:pPr>
            <w:r w:rsidRPr="000E1FAF">
              <w:rPr>
                <w:sz w:val="22"/>
                <w:szCs w:val="22"/>
              </w:rPr>
              <w:t>9</w:t>
            </w:r>
          </w:p>
        </w:tc>
        <w:tc>
          <w:tcPr>
            <w:tcW w:w="552" w:type="dxa"/>
          </w:tcPr>
          <w:p w:rsidR="005B2E2B" w:rsidRPr="000E1FAF" w:rsidRDefault="005B2E2B" w:rsidP="00AE5E91">
            <w:pPr>
              <w:rPr>
                <w:sz w:val="22"/>
                <w:szCs w:val="22"/>
              </w:rPr>
            </w:pPr>
            <w:r w:rsidRPr="000E1FAF">
              <w:rPr>
                <w:sz w:val="22"/>
                <w:szCs w:val="22"/>
              </w:rPr>
              <w:t>5</w:t>
            </w:r>
          </w:p>
        </w:tc>
        <w:tc>
          <w:tcPr>
            <w:tcW w:w="555" w:type="dxa"/>
          </w:tcPr>
          <w:p w:rsidR="005B2E2B" w:rsidRPr="000E1FAF" w:rsidRDefault="005B2E2B" w:rsidP="009B7281">
            <w:pPr>
              <w:jc w:val="center"/>
              <w:rPr>
                <w:sz w:val="22"/>
                <w:szCs w:val="22"/>
              </w:rPr>
            </w:pPr>
            <w:r w:rsidRPr="000E1FAF">
              <w:rPr>
                <w:sz w:val="22"/>
                <w:szCs w:val="22"/>
              </w:rPr>
              <w:t>8</w:t>
            </w:r>
          </w:p>
        </w:tc>
        <w:tc>
          <w:tcPr>
            <w:tcW w:w="555" w:type="dxa"/>
          </w:tcPr>
          <w:p w:rsidR="005B2E2B" w:rsidRPr="000E1FAF" w:rsidRDefault="005B2E2B" w:rsidP="007D4122">
            <w:pPr>
              <w:jc w:val="center"/>
              <w:rPr>
                <w:sz w:val="22"/>
                <w:szCs w:val="22"/>
              </w:rPr>
            </w:pPr>
            <w:r w:rsidRPr="000E1FAF">
              <w:rPr>
                <w:sz w:val="22"/>
                <w:szCs w:val="22"/>
              </w:rPr>
              <w:t>26</w:t>
            </w:r>
          </w:p>
        </w:tc>
      </w:tr>
      <w:tr w:rsidR="000E1FAF" w:rsidRPr="000E1FAF" w:rsidTr="0090128C">
        <w:tc>
          <w:tcPr>
            <w:tcW w:w="6852" w:type="dxa"/>
          </w:tcPr>
          <w:p w:rsidR="005B2E2B" w:rsidRPr="000E1FAF" w:rsidRDefault="005B2E2B" w:rsidP="00BB61A3">
            <w:pPr>
              <w:rPr>
                <w:sz w:val="22"/>
                <w:szCs w:val="22"/>
              </w:rPr>
            </w:pPr>
            <w:r w:rsidRPr="000E1FAF">
              <w:rPr>
                <w:b/>
                <w:sz w:val="22"/>
                <w:szCs w:val="22"/>
              </w:rPr>
              <w:lastRenderedPageBreak/>
              <w:t>ECC/DEC/(11)06</w:t>
            </w:r>
            <w:r w:rsidRPr="000E1FAF">
              <w:rPr>
                <w:sz w:val="22"/>
                <w:szCs w:val="22"/>
              </w:rPr>
              <w:t xml:space="preserve"> - ECC Decision of 15 December 2011 on Harmonised frequency arrangements for MFCN operating in the bands 3400-3600 MHz/3600-3800 MHz</w:t>
            </w:r>
          </w:p>
          <w:p w:rsidR="009A656F" w:rsidRPr="000E1FAF" w:rsidRDefault="005B2E2B" w:rsidP="00F92C3E">
            <w:pPr>
              <w:rPr>
                <w:i/>
                <w:sz w:val="22"/>
                <w:szCs w:val="22"/>
                <w:lang w:val="en-US" w:eastAsia="ru-RU"/>
              </w:rPr>
            </w:pPr>
            <w:r w:rsidRPr="00F92C3E">
              <w:rPr>
                <w:i/>
                <w:color w:val="FF0000"/>
                <w:sz w:val="22"/>
                <w:szCs w:val="22"/>
              </w:rPr>
              <w:t xml:space="preserve">Note: </w:t>
            </w:r>
            <w:r w:rsidR="00051CF3" w:rsidRPr="00F92C3E">
              <w:rPr>
                <w:i/>
                <w:color w:val="FF0000"/>
                <w:sz w:val="22"/>
                <w:szCs w:val="22"/>
              </w:rPr>
              <w:t>Revision was completed at ECC PT1 #45 in January 2014</w:t>
            </w:r>
            <w:r w:rsidR="00700E37" w:rsidRPr="00F92C3E">
              <w:rPr>
                <w:i/>
                <w:color w:val="FF0000"/>
                <w:sz w:val="22"/>
                <w:szCs w:val="22"/>
                <w:lang w:val="en-US"/>
              </w:rPr>
              <w:t xml:space="preserve"> (</w:t>
            </w:r>
            <w:r w:rsidR="009A656F" w:rsidRPr="00F92C3E">
              <w:rPr>
                <w:i/>
                <w:color w:val="FF0000"/>
                <w:sz w:val="22"/>
                <w:szCs w:val="22"/>
              </w:rPr>
              <w:t>a preferred frequency arrangement was identified for the 3400-3600 MHz band)</w:t>
            </w:r>
          </w:p>
        </w:tc>
        <w:tc>
          <w:tcPr>
            <w:tcW w:w="1341" w:type="dxa"/>
          </w:tcPr>
          <w:p w:rsidR="005B2E2B" w:rsidRPr="000E1FAF" w:rsidRDefault="005B2E2B" w:rsidP="00F265F8">
            <w:pPr>
              <w:rPr>
                <w:sz w:val="22"/>
                <w:szCs w:val="22"/>
                <w:lang w:val="en-US"/>
              </w:rPr>
            </w:pPr>
            <w:r w:rsidRPr="000E1FAF">
              <w:rPr>
                <w:sz w:val="22"/>
                <w:szCs w:val="22"/>
                <w:lang w:val="en-US"/>
              </w:rPr>
              <w:t>ECC PT1</w:t>
            </w:r>
          </w:p>
        </w:tc>
        <w:tc>
          <w:tcPr>
            <w:tcW w:w="1719" w:type="dxa"/>
          </w:tcPr>
          <w:p w:rsidR="005B2E2B" w:rsidRPr="000E1FAF" w:rsidRDefault="005B2E2B" w:rsidP="00CF5B5F">
            <w:pPr>
              <w:rPr>
                <w:sz w:val="22"/>
                <w:szCs w:val="22"/>
              </w:rPr>
            </w:pPr>
            <w:r w:rsidRPr="000E1FAF">
              <w:rPr>
                <w:sz w:val="22"/>
                <w:szCs w:val="22"/>
              </w:rPr>
              <w:t>Retain</w:t>
            </w:r>
          </w:p>
        </w:tc>
        <w:tc>
          <w:tcPr>
            <w:tcW w:w="1136" w:type="dxa"/>
          </w:tcPr>
          <w:p w:rsidR="009A656F" w:rsidRPr="000E1FAF" w:rsidRDefault="009A656F" w:rsidP="00CF5B5F">
            <w:pPr>
              <w:rPr>
                <w:sz w:val="22"/>
                <w:szCs w:val="22"/>
              </w:rPr>
            </w:pPr>
            <w:r w:rsidRPr="000E1FAF">
              <w:rPr>
                <w:sz w:val="22"/>
                <w:szCs w:val="22"/>
              </w:rPr>
              <w:t>2019</w:t>
            </w:r>
          </w:p>
        </w:tc>
        <w:tc>
          <w:tcPr>
            <w:tcW w:w="1216" w:type="dxa"/>
            <w:shd w:val="clear" w:color="auto" w:fill="auto"/>
          </w:tcPr>
          <w:p w:rsidR="005B2E2B" w:rsidRPr="000E1FAF" w:rsidRDefault="00F515E5" w:rsidP="00F254DD">
            <w:pPr>
              <w:jc w:val="center"/>
              <w:rPr>
                <w:sz w:val="22"/>
                <w:szCs w:val="22"/>
              </w:rPr>
            </w:pPr>
            <w:r w:rsidRPr="000E1FAF">
              <w:rPr>
                <w:sz w:val="22"/>
                <w:szCs w:val="22"/>
              </w:rPr>
              <w:t>Yes</w:t>
            </w:r>
          </w:p>
        </w:tc>
        <w:tc>
          <w:tcPr>
            <w:tcW w:w="644" w:type="dxa"/>
          </w:tcPr>
          <w:p w:rsidR="005B2E2B" w:rsidRPr="000E1FAF" w:rsidRDefault="005B2E2B" w:rsidP="00F254DD">
            <w:pPr>
              <w:jc w:val="center"/>
              <w:rPr>
                <w:sz w:val="22"/>
                <w:szCs w:val="22"/>
              </w:rPr>
            </w:pPr>
            <w:r w:rsidRPr="000E1FAF">
              <w:rPr>
                <w:sz w:val="22"/>
                <w:szCs w:val="22"/>
              </w:rPr>
              <w:t>9</w:t>
            </w:r>
          </w:p>
        </w:tc>
        <w:tc>
          <w:tcPr>
            <w:tcW w:w="552" w:type="dxa"/>
          </w:tcPr>
          <w:p w:rsidR="005B2E2B" w:rsidRPr="000E1FAF" w:rsidRDefault="005B2E2B" w:rsidP="00F254DD">
            <w:pPr>
              <w:jc w:val="center"/>
              <w:rPr>
                <w:sz w:val="22"/>
                <w:szCs w:val="22"/>
              </w:rPr>
            </w:pPr>
            <w:r w:rsidRPr="000E1FAF">
              <w:rPr>
                <w:sz w:val="22"/>
                <w:szCs w:val="22"/>
              </w:rPr>
              <w:t>10</w:t>
            </w:r>
          </w:p>
        </w:tc>
        <w:tc>
          <w:tcPr>
            <w:tcW w:w="555" w:type="dxa"/>
          </w:tcPr>
          <w:p w:rsidR="005B2E2B" w:rsidRPr="000E1FAF" w:rsidRDefault="005B2E2B" w:rsidP="00A36E5E">
            <w:pPr>
              <w:jc w:val="center"/>
              <w:rPr>
                <w:sz w:val="22"/>
                <w:szCs w:val="22"/>
              </w:rPr>
            </w:pPr>
            <w:r w:rsidRPr="000E1FAF">
              <w:rPr>
                <w:sz w:val="22"/>
                <w:szCs w:val="22"/>
              </w:rPr>
              <w:t>3</w:t>
            </w:r>
          </w:p>
        </w:tc>
        <w:tc>
          <w:tcPr>
            <w:tcW w:w="555" w:type="dxa"/>
          </w:tcPr>
          <w:p w:rsidR="005B2E2B" w:rsidRPr="000E1FAF" w:rsidRDefault="005B2E2B" w:rsidP="00F254DD">
            <w:pPr>
              <w:jc w:val="center"/>
              <w:rPr>
                <w:sz w:val="22"/>
                <w:szCs w:val="22"/>
              </w:rPr>
            </w:pPr>
            <w:r w:rsidRPr="000E1FAF">
              <w:rPr>
                <w:sz w:val="22"/>
                <w:szCs w:val="22"/>
              </w:rPr>
              <w:t>26</w:t>
            </w:r>
          </w:p>
        </w:tc>
      </w:tr>
      <w:tr w:rsidR="00F92C3E" w:rsidRPr="000E1FAF" w:rsidTr="004678A2">
        <w:tc>
          <w:tcPr>
            <w:tcW w:w="6852" w:type="dxa"/>
          </w:tcPr>
          <w:p w:rsidR="00F92C3E" w:rsidRPr="000E1FAF" w:rsidRDefault="00F92C3E" w:rsidP="00F92C3E">
            <w:pPr>
              <w:rPr>
                <w:b/>
                <w:sz w:val="22"/>
                <w:szCs w:val="22"/>
              </w:rPr>
            </w:pPr>
            <w:r w:rsidRPr="000E1FAF">
              <w:rPr>
                <w:b/>
                <w:sz w:val="22"/>
                <w:szCs w:val="22"/>
              </w:rPr>
              <w:t xml:space="preserve">ECC/DEC/(12)01 </w:t>
            </w:r>
            <w:r w:rsidRPr="000E1FAF">
              <w:rPr>
                <w:sz w:val="22"/>
                <w:szCs w:val="22"/>
              </w:rPr>
              <w:t>Licensing and free circulation and use of terrestrial and satellite mobile terminals</w:t>
            </w:r>
          </w:p>
        </w:tc>
        <w:tc>
          <w:tcPr>
            <w:tcW w:w="1341" w:type="dxa"/>
          </w:tcPr>
          <w:p w:rsidR="00F92C3E" w:rsidRPr="00CC1663" w:rsidRDefault="00F92C3E" w:rsidP="00F92C3E">
            <w:pPr>
              <w:rPr>
                <w:sz w:val="22"/>
                <w:szCs w:val="22"/>
                <w:lang w:val="en-US"/>
              </w:rPr>
            </w:pPr>
            <w:r>
              <w:rPr>
                <w:sz w:val="22"/>
                <w:szCs w:val="22"/>
                <w:lang w:val="en-US"/>
              </w:rPr>
              <w:t xml:space="preserve">WGFM </w:t>
            </w:r>
          </w:p>
        </w:tc>
        <w:tc>
          <w:tcPr>
            <w:tcW w:w="1719" w:type="dxa"/>
          </w:tcPr>
          <w:p w:rsidR="00F92C3E" w:rsidRPr="000E1FAF" w:rsidRDefault="00F92C3E" w:rsidP="004678A2">
            <w:pPr>
              <w:rPr>
                <w:sz w:val="22"/>
                <w:szCs w:val="22"/>
              </w:rPr>
            </w:pPr>
            <w:r w:rsidRPr="000E1FAF">
              <w:rPr>
                <w:sz w:val="22"/>
                <w:szCs w:val="22"/>
              </w:rPr>
              <w:t>Retain</w:t>
            </w:r>
          </w:p>
        </w:tc>
        <w:tc>
          <w:tcPr>
            <w:tcW w:w="1136" w:type="dxa"/>
          </w:tcPr>
          <w:p w:rsidR="00F92C3E" w:rsidRPr="000E1FAF" w:rsidRDefault="00F92C3E" w:rsidP="004678A2">
            <w:pPr>
              <w:rPr>
                <w:sz w:val="22"/>
                <w:szCs w:val="22"/>
              </w:rPr>
            </w:pPr>
            <w:r w:rsidRPr="000E1FAF">
              <w:rPr>
                <w:sz w:val="22"/>
                <w:szCs w:val="22"/>
              </w:rPr>
              <w:t>2017</w:t>
            </w:r>
          </w:p>
        </w:tc>
        <w:tc>
          <w:tcPr>
            <w:tcW w:w="1216" w:type="dxa"/>
            <w:shd w:val="clear" w:color="auto" w:fill="auto"/>
          </w:tcPr>
          <w:p w:rsidR="00F92C3E" w:rsidRPr="000E1FAF" w:rsidRDefault="00F92C3E" w:rsidP="004678A2">
            <w:pPr>
              <w:jc w:val="center"/>
              <w:rPr>
                <w:sz w:val="22"/>
                <w:szCs w:val="22"/>
              </w:rPr>
            </w:pPr>
          </w:p>
        </w:tc>
        <w:tc>
          <w:tcPr>
            <w:tcW w:w="644" w:type="dxa"/>
          </w:tcPr>
          <w:p w:rsidR="00F92C3E" w:rsidRPr="000E1FAF" w:rsidRDefault="00F92C3E" w:rsidP="004678A2">
            <w:pPr>
              <w:jc w:val="center"/>
              <w:rPr>
                <w:sz w:val="22"/>
                <w:szCs w:val="22"/>
              </w:rPr>
            </w:pPr>
            <w:r w:rsidRPr="000E1FAF">
              <w:rPr>
                <w:sz w:val="22"/>
                <w:szCs w:val="22"/>
              </w:rPr>
              <w:t>4</w:t>
            </w:r>
          </w:p>
        </w:tc>
        <w:tc>
          <w:tcPr>
            <w:tcW w:w="552" w:type="dxa"/>
          </w:tcPr>
          <w:p w:rsidR="00F92C3E" w:rsidRPr="000E1FAF" w:rsidRDefault="00F92C3E" w:rsidP="004678A2">
            <w:pPr>
              <w:jc w:val="center"/>
              <w:rPr>
                <w:sz w:val="22"/>
                <w:szCs w:val="22"/>
              </w:rPr>
            </w:pPr>
            <w:r w:rsidRPr="000E1FAF">
              <w:rPr>
                <w:sz w:val="22"/>
                <w:szCs w:val="22"/>
              </w:rPr>
              <w:t>1</w:t>
            </w:r>
          </w:p>
        </w:tc>
        <w:tc>
          <w:tcPr>
            <w:tcW w:w="555" w:type="dxa"/>
          </w:tcPr>
          <w:p w:rsidR="00F92C3E" w:rsidRPr="000E1FAF" w:rsidRDefault="00F92C3E" w:rsidP="004678A2">
            <w:pPr>
              <w:jc w:val="center"/>
              <w:rPr>
                <w:sz w:val="22"/>
                <w:szCs w:val="22"/>
              </w:rPr>
            </w:pPr>
            <w:r w:rsidRPr="000E1FAF">
              <w:rPr>
                <w:sz w:val="22"/>
                <w:szCs w:val="22"/>
              </w:rPr>
              <w:t>1</w:t>
            </w:r>
          </w:p>
        </w:tc>
        <w:tc>
          <w:tcPr>
            <w:tcW w:w="555" w:type="dxa"/>
          </w:tcPr>
          <w:p w:rsidR="00F92C3E" w:rsidRPr="000E1FAF" w:rsidRDefault="00F92C3E" w:rsidP="004678A2">
            <w:pPr>
              <w:jc w:val="center"/>
              <w:rPr>
                <w:sz w:val="22"/>
                <w:szCs w:val="22"/>
              </w:rPr>
            </w:pPr>
            <w:r w:rsidRPr="000E1FAF">
              <w:rPr>
                <w:sz w:val="22"/>
                <w:szCs w:val="22"/>
              </w:rPr>
              <w:t>42</w:t>
            </w:r>
          </w:p>
        </w:tc>
      </w:tr>
      <w:tr w:rsidR="000E1FAF" w:rsidRPr="000E1FAF" w:rsidTr="0090128C">
        <w:tc>
          <w:tcPr>
            <w:tcW w:w="6852" w:type="dxa"/>
          </w:tcPr>
          <w:p w:rsidR="005B2E2B" w:rsidRPr="000E1FAF" w:rsidRDefault="005B2E2B" w:rsidP="00BB61A3">
            <w:pPr>
              <w:rPr>
                <w:sz w:val="22"/>
                <w:szCs w:val="22"/>
              </w:rPr>
            </w:pPr>
            <w:r w:rsidRPr="000E1FAF">
              <w:rPr>
                <w:b/>
                <w:sz w:val="22"/>
                <w:szCs w:val="22"/>
              </w:rPr>
              <w:t xml:space="preserve">ECC/DEC/(12)03 </w:t>
            </w:r>
            <w:r w:rsidRPr="000E1FAF">
              <w:rPr>
                <w:sz w:val="22"/>
                <w:szCs w:val="22"/>
              </w:rPr>
              <w:t>The harmonised conditions for UWB applications onboard aircraft</w:t>
            </w:r>
          </w:p>
          <w:p w:rsidR="000B04E9" w:rsidRPr="00F92C3E" w:rsidRDefault="000B04E9" w:rsidP="00BB61A3">
            <w:pPr>
              <w:rPr>
                <w:b/>
                <w:i/>
                <w:color w:val="FF0000"/>
                <w:sz w:val="22"/>
                <w:szCs w:val="22"/>
              </w:rPr>
            </w:pPr>
            <w:r w:rsidRPr="00F92C3E">
              <w:rPr>
                <w:i/>
                <w:color w:val="FF0000"/>
                <w:sz w:val="22"/>
                <w:szCs w:val="22"/>
              </w:rPr>
              <w:t>Note: No harmonised standard yet</w:t>
            </w:r>
          </w:p>
        </w:tc>
        <w:tc>
          <w:tcPr>
            <w:tcW w:w="1341" w:type="dxa"/>
          </w:tcPr>
          <w:p w:rsidR="005B2E2B" w:rsidRPr="000E1FAF" w:rsidRDefault="005B2E2B" w:rsidP="00F265F8">
            <w:pPr>
              <w:rPr>
                <w:sz w:val="22"/>
                <w:szCs w:val="22"/>
                <w:lang w:val="en-US"/>
              </w:rPr>
            </w:pPr>
            <w:r w:rsidRPr="000E1FAF">
              <w:rPr>
                <w:sz w:val="22"/>
                <w:szCs w:val="22"/>
                <w:lang w:val="en-US"/>
              </w:rPr>
              <w:t>SRD/MG</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BB61A3">
            <w:pPr>
              <w:rPr>
                <w:sz w:val="22"/>
                <w:szCs w:val="22"/>
              </w:rPr>
            </w:pPr>
            <w:r w:rsidRPr="000E1FAF">
              <w:rPr>
                <w:sz w:val="22"/>
                <w:szCs w:val="22"/>
              </w:rPr>
              <w:t>2017</w:t>
            </w:r>
          </w:p>
        </w:tc>
        <w:tc>
          <w:tcPr>
            <w:tcW w:w="1216" w:type="dxa"/>
            <w:shd w:val="clear" w:color="auto" w:fill="auto"/>
          </w:tcPr>
          <w:p w:rsidR="005B2E2B" w:rsidRPr="000E1FAF" w:rsidRDefault="006607D7" w:rsidP="006607D7">
            <w:pPr>
              <w:jc w:val="center"/>
              <w:rPr>
                <w:sz w:val="22"/>
                <w:szCs w:val="22"/>
              </w:rPr>
            </w:pPr>
            <w:r w:rsidRPr="000E1FAF">
              <w:rPr>
                <w:sz w:val="22"/>
                <w:szCs w:val="22"/>
              </w:rPr>
              <w:t>See note</w:t>
            </w:r>
          </w:p>
        </w:tc>
        <w:tc>
          <w:tcPr>
            <w:tcW w:w="644" w:type="dxa"/>
          </w:tcPr>
          <w:p w:rsidR="005B2E2B" w:rsidRPr="000E1FAF" w:rsidRDefault="005B2E2B" w:rsidP="00F254DD">
            <w:pPr>
              <w:jc w:val="center"/>
              <w:rPr>
                <w:sz w:val="22"/>
                <w:szCs w:val="22"/>
              </w:rPr>
            </w:pPr>
            <w:r w:rsidRPr="000E1FAF">
              <w:rPr>
                <w:sz w:val="22"/>
                <w:szCs w:val="22"/>
              </w:rPr>
              <w:t>1</w:t>
            </w:r>
          </w:p>
        </w:tc>
        <w:tc>
          <w:tcPr>
            <w:tcW w:w="552" w:type="dxa"/>
          </w:tcPr>
          <w:p w:rsidR="005B2E2B" w:rsidRPr="000E1FAF" w:rsidRDefault="005B2E2B" w:rsidP="00F254DD">
            <w:pPr>
              <w:jc w:val="center"/>
              <w:rPr>
                <w:sz w:val="22"/>
                <w:szCs w:val="22"/>
              </w:rPr>
            </w:pPr>
            <w:r w:rsidRPr="000E1FAF">
              <w:rPr>
                <w:sz w:val="22"/>
                <w:szCs w:val="22"/>
              </w:rPr>
              <w:t>1</w:t>
            </w:r>
          </w:p>
        </w:tc>
        <w:tc>
          <w:tcPr>
            <w:tcW w:w="555" w:type="dxa"/>
          </w:tcPr>
          <w:p w:rsidR="005B2E2B" w:rsidRPr="000E1FAF" w:rsidRDefault="005B2E2B" w:rsidP="00F254DD">
            <w:pPr>
              <w:jc w:val="center"/>
              <w:rPr>
                <w:sz w:val="22"/>
                <w:szCs w:val="22"/>
              </w:rPr>
            </w:pPr>
            <w:r w:rsidRPr="000E1FAF">
              <w:rPr>
                <w:sz w:val="22"/>
                <w:szCs w:val="22"/>
              </w:rPr>
              <w:t>2</w:t>
            </w:r>
          </w:p>
        </w:tc>
        <w:tc>
          <w:tcPr>
            <w:tcW w:w="555" w:type="dxa"/>
          </w:tcPr>
          <w:p w:rsidR="005B2E2B" w:rsidRPr="000E1FAF" w:rsidRDefault="005B2E2B" w:rsidP="00F254DD">
            <w:pPr>
              <w:jc w:val="center"/>
              <w:rPr>
                <w:sz w:val="22"/>
                <w:szCs w:val="22"/>
              </w:rPr>
            </w:pPr>
            <w:r w:rsidRPr="000E1FAF">
              <w:rPr>
                <w:sz w:val="22"/>
                <w:szCs w:val="22"/>
              </w:rPr>
              <w:t>44</w:t>
            </w:r>
          </w:p>
        </w:tc>
      </w:tr>
      <w:tr w:rsidR="000E1FAF" w:rsidRPr="000E1FAF" w:rsidTr="0090128C">
        <w:tc>
          <w:tcPr>
            <w:tcW w:w="6852" w:type="dxa"/>
          </w:tcPr>
          <w:p w:rsidR="005B2E2B" w:rsidRPr="000E1FAF" w:rsidRDefault="005B2E2B" w:rsidP="000E098D">
            <w:pPr>
              <w:rPr>
                <w:b/>
                <w:sz w:val="22"/>
                <w:szCs w:val="22"/>
                <w:highlight w:val="green"/>
              </w:rPr>
            </w:pPr>
            <w:r w:rsidRPr="000E1FAF">
              <w:rPr>
                <w:b/>
                <w:sz w:val="22"/>
                <w:szCs w:val="22"/>
              </w:rPr>
              <w:t xml:space="preserve">ECC Decision (13)01 </w:t>
            </w:r>
            <w:r w:rsidRPr="000E1FAF">
              <w:rPr>
                <w:sz w:val="22"/>
                <w:szCs w:val="22"/>
              </w:rPr>
              <w:t>of 8 March 2013 on the use, free circulation, and exemption from individual licensing of Earth stations on mobile platforms (ESOMPs) in the frequency bands available for use by uncoordinated FSS Earth stations within the ranges 17.3-20.2 GHz and 27.5-30.0 GHz</w:t>
            </w:r>
          </w:p>
        </w:tc>
        <w:tc>
          <w:tcPr>
            <w:tcW w:w="1341" w:type="dxa"/>
          </w:tcPr>
          <w:p w:rsidR="005B2E2B" w:rsidRPr="000E1FAF" w:rsidRDefault="005B2E2B" w:rsidP="00F265F8">
            <w:pPr>
              <w:rPr>
                <w:sz w:val="22"/>
                <w:szCs w:val="22"/>
              </w:rPr>
            </w:pPr>
            <w:r w:rsidRPr="000E1FAF">
              <w:rPr>
                <w:sz w:val="22"/>
                <w:szCs w:val="22"/>
              </w:rPr>
              <w:t>FM44</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BB61A3">
            <w:pPr>
              <w:rPr>
                <w:sz w:val="22"/>
                <w:szCs w:val="22"/>
              </w:rPr>
            </w:pPr>
            <w:r w:rsidRPr="000E1FAF">
              <w:rPr>
                <w:sz w:val="22"/>
                <w:szCs w:val="22"/>
              </w:rPr>
              <w:t>2018</w:t>
            </w:r>
          </w:p>
        </w:tc>
        <w:tc>
          <w:tcPr>
            <w:tcW w:w="1216" w:type="dxa"/>
            <w:shd w:val="clear" w:color="auto" w:fill="auto"/>
          </w:tcPr>
          <w:p w:rsidR="005B2E2B" w:rsidRPr="000E1FAF" w:rsidRDefault="005B2E2B" w:rsidP="00F254DD">
            <w:pPr>
              <w:jc w:val="center"/>
              <w:rPr>
                <w:sz w:val="22"/>
                <w:szCs w:val="22"/>
              </w:rPr>
            </w:pPr>
          </w:p>
        </w:tc>
        <w:tc>
          <w:tcPr>
            <w:tcW w:w="644" w:type="dxa"/>
          </w:tcPr>
          <w:p w:rsidR="005B2E2B" w:rsidRPr="000E1FAF" w:rsidRDefault="005B2E2B" w:rsidP="00F254DD">
            <w:pPr>
              <w:jc w:val="center"/>
              <w:rPr>
                <w:sz w:val="22"/>
                <w:szCs w:val="22"/>
              </w:rPr>
            </w:pPr>
            <w:r w:rsidRPr="000E1FAF">
              <w:rPr>
                <w:sz w:val="22"/>
                <w:szCs w:val="22"/>
              </w:rPr>
              <w:t>1</w:t>
            </w:r>
          </w:p>
        </w:tc>
        <w:tc>
          <w:tcPr>
            <w:tcW w:w="552" w:type="dxa"/>
          </w:tcPr>
          <w:p w:rsidR="005B2E2B" w:rsidRPr="000E1FAF" w:rsidRDefault="005B2E2B" w:rsidP="00A36E5E">
            <w:pPr>
              <w:jc w:val="center"/>
              <w:rPr>
                <w:sz w:val="22"/>
                <w:szCs w:val="22"/>
              </w:rPr>
            </w:pPr>
            <w:r w:rsidRPr="000E1FAF">
              <w:rPr>
                <w:sz w:val="22"/>
                <w:szCs w:val="22"/>
              </w:rPr>
              <w:t>11</w:t>
            </w:r>
          </w:p>
        </w:tc>
        <w:tc>
          <w:tcPr>
            <w:tcW w:w="555" w:type="dxa"/>
          </w:tcPr>
          <w:p w:rsidR="005B2E2B" w:rsidRPr="000E1FAF" w:rsidRDefault="005B2E2B" w:rsidP="00A36E5E">
            <w:pPr>
              <w:jc w:val="center"/>
              <w:rPr>
                <w:sz w:val="22"/>
                <w:szCs w:val="22"/>
              </w:rPr>
            </w:pPr>
            <w:r w:rsidRPr="000E1FAF">
              <w:rPr>
                <w:sz w:val="22"/>
                <w:szCs w:val="22"/>
              </w:rPr>
              <w:t>1</w:t>
            </w:r>
          </w:p>
        </w:tc>
        <w:tc>
          <w:tcPr>
            <w:tcW w:w="555" w:type="dxa"/>
          </w:tcPr>
          <w:p w:rsidR="005B2E2B" w:rsidRPr="000E1FAF" w:rsidRDefault="005B2E2B" w:rsidP="00F254DD">
            <w:pPr>
              <w:jc w:val="center"/>
              <w:rPr>
                <w:sz w:val="22"/>
                <w:szCs w:val="22"/>
              </w:rPr>
            </w:pPr>
            <w:r w:rsidRPr="000E1FAF">
              <w:rPr>
                <w:sz w:val="22"/>
                <w:szCs w:val="22"/>
              </w:rPr>
              <w:t>35</w:t>
            </w:r>
          </w:p>
        </w:tc>
      </w:tr>
      <w:tr w:rsidR="000E1FAF" w:rsidRPr="000E1FAF" w:rsidTr="0090128C">
        <w:tc>
          <w:tcPr>
            <w:tcW w:w="6852" w:type="dxa"/>
          </w:tcPr>
          <w:p w:rsidR="005B2E2B" w:rsidRPr="000E1FAF" w:rsidRDefault="005B2E2B" w:rsidP="00CF5B5F">
            <w:pPr>
              <w:rPr>
                <w:sz w:val="22"/>
                <w:szCs w:val="22"/>
              </w:rPr>
            </w:pPr>
            <w:r w:rsidRPr="000E1FAF">
              <w:rPr>
                <w:b/>
                <w:sz w:val="22"/>
                <w:szCs w:val="22"/>
              </w:rPr>
              <w:t xml:space="preserve">ECC Decision (13)03 </w:t>
            </w:r>
            <w:r w:rsidRPr="000E1FAF">
              <w:rPr>
                <w:sz w:val="22"/>
                <w:szCs w:val="22"/>
              </w:rPr>
              <w:t>on the harmonised use of the frequency band 1452-1492 MHz for Mobile / Fixed Communications Networks Supplemental Downlink (MFCN SDL)</w:t>
            </w:r>
          </w:p>
          <w:p w:rsidR="009A656F" w:rsidRPr="000E1FAF" w:rsidRDefault="009A656F" w:rsidP="009A656F">
            <w:pPr>
              <w:rPr>
                <w:b/>
                <w:sz w:val="22"/>
                <w:szCs w:val="22"/>
              </w:rPr>
            </w:pPr>
            <w:r w:rsidRPr="000E1FAF">
              <w:rPr>
                <w:i/>
                <w:color w:val="FF0000"/>
                <w:sz w:val="22"/>
                <w:szCs w:val="22"/>
              </w:rPr>
              <w:t>Note: ECC PT1 developed Annex 2 of ECC/DEC/(13)03 on LRTC (BEM)</w:t>
            </w:r>
          </w:p>
        </w:tc>
        <w:tc>
          <w:tcPr>
            <w:tcW w:w="1341" w:type="dxa"/>
          </w:tcPr>
          <w:p w:rsidR="005B2E2B" w:rsidRDefault="005B2E2B" w:rsidP="00F265F8">
            <w:pPr>
              <w:rPr>
                <w:sz w:val="22"/>
                <w:szCs w:val="22"/>
              </w:rPr>
            </w:pPr>
            <w:r w:rsidRPr="000E1FAF">
              <w:rPr>
                <w:sz w:val="22"/>
                <w:szCs w:val="22"/>
              </w:rPr>
              <w:t>WGFM</w:t>
            </w:r>
            <w:r w:rsidR="00CC1663">
              <w:rPr>
                <w:sz w:val="22"/>
                <w:szCs w:val="22"/>
              </w:rPr>
              <w:t>,</w:t>
            </w:r>
          </w:p>
          <w:p w:rsidR="00CC1663" w:rsidRPr="000E1FAF" w:rsidRDefault="00CC1663" w:rsidP="00F265F8">
            <w:pPr>
              <w:rPr>
                <w:sz w:val="22"/>
                <w:szCs w:val="22"/>
              </w:rPr>
            </w:pPr>
            <w:r>
              <w:rPr>
                <w:sz w:val="22"/>
                <w:szCs w:val="22"/>
              </w:rPr>
              <w:t>ECC PT1</w:t>
            </w:r>
          </w:p>
        </w:tc>
        <w:tc>
          <w:tcPr>
            <w:tcW w:w="1719" w:type="dxa"/>
          </w:tcPr>
          <w:p w:rsidR="005B2E2B" w:rsidRPr="000E1FAF" w:rsidRDefault="005B2E2B" w:rsidP="00A36E5E">
            <w:pPr>
              <w:rPr>
                <w:sz w:val="22"/>
                <w:szCs w:val="22"/>
              </w:rPr>
            </w:pPr>
            <w:r w:rsidRPr="000E1FAF">
              <w:rPr>
                <w:sz w:val="22"/>
                <w:szCs w:val="22"/>
              </w:rPr>
              <w:t>Retain</w:t>
            </w:r>
          </w:p>
        </w:tc>
        <w:tc>
          <w:tcPr>
            <w:tcW w:w="1136" w:type="dxa"/>
          </w:tcPr>
          <w:p w:rsidR="005B2E2B" w:rsidRPr="000E1FAF" w:rsidRDefault="005B2E2B" w:rsidP="00BB61A3">
            <w:pPr>
              <w:rPr>
                <w:sz w:val="22"/>
                <w:szCs w:val="22"/>
              </w:rPr>
            </w:pPr>
            <w:r w:rsidRPr="000E1FAF">
              <w:rPr>
                <w:sz w:val="22"/>
                <w:szCs w:val="22"/>
              </w:rPr>
              <w:t>2018</w:t>
            </w:r>
          </w:p>
        </w:tc>
        <w:tc>
          <w:tcPr>
            <w:tcW w:w="1216" w:type="dxa"/>
            <w:shd w:val="clear" w:color="auto" w:fill="auto"/>
          </w:tcPr>
          <w:p w:rsidR="005B2E2B" w:rsidRPr="000E1FAF" w:rsidRDefault="000B04E9" w:rsidP="00A36E5E">
            <w:pPr>
              <w:jc w:val="center"/>
              <w:rPr>
                <w:sz w:val="22"/>
                <w:szCs w:val="22"/>
              </w:rPr>
            </w:pPr>
            <w:r w:rsidRPr="000E1FAF">
              <w:rPr>
                <w:sz w:val="22"/>
                <w:szCs w:val="22"/>
              </w:rPr>
              <w:t>Yes</w:t>
            </w:r>
          </w:p>
        </w:tc>
        <w:tc>
          <w:tcPr>
            <w:tcW w:w="644" w:type="dxa"/>
          </w:tcPr>
          <w:p w:rsidR="005B2E2B" w:rsidRPr="000E1FAF" w:rsidRDefault="005B2E2B" w:rsidP="00A36E5E">
            <w:pPr>
              <w:jc w:val="center"/>
              <w:rPr>
                <w:sz w:val="22"/>
                <w:szCs w:val="22"/>
              </w:rPr>
            </w:pPr>
          </w:p>
        </w:tc>
        <w:tc>
          <w:tcPr>
            <w:tcW w:w="552" w:type="dxa"/>
          </w:tcPr>
          <w:p w:rsidR="005B2E2B" w:rsidRPr="000E1FAF" w:rsidRDefault="005B2E2B" w:rsidP="00A36E5E">
            <w:pPr>
              <w:jc w:val="center"/>
              <w:rPr>
                <w:sz w:val="22"/>
                <w:szCs w:val="22"/>
              </w:rPr>
            </w:pPr>
          </w:p>
        </w:tc>
        <w:tc>
          <w:tcPr>
            <w:tcW w:w="555" w:type="dxa"/>
          </w:tcPr>
          <w:p w:rsidR="005B2E2B" w:rsidRPr="000E1FAF" w:rsidRDefault="005B2E2B" w:rsidP="00A36E5E">
            <w:pPr>
              <w:jc w:val="center"/>
              <w:rPr>
                <w:sz w:val="22"/>
                <w:szCs w:val="22"/>
              </w:rPr>
            </w:pPr>
          </w:p>
        </w:tc>
        <w:tc>
          <w:tcPr>
            <w:tcW w:w="555" w:type="dxa"/>
          </w:tcPr>
          <w:p w:rsidR="005B2E2B" w:rsidRPr="000E1FAF" w:rsidRDefault="005B2E2B" w:rsidP="00A36E5E">
            <w:pPr>
              <w:jc w:val="center"/>
              <w:rPr>
                <w:sz w:val="22"/>
                <w:szCs w:val="22"/>
              </w:rPr>
            </w:pPr>
          </w:p>
        </w:tc>
      </w:tr>
    </w:tbl>
    <w:p w:rsidR="00EE24EC" w:rsidRPr="000E1FAF" w:rsidRDefault="00EE24EC" w:rsidP="00111D74">
      <w:pPr>
        <w:rPr>
          <w:sz w:val="22"/>
          <w:szCs w:val="22"/>
        </w:rPr>
      </w:pPr>
    </w:p>
    <w:p w:rsidR="00D0793D" w:rsidRDefault="006248CA" w:rsidP="00D0793D">
      <w:pPr>
        <w:jc w:val="right"/>
        <w:rPr>
          <w:b/>
          <w:sz w:val="28"/>
          <w:szCs w:val="28"/>
        </w:rPr>
      </w:pPr>
      <w:r w:rsidRPr="000E1FAF">
        <w:rPr>
          <w:b/>
          <w:sz w:val="22"/>
          <w:szCs w:val="22"/>
        </w:rPr>
        <w:br w:type="page"/>
      </w:r>
      <w:r w:rsidR="00D0793D">
        <w:rPr>
          <w:b/>
          <w:sz w:val="28"/>
          <w:szCs w:val="28"/>
        </w:rPr>
        <w:lastRenderedPageBreak/>
        <w:t>Annex 1</w:t>
      </w:r>
    </w:p>
    <w:p w:rsidR="00693775" w:rsidRDefault="00D0793D" w:rsidP="00D0793D">
      <w:pPr>
        <w:jc w:val="center"/>
        <w:rPr>
          <w:b/>
          <w:sz w:val="28"/>
          <w:szCs w:val="28"/>
        </w:rPr>
      </w:pPr>
      <w:r>
        <w:rPr>
          <w:b/>
          <w:sz w:val="28"/>
          <w:szCs w:val="28"/>
        </w:rPr>
        <w:t>Issues harmonised by the ECC Decisions</w:t>
      </w:r>
      <w:r w:rsidR="00693775">
        <w:rPr>
          <w:b/>
          <w:sz w:val="28"/>
          <w:szCs w:val="28"/>
        </w:rPr>
        <w:t xml:space="preserve"> </w:t>
      </w:r>
    </w:p>
    <w:p w:rsidR="00D0793D" w:rsidRPr="00693775" w:rsidRDefault="00693775" w:rsidP="00D0793D">
      <w:pPr>
        <w:jc w:val="center"/>
        <w:rPr>
          <w:b/>
          <w:i/>
          <w:sz w:val="28"/>
          <w:szCs w:val="28"/>
        </w:rPr>
      </w:pPr>
      <w:r w:rsidRPr="00873B23">
        <w:rPr>
          <w:b/>
          <w:i/>
          <w:sz w:val="28"/>
          <w:szCs w:val="28"/>
        </w:rPr>
        <w:t>(</w:t>
      </w:r>
      <w:proofErr w:type="gramStart"/>
      <w:r w:rsidRPr="00873B23">
        <w:rPr>
          <w:b/>
          <w:i/>
          <w:sz w:val="28"/>
          <w:szCs w:val="28"/>
        </w:rPr>
        <w:t>for</w:t>
      </w:r>
      <w:proofErr w:type="gramEnd"/>
      <w:r w:rsidRPr="00873B23">
        <w:rPr>
          <w:b/>
          <w:i/>
          <w:sz w:val="28"/>
          <w:szCs w:val="28"/>
        </w:rPr>
        <w:t xml:space="preserve"> information only)</w:t>
      </w:r>
    </w:p>
    <w:p w:rsidR="00D0793D" w:rsidRPr="000E098D" w:rsidRDefault="00D0793D" w:rsidP="00F41F7B">
      <w:pPr>
        <w:rPr>
          <w:b/>
        </w:rPr>
      </w:pPr>
    </w:p>
    <w:p w:rsidR="00F41F7B" w:rsidRPr="007A2ACA" w:rsidRDefault="00F41F7B" w:rsidP="00F41F7B">
      <w:pPr>
        <w:rPr>
          <w:b/>
          <w:sz w:val="28"/>
          <w:szCs w:val="28"/>
        </w:rPr>
      </w:pPr>
      <w:r w:rsidRPr="007A2ACA">
        <w:rPr>
          <w:b/>
          <w:sz w:val="28"/>
          <w:szCs w:val="28"/>
        </w:rPr>
        <w:t>Frequency management</w:t>
      </w:r>
      <w:r w:rsidR="006248CA">
        <w:rPr>
          <w:b/>
          <w:sz w:val="28"/>
          <w:szCs w:val="28"/>
        </w:rPr>
        <w:t xml:space="preserve"> &amp; sharing</w:t>
      </w:r>
      <w:r w:rsidRPr="007A2ACA">
        <w:rPr>
          <w:b/>
          <w:sz w:val="28"/>
          <w:szCs w:val="28"/>
        </w:rPr>
        <w:t xml:space="preserve"> </w:t>
      </w:r>
      <w:proofErr w:type="gramStart"/>
      <w:r w:rsidRPr="007A2ACA">
        <w:rPr>
          <w:b/>
          <w:sz w:val="28"/>
          <w:szCs w:val="28"/>
        </w:rPr>
        <w:t>(</w:t>
      </w:r>
      <w:r w:rsidR="006E7677">
        <w:rPr>
          <w:b/>
          <w:sz w:val="28"/>
          <w:szCs w:val="28"/>
        </w:rPr>
        <w:t xml:space="preserve"> total</w:t>
      </w:r>
      <w:proofErr w:type="gramEnd"/>
      <w:r w:rsidR="006E7677">
        <w:rPr>
          <w:b/>
          <w:sz w:val="28"/>
          <w:szCs w:val="28"/>
          <w:lang w:val="en-US"/>
        </w:rPr>
        <w:t>:</w:t>
      </w:r>
      <w:r w:rsidR="006E7677">
        <w:rPr>
          <w:b/>
          <w:sz w:val="28"/>
          <w:szCs w:val="28"/>
        </w:rPr>
        <w:t xml:space="preserve"> </w:t>
      </w:r>
      <w:r w:rsidRPr="007A2ACA">
        <w:rPr>
          <w:b/>
          <w:sz w:val="28"/>
          <w:szCs w:val="28"/>
        </w:rPr>
        <w:t>1</w:t>
      </w:r>
      <w:r w:rsidR="00D012B9">
        <w:rPr>
          <w:b/>
          <w:sz w:val="28"/>
          <w:szCs w:val="28"/>
        </w:rPr>
        <w:t>4</w:t>
      </w:r>
      <w:r w:rsidRPr="007A2ACA">
        <w:rPr>
          <w:b/>
          <w:sz w:val="28"/>
          <w:szCs w:val="28"/>
        </w:rPr>
        <w:t>)</w:t>
      </w:r>
    </w:p>
    <w:p w:rsidR="00F41F7B" w:rsidRDefault="00F41F7B" w:rsidP="00F41F7B">
      <w:r>
        <w:t>ECC/DEC</w:t>
      </w:r>
      <w:proofErr w:type="gramStart"/>
      <w:r>
        <w:t>/(</w:t>
      </w:r>
      <w:proofErr w:type="gramEnd"/>
      <w:r>
        <w:t xml:space="preserve">01)03 </w:t>
      </w:r>
      <w:r>
        <w:tab/>
        <w:t>EFIS</w:t>
      </w:r>
    </w:p>
    <w:p w:rsidR="00F41F7B" w:rsidRDefault="00F41F7B" w:rsidP="00F41F7B">
      <w:r>
        <w:t>ECC/DEC</w:t>
      </w:r>
      <w:proofErr w:type="gramStart"/>
      <w:r>
        <w:t>/(</w:t>
      </w:r>
      <w:proofErr w:type="gramEnd"/>
      <w:r>
        <w:t xml:space="preserve">03)05 </w:t>
      </w:r>
      <w:r>
        <w:tab/>
        <w:t>National Allocation tables</w:t>
      </w:r>
    </w:p>
    <w:p w:rsidR="00F41F7B" w:rsidRDefault="00F41F7B" w:rsidP="00F41F7B">
      <w:r w:rsidRPr="00E97C04">
        <w:t>ERC/DEC</w:t>
      </w:r>
      <w:proofErr w:type="gramStart"/>
      <w:r w:rsidRPr="00E97C04">
        <w:t>/(</w:t>
      </w:r>
      <w:proofErr w:type="gramEnd"/>
      <w:r w:rsidRPr="00E97C04">
        <w:t>95)01</w:t>
      </w:r>
      <w:r w:rsidRPr="00E97C04">
        <w:tab/>
      </w:r>
      <w:r>
        <w:t>F</w:t>
      </w:r>
      <w:r w:rsidRPr="00E97C04">
        <w:t>ree circulation and use of equipment</w:t>
      </w:r>
    </w:p>
    <w:p w:rsidR="00B15115" w:rsidRPr="00E97C04" w:rsidRDefault="00B15115" w:rsidP="00F41F7B">
      <w:r>
        <w:t>ECC/DEC</w:t>
      </w:r>
      <w:proofErr w:type="gramStart"/>
      <w:r>
        <w:t>/(</w:t>
      </w:r>
      <w:proofErr w:type="gramEnd"/>
      <w:r>
        <w:t>12)01</w:t>
      </w:r>
      <w:r>
        <w:tab/>
      </w:r>
      <w:r w:rsidRPr="00B15115">
        <w:t>Licensing and free circulation and use of terrestrial and satellite mobile terminals</w:t>
      </w:r>
    </w:p>
    <w:p w:rsidR="00F41F7B" w:rsidRDefault="00F41F7B" w:rsidP="00F41F7B">
      <w:r>
        <w:t>ECC/DEC</w:t>
      </w:r>
      <w:proofErr w:type="gramStart"/>
      <w:r>
        <w:t>/(</w:t>
      </w:r>
      <w:proofErr w:type="gramEnd"/>
      <w:r>
        <w:t xml:space="preserve">11)01 </w:t>
      </w:r>
      <w:r>
        <w:tab/>
        <w:t xml:space="preserve">1400 - 1427 MHz </w:t>
      </w:r>
      <w:r>
        <w:tab/>
      </w:r>
      <w:r>
        <w:tab/>
      </w:r>
      <w:r>
        <w:tab/>
        <w:t>Protection EESS</w:t>
      </w:r>
    </w:p>
    <w:p w:rsidR="00F41F7B" w:rsidRDefault="00F41F7B" w:rsidP="00F41F7B">
      <w:r>
        <w:t>ECC/DEC</w:t>
      </w:r>
      <w:proofErr w:type="gramStart"/>
      <w:r>
        <w:t>/(</w:t>
      </w:r>
      <w:proofErr w:type="gramEnd"/>
      <w:r>
        <w:t xml:space="preserve">02)07 </w:t>
      </w:r>
      <w:r>
        <w:tab/>
        <w:t xml:space="preserve">1670-1675 MHz and 1800-1805 MHz </w:t>
      </w:r>
      <w:r>
        <w:tab/>
        <w:t>Band reservation</w:t>
      </w:r>
    </w:p>
    <w:p w:rsidR="00F41F7B" w:rsidRDefault="00F41F7B" w:rsidP="00F41F7B">
      <w:r>
        <w:t>ECC/DEC</w:t>
      </w:r>
      <w:proofErr w:type="gramStart"/>
      <w:r>
        <w:t>/(</w:t>
      </w:r>
      <w:proofErr w:type="gramEnd"/>
      <w:r>
        <w:t xml:space="preserve">06)10 </w:t>
      </w:r>
      <w:r>
        <w:tab/>
        <w:t xml:space="preserve">1980-2010 MHz and 2170-2200 MHz </w:t>
      </w:r>
      <w:r>
        <w:tab/>
        <w:t>Phasing out FS</w:t>
      </w:r>
    </w:p>
    <w:p w:rsidR="00F41F7B" w:rsidRDefault="00F41F7B" w:rsidP="00F41F7B">
      <w:r>
        <w:t>ECC/DEC</w:t>
      </w:r>
      <w:proofErr w:type="gramStart"/>
      <w:r>
        <w:t>/(</w:t>
      </w:r>
      <w:proofErr w:type="gramEnd"/>
      <w:r>
        <w:t>10)01</w:t>
      </w:r>
      <w:r>
        <w:tab/>
        <w:t xml:space="preserve">10.6 - 10.68 GHz </w:t>
      </w:r>
      <w:r>
        <w:tab/>
      </w:r>
      <w:r>
        <w:tab/>
      </w:r>
      <w:r>
        <w:tab/>
        <w:t>Protection EESS from FS and MS</w:t>
      </w:r>
    </w:p>
    <w:p w:rsidR="00F41F7B" w:rsidRDefault="00F41F7B" w:rsidP="00F41F7B">
      <w:r>
        <w:t>ERC/DEC</w:t>
      </w:r>
      <w:proofErr w:type="gramStart"/>
      <w:r>
        <w:t>/(</w:t>
      </w:r>
      <w:proofErr w:type="gramEnd"/>
      <w:r>
        <w:t xml:space="preserve">00)08 </w:t>
      </w:r>
      <w:r>
        <w:tab/>
        <w:t xml:space="preserve">10.7 - 12.5 GHz </w:t>
      </w:r>
      <w:r>
        <w:tab/>
      </w:r>
      <w:r>
        <w:tab/>
      </w:r>
      <w:r>
        <w:tab/>
      </w:r>
      <w:r>
        <w:tab/>
        <w:t>FS&lt;-&gt;FSS/BSS</w:t>
      </w:r>
    </w:p>
    <w:p w:rsidR="00F41F7B" w:rsidRDefault="00F41F7B" w:rsidP="00F41F7B">
      <w:r>
        <w:t>ERC/DEC</w:t>
      </w:r>
      <w:proofErr w:type="gramStart"/>
      <w:r>
        <w:t>/(</w:t>
      </w:r>
      <w:proofErr w:type="gramEnd"/>
      <w:r>
        <w:t xml:space="preserve">00)07 </w:t>
      </w:r>
      <w:r>
        <w:tab/>
        <w:t xml:space="preserve">17.7 - 19.7 GHz </w:t>
      </w:r>
      <w:r>
        <w:tab/>
      </w:r>
      <w:r>
        <w:tab/>
      </w:r>
      <w:r>
        <w:tab/>
      </w:r>
      <w:r>
        <w:tab/>
        <w:t>FS&lt;-&gt;FSS</w:t>
      </w:r>
    </w:p>
    <w:p w:rsidR="00F41F7B" w:rsidRDefault="00F41F7B" w:rsidP="00F41F7B">
      <w:r>
        <w:t>ECC/DEC</w:t>
      </w:r>
      <w:proofErr w:type="gramStart"/>
      <w:r>
        <w:t>/(</w:t>
      </w:r>
      <w:proofErr w:type="gramEnd"/>
      <w:r>
        <w:t xml:space="preserve">05)01 </w:t>
      </w:r>
      <w:r>
        <w:tab/>
        <w:t xml:space="preserve">27.5-29.5 GHz </w:t>
      </w:r>
      <w:r>
        <w:tab/>
      </w:r>
      <w:r>
        <w:tab/>
      </w:r>
      <w:r>
        <w:tab/>
      </w:r>
      <w:r>
        <w:tab/>
        <w:t>FS&lt;-&gt;FSS</w:t>
      </w:r>
    </w:p>
    <w:p w:rsidR="00F41F7B" w:rsidRDefault="00F41F7B" w:rsidP="00F41F7B">
      <w:r>
        <w:t>ECC/DEC</w:t>
      </w:r>
      <w:proofErr w:type="gramStart"/>
      <w:r>
        <w:t>/(</w:t>
      </w:r>
      <w:proofErr w:type="gramEnd"/>
      <w:r>
        <w:t xml:space="preserve">10)02 </w:t>
      </w:r>
      <w:r>
        <w:tab/>
        <w:t xml:space="preserve">30 GHz </w:t>
      </w:r>
      <w:r>
        <w:tab/>
      </w:r>
      <w:r>
        <w:tab/>
      </w:r>
      <w:r>
        <w:tab/>
      </w:r>
      <w:r>
        <w:tab/>
      </w:r>
      <w:r>
        <w:tab/>
        <w:t xml:space="preserve">30 - 31 GHz FSS &lt;-&gt; 31.3 - 31.5 GHz EESS </w:t>
      </w:r>
    </w:p>
    <w:p w:rsidR="00F41F7B" w:rsidRDefault="00F41F7B" w:rsidP="00F41F7B">
      <w:r>
        <w:t>ERC/DEC</w:t>
      </w:r>
      <w:proofErr w:type="gramStart"/>
      <w:r>
        <w:t>/(</w:t>
      </w:r>
      <w:proofErr w:type="gramEnd"/>
      <w:r>
        <w:t xml:space="preserve">00)02 </w:t>
      </w:r>
      <w:r>
        <w:tab/>
        <w:t xml:space="preserve">37.5 - 40.5 GHz </w:t>
      </w:r>
      <w:r>
        <w:tab/>
      </w:r>
      <w:r>
        <w:tab/>
      </w:r>
      <w:r>
        <w:tab/>
      </w:r>
      <w:r>
        <w:tab/>
        <w:t>FS&lt;-&gt;FSS</w:t>
      </w:r>
    </w:p>
    <w:p w:rsidR="00F41F7B" w:rsidRDefault="00F41F7B" w:rsidP="00F41F7B">
      <w:r>
        <w:t>ECC/DEC</w:t>
      </w:r>
      <w:proofErr w:type="gramStart"/>
      <w:r>
        <w:t>/(</w:t>
      </w:r>
      <w:proofErr w:type="gramEnd"/>
      <w:r>
        <w:t xml:space="preserve">02)04 </w:t>
      </w:r>
      <w:r>
        <w:tab/>
        <w:t xml:space="preserve">40.5 – 42.5 GHz </w:t>
      </w:r>
      <w:r>
        <w:tab/>
      </w:r>
      <w:r>
        <w:tab/>
      </w:r>
      <w:r>
        <w:tab/>
      </w:r>
      <w:r>
        <w:tab/>
        <w:t>FS/BS&lt;-&gt;FSS/BSS</w:t>
      </w:r>
    </w:p>
    <w:p w:rsidR="00F41F7B" w:rsidRPr="000E098D" w:rsidRDefault="00F41F7B" w:rsidP="00F41F7B">
      <w:pPr>
        <w:rPr>
          <w:b/>
        </w:rPr>
      </w:pPr>
    </w:p>
    <w:p w:rsidR="00F41F7B" w:rsidRPr="007A2ACA" w:rsidRDefault="00F41F7B" w:rsidP="000E098D">
      <w:pPr>
        <w:rPr>
          <w:b/>
          <w:sz w:val="28"/>
          <w:szCs w:val="28"/>
        </w:rPr>
      </w:pPr>
      <w:r w:rsidRPr="007A2ACA">
        <w:rPr>
          <w:b/>
          <w:sz w:val="28"/>
          <w:szCs w:val="28"/>
        </w:rPr>
        <w:t>Public Mobile service (</w:t>
      </w:r>
      <w:r w:rsidR="006E7677">
        <w:rPr>
          <w:b/>
          <w:sz w:val="28"/>
          <w:szCs w:val="28"/>
        </w:rPr>
        <w:t>total</w:t>
      </w:r>
      <w:r w:rsidR="006E7677">
        <w:rPr>
          <w:b/>
          <w:sz w:val="28"/>
          <w:szCs w:val="28"/>
          <w:lang w:val="en-US"/>
        </w:rPr>
        <w:t>:</w:t>
      </w:r>
      <w:r w:rsidR="006E7677">
        <w:rPr>
          <w:b/>
          <w:sz w:val="28"/>
          <w:szCs w:val="28"/>
        </w:rPr>
        <w:t xml:space="preserve"> </w:t>
      </w:r>
      <w:r w:rsidRPr="007A2ACA">
        <w:rPr>
          <w:b/>
          <w:sz w:val="28"/>
          <w:szCs w:val="28"/>
        </w:rPr>
        <w:t>1</w:t>
      </w:r>
      <w:r w:rsidR="008E51F4">
        <w:rPr>
          <w:b/>
          <w:sz w:val="28"/>
          <w:szCs w:val="28"/>
        </w:rPr>
        <w:t>8</w:t>
      </w:r>
      <w:r w:rsidRPr="007A2ACA">
        <w:rPr>
          <w:b/>
          <w:sz w:val="28"/>
          <w:szCs w:val="28"/>
        </w:rPr>
        <w:t>)</w:t>
      </w:r>
    </w:p>
    <w:p w:rsidR="00F41F7B" w:rsidRDefault="00F41F7B" w:rsidP="000E098D">
      <w:r>
        <w:t>ERC/DEC</w:t>
      </w:r>
      <w:proofErr w:type="gramStart"/>
      <w:r>
        <w:t>/(</w:t>
      </w:r>
      <w:proofErr w:type="gramEnd"/>
      <w:r>
        <w:t xml:space="preserve">94)01 </w:t>
      </w:r>
      <w:r>
        <w:tab/>
        <w:t xml:space="preserve">GSM </w:t>
      </w:r>
      <w:r>
        <w:tab/>
      </w:r>
      <w:r>
        <w:tab/>
      </w:r>
      <w:r>
        <w:tab/>
      </w:r>
      <w:r>
        <w:tab/>
        <w:t xml:space="preserve">890-915/935-960 MHz </w:t>
      </w:r>
    </w:p>
    <w:p w:rsidR="00F41F7B" w:rsidRDefault="00F41F7B" w:rsidP="000E098D">
      <w:r>
        <w:t>ERC/DEC</w:t>
      </w:r>
      <w:proofErr w:type="gramStart"/>
      <w:r>
        <w:t>/(</w:t>
      </w:r>
      <w:proofErr w:type="gramEnd"/>
      <w:r>
        <w:t xml:space="preserve">97)02 </w:t>
      </w:r>
      <w:r>
        <w:tab/>
        <w:t xml:space="preserve">E-GSM </w:t>
      </w:r>
      <w:r>
        <w:tab/>
      </w:r>
      <w:r>
        <w:tab/>
      </w:r>
      <w:r>
        <w:tab/>
      </w:r>
      <w:r>
        <w:tab/>
        <w:t xml:space="preserve">880-890/925-935 MHz </w:t>
      </w:r>
    </w:p>
    <w:p w:rsidR="00F41F7B" w:rsidRPr="006C17FA" w:rsidRDefault="00F41F7B" w:rsidP="000E098D">
      <w:r w:rsidRPr="006C17FA">
        <w:t>ERC/DEC</w:t>
      </w:r>
      <w:proofErr w:type="gramStart"/>
      <w:r w:rsidRPr="006C17FA">
        <w:t>/(</w:t>
      </w:r>
      <w:proofErr w:type="gramEnd"/>
      <w:r w:rsidRPr="006C17FA">
        <w:t xml:space="preserve">98)20 </w:t>
      </w:r>
      <w:r w:rsidRPr="006C17FA">
        <w:tab/>
        <w:t xml:space="preserve">GSM </w:t>
      </w:r>
      <w:r w:rsidRPr="006C17FA">
        <w:tab/>
      </w:r>
      <w:r w:rsidRPr="006C17FA">
        <w:tab/>
      </w:r>
      <w:r w:rsidRPr="006C17FA">
        <w:tab/>
      </w:r>
      <w:r w:rsidRPr="006C17FA">
        <w:tab/>
        <w:t>Licensing</w:t>
      </w:r>
    </w:p>
    <w:p w:rsidR="00F41F7B" w:rsidRPr="006C17FA" w:rsidRDefault="00F41F7B" w:rsidP="000E098D">
      <w:r w:rsidRPr="006C17FA">
        <w:t>ERC/DEC</w:t>
      </w:r>
      <w:proofErr w:type="gramStart"/>
      <w:r w:rsidRPr="006C17FA">
        <w:t>/(</w:t>
      </w:r>
      <w:proofErr w:type="gramEnd"/>
      <w:r w:rsidRPr="006C17FA">
        <w:t xml:space="preserve">94)03 </w:t>
      </w:r>
      <w:r w:rsidRPr="006C17FA">
        <w:tab/>
        <w:t xml:space="preserve">DECT </w:t>
      </w:r>
      <w:r w:rsidRPr="006C17FA">
        <w:tab/>
      </w:r>
      <w:r w:rsidRPr="006C17FA">
        <w:tab/>
      </w:r>
      <w:r w:rsidRPr="006C17FA">
        <w:tab/>
      </w:r>
      <w:r w:rsidRPr="006C17FA">
        <w:tab/>
        <w:t>1880-1900 MHz</w:t>
      </w:r>
    </w:p>
    <w:p w:rsidR="00F41F7B" w:rsidRPr="006C17FA" w:rsidRDefault="00F41F7B" w:rsidP="000E098D">
      <w:r w:rsidRPr="006C17FA">
        <w:t>ERC/DEC</w:t>
      </w:r>
      <w:proofErr w:type="gramStart"/>
      <w:r w:rsidRPr="006C17FA">
        <w:t>/(</w:t>
      </w:r>
      <w:proofErr w:type="gramEnd"/>
      <w:r w:rsidRPr="006C17FA">
        <w:t xml:space="preserve">98)22 </w:t>
      </w:r>
      <w:r w:rsidRPr="006C17FA">
        <w:tab/>
        <w:t xml:space="preserve">DECT </w:t>
      </w:r>
      <w:r w:rsidRPr="006C17FA">
        <w:tab/>
      </w:r>
      <w:r w:rsidRPr="006C17FA">
        <w:tab/>
      </w:r>
      <w:r w:rsidRPr="006C17FA">
        <w:tab/>
      </w:r>
      <w:r w:rsidRPr="006C17FA">
        <w:tab/>
        <w:t>Licensing</w:t>
      </w:r>
    </w:p>
    <w:p w:rsidR="00F41F7B" w:rsidRPr="006C17FA" w:rsidRDefault="00F41F7B" w:rsidP="000E098D">
      <w:r w:rsidRPr="006C17FA">
        <w:t>ERC/DEC</w:t>
      </w:r>
      <w:proofErr w:type="gramStart"/>
      <w:r w:rsidRPr="006C17FA">
        <w:t>/(</w:t>
      </w:r>
      <w:proofErr w:type="gramEnd"/>
      <w:r w:rsidRPr="006C17FA">
        <w:t xml:space="preserve">95)03 </w:t>
      </w:r>
      <w:r w:rsidRPr="006C17FA">
        <w:tab/>
        <w:t>GSM-1800</w:t>
      </w:r>
    </w:p>
    <w:p w:rsidR="00F41F7B" w:rsidRPr="006C17FA" w:rsidRDefault="00F41F7B" w:rsidP="000E098D">
      <w:r w:rsidRPr="006C17FA">
        <w:t>ECC/DEC</w:t>
      </w:r>
      <w:proofErr w:type="gramStart"/>
      <w:r w:rsidRPr="006C17FA">
        <w:t>/(</w:t>
      </w:r>
      <w:proofErr w:type="gramEnd"/>
      <w:r w:rsidRPr="006C17FA">
        <w:t xml:space="preserve">06)07 </w:t>
      </w:r>
      <w:r w:rsidRPr="006C17FA">
        <w:tab/>
        <w:t xml:space="preserve">GSM on aircraft </w:t>
      </w:r>
      <w:r w:rsidRPr="006C17FA">
        <w:tab/>
      </w:r>
      <w:r w:rsidRPr="006C17FA">
        <w:tab/>
      </w:r>
      <w:r w:rsidRPr="006C17FA">
        <w:tab/>
        <w:t>1710-1785 and 1805-1880 MHz</w:t>
      </w:r>
    </w:p>
    <w:p w:rsidR="00F41F7B" w:rsidRPr="006C17FA" w:rsidRDefault="00F41F7B" w:rsidP="000E098D">
      <w:r w:rsidRPr="006C17FA">
        <w:t>ECC/DEC</w:t>
      </w:r>
      <w:proofErr w:type="gramStart"/>
      <w:r w:rsidRPr="006C17FA">
        <w:t>/(</w:t>
      </w:r>
      <w:proofErr w:type="gramEnd"/>
      <w:r w:rsidRPr="006C17FA">
        <w:t xml:space="preserve">08)08 </w:t>
      </w:r>
      <w:r w:rsidRPr="006C17FA">
        <w:tab/>
        <w:t xml:space="preserve">GSM on vessels </w:t>
      </w:r>
      <w:r w:rsidRPr="006C17FA">
        <w:tab/>
      </w:r>
      <w:r w:rsidRPr="006C17FA">
        <w:tab/>
      </w:r>
      <w:r w:rsidRPr="006C17FA">
        <w:tab/>
        <w:t>900 MHz and 1800 MHz</w:t>
      </w:r>
    </w:p>
    <w:p w:rsidR="00F41F7B" w:rsidRPr="006C17FA" w:rsidRDefault="00F41F7B" w:rsidP="000E098D">
      <w:r w:rsidRPr="006C17FA">
        <w:t>ECC/DEC</w:t>
      </w:r>
      <w:proofErr w:type="gramStart"/>
      <w:r w:rsidRPr="006C17FA">
        <w:t>/(</w:t>
      </w:r>
      <w:proofErr w:type="gramEnd"/>
      <w:r w:rsidRPr="006C17FA">
        <w:t xml:space="preserve">02)06 </w:t>
      </w:r>
      <w:r w:rsidRPr="006C17FA">
        <w:tab/>
        <w:t xml:space="preserve">UMTS/IMT-2000 </w:t>
      </w:r>
      <w:r w:rsidRPr="006C17FA">
        <w:tab/>
      </w:r>
      <w:r w:rsidRPr="006C17FA">
        <w:tab/>
        <w:t>2.5 GHz</w:t>
      </w:r>
    </w:p>
    <w:p w:rsidR="00F41F7B" w:rsidRPr="006C17FA" w:rsidRDefault="00F41F7B" w:rsidP="000E098D">
      <w:r w:rsidRPr="006C17FA">
        <w:t>ECC/DEC</w:t>
      </w:r>
      <w:proofErr w:type="gramStart"/>
      <w:r w:rsidRPr="006C17FA">
        <w:t>/(</w:t>
      </w:r>
      <w:proofErr w:type="gramEnd"/>
      <w:r w:rsidRPr="006C17FA">
        <w:t xml:space="preserve">05)05 </w:t>
      </w:r>
      <w:r w:rsidRPr="006C17FA">
        <w:tab/>
        <w:t xml:space="preserve">IMT-2000/UMTS </w:t>
      </w:r>
      <w:r w:rsidRPr="006C17FA">
        <w:tab/>
      </w:r>
      <w:r w:rsidRPr="006C17FA">
        <w:tab/>
        <w:t>2.5 MHz</w:t>
      </w:r>
    </w:p>
    <w:p w:rsidR="00F41F7B" w:rsidRPr="006C17FA" w:rsidRDefault="00F41F7B" w:rsidP="000E098D">
      <w:r w:rsidRPr="006C17FA">
        <w:t>ECC/DEC</w:t>
      </w:r>
      <w:proofErr w:type="gramStart"/>
      <w:r w:rsidRPr="006C17FA">
        <w:t>/(</w:t>
      </w:r>
      <w:proofErr w:type="gramEnd"/>
      <w:r w:rsidRPr="006C17FA">
        <w:t xml:space="preserve">06)01 </w:t>
      </w:r>
      <w:r w:rsidRPr="006C17FA">
        <w:tab/>
        <w:t xml:space="preserve">IMT-2000/UMTS </w:t>
      </w:r>
      <w:r w:rsidRPr="006C17FA">
        <w:tab/>
      </w:r>
      <w:r w:rsidRPr="006C17FA">
        <w:tab/>
        <w:t>2 GHz</w:t>
      </w:r>
    </w:p>
    <w:p w:rsidR="00F41F7B" w:rsidRPr="006C17FA" w:rsidRDefault="00F41F7B" w:rsidP="000E098D">
      <w:r w:rsidRPr="006C17FA">
        <w:t>ECC/DEC</w:t>
      </w:r>
      <w:proofErr w:type="gramStart"/>
      <w:r w:rsidRPr="006C17FA">
        <w:t>/(</w:t>
      </w:r>
      <w:proofErr w:type="gramEnd"/>
      <w:r w:rsidRPr="006C17FA">
        <w:t xml:space="preserve">06)13 </w:t>
      </w:r>
      <w:r w:rsidRPr="006C17FA">
        <w:tab/>
        <w:t xml:space="preserve">IMT-2000/UMTS </w:t>
      </w:r>
      <w:r w:rsidRPr="006C17FA">
        <w:tab/>
      </w:r>
      <w:r w:rsidRPr="006C17FA">
        <w:tab/>
        <w:t>900 MHz and 1800 MHz</w:t>
      </w:r>
    </w:p>
    <w:p w:rsidR="00F41F7B" w:rsidRPr="006C17FA" w:rsidRDefault="00F41F7B" w:rsidP="000E098D">
      <w:r w:rsidRPr="006C17FA">
        <w:t>ECC/DEC</w:t>
      </w:r>
      <w:proofErr w:type="gramStart"/>
      <w:r w:rsidRPr="006C17FA">
        <w:t>/(</w:t>
      </w:r>
      <w:proofErr w:type="gramEnd"/>
      <w:r w:rsidRPr="006C17FA">
        <w:t xml:space="preserve">09)03 </w:t>
      </w:r>
      <w:r w:rsidRPr="006C17FA">
        <w:tab/>
        <w:t xml:space="preserve">MFCN </w:t>
      </w:r>
      <w:r w:rsidRPr="006C17FA">
        <w:tab/>
      </w:r>
      <w:r w:rsidRPr="006C17FA">
        <w:tab/>
      </w:r>
      <w:r w:rsidRPr="006C17FA">
        <w:tab/>
      </w:r>
      <w:r w:rsidRPr="006C17FA">
        <w:tab/>
        <w:t>790-862 MHz</w:t>
      </w:r>
    </w:p>
    <w:p w:rsidR="00BB61A3" w:rsidRDefault="00BB61A3" w:rsidP="000E098D">
      <w:r w:rsidRPr="00CF5B5F">
        <w:t>ECC/DEC</w:t>
      </w:r>
      <w:proofErr w:type="gramStart"/>
      <w:r w:rsidRPr="00CF5B5F">
        <w:t>/(</w:t>
      </w:r>
      <w:proofErr w:type="gramEnd"/>
      <w:r w:rsidRPr="00CF5B5F">
        <w:t>11)06</w:t>
      </w:r>
      <w:r>
        <w:rPr>
          <w:b/>
        </w:rPr>
        <w:tab/>
      </w:r>
      <w:r w:rsidRPr="006C17FA">
        <w:t>MFCN</w:t>
      </w:r>
      <w:r>
        <w:tab/>
      </w:r>
      <w:r>
        <w:tab/>
      </w:r>
      <w:r>
        <w:tab/>
      </w:r>
      <w:r>
        <w:tab/>
      </w:r>
      <w:r w:rsidRPr="006C17FA">
        <w:t>3400-3800 MHz</w:t>
      </w:r>
    </w:p>
    <w:p w:rsidR="00CF5B5F" w:rsidRDefault="00CF5B5F" w:rsidP="000E098D">
      <w:r>
        <w:t>ECC/DEC</w:t>
      </w:r>
      <w:proofErr w:type="gramStart"/>
      <w:r>
        <w:t>/(</w:t>
      </w:r>
      <w:proofErr w:type="gramEnd"/>
      <w:r>
        <w:t>13)03</w:t>
      </w:r>
      <w:r>
        <w:tab/>
        <w:t>MFCN</w:t>
      </w:r>
      <w:r>
        <w:tab/>
      </w:r>
      <w:r>
        <w:tab/>
      </w:r>
      <w:r>
        <w:tab/>
      </w:r>
      <w:r>
        <w:tab/>
      </w:r>
      <w:r w:rsidRPr="00CF5B5F">
        <w:t>1452-1492 MHz Supplemental Downlink</w:t>
      </w:r>
    </w:p>
    <w:p w:rsidR="00F41F7B" w:rsidRPr="006C17FA" w:rsidRDefault="00F41F7B" w:rsidP="000E098D">
      <w:r w:rsidRPr="006C17FA">
        <w:t>ECC/DEC</w:t>
      </w:r>
      <w:proofErr w:type="gramStart"/>
      <w:r w:rsidRPr="006C17FA">
        <w:t>/(</w:t>
      </w:r>
      <w:proofErr w:type="gramEnd"/>
      <w:r w:rsidRPr="006C17FA">
        <w:t xml:space="preserve">08)01 </w:t>
      </w:r>
      <w:r w:rsidRPr="006C17FA">
        <w:tab/>
        <w:t xml:space="preserve">ITS </w:t>
      </w:r>
      <w:r w:rsidRPr="006C17FA">
        <w:tab/>
      </w:r>
      <w:r w:rsidRPr="006C17FA">
        <w:tab/>
      </w:r>
      <w:r w:rsidRPr="006C17FA">
        <w:tab/>
      </w:r>
      <w:r w:rsidRPr="006C17FA">
        <w:tab/>
        <w:t>5875-5925 MHz</w:t>
      </w:r>
    </w:p>
    <w:p w:rsidR="00F41F7B" w:rsidRDefault="00F41F7B" w:rsidP="000E098D">
      <w:r w:rsidRPr="006C17FA">
        <w:t>ECC/DEC</w:t>
      </w:r>
      <w:proofErr w:type="gramStart"/>
      <w:r w:rsidRPr="006C17FA">
        <w:t>/(</w:t>
      </w:r>
      <w:proofErr w:type="gramEnd"/>
      <w:r w:rsidRPr="006C17FA">
        <w:t xml:space="preserve">09)01 </w:t>
      </w:r>
      <w:r w:rsidRPr="006C17FA">
        <w:tab/>
        <w:t xml:space="preserve">ITS </w:t>
      </w:r>
      <w:r w:rsidRPr="006C17FA">
        <w:tab/>
      </w:r>
      <w:r w:rsidRPr="006C17FA">
        <w:tab/>
      </w:r>
      <w:r w:rsidRPr="006C17FA">
        <w:tab/>
      </w:r>
      <w:r w:rsidRPr="006C17FA">
        <w:tab/>
        <w:t>63-64 GHz</w:t>
      </w:r>
    </w:p>
    <w:p w:rsidR="008E51F4" w:rsidRPr="006C17FA" w:rsidRDefault="008E51F4" w:rsidP="008E51F4">
      <w:r>
        <w:t>ECC/DEC</w:t>
      </w:r>
      <w:proofErr w:type="gramStart"/>
      <w:r>
        <w:t>/(</w:t>
      </w:r>
      <w:proofErr w:type="gramEnd"/>
      <w:r>
        <w:t xml:space="preserve">13)03 </w:t>
      </w:r>
      <w:r>
        <w:tab/>
        <w:t>MFCN</w:t>
      </w:r>
      <w:r>
        <w:tab/>
      </w:r>
      <w:r>
        <w:tab/>
      </w:r>
      <w:r>
        <w:tab/>
      </w:r>
      <w:r>
        <w:tab/>
        <w:t>1452-1492 MHz for MFCN SDL</w:t>
      </w:r>
    </w:p>
    <w:p w:rsidR="00F41F7B" w:rsidRPr="006C17FA" w:rsidRDefault="00F41F7B" w:rsidP="00F41F7B">
      <w:pPr>
        <w:ind w:left="708"/>
      </w:pPr>
    </w:p>
    <w:p w:rsidR="00F41F7B" w:rsidRPr="006C17FA" w:rsidRDefault="00F41F7B" w:rsidP="000E098D">
      <w:pPr>
        <w:rPr>
          <w:b/>
          <w:sz w:val="28"/>
          <w:szCs w:val="28"/>
        </w:rPr>
      </w:pPr>
      <w:r w:rsidRPr="006C17FA">
        <w:rPr>
          <w:b/>
          <w:sz w:val="28"/>
          <w:szCs w:val="28"/>
        </w:rPr>
        <w:lastRenderedPageBreak/>
        <w:t>Professional Mobile service (</w:t>
      </w:r>
      <w:r w:rsidR="006E7677">
        <w:rPr>
          <w:b/>
          <w:sz w:val="28"/>
          <w:szCs w:val="28"/>
        </w:rPr>
        <w:t>total</w:t>
      </w:r>
      <w:r w:rsidR="006E7677">
        <w:rPr>
          <w:b/>
          <w:sz w:val="28"/>
          <w:szCs w:val="28"/>
          <w:lang w:val="en-US"/>
        </w:rPr>
        <w:t>:</w:t>
      </w:r>
      <w:r w:rsidR="006E7677">
        <w:rPr>
          <w:b/>
          <w:sz w:val="28"/>
          <w:szCs w:val="28"/>
        </w:rPr>
        <w:t xml:space="preserve"> </w:t>
      </w:r>
      <w:r w:rsidRPr="006C17FA">
        <w:rPr>
          <w:b/>
          <w:sz w:val="28"/>
          <w:szCs w:val="28"/>
        </w:rPr>
        <w:t>1</w:t>
      </w:r>
      <w:r w:rsidR="00F21C58">
        <w:rPr>
          <w:b/>
          <w:sz w:val="28"/>
          <w:szCs w:val="28"/>
        </w:rPr>
        <w:t>3</w:t>
      </w:r>
      <w:r w:rsidRPr="006C17FA">
        <w:rPr>
          <w:b/>
          <w:sz w:val="28"/>
          <w:szCs w:val="28"/>
        </w:rPr>
        <w:t>)</w:t>
      </w:r>
    </w:p>
    <w:p w:rsidR="00F41F7B" w:rsidRPr="006C17FA" w:rsidRDefault="00F41F7B" w:rsidP="000E098D">
      <w:r w:rsidRPr="006C17FA">
        <w:t>ERC/DEC</w:t>
      </w:r>
      <w:proofErr w:type="gramStart"/>
      <w:r w:rsidRPr="006C17FA">
        <w:t>/(</w:t>
      </w:r>
      <w:proofErr w:type="gramEnd"/>
      <w:r w:rsidRPr="006C17FA">
        <w:t xml:space="preserve">98)25  </w:t>
      </w:r>
      <w:r w:rsidRPr="006C17FA">
        <w:tab/>
        <w:t xml:space="preserve">PMR446 </w:t>
      </w:r>
      <w:r w:rsidRPr="006C17FA">
        <w:tab/>
      </w:r>
      <w:r w:rsidRPr="006C17FA">
        <w:tab/>
      </w:r>
      <w:r w:rsidRPr="006C17FA">
        <w:tab/>
        <w:t>446.0- 446.1 MHz</w:t>
      </w:r>
      <w:r w:rsidR="00B94C48">
        <w:t xml:space="preserve">, </w:t>
      </w:r>
      <w:r w:rsidR="00B94C48" w:rsidRPr="006C17FA">
        <w:t>Licensing</w:t>
      </w:r>
      <w:r w:rsidR="00B94C48">
        <w:t xml:space="preserve">, </w:t>
      </w:r>
      <w:r w:rsidR="00B94C48" w:rsidRPr="006C17FA">
        <w:t>Free circulation and use</w:t>
      </w:r>
    </w:p>
    <w:p w:rsidR="00F41F7B" w:rsidRPr="006C17FA" w:rsidRDefault="00F41F7B" w:rsidP="000E098D">
      <w:r w:rsidRPr="006C17FA">
        <w:t>ECC/DEC</w:t>
      </w:r>
      <w:proofErr w:type="gramStart"/>
      <w:r w:rsidRPr="006C17FA">
        <w:t>/(</w:t>
      </w:r>
      <w:proofErr w:type="gramEnd"/>
      <w:r w:rsidRPr="006C17FA">
        <w:t xml:space="preserve">05)12  </w:t>
      </w:r>
      <w:r w:rsidRPr="006C17FA">
        <w:tab/>
        <w:t xml:space="preserve">PMR446 digital </w:t>
      </w:r>
      <w:r w:rsidRPr="006C17FA">
        <w:tab/>
      </w:r>
      <w:r w:rsidRPr="006C17FA">
        <w:tab/>
      </w:r>
      <w:r w:rsidRPr="006C17FA">
        <w:tab/>
        <w:t>446.1- 446.2 MHz</w:t>
      </w:r>
    </w:p>
    <w:p w:rsidR="00F41F7B" w:rsidRPr="006C17FA" w:rsidRDefault="00F41F7B" w:rsidP="000E098D">
      <w:r w:rsidRPr="006C17FA">
        <w:t>ERC/DEC</w:t>
      </w:r>
      <w:proofErr w:type="gramStart"/>
      <w:r w:rsidRPr="006C17FA">
        <w:t>/(</w:t>
      </w:r>
      <w:proofErr w:type="gramEnd"/>
      <w:r w:rsidRPr="006C17FA">
        <w:t xml:space="preserve">01)19 </w:t>
      </w:r>
      <w:r w:rsidRPr="006C17FA">
        <w:tab/>
        <w:t xml:space="preserve">DMO for Emergency </w:t>
      </w:r>
      <w:r>
        <w:tab/>
      </w:r>
      <w:r>
        <w:tab/>
      </w:r>
      <w:r w:rsidRPr="006C17FA">
        <w:t>380 - 380.15</w:t>
      </w:r>
      <w:r>
        <w:t xml:space="preserve"> /</w:t>
      </w:r>
      <w:r w:rsidRPr="006C17FA">
        <w:t xml:space="preserve"> 390 - 390.15 MHz</w:t>
      </w:r>
    </w:p>
    <w:p w:rsidR="00F41F7B" w:rsidRPr="006C17FA" w:rsidRDefault="00F41F7B" w:rsidP="000E098D">
      <w:r w:rsidRPr="006C17FA">
        <w:t>ECC/DEC</w:t>
      </w:r>
      <w:proofErr w:type="gramStart"/>
      <w:r w:rsidRPr="006C17FA">
        <w:t>/(</w:t>
      </w:r>
      <w:proofErr w:type="gramEnd"/>
      <w:r w:rsidRPr="006C17FA">
        <w:t xml:space="preserve">06)05  </w:t>
      </w:r>
      <w:r w:rsidRPr="006C17FA">
        <w:tab/>
        <w:t>AGA Digital LMS for emergency</w:t>
      </w:r>
      <w:r>
        <w:tab/>
      </w:r>
      <w:r w:rsidRPr="005E3914">
        <w:rPr>
          <w:snapToGrid w:val="0"/>
        </w:rPr>
        <w:t>384.750</w:t>
      </w:r>
      <w:r>
        <w:rPr>
          <w:snapToGrid w:val="0"/>
        </w:rPr>
        <w:t>-</w:t>
      </w:r>
      <w:r w:rsidRPr="005E3914">
        <w:rPr>
          <w:snapToGrid w:val="0"/>
        </w:rPr>
        <w:t>385</w:t>
      </w:r>
      <w:r>
        <w:rPr>
          <w:snapToGrid w:val="0"/>
        </w:rPr>
        <w:t xml:space="preserve"> / </w:t>
      </w:r>
      <w:r w:rsidRPr="005E3914">
        <w:rPr>
          <w:snapToGrid w:val="0"/>
        </w:rPr>
        <w:t>394.750</w:t>
      </w:r>
      <w:r>
        <w:rPr>
          <w:snapToGrid w:val="0"/>
        </w:rPr>
        <w:t>-</w:t>
      </w:r>
      <w:r w:rsidRPr="005E3914">
        <w:rPr>
          <w:snapToGrid w:val="0"/>
        </w:rPr>
        <w:t>395 MHz</w:t>
      </w:r>
    </w:p>
    <w:p w:rsidR="00F41F7B" w:rsidRPr="006C17FA" w:rsidRDefault="00F41F7B" w:rsidP="000E098D">
      <w:r w:rsidRPr="006C17FA">
        <w:t>ECC/DEC</w:t>
      </w:r>
      <w:proofErr w:type="gramStart"/>
      <w:r w:rsidRPr="006C17FA">
        <w:t>/(</w:t>
      </w:r>
      <w:proofErr w:type="gramEnd"/>
      <w:r w:rsidRPr="006C17FA">
        <w:t xml:space="preserve">02)05 </w:t>
      </w:r>
      <w:r w:rsidRPr="006C17FA">
        <w:tab/>
      </w:r>
      <w:r w:rsidR="00B15115">
        <w:t xml:space="preserve">GSM-R </w:t>
      </w:r>
      <w:r w:rsidRPr="006C17FA">
        <w:t xml:space="preserve">Railway </w:t>
      </w:r>
      <w:r w:rsidRPr="006C17FA">
        <w:tab/>
      </w:r>
      <w:r w:rsidRPr="006C17FA">
        <w:tab/>
      </w:r>
      <w:r w:rsidRPr="006C17FA">
        <w:tab/>
        <w:t>876-880/921-925 MHz</w:t>
      </w:r>
    </w:p>
    <w:p w:rsidR="00F41F7B" w:rsidRPr="006C17FA" w:rsidRDefault="00F41F7B" w:rsidP="000E098D">
      <w:r w:rsidRPr="006C17FA">
        <w:t>ECC/DEC</w:t>
      </w:r>
      <w:proofErr w:type="gramStart"/>
      <w:r w:rsidRPr="006C17FA">
        <w:t>/(</w:t>
      </w:r>
      <w:proofErr w:type="gramEnd"/>
      <w:r w:rsidRPr="006C17FA">
        <w:t xml:space="preserve">04)06 </w:t>
      </w:r>
      <w:r w:rsidRPr="006C17FA">
        <w:tab/>
        <w:t xml:space="preserve">PMR/PAMR WB </w:t>
      </w:r>
      <w:r w:rsidRPr="006C17FA">
        <w:tab/>
      </w:r>
      <w:r w:rsidRPr="006C17FA">
        <w:tab/>
        <w:t>400 MHz and 800/900 MHz</w:t>
      </w:r>
    </w:p>
    <w:p w:rsidR="00F41F7B" w:rsidRPr="006C17FA" w:rsidRDefault="00F41F7B" w:rsidP="000E098D">
      <w:r w:rsidRPr="006C17FA">
        <w:t>ECC/DEC</w:t>
      </w:r>
      <w:proofErr w:type="gramStart"/>
      <w:r w:rsidRPr="006C17FA">
        <w:t>/(</w:t>
      </w:r>
      <w:proofErr w:type="gramEnd"/>
      <w:r w:rsidRPr="006C17FA">
        <w:t xml:space="preserve">06)06 </w:t>
      </w:r>
      <w:r w:rsidRPr="006C17FA">
        <w:tab/>
        <w:t xml:space="preserve">PMR/PAMR </w:t>
      </w:r>
      <w:r w:rsidRPr="006C17FA">
        <w:tab/>
      </w:r>
      <w:r w:rsidRPr="006C17FA">
        <w:tab/>
      </w:r>
      <w:r w:rsidRPr="006C17FA">
        <w:tab/>
        <w:t>80 MHz, 160 MHz and 400 MHz</w:t>
      </w:r>
    </w:p>
    <w:p w:rsidR="00BB61A3" w:rsidRDefault="00BB61A3" w:rsidP="000E098D">
      <w:r w:rsidRPr="00CF5B5F">
        <w:t>ECC/DEC</w:t>
      </w:r>
      <w:proofErr w:type="gramStart"/>
      <w:r w:rsidRPr="00CF5B5F">
        <w:t>/(</w:t>
      </w:r>
      <w:proofErr w:type="gramEnd"/>
      <w:r w:rsidRPr="00CF5B5F">
        <w:t>11)04</w:t>
      </w:r>
      <w:r>
        <w:rPr>
          <w:b/>
        </w:rPr>
        <w:tab/>
      </w:r>
      <w:r w:rsidRPr="00BB61A3">
        <w:t>PMR/PAMR/PPDR</w:t>
      </w:r>
      <w:r>
        <w:tab/>
      </w:r>
      <w:r>
        <w:tab/>
      </w:r>
      <w:r w:rsidRPr="006C17FA">
        <w:t>Licensing</w:t>
      </w:r>
      <w:r>
        <w:t>,</w:t>
      </w:r>
      <w:r w:rsidRPr="006C17FA">
        <w:t xml:space="preserve"> Free </w:t>
      </w:r>
      <w:r>
        <w:t>c</w:t>
      </w:r>
      <w:r w:rsidRPr="006C17FA">
        <w:t>irculation and Use</w:t>
      </w:r>
    </w:p>
    <w:p w:rsidR="00F41F7B" w:rsidRPr="006C17FA" w:rsidRDefault="00F41F7B" w:rsidP="000E098D">
      <w:r w:rsidRPr="006C17FA">
        <w:t>ERC/DEC</w:t>
      </w:r>
      <w:proofErr w:type="gramStart"/>
      <w:r w:rsidRPr="006C17FA">
        <w:t>/(</w:t>
      </w:r>
      <w:proofErr w:type="gramEnd"/>
      <w:r w:rsidRPr="006C17FA">
        <w:t xml:space="preserve">99)02 </w:t>
      </w:r>
      <w:r w:rsidRPr="006C17FA">
        <w:tab/>
        <w:t xml:space="preserve">TETRA </w:t>
      </w:r>
      <w:r w:rsidRPr="006C17FA">
        <w:tab/>
      </w:r>
      <w:r w:rsidRPr="006C17FA">
        <w:tab/>
      </w:r>
      <w:r w:rsidRPr="006C17FA">
        <w:tab/>
      </w:r>
      <w:r w:rsidRPr="006C17FA">
        <w:tab/>
        <w:t>Licensing</w:t>
      </w:r>
    </w:p>
    <w:p w:rsidR="00F41F7B" w:rsidRPr="006C17FA" w:rsidRDefault="00F41F7B" w:rsidP="000E098D">
      <w:r w:rsidRPr="006C17FA">
        <w:t>ERC/DEC</w:t>
      </w:r>
      <w:proofErr w:type="gramStart"/>
      <w:r w:rsidRPr="006C17FA">
        <w:t>/(</w:t>
      </w:r>
      <w:proofErr w:type="gramEnd"/>
      <w:r w:rsidRPr="006C17FA">
        <w:t xml:space="preserve">99)03 </w:t>
      </w:r>
      <w:r w:rsidRPr="006C17FA">
        <w:tab/>
        <w:t xml:space="preserve">TETRA </w:t>
      </w:r>
      <w:r w:rsidRPr="006C17FA">
        <w:tab/>
      </w:r>
      <w:r w:rsidRPr="006C17FA">
        <w:tab/>
      </w:r>
      <w:r w:rsidRPr="006C17FA">
        <w:tab/>
      </w:r>
      <w:r w:rsidRPr="006C17FA">
        <w:tab/>
        <w:t xml:space="preserve">Free </w:t>
      </w:r>
      <w:r>
        <w:t>c</w:t>
      </w:r>
      <w:r w:rsidRPr="006C17FA">
        <w:t>irculation and Use</w:t>
      </w:r>
    </w:p>
    <w:p w:rsidR="00F41F7B" w:rsidRPr="006C17FA" w:rsidRDefault="00F41F7B" w:rsidP="000E098D">
      <w:r w:rsidRPr="006C17FA">
        <w:t>ECC/DEC</w:t>
      </w:r>
      <w:proofErr w:type="gramStart"/>
      <w:r w:rsidRPr="006C17FA">
        <w:t>/(</w:t>
      </w:r>
      <w:proofErr w:type="gramEnd"/>
      <w:r w:rsidRPr="006C17FA">
        <w:t xml:space="preserve">02)09 </w:t>
      </w:r>
      <w:r w:rsidRPr="006C17FA">
        <w:tab/>
        <w:t xml:space="preserve">GSM-R </w:t>
      </w:r>
      <w:r w:rsidRPr="006C17FA">
        <w:tab/>
      </w:r>
      <w:r w:rsidRPr="006C17FA">
        <w:tab/>
      </w:r>
      <w:r w:rsidRPr="006C17FA">
        <w:tab/>
      </w:r>
      <w:r w:rsidRPr="006C17FA">
        <w:tab/>
        <w:t xml:space="preserve">Free circulation and use </w:t>
      </w:r>
    </w:p>
    <w:p w:rsidR="00F41F7B" w:rsidRPr="006C17FA" w:rsidRDefault="00F41F7B" w:rsidP="000E098D">
      <w:r w:rsidRPr="006C17FA">
        <w:t>ECC/DEC</w:t>
      </w:r>
      <w:proofErr w:type="gramStart"/>
      <w:r w:rsidRPr="006C17FA">
        <w:t>/(</w:t>
      </w:r>
      <w:proofErr w:type="gramEnd"/>
      <w:r w:rsidRPr="006C17FA">
        <w:t xml:space="preserve">02)10 </w:t>
      </w:r>
      <w:r w:rsidRPr="006C17FA">
        <w:tab/>
        <w:t xml:space="preserve">GSM-R </w:t>
      </w:r>
      <w:r w:rsidRPr="006C17FA">
        <w:tab/>
      </w:r>
      <w:r w:rsidRPr="006C17FA">
        <w:tab/>
      </w:r>
      <w:r w:rsidRPr="006C17FA">
        <w:tab/>
      </w:r>
      <w:r w:rsidRPr="006C17FA">
        <w:tab/>
        <w:t>Licensing</w:t>
      </w:r>
    </w:p>
    <w:p w:rsidR="00F41F7B" w:rsidRPr="006C17FA" w:rsidRDefault="00F41F7B" w:rsidP="000E098D">
      <w:r w:rsidRPr="006C17FA">
        <w:t>ECC/DEC</w:t>
      </w:r>
      <w:proofErr w:type="gramStart"/>
      <w:r w:rsidRPr="006C17FA">
        <w:t>/(</w:t>
      </w:r>
      <w:proofErr w:type="gramEnd"/>
      <w:r w:rsidRPr="006C17FA">
        <w:t xml:space="preserve">08)05 </w:t>
      </w:r>
      <w:r w:rsidRPr="006C17FA">
        <w:tab/>
        <w:t xml:space="preserve">PPDR </w:t>
      </w:r>
      <w:r w:rsidRPr="006C17FA">
        <w:tab/>
      </w:r>
      <w:r w:rsidRPr="006C17FA">
        <w:tab/>
      </w:r>
      <w:r w:rsidRPr="006C17FA">
        <w:tab/>
      </w:r>
      <w:r w:rsidRPr="006C17FA">
        <w:tab/>
        <w:t>380 - 470 MHz</w:t>
      </w:r>
    </w:p>
    <w:p w:rsidR="00F41F7B" w:rsidRPr="006C17FA" w:rsidRDefault="00F41F7B" w:rsidP="000E098D"/>
    <w:p w:rsidR="006248CA" w:rsidRPr="006C17FA" w:rsidRDefault="006248CA" w:rsidP="000E098D">
      <w:pPr>
        <w:rPr>
          <w:b/>
          <w:sz w:val="28"/>
          <w:szCs w:val="28"/>
        </w:rPr>
      </w:pPr>
      <w:r w:rsidRPr="006C17FA">
        <w:rPr>
          <w:b/>
          <w:sz w:val="28"/>
          <w:szCs w:val="28"/>
        </w:rPr>
        <w:t>Wireless Access systems (</w:t>
      </w:r>
      <w:r>
        <w:rPr>
          <w:b/>
          <w:sz w:val="28"/>
          <w:szCs w:val="28"/>
        </w:rPr>
        <w:t>total</w:t>
      </w:r>
      <w:r>
        <w:rPr>
          <w:b/>
          <w:sz w:val="28"/>
          <w:szCs w:val="28"/>
          <w:lang w:val="en-US"/>
        </w:rPr>
        <w:t>:</w:t>
      </w:r>
      <w:r>
        <w:rPr>
          <w:b/>
          <w:sz w:val="28"/>
          <w:szCs w:val="28"/>
        </w:rPr>
        <w:t xml:space="preserve"> 3</w:t>
      </w:r>
      <w:r w:rsidRPr="006C17FA">
        <w:rPr>
          <w:b/>
          <w:sz w:val="28"/>
          <w:szCs w:val="28"/>
        </w:rPr>
        <w:t>)</w:t>
      </w:r>
    </w:p>
    <w:p w:rsidR="006248CA" w:rsidRPr="006C17FA" w:rsidRDefault="006248CA" w:rsidP="000E098D">
      <w:r w:rsidRPr="006C17FA">
        <w:t>ERC/DEC</w:t>
      </w:r>
      <w:proofErr w:type="gramStart"/>
      <w:r w:rsidRPr="006C17FA">
        <w:t>/(</w:t>
      </w:r>
      <w:proofErr w:type="gramEnd"/>
      <w:r w:rsidRPr="006C17FA">
        <w:t xml:space="preserve">99)15 </w:t>
      </w:r>
      <w:r w:rsidRPr="006C17FA">
        <w:tab/>
        <w:t xml:space="preserve">MWS </w:t>
      </w:r>
      <w:r w:rsidRPr="006C17FA">
        <w:tab/>
      </w:r>
      <w:r w:rsidRPr="006C17FA">
        <w:tab/>
      </w:r>
      <w:r w:rsidRPr="006C17FA">
        <w:tab/>
      </w:r>
      <w:r w:rsidRPr="006C17FA">
        <w:tab/>
        <w:t>40.5-43.5 GHz</w:t>
      </w:r>
    </w:p>
    <w:p w:rsidR="006248CA" w:rsidRPr="006C17FA" w:rsidRDefault="006248CA" w:rsidP="000E098D">
      <w:r w:rsidRPr="006C17FA">
        <w:t>ECC/DEC</w:t>
      </w:r>
      <w:proofErr w:type="gramStart"/>
      <w:r w:rsidRPr="006C17FA">
        <w:t>/(</w:t>
      </w:r>
      <w:proofErr w:type="gramEnd"/>
      <w:r w:rsidRPr="006C17FA">
        <w:t xml:space="preserve">07)02 </w:t>
      </w:r>
      <w:r w:rsidRPr="006C17FA">
        <w:tab/>
        <w:t xml:space="preserve">BWA </w:t>
      </w:r>
      <w:r w:rsidRPr="006C17FA">
        <w:tab/>
      </w:r>
      <w:r w:rsidRPr="006C17FA">
        <w:tab/>
      </w:r>
      <w:r w:rsidRPr="006C17FA">
        <w:tab/>
      </w:r>
      <w:r w:rsidRPr="006C17FA">
        <w:tab/>
        <w:t>3400-3800 MHz</w:t>
      </w:r>
    </w:p>
    <w:p w:rsidR="006248CA" w:rsidRPr="002B42DE" w:rsidRDefault="006248CA" w:rsidP="000E098D">
      <w:pPr>
        <w:rPr>
          <w:lang w:val="fr-FR"/>
        </w:rPr>
      </w:pPr>
      <w:r w:rsidRPr="002B42DE">
        <w:rPr>
          <w:lang w:val="fr-FR"/>
        </w:rPr>
        <w:t xml:space="preserve">ECC/DEC/(04)08 </w:t>
      </w:r>
      <w:r w:rsidRPr="002B42DE">
        <w:rPr>
          <w:lang w:val="fr-FR"/>
        </w:rPr>
        <w:tab/>
        <w:t xml:space="preserve">RLAN </w:t>
      </w:r>
      <w:r w:rsidRPr="002B42DE">
        <w:rPr>
          <w:lang w:val="fr-FR"/>
        </w:rPr>
        <w:tab/>
      </w:r>
      <w:r w:rsidRPr="002B42DE">
        <w:rPr>
          <w:lang w:val="fr-FR"/>
        </w:rPr>
        <w:tab/>
      </w:r>
      <w:r w:rsidRPr="002B42DE">
        <w:rPr>
          <w:lang w:val="fr-FR"/>
        </w:rPr>
        <w:tab/>
      </w:r>
      <w:r w:rsidRPr="002B42DE">
        <w:rPr>
          <w:lang w:val="fr-FR"/>
        </w:rPr>
        <w:tab/>
        <w:t>5 GHz</w:t>
      </w:r>
    </w:p>
    <w:p w:rsidR="006248CA" w:rsidRPr="002B42DE" w:rsidRDefault="006248CA" w:rsidP="000E098D">
      <w:pPr>
        <w:rPr>
          <w:lang w:val="fr-FR"/>
        </w:rPr>
      </w:pPr>
    </w:p>
    <w:p w:rsidR="00F41F7B" w:rsidRPr="002B42DE" w:rsidRDefault="00F41F7B" w:rsidP="000E098D">
      <w:pPr>
        <w:rPr>
          <w:b/>
          <w:sz w:val="28"/>
          <w:szCs w:val="28"/>
          <w:lang w:val="fr-FR"/>
        </w:rPr>
      </w:pPr>
      <w:r w:rsidRPr="002B42DE">
        <w:rPr>
          <w:b/>
          <w:sz w:val="28"/>
          <w:szCs w:val="28"/>
          <w:lang w:val="fr-FR"/>
        </w:rPr>
        <w:t>Satellite service (</w:t>
      </w:r>
      <w:r w:rsidR="006E7677" w:rsidRPr="002B42DE">
        <w:rPr>
          <w:b/>
          <w:sz w:val="28"/>
          <w:szCs w:val="28"/>
          <w:lang w:val="fr-FR"/>
        </w:rPr>
        <w:t xml:space="preserve">total: </w:t>
      </w:r>
      <w:r w:rsidRPr="002B42DE">
        <w:rPr>
          <w:b/>
          <w:sz w:val="28"/>
          <w:szCs w:val="28"/>
          <w:lang w:val="fr-FR"/>
        </w:rPr>
        <w:t>1</w:t>
      </w:r>
      <w:r w:rsidR="00F21C58" w:rsidRPr="002B42DE">
        <w:rPr>
          <w:b/>
          <w:sz w:val="28"/>
          <w:szCs w:val="28"/>
          <w:lang w:val="fr-FR"/>
        </w:rPr>
        <w:t>6</w:t>
      </w:r>
      <w:r w:rsidRPr="002B42DE">
        <w:rPr>
          <w:b/>
          <w:sz w:val="28"/>
          <w:szCs w:val="28"/>
          <w:lang w:val="fr-FR"/>
        </w:rPr>
        <w:t>)</w:t>
      </w:r>
    </w:p>
    <w:p w:rsidR="00F41F7B" w:rsidRPr="006C17FA" w:rsidRDefault="00F41F7B" w:rsidP="000E098D">
      <w:r w:rsidRPr="006C17FA">
        <w:t>ERC/DEC</w:t>
      </w:r>
      <w:proofErr w:type="gramStart"/>
      <w:r w:rsidRPr="006C17FA">
        <w:t>/(</w:t>
      </w:r>
      <w:proofErr w:type="gramEnd"/>
      <w:r w:rsidRPr="006C17FA">
        <w:t xml:space="preserve">99)06 </w:t>
      </w:r>
      <w:r w:rsidRPr="006C17FA">
        <w:tab/>
        <w:t xml:space="preserve">S-PCS </w:t>
      </w:r>
      <w:r w:rsidRPr="006C17FA">
        <w:tab/>
      </w:r>
      <w:r w:rsidRPr="006C17FA">
        <w:tab/>
      </w:r>
      <w:r w:rsidRPr="006C17FA">
        <w:tab/>
      </w:r>
      <w:r w:rsidRPr="006C17FA">
        <w:tab/>
        <w:t>below 1GHz</w:t>
      </w:r>
    </w:p>
    <w:p w:rsidR="00F41F7B" w:rsidRPr="006C17FA" w:rsidRDefault="00F41F7B" w:rsidP="000E098D">
      <w:r w:rsidRPr="006C17FA">
        <w:t>ERC/DEC</w:t>
      </w:r>
      <w:proofErr w:type="gramStart"/>
      <w:r w:rsidRPr="006C17FA">
        <w:t>/(</w:t>
      </w:r>
      <w:proofErr w:type="gramEnd"/>
      <w:r w:rsidRPr="006C17FA">
        <w:t xml:space="preserve">99)05 </w:t>
      </w:r>
      <w:r w:rsidRPr="006C17FA">
        <w:tab/>
        <w:t xml:space="preserve">S-PCS </w:t>
      </w:r>
      <w:r w:rsidRPr="006C17FA">
        <w:tab/>
      </w:r>
      <w:r w:rsidRPr="006C17FA">
        <w:tab/>
      </w:r>
      <w:r w:rsidRPr="006C17FA">
        <w:tab/>
      </w:r>
      <w:r w:rsidRPr="006C17FA">
        <w:tab/>
        <w:t>Free circulation and use and licensing below 1GHz</w:t>
      </w:r>
    </w:p>
    <w:p w:rsidR="00F41F7B" w:rsidRPr="006C17FA" w:rsidRDefault="00F41F7B" w:rsidP="000E098D">
      <w:r w:rsidRPr="006C17FA">
        <w:t>ERC/DEC</w:t>
      </w:r>
      <w:proofErr w:type="gramStart"/>
      <w:r w:rsidRPr="006C17FA">
        <w:t>/(</w:t>
      </w:r>
      <w:proofErr w:type="gramEnd"/>
      <w:r w:rsidRPr="006C17FA">
        <w:t xml:space="preserve">98)15 </w:t>
      </w:r>
      <w:r w:rsidRPr="006C17FA">
        <w:tab/>
      </w:r>
      <w:proofErr w:type="spellStart"/>
      <w:r w:rsidRPr="006C17FA">
        <w:t>Omnitracs</w:t>
      </w:r>
      <w:proofErr w:type="spellEnd"/>
      <w:r w:rsidRPr="006C17FA">
        <w:t xml:space="preserve">, </w:t>
      </w:r>
      <w:proofErr w:type="spellStart"/>
      <w:r w:rsidRPr="006C17FA">
        <w:t>Euteltracs</w:t>
      </w:r>
      <w:proofErr w:type="spellEnd"/>
      <w:r w:rsidRPr="006C17FA">
        <w:t xml:space="preserve"> </w:t>
      </w:r>
      <w:r w:rsidRPr="006C17FA">
        <w:tab/>
      </w:r>
      <w:r w:rsidRPr="006C17FA">
        <w:tab/>
        <w:t>Licensing</w:t>
      </w:r>
    </w:p>
    <w:p w:rsidR="00F41F7B" w:rsidRPr="006C17FA" w:rsidRDefault="00F41F7B" w:rsidP="000E098D">
      <w:r w:rsidRPr="006C17FA">
        <w:t>ECC/DEC</w:t>
      </w:r>
      <w:proofErr w:type="gramStart"/>
      <w:r w:rsidRPr="006C17FA">
        <w:t>/(</w:t>
      </w:r>
      <w:proofErr w:type="gramEnd"/>
      <w:r w:rsidRPr="006C17FA">
        <w:t xml:space="preserve">04)09 </w:t>
      </w:r>
      <w:r w:rsidRPr="006C17FA">
        <w:tab/>
        <w:t>MSS terminals</w:t>
      </w:r>
      <w:r w:rsidRPr="006C17FA">
        <w:tab/>
      </w:r>
      <w:r w:rsidRPr="006C17FA">
        <w:tab/>
      </w:r>
      <w:r w:rsidRPr="006C17FA">
        <w:tab/>
        <w:t>1518-1525 MHz and 1670-1675 MHz</w:t>
      </w:r>
    </w:p>
    <w:p w:rsidR="00F41F7B" w:rsidRPr="006C17FA" w:rsidRDefault="00F41F7B" w:rsidP="000E098D">
      <w:r w:rsidRPr="006C17FA">
        <w:t>ECC/DEC</w:t>
      </w:r>
      <w:proofErr w:type="gramStart"/>
      <w:r w:rsidRPr="006C17FA">
        <w:t>/(</w:t>
      </w:r>
      <w:proofErr w:type="gramEnd"/>
      <w:r w:rsidRPr="006C17FA">
        <w:t xml:space="preserve">09)02 </w:t>
      </w:r>
      <w:r w:rsidRPr="006C17FA">
        <w:tab/>
        <w:t>MSS terminals</w:t>
      </w:r>
      <w:r w:rsidRPr="006C17FA">
        <w:tab/>
      </w:r>
      <w:r w:rsidRPr="006C17FA">
        <w:tab/>
      </w:r>
      <w:r w:rsidRPr="006C17FA">
        <w:tab/>
        <w:t>1610-1626.5 MHz and 2483.5-2500 MHz</w:t>
      </w:r>
    </w:p>
    <w:p w:rsidR="00F41F7B" w:rsidRPr="006C17FA" w:rsidRDefault="00F41F7B" w:rsidP="000E098D">
      <w:r w:rsidRPr="006C17FA">
        <w:t>ECC/DEC</w:t>
      </w:r>
      <w:proofErr w:type="gramStart"/>
      <w:r w:rsidRPr="006C17FA">
        <w:t>/(</w:t>
      </w:r>
      <w:proofErr w:type="gramEnd"/>
      <w:r w:rsidRPr="006C17FA">
        <w:t xml:space="preserve">09)04 </w:t>
      </w:r>
      <w:r w:rsidRPr="006C17FA">
        <w:tab/>
        <w:t xml:space="preserve">MSS terminals </w:t>
      </w:r>
      <w:r w:rsidRPr="006C17FA">
        <w:tab/>
      </w:r>
      <w:r w:rsidRPr="006C17FA">
        <w:tab/>
      </w:r>
      <w:r w:rsidRPr="006C17FA">
        <w:tab/>
        <w:t>Free circulation and use and licensing in 1613.8-1626.5 MHz</w:t>
      </w:r>
    </w:p>
    <w:p w:rsidR="00F41F7B" w:rsidRPr="006C17FA" w:rsidRDefault="00F41F7B" w:rsidP="000E098D">
      <w:r w:rsidRPr="006C17FA">
        <w:t>ECC/DEC</w:t>
      </w:r>
      <w:proofErr w:type="gramStart"/>
      <w:r w:rsidRPr="006C17FA">
        <w:t>/(</w:t>
      </w:r>
      <w:proofErr w:type="gramEnd"/>
      <w:r w:rsidRPr="006C17FA">
        <w:t xml:space="preserve">05)08 </w:t>
      </w:r>
      <w:r w:rsidRPr="006C17FA">
        <w:tab/>
        <w:t>HDFSS</w:t>
      </w:r>
    </w:p>
    <w:p w:rsidR="00F41F7B" w:rsidRPr="006C17FA" w:rsidRDefault="00F41F7B" w:rsidP="000E098D">
      <w:r w:rsidRPr="006C17FA">
        <w:t>ECC/DEC</w:t>
      </w:r>
      <w:proofErr w:type="gramStart"/>
      <w:r w:rsidRPr="006C17FA">
        <w:t>/(</w:t>
      </w:r>
      <w:proofErr w:type="gramEnd"/>
      <w:r w:rsidRPr="006C17FA">
        <w:t xml:space="preserve">05)09 </w:t>
      </w:r>
      <w:r w:rsidRPr="006C17FA">
        <w:tab/>
        <w:t xml:space="preserve">ES on vessels </w:t>
      </w:r>
      <w:r w:rsidRPr="006C17FA">
        <w:tab/>
      </w:r>
      <w:r w:rsidRPr="006C17FA">
        <w:tab/>
      </w:r>
      <w:r w:rsidRPr="006C17FA">
        <w:tab/>
        <w:t>5925-6425 MHz and 3700-4200 MHz</w:t>
      </w:r>
    </w:p>
    <w:p w:rsidR="00F41F7B" w:rsidRPr="006C17FA" w:rsidRDefault="00F41F7B" w:rsidP="000E098D">
      <w:r w:rsidRPr="006C17FA">
        <w:t>ECC/DEC</w:t>
      </w:r>
      <w:proofErr w:type="gramStart"/>
      <w:r w:rsidRPr="006C17FA">
        <w:t>/(</w:t>
      </w:r>
      <w:proofErr w:type="gramEnd"/>
      <w:r w:rsidRPr="006C17FA">
        <w:t xml:space="preserve">05)10 </w:t>
      </w:r>
      <w:r w:rsidRPr="006C17FA">
        <w:tab/>
        <w:t xml:space="preserve">ES on vessels </w:t>
      </w:r>
      <w:r w:rsidRPr="006C17FA">
        <w:tab/>
      </w:r>
      <w:r w:rsidRPr="006C17FA">
        <w:tab/>
      </w:r>
      <w:r w:rsidRPr="006C17FA">
        <w:tab/>
        <w:t>14 GHz, 11 GHz and 12 GHz</w:t>
      </w:r>
    </w:p>
    <w:p w:rsidR="00F41F7B" w:rsidRPr="006C17FA" w:rsidRDefault="00F41F7B" w:rsidP="000E098D">
      <w:r w:rsidRPr="006C17FA">
        <w:t>ECC/DEC</w:t>
      </w:r>
      <w:proofErr w:type="gramStart"/>
      <w:r w:rsidRPr="006C17FA">
        <w:t>/(</w:t>
      </w:r>
      <w:proofErr w:type="gramEnd"/>
      <w:r w:rsidRPr="006C17FA">
        <w:t xml:space="preserve">05)11 </w:t>
      </w:r>
      <w:r w:rsidRPr="006C17FA">
        <w:tab/>
        <w:t xml:space="preserve">ES on aircraft </w:t>
      </w:r>
      <w:r w:rsidRPr="006C17FA">
        <w:tab/>
      </w:r>
      <w:r w:rsidRPr="006C17FA">
        <w:tab/>
      </w:r>
      <w:r w:rsidRPr="006C17FA">
        <w:tab/>
        <w:t>14 GHz, 11 GHz and 12 GHz</w:t>
      </w:r>
    </w:p>
    <w:p w:rsidR="00F41F7B" w:rsidRPr="006C17FA" w:rsidRDefault="00F41F7B" w:rsidP="000E098D">
      <w:r w:rsidRPr="006C17FA">
        <w:t>ERC/DEC</w:t>
      </w:r>
      <w:proofErr w:type="gramStart"/>
      <w:r w:rsidRPr="006C17FA">
        <w:t>/(</w:t>
      </w:r>
      <w:proofErr w:type="gramEnd"/>
      <w:r w:rsidRPr="006C17FA">
        <w:t xml:space="preserve">99)26 </w:t>
      </w:r>
      <w:r w:rsidRPr="006C17FA">
        <w:tab/>
        <w:t>ES receive only</w:t>
      </w:r>
    </w:p>
    <w:p w:rsidR="00F41F7B" w:rsidRPr="006C17FA" w:rsidRDefault="00F41F7B" w:rsidP="000E098D">
      <w:r w:rsidRPr="006C17FA">
        <w:t>ECC/DEC</w:t>
      </w:r>
      <w:proofErr w:type="gramStart"/>
      <w:r w:rsidRPr="006C17FA">
        <w:t>/(</w:t>
      </w:r>
      <w:proofErr w:type="gramEnd"/>
      <w:r w:rsidRPr="006C17FA">
        <w:t xml:space="preserve">06)02 </w:t>
      </w:r>
      <w:r w:rsidRPr="006C17FA">
        <w:tab/>
        <w:t xml:space="preserve">LEST </w:t>
      </w:r>
      <w:r w:rsidRPr="006C17FA">
        <w:tab/>
      </w:r>
      <w:r w:rsidRPr="006C17FA">
        <w:tab/>
      </w:r>
      <w:r w:rsidRPr="006C17FA">
        <w:tab/>
      </w:r>
      <w:r w:rsidRPr="006C17FA">
        <w:tab/>
        <w:t>12 GHz, 20 GHz,14.GHz 30 GHz</w:t>
      </w:r>
    </w:p>
    <w:p w:rsidR="00F41F7B" w:rsidRPr="006C17FA" w:rsidRDefault="00F41F7B" w:rsidP="000E098D">
      <w:r w:rsidRPr="006C17FA">
        <w:t>ECC/DEC</w:t>
      </w:r>
      <w:proofErr w:type="gramStart"/>
      <w:r w:rsidRPr="006C17FA">
        <w:t>/(</w:t>
      </w:r>
      <w:proofErr w:type="gramEnd"/>
      <w:r w:rsidRPr="006C17FA">
        <w:t xml:space="preserve">06)03 </w:t>
      </w:r>
      <w:r w:rsidRPr="006C17FA">
        <w:tab/>
        <w:t xml:space="preserve">HEST </w:t>
      </w:r>
      <w:r w:rsidRPr="006C17FA">
        <w:tab/>
      </w:r>
      <w:r w:rsidRPr="006C17FA">
        <w:tab/>
      </w:r>
      <w:r w:rsidRPr="006C17FA">
        <w:tab/>
      </w:r>
      <w:r w:rsidRPr="006C17FA">
        <w:tab/>
        <w:t>12 GHz, 20 GHz,14.GHz 30 GHz</w:t>
      </w:r>
    </w:p>
    <w:p w:rsidR="00F41F7B" w:rsidRPr="006C17FA" w:rsidRDefault="00F41F7B" w:rsidP="000E098D">
      <w:r w:rsidRPr="006C17FA">
        <w:t>ECC/DEC</w:t>
      </w:r>
      <w:proofErr w:type="gramStart"/>
      <w:r w:rsidRPr="006C17FA">
        <w:t>/(</w:t>
      </w:r>
      <w:proofErr w:type="gramEnd"/>
      <w:r w:rsidRPr="006C17FA">
        <w:t xml:space="preserve">03)04 </w:t>
      </w:r>
      <w:r w:rsidRPr="006C17FA">
        <w:tab/>
        <w:t xml:space="preserve">VSAT </w:t>
      </w:r>
      <w:r w:rsidRPr="006C17FA">
        <w:tab/>
      </w:r>
      <w:r w:rsidRPr="006C17FA">
        <w:tab/>
      </w:r>
      <w:r w:rsidRPr="006C17FA">
        <w:tab/>
      </w:r>
      <w:r w:rsidRPr="006C17FA">
        <w:tab/>
        <w:t>14.25-14.50 GHz and 10.70-11.70 GHz</w:t>
      </w:r>
    </w:p>
    <w:p w:rsidR="00F41F7B" w:rsidRDefault="00F41F7B" w:rsidP="000E098D">
      <w:r w:rsidRPr="006C17FA">
        <w:t>ECC/DEC</w:t>
      </w:r>
      <w:proofErr w:type="gramStart"/>
      <w:r w:rsidRPr="006C17FA">
        <w:t>/(</w:t>
      </w:r>
      <w:proofErr w:type="gramEnd"/>
      <w:r w:rsidRPr="006C17FA">
        <w:t xml:space="preserve">06)09 </w:t>
      </w:r>
      <w:r w:rsidRPr="006C17FA">
        <w:tab/>
        <w:t xml:space="preserve">CGC </w:t>
      </w:r>
      <w:r w:rsidRPr="006C17FA">
        <w:tab/>
      </w:r>
      <w:r w:rsidRPr="006C17FA">
        <w:tab/>
      </w:r>
      <w:r w:rsidRPr="006C17FA">
        <w:tab/>
      </w:r>
      <w:r w:rsidRPr="006C17FA">
        <w:tab/>
        <w:t>1980-2010 MHz and 2170-2200 MHz</w:t>
      </w:r>
    </w:p>
    <w:p w:rsidR="00B2308D" w:rsidRPr="006C17FA" w:rsidRDefault="00B2308D" w:rsidP="000E098D">
      <w:r>
        <w:t>ECC/DEC</w:t>
      </w:r>
      <w:proofErr w:type="gramStart"/>
      <w:r>
        <w:t>/(</w:t>
      </w:r>
      <w:proofErr w:type="gramEnd"/>
      <w:r>
        <w:t>13)01</w:t>
      </w:r>
      <w:r>
        <w:tab/>
        <w:t>ESOMPs</w:t>
      </w:r>
      <w:r>
        <w:tab/>
      </w:r>
      <w:r>
        <w:tab/>
      </w:r>
      <w:r>
        <w:tab/>
      </w:r>
      <w:r w:rsidRPr="00B2308D">
        <w:t>17.3-20.2 GHz and 27.5-30.0 GHz</w:t>
      </w:r>
    </w:p>
    <w:p w:rsidR="00F41F7B" w:rsidRPr="006C17FA" w:rsidRDefault="00F41F7B" w:rsidP="00F41F7B">
      <w:pPr>
        <w:ind w:left="708"/>
      </w:pPr>
    </w:p>
    <w:p w:rsidR="00F41F7B" w:rsidRPr="006C17FA" w:rsidRDefault="00F41F7B" w:rsidP="00F41F7B">
      <w:pPr>
        <w:ind w:left="708"/>
      </w:pPr>
    </w:p>
    <w:p w:rsidR="00F41F7B" w:rsidRPr="006C17FA" w:rsidRDefault="00F41F7B" w:rsidP="000E098D">
      <w:pPr>
        <w:rPr>
          <w:b/>
          <w:sz w:val="28"/>
          <w:szCs w:val="28"/>
        </w:rPr>
      </w:pPr>
      <w:r w:rsidRPr="006C17FA">
        <w:rPr>
          <w:b/>
          <w:sz w:val="28"/>
          <w:szCs w:val="28"/>
        </w:rPr>
        <w:t>SRD (</w:t>
      </w:r>
      <w:r w:rsidR="006E7677">
        <w:rPr>
          <w:b/>
          <w:sz w:val="28"/>
          <w:szCs w:val="28"/>
        </w:rPr>
        <w:t>total</w:t>
      </w:r>
      <w:r w:rsidR="006E7677">
        <w:rPr>
          <w:b/>
          <w:sz w:val="28"/>
          <w:szCs w:val="28"/>
          <w:lang w:val="en-US"/>
        </w:rPr>
        <w:t>:</w:t>
      </w:r>
      <w:r w:rsidR="006E7677">
        <w:rPr>
          <w:b/>
          <w:sz w:val="28"/>
          <w:szCs w:val="28"/>
        </w:rPr>
        <w:t xml:space="preserve"> </w:t>
      </w:r>
      <w:r w:rsidRPr="006C17FA">
        <w:rPr>
          <w:b/>
          <w:sz w:val="28"/>
          <w:szCs w:val="28"/>
        </w:rPr>
        <w:t>1</w:t>
      </w:r>
      <w:r w:rsidR="00D012B9">
        <w:rPr>
          <w:b/>
          <w:sz w:val="28"/>
          <w:szCs w:val="28"/>
        </w:rPr>
        <w:t>4</w:t>
      </w:r>
      <w:r w:rsidRPr="006C17FA">
        <w:rPr>
          <w:b/>
          <w:sz w:val="28"/>
          <w:szCs w:val="28"/>
        </w:rPr>
        <w:t>)</w:t>
      </w:r>
    </w:p>
    <w:p w:rsidR="00F41F7B" w:rsidRPr="006C17FA" w:rsidRDefault="00F41F7B" w:rsidP="000E098D">
      <w:r w:rsidRPr="006C17FA">
        <w:lastRenderedPageBreak/>
        <w:t>ERC/DEC</w:t>
      </w:r>
      <w:proofErr w:type="gramStart"/>
      <w:r w:rsidRPr="006C17FA">
        <w:t>/(</w:t>
      </w:r>
      <w:proofErr w:type="gramEnd"/>
      <w:r w:rsidRPr="006C17FA">
        <w:t xml:space="preserve">01)08 </w:t>
      </w:r>
      <w:r w:rsidRPr="006C17FA">
        <w:tab/>
        <w:t xml:space="preserve">Movement Detection and Alert </w:t>
      </w:r>
      <w:r w:rsidRPr="006C17FA">
        <w:tab/>
        <w:t>2400 - 2483.5 MHz</w:t>
      </w:r>
    </w:p>
    <w:p w:rsidR="00F41F7B" w:rsidRPr="006C17FA" w:rsidRDefault="00F41F7B" w:rsidP="000E098D">
      <w:r w:rsidRPr="006C17FA">
        <w:t>ERC/DEC</w:t>
      </w:r>
      <w:proofErr w:type="gramStart"/>
      <w:r w:rsidRPr="006C17FA">
        <w:t>/(</w:t>
      </w:r>
      <w:proofErr w:type="gramEnd"/>
      <w:r w:rsidRPr="006C17FA">
        <w:t>01)11</w:t>
      </w:r>
      <w:r w:rsidRPr="006C17FA">
        <w:tab/>
        <w:t xml:space="preserve">Model control </w:t>
      </w:r>
      <w:r w:rsidRPr="006C17FA">
        <w:tab/>
      </w:r>
      <w:r w:rsidRPr="006C17FA">
        <w:tab/>
      </w:r>
      <w:r w:rsidRPr="006C17FA">
        <w:tab/>
        <w:t xml:space="preserve">35 MHz  </w:t>
      </w:r>
    </w:p>
    <w:p w:rsidR="00F41F7B" w:rsidRPr="006C17FA" w:rsidRDefault="00F41F7B" w:rsidP="000E098D">
      <w:r w:rsidRPr="006C17FA">
        <w:t>ERC/DEC</w:t>
      </w:r>
      <w:proofErr w:type="gramStart"/>
      <w:r w:rsidRPr="006C17FA">
        <w:t>/(</w:t>
      </w:r>
      <w:proofErr w:type="gramEnd"/>
      <w:r w:rsidRPr="006C17FA">
        <w:t xml:space="preserve">01)12 </w:t>
      </w:r>
      <w:r w:rsidRPr="006C17FA">
        <w:tab/>
        <w:t xml:space="preserve">Model control </w:t>
      </w:r>
      <w:r w:rsidRPr="006C17FA">
        <w:tab/>
      </w:r>
      <w:r w:rsidRPr="006C17FA">
        <w:tab/>
      </w:r>
      <w:r w:rsidRPr="006C17FA">
        <w:tab/>
        <w:t>40 MHz</w:t>
      </w:r>
    </w:p>
    <w:p w:rsidR="00F41F7B" w:rsidRPr="006C17FA" w:rsidRDefault="00F41F7B" w:rsidP="000E098D">
      <w:r w:rsidRPr="006C17FA">
        <w:t>ERC/DEC</w:t>
      </w:r>
      <w:proofErr w:type="gramStart"/>
      <w:r w:rsidRPr="006C17FA">
        <w:t>/(</w:t>
      </w:r>
      <w:proofErr w:type="gramEnd"/>
      <w:r w:rsidRPr="006C17FA">
        <w:t xml:space="preserve">01)17 </w:t>
      </w:r>
      <w:r w:rsidRPr="006C17FA">
        <w:tab/>
        <w:t xml:space="preserve">Medical Implants </w:t>
      </w:r>
      <w:r w:rsidRPr="006C17FA">
        <w:tab/>
      </w:r>
      <w:r w:rsidRPr="006C17FA">
        <w:tab/>
        <w:t>40</w:t>
      </w:r>
      <w:r w:rsidR="00F21C58">
        <w:t>1</w:t>
      </w:r>
      <w:r w:rsidRPr="006C17FA">
        <w:t>-40</w:t>
      </w:r>
      <w:r w:rsidR="00F21C58">
        <w:t>6</w:t>
      </w:r>
      <w:r w:rsidRPr="006C17FA">
        <w:t xml:space="preserve"> MHz</w:t>
      </w:r>
    </w:p>
    <w:p w:rsidR="00F41F7B" w:rsidRPr="006C17FA" w:rsidRDefault="00F41F7B" w:rsidP="000E098D">
      <w:r w:rsidRPr="006C17FA">
        <w:t>ECC/DEC</w:t>
      </w:r>
      <w:proofErr w:type="gramStart"/>
      <w:r w:rsidRPr="006C17FA">
        <w:t>/(</w:t>
      </w:r>
      <w:proofErr w:type="gramEnd"/>
      <w:r w:rsidRPr="006C17FA">
        <w:t xml:space="preserve">01)01 </w:t>
      </w:r>
      <w:r w:rsidRPr="006C17FA">
        <w:tab/>
        <w:t xml:space="preserve">CT1 and CT1+ </w:t>
      </w:r>
      <w:r w:rsidRPr="006C17FA">
        <w:tab/>
      </w:r>
      <w:r w:rsidRPr="006C17FA">
        <w:tab/>
      </w:r>
      <w:r w:rsidRPr="006C17FA">
        <w:tab/>
        <w:t>Phasing out</w:t>
      </w:r>
    </w:p>
    <w:p w:rsidR="00F41F7B" w:rsidRPr="006C17FA" w:rsidRDefault="00F41F7B" w:rsidP="000E098D">
      <w:r w:rsidRPr="006C17FA">
        <w:t>ECC/DEC</w:t>
      </w:r>
      <w:proofErr w:type="gramStart"/>
      <w:r w:rsidRPr="006C17FA">
        <w:t>/(</w:t>
      </w:r>
      <w:proofErr w:type="gramEnd"/>
      <w:r w:rsidRPr="006C17FA">
        <w:t xml:space="preserve">01)02 </w:t>
      </w:r>
      <w:r w:rsidRPr="006C17FA">
        <w:tab/>
        <w:t xml:space="preserve">CT2 </w:t>
      </w:r>
      <w:r w:rsidRPr="006C17FA">
        <w:tab/>
      </w:r>
      <w:r w:rsidRPr="006C17FA">
        <w:tab/>
      </w:r>
      <w:r w:rsidRPr="006C17FA">
        <w:tab/>
      </w:r>
      <w:r w:rsidRPr="006C17FA">
        <w:tab/>
        <w:t>Phasing out</w:t>
      </w:r>
    </w:p>
    <w:p w:rsidR="00F41F7B" w:rsidRPr="006C17FA" w:rsidRDefault="00F41F7B" w:rsidP="000E098D">
      <w:r w:rsidRPr="006C17FA">
        <w:t>ECC/DEC</w:t>
      </w:r>
      <w:proofErr w:type="gramStart"/>
      <w:r w:rsidRPr="006C17FA">
        <w:t>/(</w:t>
      </w:r>
      <w:proofErr w:type="gramEnd"/>
      <w:r w:rsidRPr="006C17FA">
        <w:t xml:space="preserve">04)03 </w:t>
      </w:r>
      <w:r w:rsidRPr="006C17FA">
        <w:tab/>
        <w:t xml:space="preserve">SRR </w:t>
      </w:r>
      <w:r w:rsidRPr="006C17FA">
        <w:tab/>
      </w:r>
      <w:r w:rsidRPr="006C17FA">
        <w:tab/>
      </w:r>
      <w:r w:rsidRPr="006C17FA">
        <w:tab/>
      </w:r>
      <w:r w:rsidRPr="006C17FA">
        <w:tab/>
        <w:t>77-81 GHz</w:t>
      </w:r>
    </w:p>
    <w:p w:rsidR="00F41F7B" w:rsidRDefault="00F41F7B" w:rsidP="000E098D">
      <w:r w:rsidRPr="006C17FA">
        <w:t>ECC/DEC</w:t>
      </w:r>
      <w:proofErr w:type="gramStart"/>
      <w:r w:rsidRPr="006C17FA">
        <w:t>/(</w:t>
      </w:r>
      <w:proofErr w:type="gramEnd"/>
      <w:r w:rsidRPr="006C17FA">
        <w:t xml:space="preserve">04)10 </w:t>
      </w:r>
      <w:r w:rsidRPr="006C17FA">
        <w:tab/>
        <w:t xml:space="preserve">SRR </w:t>
      </w:r>
      <w:r w:rsidRPr="006C17FA">
        <w:tab/>
      </w:r>
      <w:r w:rsidRPr="006C17FA">
        <w:tab/>
      </w:r>
      <w:r w:rsidRPr="006C17FA">
        <w:tab/>
      </w:r>
      <w:r w:rsidRPr="006C17FA">
        <w:tab/>
        <w:t>24 GHz</w:t>
      </w:r>
    </w:p>
    <w:p w:rsidR="00D012B9" w:rsidRPr="006C17FA" w:rsidRDefault="00D012B9" w:rsidP="000E098D">
      <w:r w:rsidRPr="00D012B9">
        <w:t>ECC/DEC</w:t>
      </w:r>
      <w:proofErr w:type="gramStart"/>
      <w:r w:rsidRPr="00D012B9">
        <w:t>/(</w:t>
      </w:r>
      <w:proofErr w:type="gramEnd"/>
      <w:r w:rsidRPr="00D012B9">
        <w:t xml:space="preserve">05)02 </w:t>
      </w:r>
      <w:r w:rsidRPr="00D012B9">
        <w:tab/>
        <w:t xml:space="preserve">169.4-169.8125 MHz </w:t>
      </w:r>
      <w:r w:rsidRPr="00D012B9">
        <w:tab/>
      </w:r>
      <w:r w:rsidRPr="00D012B9">
        <w:tab/>
        <w:t>Band plan</w:t>
      </w:r>
    </w:p>
    <w:p w:rsidR="00F41F7B" w:rsidRPr="006C17FA" w:rsidRDefault="00F41F7B" w:rsidP="000E098D">
      <w:r w:rsidRPr="006C17FA">
        <w:t>ECC/DEC</w:t>
      </w:r>
      <w:proofErr w:type="gramStart"/>
      <w:r w:rsidRPr="006C17FA">
        <w:t>/(</w:t>
      </w:r>
      <w:proofErr w:type="gramEnd"/>
      <w:r w:rsidRPr="006C17FA">
        <w:t xml:space="preserve">06)04 </w:t>
      </w:r>
      <w:r w:rsidRPr="006C17FA">
        <w:tab/>
        <w:t xml:space="preserve">UWB </w:t>
      </w:r>
      <w:r w:rsidRPr="006C17FA">
        <w:tab/>
      </w:r>
      <w:r w:rsidRPr="006C17FA">
        <w:tab/>
      </w:r>
      <w:r w:rsidRPr="006C17FA">
        <w:tab/>
      </w:r>
      <w:r w:rsidRPr="006C17FA">
        <w:tab/>
        <w:t>below 10.6 GHz</w:t>
      </w:r>
      <w:r w:rsidR="00F21C58">
        <w:t xml:space="preserve"> and with mitigation techniques</w:t>
      </w:r>
    </w:p>
    <w:p w:rsidR="00F41F7B" w:rsidRPr="006C17FA" w:rsidRDefault="00F41F7B" w:rsidP="000E098D">
      <w:r w:rsidRPr="006C17FA">
        <w:t>ECC/DEC</w:t>
      </w:r>
      <w:proofErr w:type="gramStart"/>
      <w:r w:rsidRPr="006C17FA">
        <w:t>/(</w:t>
      </w:r>
      <w:proofErr w:type="gramEnd"/>
      <w:r w:rsidRPr="006C17FA">
        <w:t xml:space="preserve">06)08 </w:t>
      </w:r>
      <w:r w:rsidRPr="006C17FA">
        <w:tab/>
        <w:t>GPR/WPR imaging systems</w:t>
      </w:r>
    </w:p>
    <w:p w:rsidR="00F41F7B" w:rsidRPr="006C17FA" w:rsidRDefault="00F41F7B" w:rsidP="000E098D">
      <w:r w:rsidRPr="006C17FA">
        <w:t>ECC/DEC</w:t>
      </w:r>
      <w:proofErr w:type="gramStart"/>
      <w:r w:rsidRPr="006C17FA">
        <w:t>/(</w:t>
      </w:r>
      <w:proofErr w:type="gramEnd"/>
      <w:r w:rsidRPr="006C17FA">
        <w:t xml:space="preserve">07)01 </w:t>
      </w:r>
      <w:r w:rsidRPr="006C17FA">
        <w:tab/>
        <w:t>UWB Material Sensing devices</w:t>
      </w:r>
    </w:p>
    <w:p w:rsidR="00F41F7B" w:rsidRDefault="00F41F7B" w:rsidP="000E098D">
      <w:r w:rsidRPr="006C17FA">
        <w:t>ECC/DEC</w:t>
      </w:r>
      <w:proofErr w:type="gramStart"/>
      <w:r w:rsidRPr="006C17FA">
        <w:t>/(</w:t>
      </w:r>
      <w:proofErr w:type="gramEnd"/>
      <w:r w:rsidRPr="006C17FA">
        <w:t xml:space="preserve">11)02 </w:t>
      </w:r>
      <w:r w:rsidRPr="006C17FA">
        <w:tab/>
        <w:t xml:space="preserve">LPR </w:t>
      </w:r>
      <w:r w:rsidRPr="006C17FA">
        <w:tab/>
      </w:r>
      <w:r w:rsidRPr="006C17FA">
        <w:tab/>
      </w:r>
      <w:r w:rsidRPr="006C17FA">
        <w:tab/>
      </w:r>
      <w:r w:rsidRPr="006C17FA">
        <w:tab/>
        <w:t>8 GHz, 25 GHz, 60 GHz and 80 GHz</w:t>
      </w:r>
    </w:p>
    <w:p w:rsidR="00D012B9" w:rsidRPr="006C17FA" w:rsidRDefault="00D012B9" w:rsidP="000E098D">
      <w:r>
        <w:t>ECC/DEC</w:t>
      </w:r>
      <w:proofErr w:type="gramStart"/>
      <w:r>
        <w:t>/(</w:t>
      </w:r>
      <w:proofErr w:type="gramEnd"/>
      <w:r>
        <w:t>12)03</w:t>
      </w:r>
      <w:r>
        <w:tab/>
        <w:t>UWB onboard aircraft</w:t>
      </w:r>
      <w:r>
        <w:tab/>
      </w:r>
      <w:r>
        <w:tab/>
        <w:t>6-8.5 GHz</w:t>
      </w:r>
    </w:p>
    <w:p w:rsidR="00F41F7B" w:rsidRPr="006C17FA" w:rsidRDefault="00F41F7B" w:rsidP="000E098D"/>
    <w:p w:rsidR="00F41F7B" w:rsidRPr="006C17FA" w:rsidRDefault="00F41F7B" w:rsidP="000E098D">
      <w:pPr>
        <w:rPr>
          <w:b/>
          <w:sz w:val="28"/>
          <w:szCs w:val="28"/>
        </w:rPr>
      </w:pPr>
      <w:r w:rsidRPr="006C17FA">
        <w:rPr>
          <w:b/>
          <w:sz w:val="28"/>
          <w:szCs w:val="28"/>
        </w:rPr>
        <w:t>Maritime service (</w:t>
      </w:r>
      <w:r w:rsidR="006E7677">
        <w:rPr>
          <w:b/>
          <w:sz w:val="28"/>
          <w:szCs w:val="28"/>
        </w:rPr>
        <w:t>total</w:t>
      </w:r>
      <w:r w:rsidR="006E7677">
        <w:rPr>
          <w:b/>
          <w:sz w:val="28"/>
          <w:szCs w:val="28"/>
          <w:lang w:val="en-US"/>
        </w:rPr>
        <w:t>:</w:t>
      </w:r>
      <w:r w:rsidR="006E7677">
        <w:rPr>
          <w:b/>
          <w:sz w:val="28"/>
          <w:szCs w:val="28"/>
        </w:rPr>
        <w:t xml:space="preserve"> </w:t>
      </w:r>
      <w:r w:rsidRPr="006C17FA">
        <w:rPr>
          <w:b/>
          <w:sz w:val="28"/>
          <w:szCs w:val="28"/>
        </w:rPr>
        <w:t>2)</w:t>
      </w:r>
    </w:p>
    <w:p w:rsidR="00F41F7B" w:rsidRPr="002B42DE" w:rsidRDefault="00F41F7B" w:rsidP="000E098D">
      <w:pPr>
        <w:rPr>
          <w:lang w:val="fr-FR"/>
        </w:rPr>
      </w:pPr>
      <w:r w:rsidRPr="002B42DE">
        <w:rPr>
          <w:lang w:val="fr-FR"/>
        </w:rPr>
        <w:t xml:space="preserve">ERC/DEC/(99)17 </w:t>
      </w:r>
      <w:r w:rsidRPr="002B42DE">
        <w:rPr>
          <w:lang w:val="fr-FR"/>
        </w:rPr>
        <w:tab/>
        <w:t>AIS in VHF</w:t>
      </w:r>
    </w:p>
    <w:p w:rsidR="00F41F7B" w:rsidRPr="002B42DE" w:rsidRDefault="00F41F7B" w:rsidP="00111D74">
      <w:pPr>
        <w:rPr>
          <w:lang w:val="fr-FR"/>
        </w:rPr>
      </w:pPr>
      <w:r w:rsidRPr="002B42DE">
        <w:rPr>
          <w:lang w:val="fr-FR"/>
        </w:rPr>
        <w:t xml:space="preserve">ERC/DEC/(99)01 </w:t>
      </w:r>
      <w:r w:rsidRPr="002B42DE">
        <w:rPr>
          <w:lang w:val="fr-FR"/>
        </w:rPr>
        <w:tab/>
      </w:r>
      <w:proofErr w:type="spellStart"/>
      <w:r w:rsidRPr="002B42DE">
        <w:rPr>
          <w:lang w:val="fr-FR"/>
        </w:rPr>
        <w:t>Examination</w:t>
      </w:r>
      <w:proofErr w:type="spellEnd"/>
      <w:r w:rsidRPr="002B42DE">
        <w:rPr>
          <w:lang w:val="fr-FR"/>
        </w:rPr>
        <w:t xml:space="preserve"> </w:t>
      </w:r>
      <w:proofErr w:type="spellStart"/>
      <w:r w:rsidRPr="002B42DE">
        <w:rPr>
          <w:lang w:val="fr-FR"/>
        </w:rPr>
        <w:t>syllabi</w:t>
      </w:r>
      <w:proofErr w:type="spellEnd"/>
    </w:p>
    <w:p w:rsidR="00314164" w:rsidRPr="002B42DE" w:rsidRDefault="00314164" w:rsidP="00D0793D">
      <w:pPr>
        <w:jc w:val="right"/>
        <w:rPr>
          <w:lang w:val="fr-FR"/>
        </w:rPr>
      </w:pPr>
    </w:p>
    <w:p w:rsidR="00314164" w:rsidRPr="002B42DE" w:rsidRDefault="00314164">
      <w:pPr>
        <w:rPr>
          <w:lang w:val="fr-FR"/>
        </w:rPr>
      </w:pPr>
      <w:r w:rsidRPr="002B42DE">
        <w:rPr>
          <w:lang w:val="fr-FR"/>
        </w:rPr>
        <w:br w:type="page"/>
      </w:r>
    </w:p>
    <w:p w:rsidR="008E51F4" w:rsidRPr="000F2160" w:rsidRDefault="008E51F4">
      <w:pPr>
        <w:rPr>
          <w:b/>
        </w:rPr>
      </w:pPr>
      <w:proofErr w:type="gramStart"/>
      <w:r w:rsidRPr="000F2160">
        <w:rPr>
          <w:b/>
        </w:rPr>
        <w:lastRenderedPageBreak/>
        <w:t xml:space="preserve">Standardisation </w:t>
      </w:r>
      <w:r w:rsidR="006775F5" w:rsidRPr="000F2160">
        <w:rPr>
          <w:b/>
        </w:rPr>
        <w:t xml:space="preserve"> activities</w:t>
      </w:r>
      <w:proofErr w:type="gramEnd"/>
      <w:r w:rsidR="00B6790A">
        <w:rPr>
          <w:b/>
        </w:rPr>
        <w:t xml:space="preserve"> </w:t>
      </w:r>
      <w:r w:rsidRPr="000F2160">
        <w:rPr>
          <w:b/>
        </w:rPr>
        <w:t>/ Harmonised Standards in relation to ERC-REC 70-03:</w:t>
      </w:r>
    </w:p>
    <w:p w:rsidR="008E51F4" w:rsidRDefault="008E51F4"/>
    <w:tbl>
      <w:tblPr>
        <w:tblW w:w="13395" w:type="dxa"/>
        <w:tblInd w:w="55" w:type="dxa"/>
        <w:tblCellMar>
          <w:left w:w="70" w:type="dxa"/>
          <w:right w:w="70" w:type="dxa"/>
        </w:tblCellMar>
        <w:tblLook w:val="04A0" w:firstRow="1" w:lastRow="0" w:firstColumn="1" w:lastColumn="0" w:noHBand="0" w:noVBand="1"/>
      </w:tblPr>
      <w:tblGrid>
        <w:gridCol w:w="2992"/>
        <w:gridCol w:w="4536"/>
        <w:gridCol w:w="5867"/>
      </w:tblGrid>
      <w:tr w:rsidR="00314164" w:rsidRPr="00314164" w:rsidTr="00314164">
        <w:trPr>
          <w:trHeight w:val="1350"/>
        </w:trPr>
        <w:tc>
          <w:tcPr>
            <w:tcW w:w="2992" w:type="dxa"/>
            <w:tcBorders>
              <w:top w:val="single" w:sz="4" w:space="0" w:color="auto"/>
              <w:left w:val="nil"/>
              <w:bottom w:val="single" w:sz="4" w:space="0" w:color="auto"/>
              <w:right w:val="single" w:sz="4" w:space="0" w:color="auto"/>
            </w:tcBorders>
            <w:shd w:val="clear" w:color="000000" w:fill="FFFFFF"/>
            <w:vAlign w:val="center"/>
          </w:tcPr>
          <w:p w:rsidR="00314164" w:rsidRPr="00314164" w:rsidRDefault="00314164" w:rsidP="00314164">
            <w:pPr>
              <w:rPr>
                <w:rFonts w:ascii="Arial" w:hAnsi="Arial" w:cs="Arial"/>
                <w:b/>
                <w:color w:val="0000FF"/>
                <w:sz w:val="16"/>
                <w:szCs w:val="16"/>
                <w:u w:val="single"/>
                <w:lang w:val="da-DK" w:eastAsia="da-DK"/>
              </w:rPr>
            </w:pPr>
            <w:r w:rsidRPr="00314164">
              <w:rPr>
                <w:rFonts w:ascii="Arial" w:hAnsi="Arial" w:cs="Arial"/>
                <w:b/>
                <w:sz w:val="16"/>
                <w:szCs w:val="16"/>
                <w:lang w:val="da-DK" w:eastAsia="da-DK"/>
              </w:rPr>
              <w:t>Standards</w:t>
            </w:r>
          </w:p>
        </w:tc>
        <w:tc>
          <w:tcPr>
            <w:tcW w:w="4536" w:type="dxa"/>
            <w:tcBorders>
              <w:top w:val="single" w:sz="4" w:space="0" w:color="auto"/>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b/>
                <w:sz w:val="16"/>
                <w:szCs w:val="16"/>
                <w:lang w:val="en-US" w:eastAsia="da-DK"/>
              </w:rPr>
            </w:pPr>
            <w:r w:rsidRPr="00314164">
              <w:rPr>
                <w:rFonts w:ascii="Arial" w:hAnsi="Arial" w:cs="Arial"/>
                <w:b/>
                <w:sz w:val="16"/>
                <w:szCs w:val="16"/>
                <w:lang w:val="en-US" w:eastAsia="da-DK"/>
              </w:rPr>
              <w:t>Scope and status</w:t>
            </w:r>
          </w:p>
        </w:tc>
        <w:tc>
          <w:tcPr>
            <w:tcW w:w="5867" w:type="dxa"/>
            <w:tcBorders>
              <w:top w:val="single" w:sz="4" w:space="0" w:color="auto"/>
              <w:left w:val="nil"/>
              <w:bottom w:val="single" w:sz="4" w:space="0" w:color="auto"/>
              <w:right w:val="single" w:sz="4" w:space="0" w:color="auto"/>
            </w:tcBorders>
            <w:shd w:val="clear" w:color="auto" w:fill="auto"/>
            <w:vAlign w:val="center"/>
          </w:tcPr>
          <w:p w:rsidR="003F7E18" w:rsidRDefault="008E51F4">
            <w:pPr>
              <w:rPr>
                <w:rFonts w:ascii="Arial" w:hAnsi="Arial" w:cs="Arial"/>
                <w:b/>
                <w:sz w:val="16"/>
                <w:szCs w:val="16"/>
                <w:lang w:val="en-US" w:eastAsia="da-DK"/>
              </w:rPr>
            </w:pPr>
            <w:r>
              <w:rPr>
                <w:rFonts w:ascii="Arial" w:hAnsi="Arial" w:cs="Arial"/>
                <w:b/>
                <w:sz w:val="16"/>
                <w:szCs w:val="16"/>
                <w:lang w:val="en-US" w:eastAsia="da-DK"/>
              </w:rPr>
              <w:t>Comments</w:t>
            </w:r>
            <w:r w:rsidR="00314164" w:rsidRPr="00314164">
              <w:rPr>
                <w:rFonts w:ascii="Arial" w:hAnsi="Arial" w:cs="Arial"/>
                <w:b/>
                <w:sz w:val="16"/>
                <w:szCs w:val="16"/>
                <w:lang w:val="en-US" w:eastAsia="da-DK"/>
              </w:rPr>
              <w:t xml:space="preserve"> </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0" w:history="1">
              <w:r w:rsidR="00314164" w:rsidRPr="00314164">
                <w:rPr>
                  <w:rFonts w:ascii="Arial" w:hAnsi="Arial" w:cs="Arial"/>
                  <w:color w:val="0000FF"/>
                  <w:sz w:val="16"/>
                  <w:szCs w:val="16"/>
                  <w:u w:val="single"/>
                  <w:lang w:val="en-US" w:eastAsia="da-DK"/>
                </w:rPr>
                <w:t xml:space="preserve">(EN 300 330-2) REN/ERM-TG28-0437 </w:t>
              </w:r>
              <w:r w:rsidR="00314164" w:rsidRPr="00314164">
                <w:rPr>
                  <w:rFonts w:ascii="Arial" w:hAnsi="Arial" w:cs="Arial"/>
                  <w:color w:val="0000FF"/>
                  <w:sz w:val="16"/>
                  <w:szCs w:val="16"/>
                  <w:u w:val="single"/>
                  <w:lang w:val="en-US" w:eastAsia="da-DK"/>
                </w:rPr>
                <w:br/>
                <w:t xml:space="preserve">Short Range Devices (SRD); </w:t>
              </w:r>
              <w:r w:rsidR="00314164" w:rsidRPr="00314164">
                <w:rPr>
                  <w:rFonts w:ascii="Arial" w:hAnsi="Arial" w:cs="Arial"/>
                  <w:color w:val="0000FF"/>
                  <w:sz w:val="16"/>
                  <w:szCs w:val="16"/>
                  <w:u w:val="single"/>
                  <w:lang w:val="en-US" w:eastAsia="da-DK"/>
                </w:rPr>
                <w:br/>
                <w:t xml:space="preserve">Radio equipment in the frequency range 9 kHz to 25 MHz and inductive loop systems in the frequency range 9 kHz to 30 MHz; </w:t>
              </w:r>
              <w:r w:rsidR="00314164" w:rsidRPr="00314164">
                <w:rPr>
                  <w:rFonts w:ascii="Arial" w:hAnsi="Arial" w:cs="Arial"/>
                  <w:color w:val="0000FF"/>
                  <w:sz w:val="16"/>
                  <w:szCs w:val="16"/>
                  <w:u w:val="single"/>
                  <w:lang w:val="en-US" w:eastAsia="da-DK"/>
                </w:rPr>
                <w:br/>
                <w:t>Part 2: Harmonized EN covering the essential requirements of article 3.2 of the R&amp;TTE Directive</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 xml:space="preserve">Revision of the EN 300 330-2 dealing with SRD in the frequency range 9 kHz to 25 MHz and inductive loop systems in the frequency range 9 kHz to 30 </w:t>
            </w:r>
            <w:proofErr w:type="spellStart"/>
            <w:r w:rsidRPr="00314164">
              <w:rPr>
                <w:rFonts w:ascii="Arial" w:hAnsi="Arial" w:cs="Arial"/>
                <w:sz w:val="16"/>
                <w:szCs w:val="16"/>
                <w:lang w:val="en-US" w:eastAsia="da-DK"/>
              </w:rPr>
              <w:t>MHz.</w:t>
            </w:r>
            <w:proofErr w:type="spellEnd"/>
            <w:r w:rsidRPr="00314164">
              <w:rPr>
                <w:rFonts w:ascii="Arial" w:hAnsi="Arial" w:cs="Arial"/>
                <w:sz w:val="16"/>
                <w:szCs w:val="16"/>
                <w:lang w:val="en-US" w:eastAsia="da-DK"/>
              </w:rPr>
              <w:t xml:space="preserve"> The main objective is to amend the spectrum emission masks for 13.56 MHz RFID masks and to address wireless chargers. </w:t>
            </w:r>
          </w:p>
        </w:tc>
        <w:tc>
          <w:tcPr>
            <w:tcW w:w="5867" w:type="dxa"/>
            <w:tcBorders>
              <w:top w:val="nil"/>
              <w:left w:val="nil"/>
              <w:bottom w:val="single" w:sz="4" w:space="0" w:color="auto"/>
              <w:right w:val="single" w:sz="4" w:space="0" w:color="auto"/>
            </w:tcBorders>
            <w:shd w:val="clear" w:color="000000" w:fill="FFFFFF"/>
            <w:vAlign w:val="center"/>
          </w:tcPr>
          <w:p w:rsidR="00314164" w:rsidRPr="00314164" w:rsidRDefault="00314164" w:rsidP="00314164">
            <w:pPr>
              <w:rPr>
                <w:rFonts w:ascii="Arial" w:hAnsi="Arial" w:cs="Arial"/>
                <w:b/>
                <w:sz w:val="16"/>
                <w:szCs w:val="16"/>
                <w:lang w:val="en-US" w:eastAsia="da-DK"/>
              </w:rPr>
            </w:pPr>
            <w:r w:rsidRPr="00314164">
              <w:rPr>
                <w:rFonts w:ascii="Arial" w:hAnsi="Arial" w:cs="Arial"/>
                <w:b/>
                <w:sz w:val="16"/>
                <w:szCs w:val="16"/>
                <w:lang w:val="en-US" w:eastAsia="da-DK"/>
              </w:rPr>
              <w:t xml:space="preserve">SE24 developed draft ECC Report 208 to account a new emission mask for 13.56 MHz RFID. ETSI ERM and SRD/MG consider the results of ECC Report 208 in updating standard and regulation. </w:t>
            </w:r>
            <w:r w:rsidR="008E51F4">
              <w:rPr>
                <w:rFonts w:ascii="Arial" w:hAnsi="Arial" w:cs="Arial"/>
                <w:b/>
                <w:sz w:val="16"/>
                <w:szCs w:val="16"/>
                <w:lang w:val="en-US" w:eastAsia="da-DK"/>
              </w:rPr>
              <w:t>SRD/MG: Updater of Annex 9 of REC 70-03; ERM TG28: update EN 300 330; EN 300 291 can be withdrawn.</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b/>
                <w:sz w:val="16"/>
                <w:szCs w:val="16"/>
                <w:lang w:val="en-US" w:eastAsia="da-DK"/>
              </w:rPr>
              <w:t xml:space="preserve"> .</w:t>
            </w:r>
          </w:p>
        </w:tc>
      </w:tr>
      <w:tr w:rsidR="00314164" w:rsidRPr="00314164" w:rsidTr="00314164">
        <w:trPr>
          <w:trHeight w:val="1125"/>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1" w:history="1">
              <w:r w:rsidR="00314164" w:rsidRPr="00314164">
                <w:rPr>
                  <w:rFonts w:ascii="Arial" w:hAnsi="Arial" w:cs="Arial"/>
                  <w:color w:val="0000FF"/>
                  <w:sz w:val="16"/>
                  <w:szCs w:val="16"/>
                  <w:u w:val="single"/>
                  <w:lang w:val="en-US" w:eastAsia="da-DK"/>
                </w:rPr>
                <w:t>(EN 302 065-1)REN/ERM-TGUWB-016</w:t>
              </w:r>
              <w:r w:rsidR="00314164" w:rsidRPr="00314164">
                <w:rPr>
                  <w:rFonts w:ascii="Arial" w:hAnsi="Arial" w:cs="Arial"/>
                  <w:color w:val="0000FF"/>
                  <w:sz w:val="16"/>
                  <w:szCs w:val="16"/>
                  <w:u w:val="single"/>
                  <w:lang w:val="en-US" w:eastAsia="da-DK"/>
                </w:rPr>
                <w:br/>
                <w:t xml:space="preserve">SRD using UWB technology for communications purposes; Harmonized EN covering the essential requirements of article 3.2 of the R&amp;TTE Directive; </w:t>
              </w:r>
              <w:r w:rsidR="00314164" w:rsidRPr="00314164">
                <w:rPr>
                  <w:rFonts w:ascii="Arial" w:hAnsi="Arial" w:cs="Arial"/>
                  <w:color w:val="0000FF"/>
                  <w:sz w:val="16"/>
                  <w:szCs w:val="16"/>
                  <w:u w:val="single"/>
                  <w:lang w:val="en-US" w:eastAsia="da-DK"/>
                </w:rPr>
                <w:br/>
                <w:t>Part 1: Common technical requirements</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val="en-US" w:eastAsia="da-DK"/>
              </w:rPr>
              <w:t xml:space="preserve">Revision (version 1.3.1) of the EN dealing with transmitters and receivers utilizing Ultra </w:t>
            </w:r>
            <w:proofErr w:type="spellStart"/>
            <w:r w:rsidRPr="00314164">
              <w:rPr>
                <w:rFonts w:ascii="Arial" w:hAnsi="Arial" w:cs="Arial"/>
                <w:sz w:val="16"/>
                <w:szCs w:val="16"/>
                <w:lang w:val="en-US" w:eastAsia="da-DK"/>
              </w:rPr>
              <w:t>WideBand</w:t>
            </w:r>
            <w:proofErr w:type="spellEnd"/>
            <w:r w:rsidRPr="00314164">
              <w:rPr>
                <w:rFonts w:ascii="Arial" w:hAnsi="Arial" w:cs="Arial"/>
                <w:sz w:val="16"/>
                <w:szCs w:val="16"/>
                <w:lang w:val="en-US" w:eastAsia="da-DK"/>
              </w:rPr>
              <w:t xml:space="preserve"> (UWB) technologies and used for short range communication purposes in 3.1 GHz to </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.8 GHz and 6 GHz to 9 GHz. </w:t>
            </w:r>
            <w:r w:rsidRPr="00314164">
              <w:rPr>
                <w:rFonts w:ascii="Arial" w:hAnsi="Arial" w:cs="Arial"/>
                <w:sz w:val="16"/>
                <w:szCs w:val="16"/>
                <w:lang w:eastAsia="da-DK"/>
              </w:rPr>
              <w:t>Revision of EN for review and maintenance to include new simplified approach for standardisation framework for UWB in ETSI. The revised EN will also introduce a multipart structure and reflect the changes in the current regulation.</w:t>
            </w:r>
          </w:p>
          <w:p w:rsidR="00314164" w:rsidRPr="00314164" w:rsidRDefault="00314164" w:rsidP="00314164">
            <w:pPr>
              <w:jc w:val="center"/>
              <w:rPr>
                <w:rFonts w:ascii="Arial" w:hAnsi="Arial" w:cs="Arial"/>
                <w:b/>
                <w:sz w:val="16"/>
                <w:szCs w:val="16"/>
                <w:lang w:val="en-US" w:eastAsia="da-DK"/>
              </w:rPr>
            </w:pPr>
            <w:r w:rsidRPr="00314164">
              <w:rPr>
                <w:rFonts w:ascii="Arial" w:hAnsi="Arial" w:cs="Arial"/>
                <w:b/>
                <w:sz w:val="16"/>
                <w:szCs w:val="16"/>
                <w:lang w:val="en-US" w:eastAsia="da-DK"/>
              </w:rPr>
              <w:t>TG UWB is currently reviewing the comments received during the Approval process.</w:t>
            </w:r>
          </w:p>
          <w:p w:rsidR="00314164" w:rsidRPr="00314164" w:rsidRDefault="00314164" w:rsidP="00314164">
            <w:pPr>
              <w:jc w:val="center"/>
              <w:rPr>
                <w:rFonts w:ascii="Arial" w:hAnsi="Arial" w:cs="Arial"/>
                <w:b/>
                <w:sz w:val="16"/>
                <w:szCs w:val="16"/>
                <w:lang w:val="en-US" w:eastAsia="da-DK"/>
              </w:rPr>
            </w:pPr>
          </w:p>
          <w:p w:rsidR="00314164" w:rsidRPr="00314164" w:rsidRDefault="00314164" w:rsidP="00314164">
            <w:pPr>
              <w:jc w:val="center"/>
              <w:rPr>
                <w:rFonts w:ascii="Arial" w:hAnsi="Arial" w:cs="Arial"/>
                <w:sz w:val="16"/>
                <w:szCs w:val="16"/>
                <w:lang w:val="en-US" w:eastAsia="da-DK"/>
              </w:rPr>
            </w:pPr>
          </w:p>
          <w:p w:rsidR="00314164" w:rsidRPr="00314164" w:rsidRDefault="00314164" w:rsidP="00314164">
            <w:pPr>
              <w:jc w:val="center"/>
              <w:rPr>
                <w:rFonts w:ascii="Arial" w:hAnsi="Arial" w:cs="Arial"/>
                <w:sz w:val="16"/>
                <w:szCs w:val="16"/>
                <w:lang w:val="en-US" w:eastAsia="da-DK"/>
              </w:rPr>
            </w:pPr>
          </w:p>
        </w:tc>
        <w:tc>
          <w:tcPr>
            <w:tcW w:w="5867"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 xml:space="preserve">Limits consistent with ECC </w:t>
            </w:r>
            <w:proofErr w:type="gramStart"/>
            <w:r w:rsidRPr="00314164">
              <w:rPr>
                <w:rFonts w:ascii="Arial" w:hAnsi="Arial" w:cs="Arial"/>
                <w:sz w:val="16"/>
                <w:szCs w:val="16"/>
                <w:lang w:val="en-US" w:eastAsia="da-DK"/>
              </w:rPr>
              <w:t>DEC(</w:t>
            </w:r>
            <w:proofErr w:type="gramEnd"/>
            <w:r w:rsidRPr="00314164">
              <w:rPr>
                <w:rFonts w:ascii="Arial" w:hAnsi="Arial" w:cs="Arial"/>
                <w:sz w:val="16"/>
                <w:szCs w:val="16"/>
                <w:lang w:val="en-US" w:eastAsia="da-DK"/>
              </w:rPr>
              <w:t>06)0</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 (Amended December 2011). Refers also to ECC Report 120 on DAA for UWB. </w:t>
            </w:r>
          </w:p>
          <w:p w:rsidR="00256AB5" w:rsidRDefault="00314164">
            <w:pPr>
              <w:rPr>
                <w:rFonts w:ascii="Arial" w:hAnsi="Arial" w:cs="Arial"/>
                <w:sz w:val="16"/>
                <w:szCs w:val="16"/>
                <w:lang w:val="en-US" w:eastAsia="da-DK"/>
              </w:rPr>
            </w:pPr>
            <w:r w:rsidRPr="00314164">
              <w:rPr>
                <w:rFonts w:ascii="Arial" w:hAnsi="Arial" w:cs="Arial"/>
                <w:b/>
                <w:sz w:val="16"/>
                <w:szCs w:val="16"/>
                <w:lang w:val="en-US" w:eastAsia="da-DK"/>
              </w:rPr>
              <w:t>No required action identified</w:t>
            </w:r>
            <w:r w:rsidR="008E51F4">
              <w:rPr>
                <w:rFonts w:ascii="Arial" w:hAnsi="Arial" w:cs="Arial"/>
                <w:b/>
                <w:sz w:val="16"/>
                <w:szCs w:val="16"/>
                <w:lang w:val="en-US" w:eastAsia="da-DK"/>
              </w:rPr>
              <w:t xml:space="preserve"> yet. </w:t>
            </w:r>
            <w:r w:rsidRPr="00314164">
              <w:rPr>
                <w:rFonts w:ascii="Arial" w:hAnsi="Arial" w:cs="Arial"/>
                <w:b/>
                <w:sz w:val="16"/>
                <w:szCs w:val="16"/>
                <w:lang w:val="en-US" w:eastAsia="da-DK"/>
              </w:rPr>
              <w:t>It is noted that ECC/DEC</w:t>
            </w:r>
            <w:proofErr w:type="gramStart"/>
            <w:r w:rsidRPr="00314164">
              <w:rPr>
                <w:rFonts w:ascii="Arial" w:hAnsi="Arial" w:cs="Arial"/>
                <w:b/>
                <w:sz w:val="16"/>
                <w:szCs w:val="16"/>
                <w:lang w:val="en-US" w:eastAsia="da-DK"/>
              </w:rPr>
              <w:t>/(</w:t>
            </w:r>
            <w:proofErr w:type="gramEnd"/>
            <w:r w:rsidRPr="00314164">
              <w:rPr>
                <w:rFonts w:ascii="Arial" w:hAnsi="Arial" w:cs="Arial"/>
                <w:b/>
                <w:sz w:val="16"/>
                <w:szCs w:val="16"/>
                <w:lang w:val="en-US" w:eastAsia="da-DK"/>
              </w:rPr>
              <w:t>06)04 is to be reviewed in 2014 by SRD/MG.</w:t>
            </w:r>
            <w:r w:rsidR="008E51F4">
              <w:rPr>
                <w:rFonts w:ascii="Arial" w:hAnsi="Arial" w:cs="Arial"/>
                <w:b/>
                <w:sz w:val="16"/>
                <w:szCs w:val="16"/>
                <w:lang w:val="en-US" w:eastAsia="da-DK"/>
              </w:rPr>
              <w:t xml:space="preserve"> So far, no technical item identified that makes the revision of ECC/DEC/(06)04 mandatory,</w:t>
            </w:r>
          </w:p>
        </w:tc>
      </w:tr>
      <w:tr w:rsidR="00314164" w:rsidRPr="00314164" w:rsidTr="00314164">
        <w:trPr>
          <w:trHeight w:val="90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2" w:history="1">
              <w:r w:rsidR="00314164" w:rsidRPr="00314164">
                <w:rPr>
                  <w:rFonts w:ascii="Arial" w:hAnsi="Arial" w:cs="Arial"/>
                  <w:color w:val="0000FF"/>
                  <w:sz w:val="16"/>
                  <w:szCs w:val="16"/>
                  <w:u w:val="single"/>
                  <w:lang w:val="en-US" w:eastAsia="da-DK"/>
                </w:rPr>
                <w:t>(EN 302 065-2) DEN/ERM-TGUWB-017</w:t>
              </w:r>
              <w:r w:rsidR="00314164" w:rsidRPr="00314164">
                <w:rPr>
                  <w:rFonts w:ascii="Arial" w:hAnsi="Arial" w:cs="Arial"/>
                  <w:color w:val="0000FF"/>
                  <w:sz w:val="16"/>
                  <w:szCs w:val="16"/>
                  <w:u w:val="single"/>
                  <w:lang w:val="en-US" w:eastAsia="da-DK"/>
                </w:rPr>
                <w:br/>
                <w:t>SRD using UWB for communications purposes; Harmonized EN covering the essential requirements of article 3.2 of the R&amp;TTE Directive;</w:t>
              </w:r>
              <w:r w:rsidR="00314164" w:rsidRPr="00314164">
                <w:rPr>
                  <w:rFonts w:ascii="Arial" w:hAnsi="Arial" w:cs="Arial"/>
                  <w:color w:val="0000FF"/>
                  <w:sz w:val="16"/>
                  <w:szCs w:val="16"/>
                  <w:u w:val="single"/>
                  <w:lang w:val="en-US" w:eastAsia="da-DK"/>
                </w:rPr>
                <w:br/>
                <w:t>Part 2: Requirements for UWB location tracking</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val="en-US" w:eastAsia="da-DK"/>
              </w:rPr>
              <w:t xml:space="preserve">New EN dealing with transmitters and receivers utilizing Ultra </w:t>
            </w:r>
            <w:proofErr w:type="spellStart"/>
            <w:r w:rsidRPr="00314164">
              <w:rPr>
                <w:rFonts w:ascii="Arial" w:hAnsi="Arial" w:cs="Arial"/>
                <w:sz w:val="16"/>
                <w:szCs w:val="16"/>
                <w:lang w:val="en-US" w:eastAsia="da-DK"/>
              </w:rPr>
              <w:t>WideBand</w:t>
            </w:r>
            <w:proofErr w:type="spellEnd"/>
            <w:r w:rsidRPr="00314164">
              <w:rPr>
                <w:rFonts w:ascii="Arial" w:hAnsi="Arial" w:cs="Arial"/>
                <w:sz w:val="16"/>
                <w:szCs w:val="16"/>
                <w:lang w:val="en-US" w:eastAsia="da-DK"/>
              </w:rPr>
              <w:t xml:space="preserve"> (UWB) technologies and used for location </w:t>
            </w:r>
            <w:proofErr w:type="gramStart"/>
            <w:r w:rsidRPr="00314164">
              <w:rPr>
                <w:rFonts w:ascii="Arial" w:hAnsi="Arial" w:cs="Arial"/>
                <w:sz w:val="16"/>
                <w:szCs w:val="16"/>
                <w:lang w:val="en-US" w:eastAsia="da-DK"/>
              </w:rPr>
              <w:t>tracking  in</w:t>
            </w:r>
            <w:proofErr w:type="gramEnd"/>
            <w:r w:rsidRPr="00314164">
              <w:rPr>
                <w:rFonts w:ascii="Arial" w:hAnsi="Arial" w:cs="Arial"/>
                <w:sz w:val="16"/>
                <w:szCs w:val="16"/>
                <w:lang w:val="en-US" w:eastAsia="da-DK"/>
              </w:rPr>
              <w:t xml:space="preserve"> 3.1 GHz to </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.8 GHz and  6 GHz to 9 GHz. </w:t>
            </w:r>
            <w:r w:rsidRPr="00314164">
              <w:rPr>
                <w:rFonts w:ascii="Arial" w:hAnsi="Arial" w:cs="Arial"/>
                <w:sz w:val="16"/>
                <w:szCs w:val="16"/>
                <w:lang w:eastAsia="da-DK"/>
              </w:rPr>
              <w:t>Will specify additional requirements to the common requirements stated in EN 302 065-1 and will reflect specific requirements in the regulatory framework for UWB location tracking.</w:t>
            </w:r>
          </w:p>
          <w:p w:rsidR="00314164" w:rsidRPr="00314164" w:rsidRDefault="00314164" w:rsidP="00314164">
            <w:pPr>
              <w:jc w:val="center"/>
              <w:rPr>
                <w:rFonts w:ascii="Arial" w:hAnsi="Arial" w:cs="Arial"/>
                <w:b/>
                <w:sz w:val="16"/>
                <w:szCs w:val="16"/>
                <w:lang w:val="en-US" w:eastAsia="da-DK"/>
              </w:rPr>
            </w:pPr>
            <w:r w:rsidRPr="00314164">
              <w:rPr>
                <w:rFonts w:ascii="Arial" w:hAnsi="Arial" w:cs="Arial"/>
                <w:b/>
                <w:sz w:val="16"/>
                <w:szCs w:val="16"/>
                <w:lang w:val="en-US" w:eastAsia="da-DK"/>
              </w:rPr>
              <w:t>TG UWB is currently reviewing the comments received during the Approval process.</w:t>
            </w:r>
          </w:p>
          <w:p w:rsidR="00314164" w:rsidRPr="00314164" w:rsidRDefault="00314164" w:rsidP="00314164">
            <w:pPr>
              <w:jc w:val="center"/>
              <w:rPr>
                <w:rFonts w:ascii="Arial" w:hAnsi="Arial" w:cs="Arial"/>
                <w:sz w:val="16"/>
                <w:szCs w:val="16"/>
                <w:lang w:eastAsia="da-DK"/>
              </w:rPr>
            </w:pPr>
          </w:p>
          <w:p w:rsidR="00314164" w:rsidRPr="00314164" w:rsidRDefault="00314164" w:rsidP="00314164">
            <w:pPr>
              <w:jc w:val="center"/>
              <w:rPr>
                <w:rFonts w:ascii="Arial" w:hAnsi="Arial" w:cs="Arial"/>
                <w:sz w:val="16"/>
                <w:szCs w:val="16"/>
                <w:lang w:val="en-US" w:eastAsia="da-DK"/>
              </w:rPr>
            </w:pPr>
          </w:p>
        </w:tc>
        <w:tc>
          <w:tcPr>
            <w:tcW w:w="5867"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rPr>
                <w:rFonts w:ascii="Arial" w:hAnsi="Arial" w:cs="Arial"/>
                <w:b/>
                <w:sz w:val="16"/>
                <w:szCs w:val="16"/>
                <w:lang w:val="en-US" w:eastAsia="da-DK"/>
              </w:rPr>
            </w:pPr>
            <w:r w:rsidRPr="00314164">
              <w:rPr>
                <w:rFonts w:ascii="Arial" w:hAnsi="Arial" w:cs="Arial"/>
                <w:sz w:val="16"/>
                <w:szCs w:val="16"/>
                <w:lang w:val="en-US" w:eastAsia="da-DK"/>
              </w:rPr>
              <w:t>Covers LT1, LT2 and LAES systems studied in ECC Report 170 developed by SE2</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 Technical requirements refer to the relevant EC Decisions, to ECC </w:t>
            </w:r>
            <w:proofErr w:type="gramStart"/>
            <w:r w:rsidRPr="00314164">
              <w:rPr>
                <w:rFonts w:ascii="Arial" w:hAnsi="Arial" w:cs="Arial"/>
                <w:sz w:val="16"/>
                <w:szCs w:val="16"/>
                <w:lang w:val="en-US" w:eastAsia="da-DK"/>
              </w:rPr>
              <w:t>REC(</w:t>
            </w:r>
            <w:proofErr w:type="gramEnd"/>
            <w:r w:rsidRPr="00314164">
              <w:rPr>
                <w:rFonts w:ascii="Arial" w:hAnsi="Arial" w:cs="Arial"/>
                <w:sz w:val="16"/>
                <w:szCs w:val="16"/>
                <w:lang w:val="en-US" w:eastAsia="da-DK"/>
              </w:rPr>
              <w:t xml:space="preserve">11)09 (LT2), ECC REC(11)10 (LAES), ECC Report 170 and ECC Report 167 (coordination for LT2). </w:t>
            </w:r>
            <w:r w:rsidRPr="00314164">
              <w:rPr>
                <w:rFonts w:ascii="Arial" w:hAnsi="Arial" w:cs="Arial"/>
                <w:b/>
                <w:sz w:val="16"/>
                <w:szCs w:val="16"/>
                <w:lang w:val="en-US" w:eastAsia="da-DK"/>
              </w:rPr>
              <w:t>No required action identified.</w:t>
            </w:r>
          </w:p>
          <w:p w:rsidR="00314164" w:rsidRDefault="00314164" w:rsidP="00314164">
            <w:pPr>
              <w:rPr>
                <w:rFonts w:ascii="Arial" w:hAnsi="Arial" w:cs="Arial"/>
                <w:b/>
                <w:sz w:val="16"/>
                <w:szCs w:val="16"/>
                <w:lang w:val="en-US" w:eastAsia="da-DK"/>
              </w:rPr>
            </w:pPr>
            <w:r w:rsidRPr="00314164">
              <w:rPr>
                <w:rFonts w:ascii="Arial" w:hAnsi="Arial" w:cs="Arial"/>
                <w:b/>
                <w:sz w:val="16"/>
                <w:szCs w:val="16"/>
                <w:lang w:val="en-US" w:eastAsia="da-DK"/>
              </w:rPr>
              <w:t>It is noted that ECC/DEC</w:t>
            </w:r>
            <w:proofErr w:type="gramStart"/>
            <w:r w:rsidRPr="00314164">
              <w:rPr>
                <w:rFonts w:ascii="Arial" w:hAnsi="Arial" w:cs="Arial"/>
                <w:b/>
                <w:sz w:val="16"/>
                <w:szCs w:val="16"/>
                <w:lang w:val="en-US" w:eastAsia="da-DK"/>
              </w:rPr>
              <w:t>/(</w:t>
            </w:r>
            <w:proofErr w:type="gramEnd"/>
            <w:r w:rsidRPr="00314164">
              <w:rPr>
                <w:rFonts w:ascii="Arial" w:hAnsi="Arial" w:cs="Arial"/>
                <w:b/>
                <w:sz w:val="16"/>
                <w:szCs w:val="16"/>
                <w:lang w:val="en-US" w:eastAsia="da-DK"/>
              </w:rPr>
              <w:t>06)04 is to be reviewed in 2014 by SRD/MG.</w:t>
            </w:r>
          </w:p>
          <w:p w:rsidR="00256AB5" w:rsidRDefault="008E51F4">
            <w:pPr>
              <w:rPr>
                <w:rFonts w:ascii="Arial" w:hAnsi="Arial" w:cs="Arial"/>
                <w:sz w:val="16"/>
                <w:szCs w:val="16"/>
                <w:lang w:val="en-US" w:eastAsia="da-DK"/>
              </w:rPr>
            </w:pPr>
            <w:r>
              <w:rPr>
                <w:rFonts w:ascii="Arial" w:hAnsi="Arial" w:cs="Arial"/>
                <w:b/>
                <w:sz w:val="16"/>
                <w:szCs w:val="16"/>
                <w:lang w:val="en-US" w:eastAsia="da-DK"/>
              </w:rPr>
              <w:t>Furthermore, the actual implementation of ECC/RECs (11)09 on LT2 and (11)10 on LAES is close to zero. It is suggested that SRD/MG looks into the subject to see whether the situation could possibly be improved.</w:t>
            </w:r>
          </w:p>
        </w:tc>
      </w:tr>
      <w:tr w:rsidR="00314164" w:rsidRPr="00314164" w:rsidTr="00314164">
        <w:trPr>
          <w:trHeight w:val="1125"/>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3" w:history="1">
              <w:r w:rsidR="00314164" w:rsidRPr="00314164">
                <w:rPr>
                  <w:rFonts w:ascii="Arial" w:hAnsi="Arial" w:cs="Arial"/>
                  <w:color w:val="0000FF"/>
                  <w:sz w:val="16"/>
                  <w:szCs w:val="16"/>
                  <w:u w:val="single"/>
                  <w:lang w:val="en-US" w:eastAsia="da-DK"/>
                </w:rPr>
                <w:t>(EN 302 065-3) DEN/ERM-TGUWB-018</w:t>
              </w:r>
              <w:r w:rsidR="00314164" w:rsidRPr="00314164">
                <w:rPr>
                  <w:rFonts w:ascii="Arial" w:hAnsi="Arial" w:cs="Arial"/>
                  <w:color w:val="0000FF"/>
                  <w:sz w:val="16"/>
                  <w:szCs w:val="16"/>
                  <w:u w:val="single"/>
                  <w:lang w:val="en-US" w:eastAsia="da-DK"/>
                </w:rPr>
                <w:br/>
                <w:t>SRDs using Ultra Wide Band technology (UWB) for communications purposes; Harmonized EN covering the essential requirements of article 3.2 of the R&amp;TTE Directive;</w:t>
              </w:r>
              <w:r w:rsidR="00314164" w:rsidRPr="00314164">
                <w:rPr>
                  <w:rFonts w:ascii="Arial" w:hAnsi="Arial" w:cs="Arial"/>
                  <w:color w:val="0000FF"/>
                  <w:sz w:val="16"/>
                  <w:szCs w:val="16"/>
                  <w:u w:val="single"/>
                  <w:lang w:val="en-US" w:eastAsia="da-DK"/>
                </w:rPr>
                <w:br/>
                <w:t>Part 3: Requirements for UWB devices for road and rail vehicles</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val="en-US" w:eastAsia="da-DK"/>
              </w:rPr>
              <w:t xml:space="preserve">New EN dealing with transmitters and receivers utilizing Ultra </w:t>
            </w:r>
            <w:proofErr w:type="spellStart"/>
            <w:r w:rsidRPr="00314164">
              <w:rPr>
                <w:rFonts w:ascii="Arial" w:hAnsi="Arial" w:cs="Arial"/>
                <w:sz w:val="16"/>
                <w:szCs w:val="16"/>
                <w:lang w:val="en-US" w:eastAsia="da-DK"/>
              </w:rPr>
              <w:t>WideBand</w:t>
            </w:r>
            <w:proofErr w:type="spellEnd"/>
            <w:r w:rsidRPr="00314164">
              <w:rPr>
                <w:rFonts w:ascii="Arial" w:hAnsi="Arial" w:cs="Arial"/>
                <w:sz w:val="16"/>
                <w:szCs w:val="16"/>
                <w:lang w:val="en-US" w:eastAsia="da-DK"/>
              </w:rPr>
              <w:t xml:space="preserve"> (UWB) technologies and used for short range communication purposes in road and rail vehicles in 3.1 GHz to </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.8 GHz </w:t>
            </w:r>
            <w:proofErr w:type="gramStart"/>
            <w:r w:rsidRPr="00314164">
              <w:rPr>
                <w:rFonts w:ascii="Arial" w:hAnsi="Arial" w:cs="Arial"/>
                <w:sz w:val="16"/>
                <w:szCs w:val="16"/>
                <w:lang w:val="en-US" w:eastAsia="da-DK"/>
              </w:rPr>
              <w:t>and  6</w:t>
            </w:r>
            <w:proofErr w:type="gramEnd"/>
            <w:r w:rsidRPr="00314164">
              <w:rPr>
                <w:rFonts w:ascii="Arial" w:hAnsi="Arial" w:cs="Arial"/>
                <w:sz w:val="16"/>
                <w:szCs w:val="16"/>
                <w:lang w:val="en-US" w:eastAsia="da-DK"/>
              </w:rPr>
              <w:t xml:space="preserve"> GHz to 9 GHz: W</w:t>
            </w:r>
            <w:r w:rsidRPr="00314164">
              <w:rPr>
                <w:rFonts w:ascii="Arial" w:hAnsi="Arial" w:cs="Arial"/>
                <w:sz w:val="16"/>
                <w:szCs w:val="16"/>
                <w:lang w:eastAsia="da-DK"/>
              </w:rPr>
              <w:t xml:space="preserve">ill specify additional requirements to the common requirements stated in EN 302 065-1 and will reflect specific requirements in the regulatory framework for UWB devices for road and rail vehicles traveling on a public network or roads. </w:t>
            </w:r>
          </w:p>
          <w:p w:rsidR="00314164" w:rsidRPr="00314164" w:rsidRDefault="00314164" w:rsidP="00314164">
            <w:pPr>
              <w:jc w:val="center"/>
              <w:rPr>
                <w:rFonts w:ascii="Arial" w:hAnsi="Arial" w:cs="Arial"/>
                <w:b/>
                <w:sz w:val="16"/>
                <w:szCs w:val="16"/>
                <w:lang w:val="en-US" w:eastAsia="da-DK"/>
              </w:rPr>
            </w:pPr>
            <w:r w:rsidRPr="00314164">
              <w:rPr>
                <w:rFonts w:ascii="Arial" w:hAnsi="Arial" w:cs="Arial"/>
                <w:b/>
                <w:sz w:val="16"/>
                <w:szCs w:val="16"/>
                <w:lang w:val="en-US" w:eastAsia="da-DK"/>
              </w:rPr>
              <w:t>TG UWB is currently reviewing the comments received during the Approval process.</w:t>
            </w:r>
          </w:p>
          <w:p w:rsidR="00314164" w:rsidRPr="00314164" w:rsidRDefault="00314164" w:rsidP="00314164">
            <w:pPr>
              <w:jc w:val="center"/>
              <w:rPr>
                <w:rFonts w:ascii="Arial" w:hAnsi="Arial" w:cs="Arial"/>
                <w:b/>
                <w:sz w:val="16"/>
                <w:szCs w:val="16"/>
                <w:lang w:val="en-US" w:eastAsia="da-DK"/>
              </w:rPr>
            </w:pPr>
          </w:p>
          <w:p w:rsidR="00314164" w:rsidRPr="00314164" w:rsidRDefault="00314164" w:rsidP="00314164">
            <w:pPr>
              <w:jc w:val="center"/>
              <w:rPr>
                <w:rFonts w:ascii="Arial" w:hAnsi="Arial" w:cs="Arial"/>
                <w:sz w:val="16"/>
                <w:szCs w:val="16"/>
                <w:lang w:val="en-US" w:eastAsia="da-DK"/>
              </w:rPr>
            </w:pPr>
          </w:p>
        </w:tc>
        <w:tc>
          <w:tcPr>
            <w:tcW w:w="5867"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rPr>
                <w:rFonts w:ascii="Arial" w:hAnsi="Arial" w:cs="Arial"/>
                <w:b/>
                <w:sz w:val="16"/>
                <w:szCs w:val="16"/>
                <w:lang w:val="en-US" w:eastAsia="da-DK"/>
              </w:rPr>
            </w:pPr>
            <w:r w:rsidRPr="00314164">
              <w:rPr>
                <w:rFonts w:ascii="Arial" w:hAnsi="Arial" w:cs="Arial"/>
                <w:sz w:val="16"/>
                <w:szCs w:val="16"/>
                <w:lang w:val="en-US" w:eastAsia="da-DK"/>
              </w:rPr>
              <w:lastRenderedPageBreak/>
              <w:t xml:space="preserve">Refers to relevant EC Decision, to ECC </w:t>
            </w:r>
            <w:proofErr w:type="gramStart"/>
            <w:r w:rsidRPr="00314164">
              <w:rPr>
                <w:rFonts w:ascii="Arial" w:hAnsi="Arial" w:cs="Arial"/>
                <w:sz w:val="16"/>
                <w:szCs w:val="16"/>
                <w:lang w:val="en-US" w:eastAsia="da-DK"/>
              </w:rPr>
              <w:t>DEC(</w:t>
            </w:r>
            <w:proofErr w:type="gramEnd"/>
            <w:r w:rsidRPr="00314164">
              <w:rPr>
                <w:rFonts w:ascii="Arial" w:hAnsi="Arial" w:cs="Arial"/>
                <w:sz w:val="16"/>
                <w:szCs w:val="16"/>
                <w:lang w:val="en-US" w:eastAsia="da-DK"/>
              </w:rPr>
              <w:t>06)0</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 (Amended December 2011), to ECC Report 120 (DAA for UWB) and the SE2</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 work on trade-off between power and LDC (WI 37). References editorially corrected. </w:t>
            </w:r>
            <w:r w:rsidRPr="00314164">
              <w:rPr>
                <w:rFonts w:ascii="Arial" w:hAnsi="Arial" w:cs="Arial"/>
                <w:b/>
                <w:sz w:val="16"/>
                <w:szCs w:val="16"/>
                <w:lang w:val="en-US" w:eastAsia="da-DK"/>
              </w:rPr>
              <w:t>No required action identified.</w:t>
            </w:r>
          </w:p>
          <w:p w:rsidR="00314164" w:rsidRPr="00314164" w:rsidRDefault="00314164" w:rsidP="00314164">
            <w:pPr>
              <w:rPr>
                <w:rFonts w:ascii="Arial" w:hAnsi="Arial" w:cs="Arial"/>
                <w:sz w:val="16"/>
                <w:szCs w:val="16"/>
                <w:lang w:val="en-US" w:eastAsia="da-DK"/>
              </w:rPr>
            </w:pPr>
            <w:r w:rsidRPr="00314164">
              <w:rPr>
                <w:rFonts w:ascii="Arial" w:hAnsi="Arial" w:cs="Arial"/>
                <w:b/>
                <w:sz w:val="16"/>
                <w:szCs w:val="16"/>
                <w:lang w:val="en-US" w:eastAsia="da-DK"/>
              </w:rPr>
              <w:t>It is noted that ECC/DEC</w:t>
            </w:r>
            <w:proofErr w:type="gramStart"/>
            <w:r w:rsidRPr="00314164">
              <w:rPr>
                <w:rFonts w:ascii="Arial" w:hAnsi="Arial" w:cs="Arial"/>
                <w:b/>
                <w:sz w:val="16"/>
                <w:szCs w:val="16"/>
                <w:lang w:val="en-US" w:eastAsia="da-DK"/>
              </w:rPr>
              <w:t>/(</w:t>
            </w:r>
            <w:proofErr w:type="gramEnd"/>
            <w:r w:rsidRPr="00314164">
              <w:rPr>
                <w:rFonts w:ascii="Arial" w:hAnsi="Arial" w:cs="Arial"/>
                <w:b/>
                <w:sz w:val="16"/>
                <w:szCs w:val="16"/>
                <w:lang w:val="en-US" w:eastAsia="da-DK"/>
              </w:rPr>
              <w:t>06)04 is to be reviewed in 2014 by SRD/MG.</w:t>
            </w:r>
            <w:r w:rsidR="008E51F4">
              <w:rPr>
                <w:rFonts w:ascii="Arial" w:hAnsi="Arial" w:cs="Arial"/>
                <w:b/>
                <w:sz w:val="16"/>
                <w:szCs w:val="16"/>
                <w:lang w:val="en-US" w:eastAsia="da-DK"/>
              </w:rPr>
              <w:t xml:space="preserve"> </w:t>
            </w:r>
            <w:r w:rsidR="008E51F4" w:rsidRPr="008E51F4">
              <w:rPr>
                <w:rFonts w:ascii="Arial" w:hAnsi="Arial" w:cs="Arial"/>
                <w:b/>
                <w:sz w:val="16"/>
                <w:szCs w:val="16"/>
                <w:lang w:val="en-US" w:eastAsia="da-DK"/>
              </w:rPr>
              <w:t>So far, no technical item identified that makes the revision of ECC/DEC/(06)04 mandatory,</w:t>
            </w:r>
          </w:p>
        </w:tc>
      </w:tr>
      <w:tr w:rsidR="00314164" w:rsidRPr="00314164" w:rsidTr="00314164">
        <w:trPr>
          <w:trHeight w:val="1575"/>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4" w:history="1">
              <w:r w:rsidR="00314164" w:rsidRPr="00314164">
                <w:rPr>
                  <w:rFonts w:ascii="Arial" w:hAnsi="Arial" w:cs="Arial"/>
                  <w:color w:val="0000FF"/>
                  <w:sz w:val="16"/>
                  <w:szCs w:val="16"/>
                  <w:u w:val="single"/>
                  <w:lang w:val="en-US" w:eastAsia="da-DK"/>
                </w:rPr>
                <w:t xml:space="preserve">(EN 302 264-2) REN/ERM-TGSRR-62-2 ; </w:t>
              </w:r>
              <w:r w:rsidR="00314164" w:rsidRPr="00314164">
                <w:rPr>
                  <w:rFonts w:ascii="Arial" w:hAnsi="Arial" w:cs="Arial"/>
                  <w:color w:val="0000FF"/>
                  <w:sz w:val="16"/>
                  <w:szCs w:val="16"/>
                  <w:u w:val="single"/>
                  <w:lang w:val="en-US" w:eastAsia="da-DK"/>
                </w:rPr>
                <w:br/>
                <w:t xml:space="preserve">Electromagnetic compatibility and Radio spectrum Matters (ERM); </w:t>
              </w:r>
              <w:r w:rsidR="00314164" w:rsidRPr="00314164">
                <w:rPr>
                  <w:rFonts w:ascii="Arial" w:hAnsi="Arial" w:cs="Arial"/>
                  <w:color w:val="0000FF"/>
                  <w:sz w:val="16"/>
                  <w:szCs w:val="16"/>
                  <w:u w:val="single"/>
                  <w:lang w:val="en-US" w:eastAsia="da-DK"/>
                </w:rPr>
                <w:br/>
                <w:t xml:space="preserve">Short Range Devices; Road Transport and Traffic Telematics (RTTT); Short Range Radar equipment operating in the 77 GHz to 81 GHz band; </w:t>
              </w:r>
              <w:r w:rsidR="00314164" w:rsidRPr="00314164">
                <w:rPr>
                  <w:rFonts w:ascii="Arial" w:hAnsi="Arial" w:cs="Arial"/>
                  <w:color w:val="0000FF"/>
                  <w:sz w:val="16"/>
                  <w:szCs w:val="16"/>
                  <w:u w:val="single"/>
                  <w:lang w:val="en-US" w:eastAsia="da-DK"/>
                </w:rPr>
                <w:br/>
                <w:t xml:space="preserve">Part 2: Harmonized EN covering the essential requirements of article 3.2 of the R&amp;TTE Directive </w:t>
              </w:r>
              <w:r w:rsidR="00314164" w:rsidRPr="00314164">
                <w:rPr>
                  <w:rFonts w:ascii="Arial" w:hAnsi="Arial" w:cs="Arial"/>
                  <w:color w:val="0000FF"/>
                  <w:sz w:val="16"/>
                  <w:szCs w:val="16"/>
                  <w:u w:val="single"/>
                  <w:lang w:val="en-US" w:eastAsia="da-DK"/>
                </w:rPr>
                <w:br/>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val="en-US" w:eastAsia="da-DK"/>
              </w:rPr>
              <w:t>Update EN 302 26</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-2 dealing with Short Range Radar equipment operating in the 77 GHz to 81 GHz band. To reflect </w:t>
            </w:r>
            <w:r w:rsidRPr="00314164">
              <w:rPr>
                <w:rFonts w:ascii="Arial" w:hAnsi="Arial" w:cs="Arial"/>
                <w:sz w:val="16"/>
                <w:szCs w:val="16"/>
                <w:lang w:eastAsia="da-DK"/>
              </w:rPr>
              <w:t>the actual ERC REC 70-03 and EC SRD DEC and also include necessary changes based on the latest ERC/REC 7</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-01 version. This revision also includes correction of references between part 1 and 2 and necessary clarifications in the measurement procedure.</w:t>
            </w:r>
          </w:p>
          <w:p w:rsidR="00314164" w:rsidRPr="00314164" w:rsidRDefault="00314164" w:rsidP="00314164">
            <w:pPr>
              <w:jc w:val="center"/>
              <w:rPr>
                <w:rFonts w:ascii="Arial" w:hAnsi="Arial" w:cs="Arial"/>
                <w:b/>
                <w:sz w:val="16"/>
                <w:szCs w:val="16"/>
                <w:lang w:val="en-US" w:eastAsia="da-DK"/>
              </w:rPr>
            </w:pPr>
            <w:r w:rsidRPr="00314164">
              <w:rPr>
                <w:rFonts w:ascii="Arial" w:hAnsi="Arial" w:cs="Arial"/>
                <w:b/>
                <w:sz w:val="16"/>
                <w:szCs w:val="16"/>
                <w:lang w:eastAsia="da-DK"/>
              </w:rPr>
              <w:t>TB approval planned for March 2014</w:t>
            </w:r>
          </w:p>
        </w:tc>
        <w:tc>
          <w:tcPr>
            <w:tcW w:w="5867"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 xml:space="preserve">Rec 70-03 (Annex 5), ECC </w:t>
            </w:r>
            <w:proofErr w:type="gramStart"/>
            <w:r w:rsidRPr="00314164">
              <w:rPr>
                <w:rFonts w:ascii="Arial" w:hAnsi="Arial" w:cs="Arial"/>
                <w:sz w:val="16"/>
                <w:szCs w:val="16"/>
                <w:lang w:val="en-US" w:eastAsia="da-DK"/>
              </w:rPr>
              <w:t>DEC(</w:t>
            </w:r>
            <w:proofErr w:type="gramEnd"/>
            <w:r w:rsidRPr="00314164">
              <w:rPr>
                <w:rFonts w:ascii="Arial" w:hAnsi="Arial" w:cs="Arial"/>
                <w:sz w:val="16"/>
                <w:szCs w:val="16"/>
                <w:lang w:val="en-US" w:eastAsia="da-DK"/>
              </w:rPr>
              <w:t>0</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)03. </w:t>
            </w:r>
            <w:r w:rsidRPr="00314164">
              <w:rPr>
                <w:rFonts w:ascii="Arial" w:hAnsi="Arial" w:cs="Arial"/>
                <w:b/>
                <w:sz w:val="16"/>
                <w:szCs w:val="16"/>
                <w:lang w:val="en-US" w:eastAsia="da-DK"/>
              </w:rPr>
              <w:t>To be checked. No required action currently identified.</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5" w:history="1">
              <w:r w:rsidR="00314164" w:rsidRPr="00314164">
                <w:rPr>
                  <w:rFonts w:ascii="Arial" w:hAnsi="Arial" w:cs="Arial"/>
                  <w:color w:val="0000FF"/>
                  <w:sz w:val="16"/>
                  <w:szCs w:val="16"/>
                  <w:u w:val="single"/>
                  <w:lang w:val="en-US" w:eastAsia="da-DK"/>
                </w:rPr>
                <w:t>(EN 301 091-2) REN/ERM-TGSRR-065-2;</w:t>
              </w:r>
              <w:r w:rsidR="00314164" w:rsidRPr="00314164">
                <w:rPr>
                  <w:rFonts w:ascii="Arial" w:hAnsi="Arial" w:cs="Arial"/>
                  <w:color w:val="0000FF"/>
                  <w:sz w:val="16"/>
                  <w:szCs w:val="16"/>
                  <w:u w:val="single"/>
                  <w:lang w:val="en-US" w:eastAsia="da-DK"/>
                </w:rPr>
                <w:br/>
                <w:t xml:space="preserve">Electromagnetic compatibility and Radio spectrum Matters (ERM); </w:t>
              </w:r>
              <w:r w:rsidR="00314164" w:rsidRPr="00314164">
                <w:rPr>
                  <w:rFonts w:ascii="Arial" w:hAnsi="Arial" w:cs="Arial"/>
                  <w:color w:val="0000FF"/>
                  <w:sz w:val="16"/>
                  <w:szCs w:val="16"/>
                  <w:u w:val="single"/>
                  <w:lang w:val="en-US" w:eastAsia="da-DK"/>
                </w:rPr>
                <w:br/>
                <w:t xml:space="preserve">Short Range Devices; Road Transport and Traffic Telematics (RTTT); Radar equipment operating in the 76 GHz to 77 GHz range; </w:t>
              </w:r>
              <w:r w:rsidR="00314164" w:rsidRPr="00314164">
                <w:rPr>
                  <w:rFonts w:ascii="Arial" w:hAnsi="Arial" w:cs="Arial"/>
                  <w:color w:val="0000FF"/>
                  <w:sz w:val="16"/>
                  <w:szCs w:val="16"/>
                  <w:u w:val="single"/>
                  <w:lang w:val="en-US" w:eastAsia="da-DK"/>
                </w:rPr>
                <w:br/>
                <w:t xml:space="preserve">Part 2: Harmonized EN covering essential requirements of article 3.2 of the R&amp;TTE Directive </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val="en-US" w:eastAsia="da-DK"/>
              </w:rPr>
              <w:t xml:space="preserve">Update EN 301 091 dealing with Ground based automotive radar equipment operating in the 76 GHz to 77 GHz range. </w:t>
            </w:r>
            <w:r w:rsidRPr="00314164">
              <w:rPr>
                <w:rFonts w:ascii="Arial" w:hAnsi="Arial" w:cs="Arial"/>
                <w:sz w:val="16"/>
                <w:szCs w:val="16"/>
                <w:lang w:eastAsia="da-DK"/>
              </w:rPr>
              <w:t>Will cover technical errors/ details and inclusion of a Safety statement.</w:t>
            </w:r>
          </w:p>
          <w:p w:rsidR="00314164" w:rsidRPr="00314164" w:rsidRDefault="00314164" w:rsidP="00314164">
            <w:pPr>
              <w:jc w:val="center"/>
              <w:rPr>
                <w:rFonts w:ascii="Arial" w:hAnsi="Arial" w:cs="Arial"/>
                <w:sz w:val="16"/>
                <w:szCs w:val="16"/>
                <w:lang w:val="en-US" w:eastAsia="da-DK"/>
              </w:rPr>
            </w:pPr>
            <w:r w:rsidRPr="00314164">
              <w:rPr>
                <w:rFonts w:ascii="Arial" w:hAnsi="Arial" w:cs="Arial"/>
                <w:b/>
                <w:sz w:val="16"/>
                <w:szCs w:val="16"/>
                <w:lang w:eastAsia="da-DK"/>
              </w:rPr>
              <w:t>TB approval planned for March 2014</w:t>
            </w:r>
            <w:r w:rsidRPr="00314164">
              <w:rPr>
                <w:rFonts w:ascii="Arial" w:hAnsi="Arial" w:cs="Arial"/>
                <w:sz w:val="16"/>
                <w:szCs w:val="16"/>
                <w:lang w:val="en-US" w:eastAsia="da-DK"/>
              </w:rPr>
              <w:t xml:space="preserve"> </w:t>
            </w:r>
          </w:p>
        </w:tc>
        <w:tc>
          <w:tcPr>
            <w:tcW w:w="5867"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 xml:space="preserve">Rec 70-03 (Annex 5). </w:t>
            </w:r>
            <w:r w:rsidRPr="00314164">
              <w:rPr>
                <w:rFonts w:ascii="Arial" w:hAnsi="Arial" w:cs="Arial"/>
                <w:b/>
                <w:sz w:val="16"/>
                <w:szCs w:val="16"/>
                <w:lang w:val="en-US" w:eastAsia="da-DK"/>
              </w:rPr>
              <w:t>To be checked. No required action currently identified.</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6" w:history="1">
              <w:r w:rsidR="00314164" w:rsidRPr="00314164">
                <w:rPr>
                  <w:rFonts w:ascii="Arial" w:hAnsi="Arial" w:cs="Arial"/>
                  <w:color w:val="0000FF"/>
                  <w:sz w:val="16"/>
                  <w:szCs w:val="16"/>
                  <w:u w:val="single"/>
                  <w:lang w:val="en-US" w:eastAsia="da-DK"/>
                </w:rPr>
                <w:t>Revision of EN 300 328 V1.8.1 (REN/ERM-TG11-010)</w:t>
              </w:r>
              <w:r w:rsidR="00314164" w:rsidRPr="00314164">
                <w:rPr>
                  <w:rFonts w:ascii="Arial" w:hAnsi="Arial" w:cs="Arial"/>
                  <w:color w:val="0000FF"/>
                  <w:sz w:val="16"/>
                  <w:szCs w:val="16"/>
                  <w:u w:val="single"/>
                  <w:lang w:val="en-US" w:eastAsia="da-DK"/>
                </w:rPr>
                <w:br/>
                <w:t xml:space="preserve">Wideband transmission systems; </w:t>
              </w:r>
              <w:r w:rsidR="00314164" w:rsidRPr="00314164">
                <w:rPr>
                  <w:rFonts w:ascii="Arial" w:hAnsi="Arial" w:cs="Arial"/>
                  <w:color w:val="0000FF"/>
                  <w:sz w:val="16"/>
                  <w:szCs w:val="16"/>
                  <w:u w:val="single"/>
                  <w:lang w:val="en-US" w:eastAsia="da-DK"/>
                </w:rPr>
                <w:br/>
                <w:t>Data transmission equipment operating in the 2,4 GHz ISM band and using wide band modulation techniques;</w:t>
              </w:r>
              <w:r w:rsidR="00314164" w:rsidRPr="00314164">
                <w:rPr>
                  <w:rFonts w:ascii="Arial" w:hAnsi="Arial" w:cs="Arial"/>
                  <w:color w:val="0000FF"/>
                  <w:sz w:val="16"/>
                  <w:szCs w:val="16"/>
                  <w:u w:val="single"/>
                  <w:lang w:val="en-US" w:eastAsia="da-DK"/>
                </w:rPr>
                <w:br/>
                <w:t>Harmonized EN covering the essential requirements of article 3.2 of the R&amp;TTE Directive</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Revision of EN 300 328 1.8.0 on Wide band data transmission equipment operating in the 2</w:t>
            </w:r>
            <w:proofErr w:type="gramStart"/>
            <w:r w:rsidRPr="00314164">
              <w:rPr>
                <w:rFonts w:ascii="Arial" w:hAnsi="Arial" w:cs="Arial"/>
                <w:sz w:val="16"/>
                <w:szCs w:val="16"/>
                <w:lang w:val="en-US" w:eastAsia="da-DK"/>
              </w:rPr>
              <w:t>,4</w:t>
            </w:r>
            <w:proofErr w:type="gramEnd"/>
            <w:r w:rsidRPr="00314164">
              <w:rPr>
                <w:rFonts w:ascii="Arial" w:hAnsi="Arial" w:cs="Arial"/>
                <w:sz w:val="16"/>
                <w:szCs w:val="16"/>
                <w:lang w:val="en-US" w:eastAsia="da-DK"/>
              </w:rPr>
              <w:t xml:space="preserve"> GHz ISM band and using wide band modulation techniques: Early draft status.</w:t>
            </w:r>
          </w:p>
          <w:p w:rsidR="00314164" w:rsidRPr="00314164" w:rsidRDefault="00314164" w:rsidP="00314164">
            <w:pPr>
              <w:jc w:val="center"/>
              <w:rPr>
                <w:rFonts w:ascii="Arial" w:hAnsi="Arial" w:cs="Arial"/>
                <w:sz w:val="16"/>
                <w:szCs w:val="16"/>
                <w:lang w:val="en-US" w:eastAsia="da-DK"/>
              </w:rPr>
            </w:pPr>
            <w:r w:rsidRPr="00314164">
              <w:rPr>
                <w:rFonts w:ascii="Arial" w:hAnsi="Arial" w:cs="Arial"/>
                <w:b/>
                <w:sz w:val="16"/>
                <w:szCs w:val="16"/>
                <w:lang w:eastAsia="da-DK"/>
              </w:rPr>
              <w:t>TB approval planned for May 2014</w:t>
            </w:r>
          </w:p>
        </w:tc>
        <w:tc>
          <w:tcPr>
            <w:tcW w:w="5867" w:type="dxa"/>
            <w:tcBorders>
              <w:top w:val="nil"/>
              <w:left w:val="nil"/>
              <w:bottom w:val="single" w:sz="4" w:space="0" w:color="auto"/>
              <w:right w:val="single" w:sz="4" w:space="0" w:color="auto"/>
            </w:tcBorders>
            <w:shd w:val="clear" w:color="000000" w:fill="FFFFFF"/>
            <w:vAlign w:val="center"/>
          </w:tcPr>
          <w:p w:rsidR="00314164" w:rsidRPr="00314164" w:rsidRDefault="00314164" w:rsidP="00314164">
            <w:pPr>
              <w:rPr>
                <w:rFonts w:ascii="Arial" w:hAnsi="Arial" w:cs="Arial"/>
                <w:sz w:val="16"/>
                <w:szCs w:val="16"/>
                <w:lang w:val="en-US" w:eastAsia="da-DK"/>
              </w:rPr>
            </w:pPr>
            <w:r w:rsidRPr="00314164">
              <w:rPr>
                <w:rFonts w:ascii="Arial" w:hAnsi="Arial" w:cs="Arial"/>
                <w:b/>
                <w:sz w:val="16"/>
                <w:szCs w:val="16"/>
                <w:lang w:val="en-US" w:eastAsia="da-DK"/>
              </w:rPr>
              <w:t>To be checked. No required action currently identified.</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7" w:history="1">
              <w:r w:rsidR="00314164" w:rsidRPr="00314164">
                <w:rPr>
                  <w:rFonts w:ascii="Arial" w:hAnsi="Arial" w:cs="Arial"/>
                  <w:color w:val="0000FF"/>
                  <w:sz w:val="16"/>
                  <w:szCs w:val="16"/>
                  <w:u w:val="single"/>
                  <w:lang w:val="en-US" w:eastAsia="da-DK"/>
                </w:rPr>
                <w:t xml:space="preserve">(EN 303 131) DEN/ERM-TG28-501 ; </w:t>
              </w:r>
              <w:r w:rsidR="00314164" w:rsidRPr="00314164">
                <w:rPr>
                  <w:rFonts w:ascii="Arial" w:hAnsi="Arial" w:cs="Arial"/>
                  <w:color w:val="0000FF"/>
                  <w:sz w:val="16"/>
                  <w:szCs w:val="16"/>
                  <w:u w:val="single"/>
                  <w:lang w:val="en-US" w:eastAsia="da-DK"/>
                </w:rPr>
                <w:br/>
                <w:t xml:space="preserve">Electromagnetic compatibility and Radio spectrum Matters (ERM); </w:t>
              </w:r>
              <w:r w:rsidR="00314164" w:rsidRPr="00314164">
                <w:rPr>
                  <w:rFonts w:ascii="Arial" w:hAnsi="Arial" w:cs="Arial"/>
                  <w:color w:val="0000FF"/>
                  <w:sz w:val="16"/>
                  <w:szCs w:val="16"/>
                  <w:u w:val="single"/>
                  <w:lang w:val="en-US" w:eastAsia="da-DK"/>
                </w:rPr>
                <w:br/>
                <w:t xml:space="preserve">Wireless alarms with low duty cycle; </w:t>
              </w:r>
              <w:r w:rsidR="00314164" w:rsidRPr="00314164">
                <w:rPr>
                  <w:rFonts w:ascii="Arial" w:hAnsi="Arial" w:cs="Arial"/>
                  <w:color w:val="0000FF"/>
                  <w:sz w:val="16"/>
                  <w:szCs w:val="16"/>
                  <w:u w:val="single"/>
                  <w:lang w:val="en-US" w:eastAsia="da-DK"/>
                </w:rPr>
                <w:br/>
                <w:t xml:space="preserve">Harmonized EN covering essential requirements under article 3.2 of the R&amp;TTE Directive </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 xml:space="preserve">New EN for high communication reliability wireless alarm with low duty cycle on designated frequencies in the range 25 to 1000 </w:t>
            </w:r>
            <w:proofErr w:type="spellStart"/>
            <w:r w:rsidRPr="00314164">
              <w:rPr>
                <w:rFonts w:ascii="Arial" w:hAnsi="Arial" w:cs="Arial"/>
                <w:sz w:val="16"/>
                <w:szCs w:val="16"/>
                <w:lang w:val="en-US" w:eastAsia="da-DK"/>
              </w:rPr>
              <w:t>MHz.</w:t>
            </w:r>
            <w:proofErr w:type="spellEnd"/>
            <w:r w:rsidRPr="00314164">
              <w:rPr>
                <w:rFonts w:ascii="Arial" w:hAnsi="Arial" w:cs="Arial"/>
                <w:sz w:val="16"/>
                <w:szCs w:val="16"/>
                <w:lang w:val="en-US" w:eastAsia="da-DK"/>
              </w:rPr>
              <w:t xml:space="preserve"> Based on the generic standard EN 300 </w:t>
            </w:r>
            <w:smartTag w:uri="urn:schemas-microsoft-com:office:smarttags" w:element="PersonName">
              <w:r w:rsidRPr="00314164">
                <w:rPr>
                  <w:rFonts w:ascii="Arial" w:hAnsi="Arial" w:cs="Arial"/>
                  <w:sz w:val="16"/>
                  <w:szCs w:val="16"/>
                  <w:lang w:val="en-US" w:eastAsia="da-DK"/>
                </w:rPr>
                <w:t>220</w:t>
              </w:r>
            </w:smartTag>
            <w:r w:rsidRPr="00314164">
              <w:rPr>
                <w:rFonts w:ascii="Arial" w:hAnsi="Arial" w:cs="Arial"/>
                <w:sz w:val="16"/>
                <w:szCs w:val="16"/>
                <w:lang w:val="en-US" w:eastAsia="da-DK"/>
              </w:rPr>
              <w:t xml:space="preserve">, with additional requirements including receiver performance specifications. Early draft status. </w:t>
            </w:r>
            <w:r w:rsidRPr="00314164">
              <w:rPr>
                <w:rFonts w:ascii="Arial" w:hAnsi="Arial" w:cs="Arial"/>
                <w:b/>
                <w:sz w:val="16"/>
                <w:szCs w:val="16"/>
                <w:lang w:eastAsia="da-DK"/>
              </w:rPr>
              <w:t>TB approval planned for June 2014</w:t>
            </w:r>
          </w:p>
        </w:tc>
        <w:tc>
          <w:tcPr>
            <w:tcW w:w="5867" w:type="dxa"/>
            <w:tcBorders>
              <w:top w:val="nil"/>
              <w:left w:val="nil"/>
              <w:bottom w:val="single" w:sz="4" w:space="0" w:color="auto"/>
              <w:right w:val="single" w:sz="4" w:space="0" w:color="auto"/>
            </w:tcBorders>
            <w:shd w:val="clear" w:color="auto" w:fill="auto"/>
            <w:vAlign w:val="center"/>
          </w:tcPr>
          <w:p w:rsidR="00256AB5" w:rsidRDefault="00314164">
            <w:pPr>
              <w:rPr>
                <w:rFonts w:ascii="Arial" w:hAnsi="Arial" w:cs="Arial"/>
                <w:b/>
                <w:sz w:val="16"/>
                <w:szCs w:val="16"/>
                <w:lang w:val="en-US" w:eastAsia="da-DK"/>
              </w:rPr>
            </w:pPr>
            <w:r w:rsidRPr="00314164">
              <w:rPr>
                <w:rFonts w:ascii="Arial" w:hAnsi="Arial" w:cs="Arial"/>
                <w:sz w:val="16"/>
                <w:szCs w:val="16"/>
                <w:lang w:val="en-US" w:eastAsia="da-DK"/>
              </w:rPr>
              <w:t>Related to ECC Report</w:t>
            </w:r>
            <w:r w:rsidR="008E51F4">
              <w:rPr>
                <w:rFonts w:ascii="Arial" w:hAnsi="Arial" w:cs="Arial"/>
                <w:sz w:val="16"/>
                <w:szCs w:val="16"/>
                <w:lang w:val="en-US" w:eastAsia="da-DK"/>
              </w:rPr>
              <w:t>s</w:t>
            </w:r>
            <w:r w:rsidRPr="00314164">
              <w:rPr>
                <w:rFonts w:ascii="Arial" w:hAnsi="Arial" w:cs="Arial"/>
                <w:sz w:val="16"/>
                <w:szCs w:val="16"/>
                <w:lang w:val="en-US" w:eastAsia="da-DK"/>
              </w:rPr>
              <w:t xml:space="preserve"> 181</w:t>
            </w:r>
            <w:r w:rsidR="008E51F4">
              <w:rPr>
                <w:rFonts w:ascii="Arial" w:hAnsi="Arial" w:cs="Arial"/>
                <w:sz w:val="16"/>
                <w:szCs w:val="16"/>
                <w:lang w:val="en-US" w:eastAsia="da-DK"/>
              </w:rPr>
              <w:t>, 189 and 200</w:t>
            </w:r>
            <w:r w:rsidRPr="00314164">
              <w:rPr>
                <w:rFonts w:ascii="Arial" w:hAnsi="Arial" w:cs="Arial"/>
                <w:sz w:val="16"/>
                <w:szCs w:val="16"/>
                <w:lang w:val="en-US" w:eastAsia="da-DK"/>
              </w:rPr>
              <w:t xml:space="preserve">, </w:t>
            </w:r>
            <w:r w:rsidR="008E51F4">
              <w:rPr>
                <w:rFonts w:ascii="Arial" w:hAnsi="Arial" w:cs="Arial"/>
                <w:sz w:val="16"/>
                <w:szCs w:val="16"/>
                <w:lang w:val="en-US" w:eastAsia="da-DK"/>
              </w:rPr>
              <w:t xml:space="preserve">SE24 </w:t>
            </w:r>
            <w:r w:rsidRPr="00314164">
              <w:rPr>
                <w:rFonts w:ascii="Arial" w:hAnsi="Arial" w:cs="Arial"/>
                <w:sz w:val="16"/>
                <w:szCs w:val="16"/>
                <w:lang w:val="en-US" w:eastAsia="da-DK"/>
              </w:rPr>
              <w:t xml:space="preserve">WI </w:t>
            </w:r>
            <w:smartTag w:uri="urn:schemas-microsoft-com:office:smarttags" w:element="PersonName">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1</w:t>
              </w:r>
            </w:smartTag>
            <w:r w:rsidRPr="00314164">
              <w:rPr>
                <w:rFonts w:ascii="Arial" w:hAnsi="Arial" w:cs="Arial"/>
                <w:sz w:val="16"/>
                <w:szCs w:val="16"/>
                <w:lang w:val="en-US" w:eastAsia="da-DK"/>
              </w:rPr>
              <w:t xml:space="preserve"> (and maybe WI</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2).</w:t>
            </w:r>
            <w:r w:rsidRPr="00314164">
              <w:rPr>
                <w:rFonts w:ascii="Arial" w:hAnsi="Arial" w:cs="Arial"/>
                <w:b/>
                <w:sz w:val="16"/>
                <w:szCs w:val="16"/>
                <w:lang w:val="en-US" w:eastAsia="da-DK"/>
              </w:rPr>
              <w:t xml:space="preserve"> </w:t>
            </w:r>
            <w:r w:rsidR="008E51F4">
              <w:rPr>
                <w:rFonts w:ascii="Arial" w:hAnsi="Arial" w:cs="Arial"/>
                <w:b/>
                <w:sz w:val="16"/>
                <w:szCs w:val="16"/>
                <w:lang w:val="en-US" w:eastAsia="da-DK"/>
              </w:rPr>
              <w:t xml:space="preserve">See draft </w:t>
            </w:r>
            <w:proofErr w:type="spellStart"/>
            <w:r w:rsidR="008E51F4">
              <w:rPr>
                <w:rFonts w:ascii="Arial" w:hAnsi="Arial" w:cs="Arial"/>
                <w:b/>
                <w:sz w:val="16"/>
                <w:szCs w:val="16"/>
                <w:lang w:val="en-US" w:eastAsia="da-DK"/>
              </w:rPr>
              <w:t>bLS</w:t>
            </w:r>
            <w:proofErr w:type="spellEnd"/>
            <w:r w:rsidR="008E51F4">
              <w:rPr>
                <w:rFonts w:ascii="Arial" w:hAnsi="Arial" w:cs="Arial"/>
                <w:b/>
                <w:sz w:val="16"/>
                <w:szCs w:val="16"/>
                <w:lang w:val="en-US" w:eastAsia="da-DK"/>
              </w:rPr>
              <w:t xml:space="preserve"> to ETSI ERM at WGFM#79</w:t>
            </w:r>
            <w:r w:rsidRPr="00314164">
              <w:rPr>
                <w:rFonts w:ascii="Arial" w:hAnsi="Arial" w:cs="Arial"/>
                <w:b/>
                <w:sz w:val="16"/>
                <w:szCs w:val="16"/>
                <w:lang w:val="en-US" w:eastAsia="da-DK"/>
              </w:rPr>
              <w:t xml:space="preserve">. </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8" w:history="1">
              <w:r w:rsidR="00314164" w:rsidRPr="00314164">
                <w:rPr>
                  <w:rFonts w:ascii="Arial" w:hAnsi="Arial" w:cs="Arial"/>
                  <w:color w:val="0000FF"/>
                  <w:sz w:val="16"/>
                  <w:szCs w:val="16"/>
                  <w:u w:val="single"/>
                  <w:lang w:eastAsia="da-DK"/>
                </w:rPr>
                <w:t>(</w:t>
              </w:r>
              <w:r w:rsidR="00314164" w:rsidRPr="00314164">
                <w:rPr>
                  <w:rFonts w:ascii="Arial" w:hAnsi="Arial" w:cs="Arial"/>
                  <w:bCs/>
                  <w:color w:val="0000FF"/>
                  <w:sz w:val="16"/>
                  <w:szCs w:val="16"/>
                  <w:u w:val="single"/>
                  <w:lang w:eastAsia="da-DK"/>
                </w:rPr>
                <w:t>EN 305 550-2)</w:t>
              </w:r>
              <w:r w:rsidR="00314164" w:rsidRPr="00314164">
                <w:rPr>
                  <w:rFonts w:ascii="Arial" w:hAnsi="Arial" w:cs="Arial"/>
                  <w:color w:val="0000FF"/>
                  <w:sz w:val="16"/>
                  <w:szCs w:val="16"/>
                  <w:u w:val="single"/>
                  <w:lang w:val="en-US" w:eastAsia="da-DK"/>
                </w:rPr>
                <w:t xml:space="preserve"> </w:t>
              </w:r>
              <w:r w:rsidR="00314164" w:rsidRPr="00314164">
                <w:rPr>
                  <w:rFonts w:ascii="Arial" w:hAnsi="Arial" w:cs="Arial"/>
                  <w:bCs/>
                  <w:color w:val="0000FF"/>
                  <w:sz w:val="16"/>
                  <w:szCs w:val="16"/>
                  <w:u w:val="single"/>
                  <w:lang w:eastAsia="da-DK"/>
                </w:rPr>
                <w:t>REN/ERM-TG28-502</w:t>
              </w:r>
              <w:r w:rsidR="00314164" w:rsidRPr="00314164">
                <w:rPr>
                  <w:rFonts w:ascii="Arial" w:hAnsi="Arial" w:cs="Arial"/>
                  <w:color w:val="0000FF"/>
                  <w:sz w:val="16"/>
                  <w:szCs w:val="16"/>
                  <w:u w:val="single"/>
                  <w:lang w:eastAsia="da-DK"/>
                </w:rPr>
                <w:br/>
              </w:r>
              <w:r w:rsidR="00314164" w:rsidRPr="00314164">
                <w:rPr>
                  <w:rFonts w:ascii="Arial" w:hAnsi="Arial" w:cs="Arial"/>
                  <w:bCs/>
                  <w:color w:val="0000FF"/>
                  <w:sz w:val="16"/>
                  <w:szCs w:val="16"/>
                  <w:u w:val="single"/>
                  <w:lang w:eastAsia="da-DK"/>
                </w:rPr>
                <w:t>Electromagnetic compatibility and Radio spectrum Matters (ERM);</w:t>
              </w:r>
              <w:r w:rsidR="00314164" w:rsidRPr="00314164">
                <w:rPr>
                  <w:rFonts w:ascii="Arial" w:hAnsi="Arial" w:cs="Arial"/>
                  <w:bCs/>
                  <w:color w:val="0000FF"/>
                  <w:sz w:val="16"/>
                  <w:szCs w:val="16"/>
                  <w:u w:val="single"/>
                  <w:lang w:eastAsia="da-DK"/>
                </w:rPr>
                <w:br/>
                <w:t>Short Range Devices (SRD); Radio equipment to be used in the 40 GHz to 246 GHz frequency range;</w:t>
              </w:r>
              <w:r w:rsidR="00314164" w:rsidRPr="00314164">
                <w:rPr>
                  <w:rFonts w:ascii="Arial" w:hAnsi="Arial" w:cs="Arial"/>
                  <w:bCs/>
                  <w:color w:val="0000FF"/>
                  <w:sz w:val="16"/>
                  <w:szCs w:val="16"/>
                  <w:u w:val="single"/>
                  <w:lang w:eastAsia="da-DK"/>
                </w:rPr>
                <w:br/>
                <w:t>Part 2: Harmonized EN covering the essential requirements of article 3.2 of the R&amp;TTE Directive</w:t>
              </w:r>
            </w:hyperlink>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 xml:space="preserve">Revision of EN 305 550-2. </w:t>
            </w:r>
            <w:r w:rsidRPr="00314164">
              <w:rPr>
                <w:rFonts w:ascii="Arial" w:hAnsi="Arial" w:cs="Arial"/>
                <w:sz w:val="16"/>
                <w:szCs w:val="16"/>
                <w:lang w:eastAsia="da-DK"/>
              </w:rPr>
              <w:t xml:space="preserve">Maintenance of part 2 for R&amp;TTE to be in line with changes in part 1. WI adopted in April 2013. </w:t>
            </w:r>
            <w:r w:rsidRPr="00314164">
              <w:rPr>
                <w:rFonts w:ascii="Arial" w:hAnsi="Arial" w:cs="Arial"/>
                <w:b/>
                <w:sz w:val="16"/>
                <w:szCs w:val="16"/>
                <w:lang w:val="en-US" w:eastAsia="da-DK"/>
              </w:rPr>
              <w:t>Early draft status</w:t>
            </w:r>
          </w:p>
        </w:tc>
        <w:tc>
          <w:tcPr>
            <w:tcW w:w="5867" w:type="dxa"/>
            <w:tcBorders>
              <w:top w:val="nil"/>
              <w:left w:val="nil"/>
              <w:bottom w:val="single" w:sz="4" w:space="0" w:color="auto"/>
              <w:right w:val="single" w:sz="4" w:space="0" w:color="auto"/>
            </w:tcBorders>
            <w:shd w:val="clear" w:color="auto" w:fill="auto"/>
            <w:vAlign w:val="center"/>
          </w:tcPr>
          <w:p w:rsidR="00256AB5" w:rsidRDefault="00314164">
            <w:pPr>
              <w:rPr>
                <w:rFonts w:ascii="Arial" w:hAnsi="Arial" w:cs="Arial"/>
                <w:b/>
                <w:sz w:val="16"/>
                <w:szCs w:val="16"/>
                <w:lang w:val="en-US" w:eastAsia="da-DK"/>
              </w:rPr>
            </w:pPr>
            <w:r w:rsidRPr="00314164">
              <w:rPr>
                <w:rFonts w:ascii="Arial" w:hAnsi="Arial" w:cs="Arial"/>
                <w:b/>
                <w:sz w:val="16"/>
                <w:szCs w:val="16"/>
                <w:lang w:val="en-US" w:eastAsia="da-DK"/>
              </w:rPr>
              <w:t xml:space="preserve">SE24 developed draft ECC Report 190 to assess the impact of SRDs in the band 122-123 GHz on radio services. ETSI ERM and SRD/MG consider the results of ECC Report 190 in updating standard and regulation. </w:t>
            </w:r>
            <w:r w:rsidR="008E51F4">
              <w:rPr>
                <w:rFonts w:ascii="Arial" w:hAnsi="Arial" w:cs="Arial"/>
                <w:b/>
                <w:sz w:val="16"/>
                <w:szCs w:val="16"/>
                <w:lang w:val="en-US" w:eastAsia="da-DK"/>
              </w:rPr>
              <w:t>Annex 1 of REC 70-03 has been updated.</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901051" w:rsidP="00314164">
            <w:pPr>
              <w:rPr>
                <w:rFonts w:ascii="Arial" w:hAnsi="Arial" w:cs="Arial"/>
                <w:bCs/>
                <w:color w:val="0000FF"/>
                <w:sz w:val="16"/>
                <w:szCs w:val="16"/>
                <w:u w:val="single"/>
                <w:lang w:eastAsia="da-DK"/>
              </w:rPr>
            </w:pPr>
            <w:r w:rsidRPr="00314164">
              <w:rPr>
                <w:rFonts w:ascii="Arial" w:hAnsi="Arial" w:cs="Arial"/>
                <w:color w:val="0000FF"/>
                <w:sz w:val="16"/>
                <w:szCs w:val="16"/>
                <w:lang w:val="en-US" w:eastAsia="da-DK"/>
              </w:rPr>
              <w:fldChar w:fldCharType="begin"/>
            </w:r>
            <w:r w:rsidR="00314164" w:rsidRPr="00314164">
              <w:rPr>
                <w:rFonts w:ascii="Arial" w:hAnsi="Arial" w:cs="Arial"/>
                <w:color w:val="0000FF"/>
                <w:sz w:val="16"/>
                <w:szCs w:val="16"/>
                <w:lang w:val="en-US" w:eastAsia="da-DK"/>
              </w:rPr>
              <w:instrText xml:space="preserve"> HYPERLINK "http://webapp.etsi.org/WorkProgram/Report_WorkItem.asp?WKI_ID=42501&amp;curItemNr=26&amp;totalNrItems=34&amp;optDisplay=10&amp;titleType=all&amp;qSORT=HIGHVERSION&amp;qETSI_ALL=&amp;SearchPage=TRUE&amp;qETSI_STANDARD_TYPE=%27EN%27&amp;qTB_ID=584%3BERM+TG28&amp;qINCLUDE_SUB_TB=True&amp;qINCLUDE_MOVED_ON=&amp;qSTOP_FLG=N&amp;qKEYWORD_BOOLEAN=OR&amp;qCLUSTER_BOOLEAN=OR&amp;qFREQUENCIES_BOOLEAN=OR&amp;qSTOPPING_OUTDATED=&amp;butExpertSearch=Search&amp;includeNonActiveTB=FALSE&amp;includeSubProjectCode=FALSE&amp;qREPORT_TYPE=SUMMARY" </w:instrText>
            </w:r>
            <w:r w:rsidRPr="00314164">
              <w:rPr>
                <w:rFonts w:ascii="Arial" w:hAnsi="Arial" w:cs="Arial"/>
                <w:color w:val="0000FF"/>
                <w:sz w:val="16"/>
                <w:szCs w:val="16"/>
                <w:lang w:val="en-US" w:eastAsia="da-DK"/>
              </w:rPr>
              <w:fldChar w:fldCharType="separate"/>
            </w:r>
            <w:r w:rsidR="00314164" w:rsidRPr="00314164">
              <w:rPr>
                <w:rFonts w:ascii="Arial" w:hAnsi="Arial" w:cs="Arial"/>
                <w:bCs/>
                <w:color w:val="0000FF"/>
                <w:sz w:val="16"/>
                <w:szCs w:val="16"/>
                <w:u w:val="single"/>
                <w:lang w:eastAsia="da-DK"/>
              </w:rPr>
              <w:t>(EN 300 220-2) REN/ERM-TG28-506</w:t>
            </w:r>
          </w:p>
          <w:p w:rsidR="00314164" w:rsidRPr="00314164" w:rsidRDefault="00314164" w:rsidP="00314164">
            <w:pPr>
              <w:rPr>
                <w:rFonts w:ascii="Arial" w:hAnsi="Arial" w:cs="Arial"/>
                <w:color w:val="0000FF"/>
                <w:sz w:val="16"/>
                <w:szCs w:val="16"/>
                <w:lang w:val="en-US" w:eastAsia="da-DK"/>
              </w:rPr>
            </w:pPr>
            <w:r w:rsidRPr="00314164">
              <w:rPr>
                <w:rFonts w:ascii="Arial" w:hAnsi="Arial" w:cs="Arial"/>
                <w:bCs/>
                <w:color w:val="0000FF"/>
                <w:sz w:val="16"/>
                <w:szCs w:val="16"/>
                <w:u w:val="single"/>
                <w:lang w:eastAsia="da-DK"/>
              </w:rPr>
              <w:t>Electromagnetic compatibility and Radio spectrum Matters (ERM);</w:t>
            </w:r>
            <w:r w:rsidRPr="00314164">
              <w:rPr>
                <w:rFonts w:ascii="Arial" w:hAnsi="Arial" w:cs="Arial"/>
                <w:bCs/>
                <w:color w:val="0000FF"/>
                <w:sz w:val="16"/>
                <w:szCs w:val="16"/>
                <w:u w:val="single"/>
                <w:lang w:eastAsia="da-DK"/>
              </w:rPr>
              <w:br/>
              <w:t xml:space="preserve">Short Range Devices (SRD); Radio equipment to be used in the 25 MHz to 1 000 MHz frequency range with power levels ranging up to 500 </w:t>
            </w:r>
            <w:proofErr w:type="spellStart"/>
            <w:r w:rsidRPr="00314164">
              <w:rPr>
                <w:rFonts w:ascii="Arial" w:hAnsi="Arial" w:cs="Arial"/>
                <w:bCs/>
                <w:color w:val="0000FF"/>
                <w:sz w:val="16"/>
                <w:szCs w:val="16"/>
                <w:u w:val="single"/>
                <w:lang w:eastAsia="da-DK"/>
              </w:rPr>
              <w:t>mW</w:t>
            </w:r>
            <w:proofErr w:type="spellEnd"/>
            <w:r w:rsidRPr="00314164">
              <w:rPr>
                <w:rFonts w:ascii="Arial" w:hAnsi="Arial" w:cs="Arial"/>
                <w:bCs/>
                <w:color w:val="0000FF"/>
                <w:sz w:val="16"/>
                <w:szCs w:val="16"/>
                <w:u w:val="single"/>
                <w:lang w:eastAsia="da-DK"/>
              </w:rPr>
              <w:t>;</w:t>
            </w:r>
            <w:r w:rsidRPr="00314164">
              <w:rPr>
                <w:rFonts w:ascii="Arial" w:hAnsi="Arial" w:cs="Arial"/>
                <w:bCs/>
                <w:color w:val="0000FF"/>
                <w:sz w:val="16"/>
                <w:szCs w:val="16"/>
                <w:u w:val="single"/>
                <w:lang w:eastAsia="da-DK"/>
              </w:rPr>
              <w:br/>
              <w:t>Part 2: Harmonized EN covering essential requirements under article 3.2 of the R&amp;TTE Directive</w:t>
            </w:r>
            <w:r w:rsidR="00901051" w:rsidRPr="00314164">
              <w:rPr>
                <w:rFonts w:ascii="Arial" w:hAnsi="Arial" w:cs="Arial"/>
                <w:color w:val="0000FF"/>
                <w:sz w:val="16"/>
                <w:szCs w:val="16"/>
                <w:lang w:val="en-US" w:eastAsia="da-DK"/>
              </w:rPr>
              <w:fldChar w:fldCharType="end"/>
            </w:r>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 xml:space="preserve">Two main goals are foreseen. (A) Maintenance EN 300 </w:t>
            </w:r>
            <w:smartTag w:uri="urn:schemas-microsoft-com:office:smarttags" w:element="PersonName">
              <w:smartTag w:uri="urn:schemas-microsoft-com:office:smarttags" w:element="PersonName">
                <w:r w:rsidRPr="00314164">
                  <w:rPr>
                    <w:rFonts w:ascii="Arial" w:hAnsi="Arial" w:cs="Arial"/>
                    <w:sz w:val="16"/>
                    <w:szCs w:val="16"/>
                    <w:lang w:eastAsia="da-DK"/>
                  </w:rPr>
                  <w:t>220</w:t>
                </w:r>
              </w:smartTag>
              <w:r w:rsidRPr="00314164">
                <w:rPr>
                  <w:rFonts w:ascii="Arial" w:hAnsi="Arial" w:cs="Arial"/>
                  <w:sz w:val="16"/>
                  <w:szCs w:val="16"/>
                  <w:lang w:eastAsia="da-DK"/>
                </w:rPr>
                <w:t>-1</w:t>
              </w:r>
            </w:smartTag>
            <w:r w:rsidRPr="00314164">
              <w:rPr>
                <w:rFonts w:ascii="Arial" w:hAnsi="Arial" w:cs="Arial"/>
                <w:sz w:val="16"/>
                <w:szCs w:val="16"/>
                <w:lang w:eastAsia="da-DK"/>
              </w:rPr>
              <w:t xml:space="preserve"> v.2.</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.1 to amend found flaws and in general enhance the quality. (B) To update the Standard taking into account the ongoing ECC Report 200, ECC Report 189 and the (WGSE WI</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2) ECC Report. A possible reorganisation of wireless alarms would be considered, depending the ongoing new EN 303 131 outcomes.</w:t>
            </w:r>
          </w:p>
          <w:p w:rsidR="00314164" w:rsidRPr="00314164" w:rsidRDefault="00314164" w:rsidP="00314164">
            <w:pPr>
              <w:jc w:val="center"/>
              <w:rPr>
                <w:rFonts w:ascii="Arial" w:hAnsi="Arial" w:cs="Arial"/>
                <w:b/>
                <w:sz w:val="16"/>
                <w:szCs w:val="16"/>
                <w:lang w:val="en-US" w:eastAsia="da-DK"/>
              </w:rPr>
            </w:pPr>
            <w:r w:rsidRPr="00314164">
              <w:rPr>
                <w:rFonts w:ascii="Arial" w:hAnsi="Arial" w:cs="Arial"/>
                <w:b/>
                <w:sz w:val="16"/>
                <w:szCs w:val="16"/>
                <w:lang w:eastAsia="da-DK"/>
              </w:rPr>
              <w:t xml:space="preserve"> Early draft status. </w:t>
            </w:r>
          </w:p>
        </w:tc>
        <w:tc>
          <w:tcPr>
            <w:tcW w:w="5867" w:type="dxa"/>
            <w:tcBorders>
              <w:top w:val="nil"/>
              <w:left w:val="nil"/>
              <w:bottom w:val="single" w:sz="4" w:space="0" w:color="auto"/>
              <w:right w:val="single" w:sz="4" w:space="0" w:color="auto"/>
            </w:tcBorders>
            <w:shd w:val="clear" w:color="auto" w:fill="auto"/>
            <w:vAlign w:val="center"/>
          </w:tcPr>
          <w:p w:rsidR="00256AB5" w:rsidRDefault="00314164">
            <w:pPr>
              <w:rPr>
                <w:rFonts w:ascii="Arial" w:hAnsi="Arial" w:cs="Arial"/>
                <w:b/>
                <w:sz w:val="16"/>
                <w:szCs w:val="16"/>
                <w:lang w:val="en-US" w:eastAsia="da-DK"/>
              </w:rPr>
            </w:pPr>
            <w:r w:rsidRPr="00314164">
              <w:rPr>
                <w:rFonts w:ascii="Arial" w:hAnsi="Arial" w:cs="Arial"/>
                <w:b/>
                <w:sz w:val="16"/>
                <w:szCs w:val="16"/>
                <w:lang w:val="en-US" w:eastAsia="da-DK"/>
              </w:rPr>
              <w:t xml:space="preserve">There are ongoing activities in SE24 under WI42. </w:t>
            </w:r>
            <w:r w:rsidRPr="00314164">
              <w:rPr>
                <w:rFonts w:ascii="Arial" w:hAnsi="Arial" w:cs="Arial"/>
                <w:b/>
                <w:sz w:val="16"/>
                <w:szCs w:val="16"/>
                <w:lang w:eastAsia="da-DK"/>
              </w:rPr>
              <w:t xml:space="preserve">ECC Report 200, ECC Report 189 and the draft ECC Report 207 are also relevant. </w:t>
            </w:r>
            <w:r w:rsidR="008E51F4">
              <w:rPr>
                <w:rFonts w:ascii="Arial" w:hAnsi="Arial" w:cs="Arial"/>
                <w:b/>
                <w:sz w:val="16"/>
                <w:szCs w:val="16"/>
                <w:lang w:eastAsia="da-DK"/>
              </w:rPr>
              <w:t>REC 70-03 in process of being revised.</w:t>
            </w:r>
          </w:p>
        </w:tc>
      </w:tr>
      <w:tr w:rsidR="00314164" w:rsidRPr="00314164" w:rsidTr="00314164">
        <w:trPr>
          <w:trHeight w:val="1350"/>
        </w:trPr>
        <w:tc>
          <w:tcPr>
            <w:tcW w:w="2992" w:type="dxa"/>
            <w:tcBorders>
              <w:top w:val="nil"/>
              <w:left w:val="nil"/>
              <w:bottom w:val="single" w:sz="4" w:space="0" w:color="auto"/>
              <w:right w:val="single" w:sz="4" w:space="0" w:color="auto"/>
            </w:tcBorders>
            <w:shd w:val="clear" w:color="000000" w:fill="FFFFFF"/>
            <w:vAlign w:val="center"/>
          </w:tcPr>
          <w:p w:rsidR="00314164" w:rsidRPr="00EB1645" w:rsidRDefault="00901051" w:rsidP="00314164">
            <w:pPr>
              <w:rPr>
                <w:rFonts w:ascii="Arial" w:hAnsi="Arial" w:cs="Arial"/>
                <w:color w:val="0000FF"/>
                <w:sz w:val="16"/>
                <w:szCs w:val="16"/>
                <w:u w:val="single"/>
                <w:lang w:val="en-US" w:eastAsia="da-DK"/>
              </w:rPr>
            </w:pPr>
            <w:r w:rsidRPr="00314164">
              <w:rPr>
                <w:rFonts w:ascii="Arial" w:hAnsi="Arial" w:cs="Arial"/>
                <w:color w:val="0000FF"/>
                <w:sz w:val="16"/>
                <w:szCs w:val="16"/>
                <w:lang w:eastAsia="da-DK"/>
              </w:rPr>
              <w:fldChar w:fldCharType="begin"/>
            </w:r>
            <w:r w:rsidR="000250FB" w:rsidRPr="00EB1645">
              <w:rPr>
                <w:rFonts w:ascii="Arial" w:hAnsi="Arial" w:cs="Arial"/>
                <w:color w:val="0000FF"/>
                <w:sz w:val="16"/>
                <w:szCs w:val="16"/>
                <w:lang w:val="en-US" w:eastAsia="da-DK"/>
              </w:rPr>
              <w:instrText xml:space="preserve"> HYPERLINK "http://webapp.etsi.org/WorkProgram/Report_WorkItem.asp?WKI_ID=42498&amp;curItemNr=34&amp;totalNrItems=34&amp;optDisplay=10&amp;titleType=all&amp;qSORT=HIGHVERSION&amp;qETSI_ALL=&amp;SearchPage=TRUE&amp;qETSI_STANDARD_TYPE=%27EN%27&amp;qTB_ID=584%3BERM+TG28&amp;qINCLUDE_SUB_TB=True&amp;qINCLUDE_MOVED_ON=&amp;qSTOP_FLG=N&amp;qKEYWORD_BOOLEAN=OR&amp;qCLUSTER_BOOLEAN=OR&amp;qFREQUENCIES_BOOLEAN=OR&amp;qSTOPPING_OUTDATED=&amp;butExpertSearch=Search&amp;includeNonActiveTB=FALSE&amp;includeSubProjectCode=FALSE&amp;qREPORT_TYPE=SUMMARY" </w:instrText>
            </w:r>
            <w:r w:rsidRPr="00314164">
              <w:rPr>
                <w:rFonts w:ascii="Arial" w:hAnsi="Arial" w:cs="Arial"/>
                <w:color w:val="0000FF"/>
                <w:sz w:val="16"/>
                <w:szCs w:val="16"/>
                <w:lang w:eastAsia="da-DK"/>
              </w:rPr>
              <w:fldChar w:fldCharType="separate"/>
            </w:r>
            <w:r w:rsidR="000250FB" w:rsidRPr="00EB1645">
              <w:rPr>
                <w:rFonts w:ascii="Arial" w:hAnsi="Arial" w:cs="Arial"/>
                <w:color w:val="0000FF"/>
                <w:sz w:val="16"/>
                <w:szCs w:val="16"/>
                <w:u w:val="single"/>
                <w:lang w:val="en-US" w:eastAsia="da-DK"/>
              </w:rPr>
              <w:t>(EN 303 204)DEN/ERM-TG28-504</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bCs/>
                <w:color w:val="0000FF"/>
                <w:sz w:val="16"/>
                <w:szCs w:val="16"/>
                <w:u w:val="single"/>
                <w:lang w:eastAsia="da-DK"/>
              </w:rPr>
              <w:t>ERM Electromagnetic compatibility and Radio spectrum Matters (ERM);</w:t>
            </w:r>
            <w:r w:rsidRPr="00314164">
              <w:rPr>
                <w:rFonts w:ascii="Arial" w:hAnsi="Arial" w:cs="Arial"/>
                <w:bCs/>
                <w:color w:val="0000FF"/>
                <w:sz w:val="16"/>
                <w:szCs w:val="16"/>
                <w:u w:val="single"/>
                <w:lang w:eastAsia="da-DK"/>
              </w:rPr>
              <w:br/>
              <w:t xml:space="preserve">Short Range Devices (SRD); Radio equipment to be used in the 870 MHz to 876 MHz frequency range with power levels ranging up to 500 </w:t>
            </w:r>
            <w:proofErr w:type="spellStart"/>
            <w:r w:rsidRPr="00314164">
              <w:rPr>
                <w:rFonts w:ascii="Arial" w:hAnsi="Arial" w:cs="Arial"/>
                <w:bCs/>
                <w:color w:val="0000FF"/>
                <w:sz w:val="16"/>
                <w:szCs w:val="16"/>
                <w:u w:val="single"/>
                <w:lang w:eastAsia="da-DK"/>
              </w:rPr>
              <w:t>mW</w:t>
            </w:r>
            <w:proofErr w:type="spellEnd"/>
            <w:r w:rsidRPr="00314164">
              <w:rPr>
                <w:rFonts w:ascii="Arial" w:hAnsi="Arial" w:cs="Arial"/>
                <w:bCs/>
                <w:color w:val="0000FF"/>
                <w:sz w:val="16"/>
                <w:szCs w:val="16"/>
                <w:u w:val="single"/>
                <w:lang w:eastAsia="da-DK"/>
              </w:rPr>
              <w:br/>
              <w:t>Part 2: Harmonized EN covering essential requirements under article 3.2 of the R&amp;TTE Directive</w:t>
            </w:r>
            <w:r w:rsidR="00901051" w:rsidRPr="00314164">
              <w:rPr>
                <w:rFonts w:ascii="Arial" w:hAnsi="Arial" w:cs="Arial"/>
                <w:color w:val="0000FF"/>
                <w:sz w:val="16"/>
                <w:szCs w:val="16"/>
                <w:lang w:eastAsia="da-DK"/>
              </w:rPr>
              <w:fldChar w:fldCharType="end"/>
            </w:r>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eastAsia="da-DK"/>
              </w:rPr>
              <w:t xml:space="preserve">To produce a new Harmonised Standard (EN 303 204), taking into account the ongoing ECC Report 200 and ECC Report 189, to support Network Based SRDs within the 870 -876 MHz frequency range, such as Metropolitan Machine Mesh (M3M e.g. TR 103 055) and Smart Metering/Smart Grid (e.g. TR 102 886) - TS 102 887 could also of relevance. It is noted that these SRD equipment will be class 2 to ensure the best spectrum efficiency whilst protecting the primary service operating in some countries. </w:t>
            </w:r>
            <w:r w:rsidRPr="00314164">
              <w:rPr>
                <w:rFonts w:ascii="Arial" w:hAnsi="Arial" w:cs="Arial"/>
                <w:b/>
                <w:sz w:val="16"/>
                <w:szCs w:val="16"/>
                <w:lang w:eastAsia="da-DK"/>
              </w:rPr>
              <w:t>Early draft status.</w:t>
            </w:r>
          </w:p>
        </w:tc>
        <w:tc>
          <w:tcPr>
            <w:tcW w:w="5867" w:type="dxa"/>
            <w:tcBorders>
              <w:top w:val="nil"/>
              <w:left w:val="nil"/>
              <w:bottom w:val="single" w:sz="4" w:space="0" w:color="auto"/>
              <w:right w:val="single" w:sz="4" w:space="0" w:color="auto"/>
            </w:tcBorders>
            <w:shd w:val="clear" w:color="auto" w:fill="auto"/>
            <w:vAlign w:val="center"/>
          </w:tcPr>
          <w:p w:rsidR="00256AB5" w:rsidRDefault="00314164">
            <w:pPr>
              <w:rPr>
                <w:rFonts w:ascii="Arial" w:hAnsi="Arial" w:cs="Arial"/>
                <w:sz w:val="16"/>
                <w:szCs w:val="16"/>
                <w:lang w:val="en-US" w:eastAsia="da-DK"/>
              </w:rPr>
            </w:pPr>
            <w:r w:rsidRPr="00314164">
              <w:rPr>
                <w:rFonts w:ascii="Arial" w:hAnsi="Arial" w:cs="Arial"/>
                <w:b/>
                <w:sz w:val="16"/>
                <w:szCs w:val="16"/>
                <w:lang w:val="en-US" w:eastAsia="da-DK"/>
              </w:rPr>
              <w:t xml:space="preserve">ECC Report 200 (SE24) and ECC Report 189 (SRD/MG) can be used by ETSI ERM and SRD/MG in updating standard and regulation. </w:t>
            </w:r>
            <w:r w:rsidR="008E51F4" w:rsidRPr="008E51F4">
              <w:rPr>
                <w:rFonts w:ascii="Arial" w:hAnsi="Arial" w:cs="Arial"/>
                <w:b/>
                <w:sz w:val="16"/>
                <w:szCs w:val="16"/>
                <w:lang w:val="en-US" w:eastAsia="da-DK"/>
              </w:rPr>
              <w:t xml:space="preserve">REC 70-03 in process of being </w:t>
            </w:r>
            <w:r w:rsidR="008E51F4">
              <w:rPr>
                <w:rFonts w:ascii="Arial" w:hAnsi="Arial" w:cs="Arial"/>
                <w:b/>
                <w:sz w:val="16"/>
                <w:szCs w:val="16"/>
                <w:lang w:val="en-US" w:eastAsia="da-DK"/>
              </w:rPr>
              <w:t>revised</w:t>
            </w:r>
            <w:r w:rsidR="008E51F4" w:rsidRPr="008E51F4">
              <w:rPr>
                <w:rFonts w:ascii="Arial" w:hAnsi="Arial" w:cs="Arial"/>
                <w:b/>
                <w:sz w:val="16"/>
                <w:szCs w:val="16"/>
                <w:lang w:val="en-US" w:eastAsia="da-DK"/>
              </w:rPr>
              <w:t>.</w:t>
            </w:r>
            <w:r w:rsidRPr="00314164">
              <w:rPr>
                <w:rFonts w:ascii="Arial" w:hAnsi="Arial" w:cs="Arial"/>
                <w:b/>
                <w:sz w:val="16"/>
                <w:szCs w:val="16"/>
                <w:lang w:val="en-US" w:eastAsia="da-DK"/>
              </w:rPr>
              <w:t xml:space="preserve"> </w:t>
            </w:r>
          </w:p>
        </w:tc>
      </w:tr>
      <w:tr w:rsidR="00314164" w:rsidRPr="00314164" w:rsidTr="00314164">
        <w:trPr>
          <w:trHeight w:val="675"/>
        </w:trPr>
        <w:tc>
          <w:tcPr>
            <w:tcW w:w="2992" w:type="dxa"/>
            <w:tcBorders>
              <w:top w:val="nil"/>
              <w:left w:val="nil"/>
              <w:bottom w:val="single" w:sz="4" w:space="0" w:color="auto"/>
              <w:right w:val="single" w:sz="4" w:space="0" w:color="auto"/>
            </w:tcBorders>
            <w:shd w:val="clear" w:color="000000" w:fill="FFFFFF"/>
            <w:vAlign w:val="center"/>
          </w:tcPr>
          <w:p w:rsidR="00314164" w:rsidRPr="00EB1645" w:rsidRDefault="00901051" w:rsidP="00314164">
            <w:pPr>
              <w:rPr>
                <w:rFonts w:ascii="Arial" w:hAnsi="Arial" w:cs="Arial"/>
                <w:color w:val="0000FF"/>
                <w:sz w:val="16"/>
                <w:szCs w:val="16"/>
                <w:u w:val="single"/>
                <w:lang w:val="en-US" w:eastAsia="da-DK"/>
              </w:rPr>
            </w:pPr>
            <w:r w:rsidRPr="00314164">
              <w:rPr>
                <w:rFonts w:ascii="Arial" w:hAnsi="Arial" w:cs="Arial"/>
                <w:bCs/>
                <w:color w:val="0000FF"/>
                <w:sz w:val="16"/>
                <w:szCs w:val="16"/>
                <w:lang w:eastAsia="da-DK"/>
              </w:rPr>
              <w:fldChar w:fldCharType="begin"/>
            </w:r>
            <w:r w:rsidR="000250FB" w:rsidRPr="00EB1645">
              <w:rPr>
                <w:rFonts w:ascii="Arial" w:hAnsi="Arial" w:cs="Arial"/>
                <w:bCs/>
                <w:color w:val="0000FF"/>
                <w:sz w:val="16"/>
                <w:szCs w:val="16"/>
                <w:lang w:val="en-US" w:eastAsia="da-DK"/>
              </w:rPr>
              <w:instrText xml:space="preserve"> HYPERLINK "http://webapp.etsi.org/WorkProgram/Report_WorkItem.asp?WKI_ID=42923&amp;curItemNr=2&amp;totalNrItems=2&amp;optDisplay=10&amp;titleType=all&amp;qSORT=HIGHVERSION&amp;qETSI_ALL=&amp;SearchPage=TRUE&amp;qETSI_STANDARD_TYPE=%27EN%27&amp;qTB_ID=286%3BERM&amp;qINCLUDE_SUB_TB=True&amp;qCURRENT_STATE_CODE=new&amp;qINCLUDE_MOVED_ON=&amp;qSTOP_FLG=N&amp;qKEYWORD_BOOLEAN=OR&amp;qCLUSTER_BOOLEAN=OR&amp;qFREQUENCIES_BOOLEAN=OR&amp;qSTOPPING_OUTDATED=&amp;butExpertSearch=Search&amp;includeNonActiveTB=FALSE&amp;includeSubProjectCode=FALSE&amp;qREPORT_TYPE=SUMMARY" </w:instrText>
            </w:r>
            <w:r w:rsidRPr="00314164">
              <w:rPr>
                <w:rFonts w:ascii="Arial" w:hAnsi="Arial" w:cs="Arial"/>
                <w:bCs/>
                <w:color w:val="0000FF"/>
                <w:sz w:val="16"/>
                <w:szCs w:val="16"/>
                <w:lang w:eastAsia="da-DK"/>
              </w:rPr>
              <w:fldChar w:fldCharType="separate"/>
            </w:r>
            <w:r w:rsidR="000250FB" w:rsidRPr="00EB1645">
              <w:rPr>
                <w:rFonts w:ascii="Arial" w:hAnsi="Arial" w:cs="Arial"/>
                <w:color w:val="0000FF"/>
                <w:sz w:val="16"/>
                <w:szCs w:val="16"/>
                <w:u w:val="single"/>
                <w:lang w:val="en-US" w:eastAsia="da-DK"/>
              </w:rPr>
              <w:t>(</w:t>
            </w:r>
            <w:r w:rsidR="000250FB" w:rsidRPr="00EB1645">
              <w:rPr>
                <w:rFonts w:ascii="Arial" w:hAnsi="Arial" w:cs="Arial"/>
                <w:bCs/>
                <w:color w:val="0000FF"/>
                <w:sz w:val="16"/>
                <w:szCs w:val="16"/>
                <w:u w:val="single"/>
                <w:lang w:val="en-US" w:eastAsia="da-DK"/>
              </w:rPr>
              <w:t>EN 303 203) DEN/ERM-TG30-305</w:t>
            </w:r>
          </w:p>
          <w:p w:rsidR="00314164" w:rsidRPr="00314164" w:rsidRDefault="00314164" w:rsidP="00314164">
            <w:pPr>
              <w:rPr>
                <w:rFonts w:ascii="Arial" w:hAnsi="Arial" w:cs="Arial"/>
                <w:color w:val="0000FF"/>
                <w:sz w:val="16"/>
                <w:szCs w:val="16"/>
                <w:lang w:val="en-US" w:eastAsia="da-DK"/>
              </w:rPr>
            </w:pPr>
            <w:r w:rsidRPr="00314164">
              <w:rPr>
                <w:rFonts w:ascii="Arial" w:hAnsi="Arial" w:cs="Arial"/>
                <w:color w:val="0000FF"/>
                <w:sz w:val="16"/>
                <w:szCs w:val="16"/>
                <w:u w:val="single"/>
                <w:lang w:eastAsia="da-DK"/>
              </w:rPr>
              <w:t>Electromagnetic compatibility and Radio spectrum Matters (ERM); Short Range Devices (SRD); Medical Body Area Network Systems (MBANSs) operating in the 2483,5 MHz to 2500 MHz range; Part 2: Harmonized EN covering the essential requirements of article 3.2 of the R&amp;TTE Directive</w:t>
            </w:r>
            <w:r w:rsidR="00901051" w:rsidRPr="00314164">
              <w:rPr>
                <w:rFonts w:ascii="Arial" w:hAnsi="Arial" w:cs="Arial"/>
                <w:bCs/>
                <w:color w:val="0000FF"/>
                <w:sz w:val="16"/>
                <w:szCs w:val="16"/>
                <w:lang w:eastAsia="da-DK"/>
              </w:rPr>
              <w:fldChar w:fldCharType="end"/>
            </w:r>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Development of new harmonised standard EN 303 203 for Medical Body Area Network Systems operating in the 2</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 xml:space="preserve">83,5 MHz to 2500 MHz range, covering the essential requirements of article 3.2 of the R&amp;TTE Directive. The standard will address the request by CEPT WGFM in document </w:t>
            </w:r>
            <w:proofErr w:type="gramStart"/>
            <w:r w:rsidRPr="00314164">
              <w:rPr>
                <w:rFonts w:ascii="Arial" w:hAnsi="Arial" w:cs="Arial"/>
                <w:sz w:val="16"/>
                <w:szCs w:val="16"/>
                <w:lang w:eastAsia="da-DK"/>
              </w:rPr>
              <w:t>ERM(</w:t>
            </w:r>
            <w:proofErr w:type="gramEnd"/>
            <w:r w:rsidRPr="00314164">
              <w:rPr>
                <w:rFonts w:ascii="Arial" w:hAnsi="Arial" w:cs="Arial"/>
                <w:sz w:val="16"/>
                <w:szCs w:val="16"/>
                <w:lang w:eastAsia="da-DK"/>
              </w:rPr>
              <w:t>13)</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9b017, that to improve compatibility between MBANS and LP-AMI adequate spectrum sharing mechanisms will be investigated. WI adopted in August 2013.</w:t>
            </w:r>
            <w:r w:rsidRPr="00314164">
              <w:rPr>
                <w:rFonts w:ascii="Arial" w:hAnsi="Arial" w:cs="Arial"/>
                <w:b/>
                <w:sz w:val="16"/>
                <w:szCs w:val="16"/>
                <w:lang w:eastAsia="da-DK"/>
              </w:rPr>
              <w:t xml:space="preserve"> Early draft status.</w:t>
            </w:r>
          </w:p>
        </w:tc>
        <w:tc>
          <w:tcPr>
            <w:tcW w:w="5867" w:type="dxa"/>
            <w:tcBorders>
              <w:top w:val="nil"/>
              <w:left w:val="nil"/>
              <w:bottom w:val="single" w:sz="4" w:space="0" w:color="auto"/>
              <w:right w:val="single" w:sz="4" w:space="0" w:color="auto"/>
            </w:tcBorders>
            <w:shd w:val="clear" w:color="auto" w:fill="auto"/>
            <w:noWrap/>
            <w:vAlign w:val="center"/>
          </w:tcPr>
          <w:p w:rsidR="00314164" w:rsidRPr="00314164" w:rsidRDefault="00314164" w:rsidP="00314164">
            <w:pPr>
              <w:rPr>
                <w:rFonts w:ascii="Calibri" w:hAnsi="Calibri"/>
                <w:color w:val="000000"/>
                <w:sz w:val="22"/>
                <w:szCs w:val="22"/>
                <w:lang w:val="en-US" w:eastAsia="da-DK"/>
              </w:rPr>
            </w:pPr>
            <w:r w:rsidRPr="00314164">
              <w:rPr>
                <w:rFonts w:ascii="Arial" w:hAnsi="Arial" w:cs="Arial"/>
                <w:b/>
                <w:sz w:val="16"/>
                <w:szCs w:val="16"/>
                <w:lang w:val="en-US" w:eastAsia="da-DK"/>
              </w:rPr>
              <w:t xml:space="preserve">SE24 developed ECC Report 149 (LP-AMI) and ECC Report 201 (MBANS) to assess the impact of medical applications in the band 2.4825-2.5 GHz on radio systems. </w:t>
            </w:r>
            <w:r w:rsidRPr="00314164">
              <w:rPr>
                <w:rFonts w:ascii="Arial" w:hAnsi="Arial" w:cs="Arial"/>
                <w:b/>
                <w:sz w:val="16"/>
                <w:szCs w:val="16"/>
                <w:lang w:eastAsia="da-DK"/>
              </w:rPr>
              <w:t>Channel access mechanism between MBANS and LP-AMI to be defined in the EN.</w:t>
            </w:r>
            <w:r w:rsidR="008E51F4">
              <w:rPr>
                <w:rFonts w:ascii="Arial" w:hAnsi="Arial" w:cs="Arial"/>
                <w:b/>
                <w:sz w:val="16"/>
                <w:szCs w:val="16"/>
                <w:lang w:eastAsia="da-DK"/>
              </w:rPr>
              <w:t xml:space="preserve"> </w:t>
            </w:r>
            <w:r w:rsidR="008E51F4" w:rsidRPr="008E51F4">
              <w:rPr>
                <w:rFonts w:ascii="Arial" w:hAnsi="Arial" w:cs="Arial"/>
                <w:b/>
                <w:sz w:val="16"/>
                <w:szCs w:val="16"/>
                <w:lang w:eastAsia="da-DK"/>
              </w:rPr>
              <w:t>REC 70-03 in process of being revised.</w:t>
            </w:r>
          </w:p>
        </w:tc>
      </w:tr>
      <w:tr w:rsidR="00314164" w:rsidRPr="00314164" w:rsidTr="00314164">
        <w:trPr>
          <w:trHeight w:val="675"/>
        </w:trPr>
        <w:tc>
          <w:tcPr>
            <w:tcW w:w="2992" w:type="dxa"/>
            <w:tcBorders>
              <w:top w:val="nil"/>
              <w:left w:val="nil"/>
              <w:bottom w:val="single" w:sz="4" w:space="0" w:color="auto"/>
              <w:right w:val="single" w:sz="4" w:space="0" w:color="auto"/>
            </w:tcBorders>
            <w:shd w:val="clear" w:color="000000" w:fill="FFFFFF"/>
            <w:vAlign w:val="center"/>
          </w:tcPr>
          <w:p w:rsidR="00314164" w:rsidRPr="00314164" w:rsidRDefault="00901051" w:rsidP="00314164">
            <w:pPr>
              <w:rPr>
                <w:rFonts w:ascii="Arial" w:hAnsi="Arial" w:cs="Arial"/>
                <w:color w:val="0000FF"/>
                <w:sz w:val="16"/>
                <w:szCs w:val="16"/>
                <w:u w:val="single"/>
                <w:lang w:eastAsia="da-DK"/>
              </w:rPr>
            </w:pPr>
            <w:r w:rsidRPr="00314164">
              <w:rPr>
                <w:rFonts w:ascii="Arial" w:hAnsi="Arial" w:cs="Arial"/>
                <w:color w:val="0000FF"/>
                <w:sz w:val="16"/>
                <w:szCs w:val="16"/>
                <w:u w:val="single"/>
                <w:lang w:eastAsia="da-DK"/>
              </w:rPr>
              <w:fldChar w:fldCharType="begin"/>
            </w:r>
            <w:r w:rsidR="00314164" w:rsidRPr="00314164">
              <w:rPr>
                <w:rFonts w:ascii="Arial" w:hAnsi="Arial" w:cs="Arial"/>
                <w:color w:val="0000FF"/>
                <w:sz w:val="16"/>
                <w:szCs w:val="16"/>
                <w:u w:val="single"/>
                <w:lang w:eastAsia="da-DK"/>
              </w:rPr>
              <w:instrText xml:space="preserve"> HYPERLINK "http://webapp.etsi.org/WorkProgram/Report_WorkItem.asp?WKI_ID=42406&amp;" </w:instrText>
            </w:r>
            <w:r w:rsidRPr="00314164">
              <w:rPr>
                <w:rFonts w:ascii="Arial" w:hAnsi="Arial" w:cs="Arial"/>
                <w:color w:val="0000FF"/>
                <w:sz w:val="16"/>
                <w:szCs w:val="16"/>
                <w:u w:val="single"/>
                <w:lang w:eastAsia="da-DK"/>
              </w:rPr>
              <w:fldChar w:fldCharType="separate"/>
            </w:r>
            <w:r w:rsidR="00314164" w:rsidRPr="00314164">
              <w:rPr>
                <w:rFonts w:ascii="Arial" w:hAnsi="Arial" w:cs="Arial"/>
                <w:color w:val="0000FF"/>
                <w:sz w:val="16"/>
                <w:szCs w:val="16"/>
                <w:u w:val="single"/>
                <w:lang w:eastAsia="da-DK"/>
              </w:rPr>
              <w:t>(EN 302 208-2)  REN/ERM-TG34-261</w:t>
            </w:r>
          </w:p>
          <w:p w:rsidR="00314164" w:rsidRPr="00314164" w:rsidRDefault="00314164" w:rsidP="00314164">
            <w:pPr>
              <w:rPr>
                <w:rFonts w:ascii="Arial" w:hAnsi="Arial" w:cs="Arial"/>
                <w:color w:val="0000FF"/>
                <w:sz w:val="16"/>
                <w:szCs w:val="16"/>
                <w:u w:val="single"/>
                <w:lang w:eastAsia="da-DK"/>
              </w:rPr>
            </w:pPr>
            <w:r w:rsidRPr="00314164">
              <w:rPr>
                <w:rFonts w:ascii="Arial" w:hAnsi="Arial" w:cs="Arial"/>
                <w:color w:val="0000FF"/>
                <w:sz w:val="16"/>
                <w:szCs w:val="16"/>
                <w:u w:val="single"/>
                <w:lang w:eastAsia="da-DK"/>
              </w:rPr>
              <w:t xml:space="preserve">Electromagnetic compatibility and Radio spectrum Matters (ERM); </w:t>
            </w:r>
          </w:p>
          <w:p w:rsidR="00314164" w:rsidRPr="00314164" w:rsidRDefault="00314164" w:rsidP="00314164">
            <w:pPr>
              <w:rPr>
                <w:rFonts w:ascii="Arial" w:hAnsi="Arial" w:cs="Arial"/>
                <w:color w:val="0000FF"/>
                <w:sz w:val="16"/>
                <w:szCs w:val="16"/>
                <w:u w:val="single"/>
                <w:lang w:eastAsia="da-DK"/>
              </w:rPr>
            </w:pPr>
            <w:r w:rsidRPr="00314164">
              <w:rPr>
                <w:rFonts w:ascii="Arial" w:hAnsi="Arial" w:cs="Arial"/>
                <w:color w:val="0000FF"/>
                <w:sz w:val="16"/>
                <w:szCs w:val="16"/>
                <w:u w:val="single"/>
                <w:lang w:eastAsia="da-DK"/>
              </w:rPr>
              <w:t xml:space="preserve">Radio Frequency Identification Equipment operating in the band 865 MHz to 868 MHz and 915 MHz to 921 MHz with power levels up to 2W and 4W respectively; </w:t>
            </w:r>
          </w:p>
          <w:p w:rsidR="00314164" w:rsidRPr="00314164" w:rsidRDefault="00314164" w:rsidP="00314164">
            <w:pPr>
              <w:rPr>
                <w:rFonts w:ascii="Arial" w:hAnsi="Arial" w:cs="Arial"/>
                <w:color w:val="0000FF"/>
                <w:sz w:val="16"/>
                <w:szCs w:val="16"/>
                <w:u w:val="single"/>
                <w:lang w:eastAsia="da-DK"/>
              </w:rPr>
            </w:pPr>
            <w:r w:rsidRPr="00314164">
              <w:rPr>
                <w:rFonts w:ascii="Arial" w:hAnsi="Arial" w:cs="Arial"/>
                <w:color w:val="0000FF"/>
                <w:sz w:val="16"/>
                <w:szCs w:val="16"/>
                <w:u w:val="single"/>
                <w:lang w:eastAsia="da-DK"/>
              </w:rPr>
              <w:t xml:space="preserve">Part 2: Harmonized EN covering the essential requirements of article 3.2 of the R&amp;TTE Directive </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eastAsia="da-DK"/>
              </w:rPr>
              <w:t>Harmonised requirements for RFID in the UHF Bands 865 to 868 MHz and 915 to 921 MHz</w:t>
            </w:r>
            <w:r w:rsidR="00901051" w:rsidRPr="00314164">
              <w:rPr>
                <w:rFonts w:ascii="Arial" w:hAnsi="Arial" w:cs="Arial"/>
                <w:color w:val="0000FF"/>
                <w:sz w:val="16"/>
                <w:szCs w:val="16"/>
                <w:u w:val="single"/>
                <w:lang w:eastAsia="da-DK"/>
              </w:rPr>
              <w:fldChar w:fldCharType="end"/>
            </w:r>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eastAsia="da-DK"/>
              </w:rPr>
              <w:t xml:space="preserve">Revision of EN 302 208-2 on RFID operating in the band 865 MHz to 868 MHz and 915 MHz to 921 MHz with power levels up to 2W and </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 xml:space="preserve">W respectively. </w:t>
            </w:r>
            <w:r w:rsidRPr="00314164">
              <w:rPr>
                <w:rFonts w:ascii="Arial" w:hAnsi="Arial" w:cs="Arial"/>
                <w:b/>
                <w:sz w:val="16"/>
                <w:szCs w:val="16"/>
                <w:lang w:eastAsia="da-DK"/>
              </w:rPr>
              <w:t>Early draft status.</w:t>
            </w:r>
          </w:p>
        </w:tc>
        <w:tc>
          <w:tcPr>
            <w:tcW w:w="5867" w:type="dxa"/>
            <w:tcBorders>
              <w:top w:val="nil"/>
              <w:left w:val="nil"/>
              <w:bottom w:val="single" w:sz="4" w:space="0" w:color="auto"/>
              <w:right w:val="single" w:sz="4" w:space="0" w:color="auto"/>
            </w:tcBorders>
            <w:shd w:val="clear" w:color="auto" w:fill="auto"/>
            <w:noWrap/>
            <w:vAlign w:val="center"/>
          </w:tcPr>
          <w:p w:rsidR="00314164" w:rsidRPr="00314164" w:rsidRDefault="00314164" w:rsidP="00314164">
            <w:pPr>
              <w:rPr>
                <w:rFonts w:ascii="Calibri" w:hAnsi="Calibri"/>
                <w:color w:val="000000"/>
                <w:sz w:val="22"/>
                <w:szCs w:val="22"/>
                <w:lang w:val="en-US" w:eastAsia="da-DK"/>
              </w:rPr>
            </w:pPr>
            <w:r w:rsidRPr="00314164">
              <w:rPr>
                <w:rFonts w:ascii="Arial" w:hAnsi="Arial" w:cs="Arial"/>
                <w:sz w:val="16"/>
                <w:szCs w:val="16"/>
                <w:lang w:eastAsia="da-DK"/>
              </w:rPr>
              <w:t xml:space="preserve">Related to ERC Rec 70-03, Annex 11 and to the ECC Report 200 (SE24) and ECC Report 189 (SRD/MG). </w:t>
            </w:r>
            <w:r w:rsidR="008E51F4" w:rsidRPr="008E51F4">
              <w:rPr>
                <w:rFonts w:ascii="Arial" w:hAnsi="Arial" w:cs="Arial"/>
                <w:sz w:val="16"/>
                <w:szCs w:val="16"/>
                <w:lang w:eastAsia="da-DK"/>
              </w:rPr>
              <w:t xml:space="preserve">REC 70-03 in process of being revised. </w:t>
            </w:r>
            <w:r w:rsidRPr="00314164">
              <w:rPr>
                <w:rFonts w:ascii="Arial" w:hAnsi="Arial" w:cs="Arial"/>
                <w:b/>
                <w:sz w:val="16"/>
                <w:szCs w:val="16"/>
                <w:lang w:val="en-US" w:eastAsia="da-DK"/>
              </w:rPr>
              <w:t xml:space="preserve">No </w:t>
            </w:r>
            <w:r w:rsidR="008E51F4">
              <w:rPr>
                <w:rFonts w:ascii="Arial" w:hAnsi="Arial" w:cs="Arial"/>
                <w:b/>
                <w:sz w:val="16"/>
                <w:szCs w:val="16"/>
                <w:lang w:val="en-US" w:eastAsia="da-DK"/>
              </w:rPr>
              <w:t xml:space="preserve">further </w:t>
            </w:r>
            <w:r w:rsidRPr="00314164">
              <w:rPr>
                <w:rFonts w:ascii="Arial" w:hAnsi="Arial" w:cs="Arial"/>
                <w:b/>
                <w:sz w:val="16"/>
                <w:szCs w:val="16"/>
                <w:lang w:val="en-US" w:eastAsia="da-DK"/>
              </w:rPr>
              <w:t>required action currently identified.</w:t>
            </w:r>
          </w:p>
        </w:tc>
      </w:tr>
      <w:tr w:rsidR="00314164" w:rsidRPr="00314164" w:rsidTr="00314164">
        <w:trPr>
          <w:trHeight w:val="1575"/>
        </w:trPr>
        <w:tc>
          <w:tcPr>
            <w:tcW w:w="2992" w:type="dxa"/>
            <w:tcBorders>
              <w:top w:val="nil"/>
              <w:left w:val="nil"/>
              <w:bottom w:val="nil"/>
              <w:right w:val="single" w:sz="4" w:space="0" w:color="auto"/>
            </w:tcBorders>
            <w:shd w:val="clear" w:color="000000" w:fill="FFFFFF"/>
            <w:vAlign w:val="center"/>
          </w:tcPr>
          <w:p w:rsidR="00314164" w:rsidRPr="00314164" w:rsidRDefault="00AF131B" w:rsidP="00314164">
            <w:pPr>
              <w:rPr>
                <w:rFonts w:ascii="Arial" w:hAnsi="Arial" w:cs="Arial"/>
                <w:color w:val="0000FF"/>
                <w:sz w:val="16"/>
                <w:szCs w:val="16"/>
                <w:u w:val="single"/>
                <w:lang w:val="en-US" w:eastAsia="da-DK"/>
              </w:rPr>
            </w:pPr>
            <w:hyperlink r:id="rId19" w:history="1">
              <w:r w:rsidR="00314164" w:rsidRPr="00314164">
                <w:rPr>
                  <w:rFonts w:ascii="Arial" w:hAnsi="Arial" w:cs="Arial"/>
                  <w:color w:val="0000FF"/>
                  <w:sz w:val="16"/>
                  <w:szCs w:val="16"/>
                  <w:u w:val="single"/>
                  <w:lang w:val="en-US" w:eastAsia="da-DK"/>
                </w:rPr>
                <w:t>EN 302 858-2 (REN/ERM-TGSRR-061-2)</w:t>
              </w:r>
              <w:r w:rsidR="00314164" w:rsidRPr="00314164">
                <w:rPr>
                  <w:rFonts w:ascii="Arial" w:hAnsi="Arial" w:cs="Arial"/>
                  <w:color w:val="0000FF"/>
                  <w:sz w:val="16"/>
                  <w:szCs w:val="16"/>
                  <w:u w:val="single"/>
                  <w:lang w:val="en-US" w:eastAsia="da-DK"/>
                </w:rPr>
                <w:br/>
                <w:t xml:space="preserve">Electromagnetic compatibility and Radio spectrum Matters (ERM); </w:t>
              </w:r>
              <w:r w:rsidR="00314164" w:rsidRPr="00314164">
                <w:rPr>
                  <w:rFonts w:ascii="Arial" w:hAnsi="Arial" w:cs="Arial"/>
                  <w:color w:val="0000FF"/>
                  <w:sz w:val="16"/>
                  <w:szCs w:val="16"/>
                  <w:u w:val="single"/>
                  <w:lang w:val="en-US" w:eastAsia="da-DK"/>
                </w:rPr>
                <w:br/>
                <w:t xml:space="preserve">Road Transport and Traffic Telematics (RTTT); </w:t>
              </w:r>
              <w:r w:rsidR="00314164" w:rsidRPr="00314164">
                <w:rPr>
                  <w:rFonts w:ascii="Arial" w:hAnsi="Arial" w:cs="Arial"/>
                  <w:color w:val="0000FF"/>
                  <w:sz w:val="16"/>
                  <w:szCs w:val="16"/>
                  <w:u w:val="single"/>
                  <w:lang w:val="en-US" w:eastAsia="da-DK"/>
                </w:rPr>
                <w:br/>
                <w:t xml:space="preserve">Automotive radar equipment operating in the 24,05 GHz up to 24,25 or 24,50 GHz frequency range; </w:t>
              </w:r>
              <w:r w:rsidR="00314164" w:rsidRPr="00314164">
                <w:rPr>
                  <w:rFonts w:ascii="Arial" w:hAnsi="Arial" w:cs="Arial"/>
                  <w:color w:val="0000FF"/>
                  <w:sz w:val="16"/>
                  <w:szCs w:val="16"/>
                  <w:u w:val="single"/>
                  <w:lang w:val="en-US" w:eastAsia="da-DK"/>
                </w:rPr>
                <w:br/>
                <w:t xml:space="preserve">Part 2: Harmonized EN covering the essential requirements of article 3.2 of the R&amp;TTE Directive </w:t>
              </w:r>
            </w:hyperlink>
          </w:p>
        </w:tc>
        <w:tc>
          <w:tcPr>
            <w:tcW w:w="4536" w:type="dxa"/>
            <w:tcBorders>
              <w:top w:val="nil"/>
              <w:left w:val="nil"/>
              <w:bottom w:val="nil"/>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eastAsia="da-DK"/>
              </w:rPr>
              <w:t>Revision of EN 302 858-2 for automotive narrowband short range radar (SRR) operating in the band 2</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.050 to 2</w:t>
            </w:r>
            <w:smartTag w:uri="urn:schemas-microsoft-com:office:smarttags" w:element="PersonName">
              <w:r w:rsidRPr="00314164">
                <w:rPr>
                  <w:rFonts w:ascii="Arial" w:hAnsi="Arial" w:cs="Arial"/>
                  <w:sz w:val="16"/>
                  <w:szCs w:val="16"/>
                  <w:lang w:eastAsia="da-DK"/>
                </w:rPr>
                <w:t>4</w:t>
              </w:r>
            </w:smartTag>
            <w:r w:rsidRPr="00314164">
              <w:rPr>
                <w:rFonts w:ascii="Arial" w:hAnsi="Arial" w:cs="Arial"/>
                <w:sz w:val="16"/>
                <w:szCs w:val="16"/>
                <w:lang w:eastAsia="da-DK"/>
              </w:rPr>
              <w:t xml:space="preserve">.5 GHz, to meet requirements for Vehicle Radars (VR) of the revised annex 5 of ERC Rec 70-03.  Approved now. </w:t>
            </w:r>
          </w:p>
        </w:tc>
        <w:tc>
          <w:tcPr>
            <w:tcW w:w="5867" w:type="dxa"/>
            <w:tcBorders>
              <w:top w:val="nil"/>
              <w:left w:val="nil"/>
              <w:bottom w:val="nil"/>
              <w:right w:val="single" w:sz="4" w:space="0" w:color="auto"/>
            </w:tcBorders>
            <w:shd w:val="clear" w:color="auto" w:fill="auto"/>
            <w:noWrap/>
            <w:vAlign w:val="center"/>
          </w:tcPr>
          <w:p w:rsidR="00314164" w:rsidRPr="00314164" w:rsidRDefault="00314164" w:rsidP="00314164">
            <w:pPr>
              <w:rPr>
                <w:rFonts w:ascii="Calibri" w:hAnsi="Calibri"/>
                <w:color w:val="000000"/>
                <w:sz w:val="22"/>
                <w:szCs w:val="22"/>
                <w:lang w:val="en-US" w:eastAsia="da-DK"/>
              </w:rPr>
            </w:pPr>
            <w:r w:rsidRPr="00314164">
              <w:rPr>
                <w:rFonts w:ascii="Arial" w:hAnsi="Arial" w:cs="Arial"/>
                <w:sz w:val="16"/>
                <w:szCs w:val="16"/>
                <w:lang w:val="en-US" w:eastAsia="da-DK"/>
              </w:rPr>
              <w:t>Related to ERC Rec 70-03, Annex 5 and to ECC Report 16</w:t>
            </w:r>
            <w:smartTag w:uri="urn:schemas-microsoft-com:office:smarttags" w:element="PersonName">
              <w:r w:rsidRPr="00314164">
                <w:rPr>
                  <w:rFonts w:ascii="Arial" w:hAnsi="Arial" w:cs="Arial"/>
                  <w:sz w:val="16"/>
                  <w:szCs w:val="16"/>
                  <w:lang w:val="en-US" w:eastAsia="da-DK"/>
                </w:rPr>
                <w:t>4</w:t>
              </w:r>
            </w:smartTag>
            <w:r w:rsidRPr="00314164">
              <w:rPr>
                <w:rFonts w:ascii="Arial" w:hAnsi="Arial" w:cs="Arial"/>
                <w:sz w:val="16"/>
                <w:szCs w:val="16"/>
                <w:lang w:val="en-US" w:eastAsia="da-DK"/>
              </w:rPr>
              <w:t xml:space="preserve"> (WLAM). </w:t>
            </w:r>
            <w:r w:rsidRPr="00314164">
              <w:rPr>
                <w:rFonts w:ascii="Arial" w:hAnsi="Arial" w:cs="Arial"/>
                <w:b/>
                <w:sz w:val="16"/>
                <w:szCs w:val="16"/>
                <w:lang w:val="en-US" w:eastAsia="da-DK"/>
              </w:rPr>
              <w:t>No required action currently identified.</w:t>
            </w:r>
          </w:p>
        </w:tc>
      </w:tr>
      <w:tr w:rsidR="00314164" w:rsidRPr="00314164" w:rsidDel="006C2372" w:rsidTr="00314164">
        <w:trPr>
          <w:trHeight w:val="1575"/>
        </w:trPr>
        <w:tc>
          <w:tcPr>
            <w:tcW w:w="2992" w:type="dxa"/>
            <w:tcBorders>
              <w:top w:val="nil"/>
              <w:left w:val="nil"/>
              <w:bottom w:val="nil"/>
              <w:right w:val="single" w:sz="4" w:space="0" w:color="auto"/>
            </w:tcBorders>
            <w:shd w:val="clear" w:color="000000" w:fill="FFFFFF"/>
            <w:vAlign w:val="center"/>
          </w:tcPr>
          <w:p w:rsidR="00314164" w:rsidRPr="00314164" w:rsidRDefault="00901051" w:rsidP="00314164">
            <w:pPr>
              <w:rPr>
                <w:rFonts w:ascii="Arial" w:hAnsi="Arial" w:cs="Arial"/>
                <w:color w:val="0000FF"/>
                <w:sz w:val="16"/>
                <w:szCs w:val="16"/>
                <w:u w:val="single"/>
                <w:lang w:val="da-DK" w:eastAsia="da-DK"/>
              </w:rPr>
            </w:pPr>
            <w:r w:rsidRPr="00314164">
              <w:rPr>
                <w:rFonts w:ascii="Arial" w:hAnsi="Arial" w:cs="Arial"/>
                <w:color w:val="0000FF"/>
                <w:sz w:val="16"/>
                <w:szCs w:val="16"/>
                <w:u w:val="single"/>
                <w:lang w:val="da-DK" w:eastAsia="da-DK"/>
              </w:rPr>
              <w:fldChar w:fldCharType="begin"/>
            </w:r>
            <w:r w:rsidR="00314164" w:rsidRPr="00314164">
              <w:rPr>
                <w:rFonts w:ascii="Arial" w:hAnsi="Arial" w:cs="Arial"/>
                <w:color w:val="0000FF"/>
                <w:sz w:val="16"/>
                <w:szCs w:val="16"/>
                <w:u w:val="single"/>
                <w:lang w:val="da-DK" w:eastAsia="da-DK"/>
              </w:rPr>
              <w:instrText xml:space="preserve"> HYPERLINK "http://webapp.etsi.org/WorkProgram/Report_WorkItem.asp?WKI_ID=43735" </w:instrText>
            </w:r>
            <w:r w:rsidRPr="00314164">
              <w:rPr>
                <w:rFonts w:ascii="Arial" w:hAnsi="Arial" w:cs="Arial"/>
                <w:color w:val="0000FF"/>
                <w:sz w:val="16"/>
                <w:szCs w:val="16"/>
                <w:u w:val="single"/>
                <w:lang w:val="da-DK" w:eastAsia="da-DK"/>
              </w:rPr>
              <w:fldChar w:fldCharType="separate"/>
            </w:r>
            <w:r w:rsidR="00314164" w:rsidRPr="00314164">
              <w:rPr>
                <w:rFonts w:ascii="Arial" w:hAnsi="Arial" w:cs="Arial"/>
                <w:color w:val="0000FF"/>
                <w:sz w:val="16"/>
                <w:szCs w:val="16"/>
                <w:u w:val="single"/>
                <w:lang w:val="da-DK" w:eastAsia="da-DK"/>
              </w:rPr>
              <w:t xml:space="preserve">(EN xx)  DEN/ERM-TG41-001  </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 xml:space="preserve">Electromagnetic compatibility and Radio spectrum Matters (ERM); </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 xml:space="preserve">Wireless industrial automation; Radio equipment to be used in the 5,725 GHz to 5,875 GHz frequency range with power levels ranging up to 400 </w:t>
            </w:r>
            <w:proofErr w:type="spellStart"/>
            <w:r w:rsidRPr="00314164">
              <w:rPr>
                <w:rFonts w:ascii="Arial" w:hAnsi="Arial" w:cs="Arial"/>
                <w:color w:val="0000FF"/>
                <w:sz w:val="16"/>
                <w:szCs w:val="16"/>
                <w:u w:val="single"/>
                <w:lang w:val="en-US" w:eastAsia="da-DK"/>
              </w:rPr>
              <w:t>mW</w:t>
            </w:r>
            <w:proofErr w:type="spellEnd"/>
            <w:r w:rsidRPr="00314164">
              <w:rPr>
                <w:rFonts w:ascii="Arial" w:hAnsi="Arial" w:cs="Arial"/>
                <w:color w:val="0000FF"/>
                <w:sz w:val="16"/>
                <w:szCs w:val="16"/>
                <w:u w:val="single"/>
                <w:lang w:val="en-US" w:eastAsia="da-DK"/>
              </w:rPr>
              <w:t xml:space="preserve">; </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Harmonized EN covering essential requirements under article 3.2 of the R&amp;TTE Directive</w:t>
            </w:r>
            <w:r w:rsidR="00901051" w:rsidRPr="00314164">
              <w:rPr>
                <w:rFonts w:ascii="Arial" w:hAnsi="Arial" w:cs="Arial"/>
                <w:color w:val="0000FF"/>
                <w:sz w:val="16"/>
                <w:szCs w:val="16"/>
                <w:u w:val="single"/>
                <w:lang w:val="da-DK" w:eastAsia="da-DK"/>
              </w:rPr>
              <w:fldChar w:fldCharType="end"/>
            </w:r>
          </w:p>
        </w:tc>
        <w:tc>
          <w:tcPr>
            <w:tcW w:w="4536" w:type="dxa"/>
            <w:tcBorders>
              <w:top w:val="nil"/>
              <w:left w:val="nil"/>
              <w:bottom w:val="nil"/>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To produce a Harmonised Standard under article 3.2 of the R&amp;TTE Directive, taking into account the ECC Report 206 to support Wireless industrial automation devices within the 5,725 GHz to 5,875 GHz frequency range. Equipment related to the EN is described in TR 102 889-2.</w:t>
            </w:r>
          </w:p>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 xml:space="preserve">Work item created at the December 13 meeting of ETSI TC ERM as was requested by WGFM/SRD/MG. </w:t>
            </w:r>
          </w:p>
        </w:tc>
        <w:tc>
          <w:tcPr>
            <w:tcW w:w="5867" w:type="dxa"/>
            <w:tcBorders>
              <w:top w:val="nil"/>
              <w:left w:val="nil"/>
              <w:bottom w:val="nil"/>
              <w:right w:val="single" w:sz="4" w:space="0" w:color="auto"/>
            </w:tcBorders>
            <w:shd w:val="clear" w:color="auto" w:fill="auto"/>
            <w:noWrap/>
            <w:vAlign w:val="center"/>
          </w:tcPr>
          <w:p w:rsidR="00314164" w:rsidRPr="00314164" w:rsidDel="006C2372" w:rsidRDefault="00314164" w:rsidP="00314164">
            <w:pPr>
              <w:rPr>
                <w:rFonts w:ascii="Arial" w:hAnsi="Arial" w:cs="Arial"/>
                <w:sz w:val="16"/>
                <w:szCs w:val="16"/>
                <w:lang w:val="en-US" w:eastAsia="da-DK"/>
              </w:rPr>
            </w:pPr>
            <w:r w:rsidRPr="00314164">
              <w:rPr>
                <w:rFonts w:ascii="Arial" w:hAnsi="Arial" w:cs="Arial"/>
                <w:sz w:val="16"/>
                <w:szCs w:val="16"/>
                <w:lang w:val="en-US" w:eastAsia="da-DK"/>
              </w:rPr>
              <w:t xml:space="preserve">Related to ECC Report 206 developed by SE24. </w:t>
            </w:r>
            <w:r w:rsidR="008E51F4">
              <w:rPr>
                <w:rFonts w:ascii="Arial" w:hAnsi="Arial" w:cs="Arial"/>
                <w:sz w:val="16"/>
                <w:szCs w:val="16"/>
                <w:lang w:val="en-US" w:eastAsia="da-DK"/>
              </w:rPr>
              <w:t xml:space="preserve">In process. </w:t>
            </w:r>
          </w:p>
        </w:tc>
      </w:tr>
      <w:tr w:rsidR="00314164" w:rsidRPr="00314164" w:rsidTr="00314164">
        <w:trPr>
          <w:trHeight w:val="1575"/>
        </w:trPr>
        <w:tc>
          <w:tcPr>
            <w:tcW w:w="2992" w:type="dxa"/>
            <w:tcBorders>
              <w:top w:val="nil"/>
              <w:left w:val="nil"/>
              <w:bottom w:val="nil"/>
              <w:right w:val="single" w:sz="4" w:space="0" w:color="auto"/>
            </w:tcBorders>
            <w:shd w:val="clear" w:color="000000" w:fill="FFFFFF"/>
            <w:vAlign w:val="center"/>
          </w:tcPr>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 xml:space="preserve">ETSI EN 300 422-2 V1.3.1 (2011-08)   </w:t>
            </w:r>
          </w:p>
          <w:p w:rsidR="00314164" w:rsidRPr="00314164" w:rsidRDefault="00314164" w:rsidP="00314164">
            <w:pPr>
              <w:rPr>
                <w:rFonts w:ascii="Arial" w:hAnsi="Arial" w:cs="Arial"/>
                <w:color w:val="0000FF"/>
                <w:sz w:val="16"/>
                <w:szCs w:val="16"/>
                <w:u w:val="single"/>
                <w:lang w:val="en-US" w:eastAsia="da-DK"/>
              </w:rPr>
            </w:pPr>
            <w:proofErr w:type="spellStart"/>
            <w:r w:rsidRPr="00314164">
              <w:rPr>
                <w:rFonts w:ascii="Arial" w:hAnsi="Arial" w:cs="Arial"/>
                <w:color w:val="0000FF"/>
                <w:sz w:val="16"/>
                <w:szCs w:val="16"/>
                <w:u w:val="single"/>
                <w:lang w:val="en-US" w:eastAsia="da-DK"/>
              </w:rPr>
              <w:t>Reference:REN</w:t>
            </w:r>
            <w:proofErr w:type="spellEnd"/>
            <w:r w:rsidRPr="00314164">
              <w:rPr>
                <w:rFonts w:ascii="Arial" w:hAnsi="Arial" w:cs="Arial"/>
                <w:color w:val="0000FF"/>
                <w:sz w:val="16"/>
                <w:szCs w:val="16"/>
                <w:u w:val="single"/>
                <w:lang w:val="en-US" w:eastAsia="da-DK"/>
              </w:rPr>
              <w:t xml:space="preserve">/ERM-TG17WG3-014-2  Source:ERMTG17 Electromagnetic compatibility and Radio spectrum Matters (ERM);Wireless microphones in the 25 MHz to 3 GHz frequency </w:t>
            </w:r>
            <w:proofErr w:type="spellStart"/>
            <w:r w:rsidRPr="00314164">
              <w:rPr>
                <w:rFonts w:ascii="Arial" w:hAnsi="Arial" w:cs="Arial"/>
                <w:color w:val="0000FF"/>
                <w:sz w:val="16"/>
                <w:szCs w:val="16"/>
                <w:u w:val="single"/>
                <w:lang w:val="en-US" w:eastAsia="da-DK"/>
              </w:rPr>
              <w:t>range;Part</w:t>
            </w:r>
            <w:proofErr w:type="spellEnd"/>
            <w:r w:rsidRPr="00314164">
              <w:rPr>
                <w:rFonts w:ascii="Arial" w:hAnsi="Arial" w:cs="Arial"/>
                <w:color w:val="0000FF"/>
                <w:sz w:val="16"/>
                <w:szCs w:val="16"/>
                <w:u w:val="single"/>
                <w:lang w:val="en-US" w:eastAsia="da-DK"/>
              </w:rPr>
              <w:t xml:space="preserve"> 2: Harmonized EN covering the essential requirements of article 3.2 of the R&amp;TTE Directive  </w:t>
            </w:r>
          </w:p>
        </w:tc>
        <w:tc>
          <w:tcPr>
            <w:tcW w:w="4536" w:type="dxa"/>
            <w:tcBorders>
              <w:top w:val="nil"/>
              <w:left w:val="nil"/>
              <w:bottom w:val="nil"/>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Maintenance and update of HEN 300422</w:t>
            </w:r>
          </w:p>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 xml:space="preserve"> Reserved  Decision (ERM TG17WP3 Review of HENs just starting)</w:t>
            </w:r>
          </w:p>
        </w:tc>
        <w:tc>
          <w:tcPr>
            <w:tcW w:w="5867" w:type="dxa"/>
            <w:tcBorders>
              <w:top w:val="nil"/>
              <w:left w:val="nil"/>
              <w:bottom w:val="nil"/>
              <w:right w:val="single" w:sz="4" w:space="0" w:color="auto"/>
            </w:tcBorders>
            <w:shd w:val="clear" w:color="auto" w:fill="auto"/>
            <w:noWrap/>
            <w:vAlign w:val="center"/>
          </w:tcPr>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 xml:space="preserve">Relates also to ALDs in 169 MHz (ECC/DEC/(05)02 as well as TRS in 915-921 MHz (inter-alia) – ECC Reports 200 and 189 and some PMSE issues (e.g. digital PMSE with wider </w:t>
            </w:r>
            <w:proofErr w:type="spellStart"/>
            <w:r w:rsidRPr="00314164">
              <w:rPr>
                <w:rFonts w:ascii="Arial" w:hAnsi="Arial" w:cs="Arial"/>
                <w:sz w:val="16"/>
                <w:szCs w:val="16"/>
                <w:lang w:val="en-US" w:eastAsia="da-DK"/>
              </w:rPr>
              <w:t>ch</w:t>
            </w:r>
            <w:proofErr w:type="spellEnd"/>
            <w:r w:rsidRPr="00314164">
              <w:rPr>
                <w:rFonts w:ascii="Arial" w:hAnsi="Arial" w:cs="Arial"/>
                <w:sz w:val="16"/>
                <w:szCs w:val="16"/>
                <w:lang w:val="en-US" w:eastAsia="da-DK"/>
              </w:rPr>
              <w:t xml:space="preserve"> BW)</w:t>
            </w:r>
          </w:p>
        </w:tc>
      </w:tr>
      <w:tr w:rsidR="00314164" w:rsidRPr="00314164" w:rsidTr="00314164">
        <w:trPr>
          <w:trHeight w:val="1575"/>
        </w:trPr>
        <w:tc>
          <w:tcPr>
            <w:tcW w:w="2992" w:type="dxa"/>
            <w:tcBorders>
              <w:top w:val="nil"/>
              <w:left w:val="nil"/>
              <w:bottom w:val="nil"/>
              <w:right w:val="single" w:sz="4" w:space="0" w:color="auto"/>
            </w:tcBorders>
            <w:shd w:val="clear" w:color="000000" w:fill="FFFFFF"/>
            <w:vAlign w:val="center"/>
          </w:tcPr>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 xml:space="preserve">Revision of relevant </w:t>
            </w:r>
            <w:proofErr w:type="spellStart"/>
            <w:r w:rsidRPr="00314164">
              <w:rPr>
                <w:rFonts w:ascii="Arial" w:hAnsi="Arial" w:cs="Arial"/>
                <w:color w:val="0000FF"/>
                <w:sz w:val="16"/>
                <w:szCs w:val="16"/>
                <w:u w:val="single"/>
                <w:lang w:val="en-US" w:eastAsia="da-DK"/>
              </w:rPr>
              <w:t>harmonised</w:t>
            </w:r>
            <w:proofErr w:type="spellEnd"/>
            <w:r w:rsidRPr="00314164">
              <w:rPr>
                <w:rFonts w:ascii="Arial" w:hAnsi="Arial" w:cs="Arial"/>
                <w:color w:val="0000FF"/>
                <w:sz w:val="16"/>
                <w:szCs w:val="16"/>
                <w:u w:val="single"/>
                <w:lang w:val="en-US" w:eastAsia="da-DK"/>
              </w:rPr>
              <w:t xml:space="preserve"> standards EN 300 296, EN 301 166 and EN 300 113 might be needed</w:t>
            </w:r>
          </w:p>
        </w:tc>
        <w:tc>
          <w:tcPr>
            <w:tcW w:w="4536" w:type="dxa"/>
            <w:tcBorders>
              <w:top w:val="nil"/>
              <w:left w:val="nil"/>
              <w:bottom w:val="nil"/>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eastAsia="da-DK"/>
              </w:rPr>
            </w:pPr>
            <w:r w:rsidRPr="00314164">
              <w:rPr>
                <w:rFonts w:ascii="Arial" w:hAnsi="Arial" w:cs="Arial"/>
                <w:sz w:val="16"/>
                <w:szCs w:val="16"/>
                <w:lang w:eastAsia="da-DK"/>
              </w:rPr>
              <w:t>No ETSI WI yet.</w:t>
            </w:r>
          </w:p>
        </w:tc>
        <w:tc>
          <w:tcPr>
            <w:tcW w:w="5867" w:type="dxa"/>
            <w:tcBorders>
              <w:top w:val="nil"/>
              <w:left w:val="nil"/>
              <w:bottom w:val="nil"/>
              <w:right w:val="single" w:sz="4" w:space="0" w:color="auto"/>
            </w:tcBorders>
            <w:shd w:val="clear" w:color="auto" w:fill="auto"/>
            <w:noWrap/>
            <w:vAlign w:val="center"/>
          </w:tcPr>
          <w:p w:rsidR="00256AB5" w:rsidRDefault="00314164">
            <w:pPr>
              <w:rPr>
                <w:rFonts w:ascii="Arial" w:hAnsi="Arial" w:cs="Arial"/>
                <w:sz w:val="16"/>
                <w:szCs w:val="16"/>
                <w:lang w:val="en-US" w:eastAsia="da-DK"/>
              </w:rPr>
            </w:pPr>
            <w:r w:rsidRPr="00314164">
              <w:rPr>
                <w:rFonts w:ascii="Arial" w:hAnsi="Arial" w:cs="Arial"/>
                <w:sz w:val="16"/>
                <w:szCs w:val="16"/>
                <w:lang w:val="en-US" w:eastAsia="da-DK"/>
              </w:rPr>
              <w:t>Revision ECC/DEC</w:t>
            </w:r>
            <w:proofErr w:type="gramStart"/>
            <w:r w:rsidRPr="00314164">
              <w:rPr>
                <w:rFonts w:ascii="Arial" w:hAnsi="Arial" w:cs="Arial"/>
                <w:sz w:val="16"/>
                <w:szCs w:val="16"/>
                <w:lang w:val="en-US" w:eastAsia="da-DK"/>
              </w:rPr>
              <w:t>/(</w:t>
            </w:r>
            <w:proofErr w:type="gramEnd"/>
            <w:r w:rsidRPr="00314164">
              <w:rPr>
                <w:rFonts w:ascii="Arial" w:hAnsi="Arial" w:cs="Arial"/>
                <w:sz w:val="16"/>
                <w:szCs w:val="16"/>
                <w:lang w:val="en-US" w:eastAsia="da-DK"/>
              </w:rPr>
              <w:t>05)02, having possible also an impact on ERC/DEC/(98)22, on PMR446, Digital PMR446</w:t>
            </w:r>
            <w:r w:rsidR="008E51F4">
              <w:rPr>
                <w:rFonts w:ascii="Arial" w:hAnsi="Arial" w:cs="Arial"/>
                <w:sz w:val="16"/>
                <w:szCs w:val="16"/>
                <w:lang w:val="en-US" w:eastAsia="da-DK"/>
              </w:rPr>
              <w:t>. Note that the related HENs are all generic PMR harmonized standards.</w:t>
            </w:r>
          </w:p>
        </w:tc>
      </w:tr>
      <w:tr w:rsidR="00314164" w:rsidRPr="00314164" w:rsidTr="00314164">
        <w:trPr>
          <w:trHeight w:val="1575"/>
        </w:trPr>
        <w:tc>
          <w:tcPr>
            <w:tcW w:w="2992" w:type="dxa"/>
            <w:tcBorders>
              <w:top w:val="nil"/>
              <w:left w:val="nil"/>
              <w:bottom w:val="nil"/>
              <w:right w:val="single" w:sz="4" w:space="0" w:color="auto"/>
            </w:tcBorders>
            <w:shd w:val="clear" w:color="000000" w:fill="FFFFFF"/>
            <w:vAlign w:val="center"/>
          </w:tcPr>
          <w:p w:rsidR="00314164" w:rsidRPr="00EB1645"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 xml:space="preserve">ETSI EN 302 571 V1.2.1 (2013-09)   </w:t>
            </w:r>
            <w:proofErr w:type="spellStart"/>
            <w:r w:rsidR="000250FB" w:rsidRPr="00EB1645">
              <w:rPr>
                <w:rFonts w:ascii="Arial" w:hAnsi="Arial" w:cs="Arial"/>
                <w:color w:val="0000FF"/>
                <w:sz w:val="16"/>
                <w:szCs w:val="16"/>
                <w:u w:val="single"/>
                <w:lang w:val="en-US" w:eastAsia="da-DK"/>
              </w:rPr>
              <w:t>Reference:REN</w:t>
            </w:r>
            <w:proofErr w:type="spellEnd"/>
            <w:r w:rsidR="000250FB" w:rsidRPr="00EB1645">
              <w:rPr>
                <w:rFonts w:ascii="Arial" w:hAnsi="Arial" w:cs="Arial"/>
                <w:color w:val="0000FF"/>
                <w:sz w:val="16"/>
                <w:szCs w:val="16"/>
                <w:u w:val="single"/>
                <w:lang w:val="en-US" w:eastAsia="da-DK"/>
              </w:rPr>
              <w:t xml:space="preserve">/ERM-TG37-009  Source:ERMTG37 </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Intelligent Transport Systems (ITS);</w:t>
            </w:r>
            <w:proofErr w:type="spellStart"/>
            <w:r w:rsidRPr="00314164">
              <w:rPr>
                <w:rFonts w:ascii="Arial" w:hAnsi="Arial" w:cs="Arial"/>
                <w:color w:val="0000FF"/>
                <w:sz w:val="16"/>
                <w:szCs w:val="16"/>
                <w:u w:val="single"/>
                <w:lang w:val="en-US" w:eastAsia="da-DK"/>
              </w:rPr>
              <w:t>Radiocommunications</w:t>
            </w:r>
            <w:proofErr w:type="spellEnd"/>
            <w:r w:rsidRPr="00314164">
              <w:rPr>
                <w:rFonts w:ascii="Arial" w:hAnsi="Arial" w:cs="Arial"/>
                <w:color w:val="0000FF"/>
                <w:sz w:val="16"/>
                <w:szCs w:val="16"/>
                <w:u w:val="single"/>
                <w:lang w:val="en-US" w:eastAsia="da-DK"/>
              </w:rPr>
              <w:t xml:space="preserve"> equipment operating in the 5 855 MHz to 5 925 MHz frequency </w:t>
            </w:r>
            <w:proofErr w:type="spellStart"/>
            <w:r w:rsidRPr="00314164">
              <w:rPr>
                <w:rFonts w:ascii="Arial" w:hAnsi="Arial" w:cs="Arial"/>
                <w:color w:val="0000FF"/>
                <w:sz w:val="16"/>
                <w:szCs w:val="16"/>
                <w:u w:val="single"/>
                <w:lang w:val="en-US" w:eastAsia="da-DK"/>
              </w:rPr>
              <w:t>band;Harmonized</w:t>
            </w:r>
            <w:proofErr w:type="spellEnd"/>
            <w:r w:rsidRPr="00314164">
              <w:rPr>
                <w:rFonts w:ascii="Arial" w:hAnsi="Arial" w:cs="Arial"/>
                <w:color w:val="0000FF"/>
                <w:sz w:val="16"/>
                <w:szCs w:val="16"/>
                <w:u w:val="single"/>
                <w:lang w:val="en-US" w:eastAsia="da-DK"/>
              </w:rPr>
              <w:t xml:space="preserve"> EN covering the essential requirements of article 3.2 of the R&amp;TTE Directive  </w:t>
            </w:r>
          </w:p>
        </w:tc>
        <w:tc>
          <w:tcPr>
            <w:tcW w:w="4536" w:type="dxa"/>
            <w:tcBorders>
              <w:top w:val="nil"/>
              <w:left w:val="nil"/>
              <w:bottom w:val="nil"/>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p>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Maintenance and update of HEN 302 571</w:t>
            </w:r>
          </w:p>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 xml:space="preserve"> Reserved  Decision</w:t>
            </w:r>
          </w:p>
        </w:tc>
        <w:tc>
          <w:tcPr>
            <w:tcW w:w="5867" w:type="dxa"/>
            <w:tcBorders>
              <w:top w:val="nil"/>
              <w:left w:val="nil"/>
              <w:bottom w:val="nil"/>
              <w:right w:val="single" w:sz="4" w:space="0" w:color="auto"/>
            </w:tcBorders>
            <w:shd w:val="clear" w:color="auto" w:fill="auto"/>
            <w:noWrap/>
            <w:vAlign w:val="center"/>
          </w:tcPr>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 xml:space="preserve">Relates to the new ITS </w:t>
            </w:r>
            <w:proofErr w:type="spellStart"/>
            <w:r w:rsidRPr="00314164">
              <w:rPr>
                <w:rFonts w:ascii="Arial" w:hAnsi="Arial" w:cs="Arial"/>
                <w:sz w:val="16"/>
                <w:szCs w:val="16"/>
                <w:lang w:val="en-US" w:eastAsia="da-DK"/>
              </w:rPr>
              <w:t>SRdoc</w:t>
            </w:r>
            <w:proofErr w:type="spellEnd"/>
          </w:p>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SRDMG: Revision of ECC/DEC</w:t>
            </w:r>
            <w:proofErr w:type="gramStart"/>
            <w:r w:rsidRPr="00314164">
              <w:rPr>
                <w:rFonts w:ascii="Arial" w:hAnsi="Arial" w:cs="Arial"/>
                <w:sz w:val="16"/>
                <w:szCs w:val="16"/>
                <w:lang w:val="en-US" w:eastAsia="da-DK"/>
              </w:rPr>
              <w:t>/(</w:t>
            </w:r>
            <w:proofErr w:type="gramEnd"/>
            <w:r w:rsidRPr="00314164">
              <w:rPr>
                <w:rFonts w:ascii="Arial" w:hAnsi="Arial" w:cs="Arial"/>
                <w:sz w:val="16"/>
                <w:szCs w:val="16"/>
                <w:lang w:val="en-US" w:eastAsia="da-DK"/>
              </w:rPr>
              <w:t>08)01 and ECC/REC/(08)01; may also need consultation with WGSE.</w:t>
            </w:r>
          </w:p>
        </w:tc>
      </w:tr>
      <w:tr w:rsidR="00314164" w:rsidRPr="00314164" w:rsidTr="00314164">
        <w:trPr>
          <w:trHeight w:val="1575"/>
        </w:trPr>
        <w:tc>
          <w:tcPr>
            <w:tcW w:w="2992" w:type="dxa"/>
            <w:tcBorders>
              <w:top w:val="nil"/>
              <w:left w:val="nil"/>
              <w:bottom w:val="nil"/>
              <w:right w:val="single" w:sz="4" w:space="0" w:color="auto"/>
            </w:tcBorders>
            <w:shd w:val="clear" w:color="000000" w:fill="FFFFFF"/>
            <w:vAlign w:val="center"/>
          </w:tcPr>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lastRenderedPageBreak/>
              <w:t xml:space="preserve">EN 301 893: Broadband Radio Access Networks (BRAN); 5 GHz high performance RLAN; Harmonized EN covering the essential requirements of article 3.2 of the R&amp;TTE Directive </w:t>
            </w:r>
          </w:p>
          <w:p w:rsidR="00314164" w:rsidRPr="00314164" w:rsidRDefault="00314164" w:rsidP="00314164">
            <w:pPr>
              <w:rPr>
                <w:rFonts w:ascii="Arial" w:hAnsi="Arial" w:cs="Arial"/>
                <w:color w:val="0000FF"/>
                <w:sz w:val="16"/>
                <w:szCs w:val="16"/>
                <w:u w:val="single"/>
                <w:lang w:val="en-US" w:eastAsia="da-DK"/>
              </w:rPr>
            </w:pPr>
            <w:r w:rsidRPr="00314164">
              <w:rPr>
                <w:rFonts w:ascii="Arial" w:hAnsi="Arial" w:cs="Arial"/>
                <w:color w:val="0000FF"/>
                <w:sz w:val="16"/>
                <w:szCs w:val="16"/>
                <w:u w:val="single"/>
                <w:lang w:val="en-US" w:eastAsia="da-DK"/>
              </w:rPr>
              <w:t xml:space="preserve">HS for 5 GHz RLANs   </w:t>
            </w:r>
          </w:p>
        </w:tc>
        <w:tc>
          <w:tcPr>
            <w:tcW w:w="4536" w:type="dxa"/>
            <w:tcBorders>
              <w:top w:val="nil"/>
              <w:left w:val="nil"/>
              <w:bottom w:val="nil"/>
              <w:right w:val="single" w:sz="4" w:space="0" w:color="auto"/>
            </w:tcBorders>
            <w:shd w:val="clear" w:color="auto" w:fill="auto"/>
            <w:vAlign w:val="center"/>
          </w:tcPr>
          <w:p w:rsidR="00314164" w:rsidRPr="00314164" w:rsidRDefault="00314164" w:rsidP="00314164">
            <w:pPr>
              <w:jc w:val="center"/>
              <w:rPr>
                <w:rFonts w:ascii="Arial" w:hAnsi="Arial" w:cs="Arial"/>
                <w:sz w:val="16"/>
                <w:szCs w:val="16"/>
                <w:lang w:val="en-US" w:eastAsia="da-DK"/>
              </w:rPr>
            </w:pPr>
            <w:r w:rsidRPr="00314164">
              <w:rPr>
                <w:rFonts w:ascii="Arial" w:hAnsi="Arial" w:cs="Arial"/>
                <w:sz w:val="16"/>
                <w:szCs w:val="16"/>
                <w:lang w:val="en-US" w:eastAsia="da-DK"/>
              </w:rPr>
              <w:t xml:space="preserve"> (1) To address the issues reported by WGFM in BRAN(13)000063; (2) To review/improve existing test methods and/or to consider the inclusion of alternative test methods; (3) To address other issues identified by test labs when using EN 301 893 v1.6.1 or v1.7.1.    </w:t>
            </w:r>
          </w:p>
        </w:tc>
        <w:tc>
          <w:tcPr>
            <w:tcW w:w="5867" w:type="dxa"/>
            <w:tcBorders>
              <w:top w:val="nil"/>
              <w:left w:val="nil"/>
              <w:bottom w:val="nil"/>
              <w:right w:val="single" w:sz="4" w:space="0" w:color="auto"/>
            </w:tcBorders>
            <w:shd w:val="clear" w:color="auto" w:fill="auto"/>
            <w:noWrap/>
            <w:vAlign w:val="center"/>
          </w:tcPr>
          <w:p w:rsidR="00314164" w:rsidRPr="00314164" w:rsidRDefault="00314164" w:rsidP="00314164">
            <w:pPr>
              <w:rPr>
                <w:rFonts w:ascii="Arial" w:hAnsi="Arial" w:cs="Arial"/>
                <w:sz w:val="16"/>
                <w:szCs w:val="16"/>
                <w:lang w:val="en-US" w:eastAsia="da-DK"/>
              </w:rPr>
            </w:pPr>
            <w:r w:rsidRPr="00314164">
              <w:rPr>
                <w:rFonts w:ascii="Arial" w:hAnsi="Arial" w:cs="Arial"/>
                <w:sz w:val="16"/>
                <w:szCs w:val="16"/>
                <w:lang w:val="en-US" w:eastAsia="da-DK"/>
              </w:rPr>
              <w:t>Relates to investigations in WGFM/ SRDMG -&gt; ECC Report 192</w:t>
            </w:r>
          </w:p>
        </w:tc>
      </w:tr>
      <w:tr w:rsidR="00314164" w:rsidRPr="00314164" w:rsidTr="00314164">
        <w:trPr>
          <w:trHeight w:val="1575"/>
        </w:trPr>
        <w:tc>
          <w:tcPr>
            <w:tcW w:w="2992" w:type="dxa"/>
            <w:tcBorders>
              <w:top w:val="nil"/>
              <w:left w:val="nil"/>
              <w:bottom w:val="single" w:sz="4" w:space="0" w:color="auto"/>
              <w:right w:val="single" w:sz="4" w:space="0" w:color="auto"/>
            </w:tcBorders>
            <w:shd w:val="clear" w:color="000000" w:fill="FFFFFF"/>
            <w:vAlign w:val="center"/>
          </w:tcPr>
          <w:p w:rsidR="00256AB5" w:rsidRDefault="008E51F4">
            <w:pPr>
              <w:rPr>
                <w:rFonts w:ascii="Arial" w:hAnsi="Arial" w:cs="Arial"/>
                <w:color w:val="0000FF"/>
                <w:sz w:val="16"/>
                <w:szCs w:val="16"/>
                <w:u w:val="single"/>
                <w:lang w:val="en-US" w:eastAsia="da-DK"/>
              </w:rPr>
            </w:pPr>
            <w:r>
              <w:rPr>
                <w:rFonts w:ascii="Arial" w:hAnsi="Arial" w:cs="Arial"/>
                <w:sz w:val="16"/>
                <w:szCs w:val="16"/>
                <w:lang w:val="en-US" w:eastAsia="en-US"/>
              </w:rPr>
              <w:t xml:space="preserve">ETSI BRAN: </w:t>
            </w:r>
            <w:r w:rsidRPr="008E51F4">
              <w:rPr>
                <w:rFonts w:ascii="Arial" w:hAnsi="Arial" w:cs="Arial"/>
                <w:sz w:val="16"/>
                <w:szCs w:val="16"/>
                <w:lang w:val="en-US" w:eastAsia="en-US"/>
              </w:rPr>
              <w:t>Wideband Data Transmission Systems</w:t>
            </w:r>
            <w:r>
              <w:rPr>
                <w:rFonts w:ascii="Arial" w:hAnsi="Arial" w:cs="Arial"/>
                <w:sz w:val="16"/>
                <w:szCs w:val="16"/>
                <w:lang w:val="en-US" w:eastAsia="en-US"/>
              </w:rPr>
              <w:t xml:space="preserve"> </w:t>
            </w:r>
            <w:r w:rsidRPr="008E51F4">
              <w:rPr>
                <w:rFonts w:ascii="Arial" w:hAnsi="Arial" w:cs="Arial"/>
                <w:sz w:val="16"/>
                <w:szCs w:val="16"/>
                <w:lang w:val="en-US" w:eastAsia="en-US"/>
              </w:rPr>
              <w:t>EN 302 567</w:t>
            </w:r>
          </w:p>
        </w:tc>
        <w:tc>
          <w:tcPr>
            <w:tcW w:w="4536" w:type="dxa"/>
            <w:tcBorders>
              <w:top w:val="nil"/>
              <w:left w:val="nil"/>
              <w:bottom w:val="single" w:sz="4" w:space="0" w:color="auto"/>
              <w:right w:val="single" w:sz="4" w:space="0" w:color="auto"/>
            </w:tcBorders>
            <w:shd w:val="clear" w:color="auto" w:fill="auto"/>
            <w:vAlign w:val="center"/>
          </w:tcPr>
          <w:p w:rsidR="00314164" w:rsidRPr="00314164" w:rsidRDefault="008E51F4" w:rsidP="00314164">
            <w:pPr>
              <w:jc w:val="center"/>
              <w:rPr>
                <w:rFonts w:ascii="Arial" w:hAnsi="Arial" w:cs="Arial"/>
                <w:sz w:val="16"/>
                <w:szCs w:val="16"/>
                <w:lang w:val="en-US" w:eastAsia="da-DK"/>
              </w:rPr>
            </w:pPr>
            <w:r w:rsidRPr="00314164">
              <w:rPr>
                <w:rFonts w:ascii="Arial" w:hAnsi="Arial" w:cs="Arial"/>
                <w:sz w:val="16"/>
                <w:szCs w:val="16"/>
                <w:lang w:eastAsia="da-DK"/>
              </w:rPr>
              <w:t>No ETSI WI yet.</w:t>
            </w:r>
          </w:p>
        </w:tc>
        <w:tc>
          <w:tcPr>
            <w:tcW w:w="5867" w:type="dxa"/>
            <w:tcBorders>
              <w:top w:val="nil"/>
              <w:left w:val="nil"/>
              <w:bottom w:val="single" w:sz="4" w:space="0" w:color="auto"/>
              <w:right w:val="single" w:sz="4" w:space="0" w:color="auto"/>
            </w:tcBorders>
            <w:shd w:val="clear" w:color="auto" w:fill="auto"/>
            <w:noWrap/>
            <w:vAlign w:val="center"/>
          </w:tcPr>
          <w:p w:rsidR="00256AB5" w:rsidRDefault="008E51F4">
            <w:pPr>
              <w:rPr>
                <w:rFonts w:ascii="Arial" w:hAnsi="Arial" w:cs="Arial"/>
                <w:sz w:val="16"/>
                <w:szCs w:val="16"/>
                <w:lang w:val="en-US" w:eastAsia="da-DK"/>
              </w:rPr>
            </w:pPr>
            <w:r>
              <w:rPr>
                <w:rFonts w:ascii="Arial" w:hAnsi="Arial" w:cs="Arial"/>
                <w:sz w:val="16"/>
                <w:szCs w:val="16"/>
                <w:lang w:val="en-US" w:eastAsia="da-DK"/>
              </w:rPr>
              <w:t>May be discussed in the future with regard to sufficient description of spectrum access technique that is named as a requirement but not specified yet. Relates to the review of ECC/DEC</w:t>
            </w:r>
            <w:proofErr w:type="gramStart"/>
            <w:r>
              <w:rPr>
                <w:rFonts w:ascii="Arial" w:hAnsi="Arial" w:cs="Arial"/>
                <w:sz w:val="16"/>
                <w:szCs w:val="16"/>
                <w:lang w:val="en-US" w:eastAsia="da-DK"/>
              </w:rPr>
              <w:t>/(</w:t>
            </w:r>
            <w:proofErr w:type="gramEnd"/>
            <w:r>
              <w:rPr>
                <w:rFonts w:ascii="Arial" w:hAnsi="Arial" w:cs="Arial"/>
                <w:sz w:val="16"/>
                <w:szCs w:val="16"/>
                <w:lang w:val="en-US" w:eastAsia="da-DK"/>
              </w:rPr>
              <w:t>09)01 in 2014.</w:t>
            </w:r>
          </w:p>
        </w:tc>
      </w:tr>
    </w:tbl>
    <w:p w:rsidR="00314164" w:rsidRDefault="00314164"/>
    <w:p w:rsidR="00F41F7B" w:rsidRPr="00D0793D" w:rsidRDefault="00F41F7B" w:rsidP="00D0793D">
      <w:pPr>
        <w:jc w:val="right"/>
        <w:rPr>
          <w:b/>
          <w:sz w:val="24"/>
          <w:szCs w:val="24"/>
        </w:rPr>
      </w:pPr>
      <w:r>
        <w:br w:type="page"/>
      </w:r>
      <w:r w:rsidR="00D0793D" w:rsidRPr="00D0793D">
        <w:rPr>
          <w:b/>
          <w:sz w:val="24"/>
          <w:szCs w:val="24"/>
        </w:rPr>
        <w:lastRenderedPageBreak/>
        <w:t>Annex 2</w:t>
      </w:r>
    </w:p>
    <w:tbl>
      <w:tblPr>
        <w:tblW w:w="14786"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3361"/>
        <w:gridCol w:w="1425"/>
      </w:tblGrid>
      <w:tr w:rsidR="006248CA" w:rsidRPr="00A71011" w:rsidTr="00BB3B11">
        <w:tc>
          <w:tcPr>
            <w:tcW w:w="13361" w:type="dxa"/>
            <w:shd w:val="clear" w:color="auto" w:fill="FFC000"/>
          </w:tcPr>
          <w:p w:rsidR="006248CA" w:rsidRPr="00CC4662" w:rsidRDefault="006248CA" w:rsidP="00142A1F">
            <w:pPr>
              <w:rPr>
                <w:b/>
                <w:bCs/>
                <w:i/>
                <w:sz w:val="22"/>
                <w:szCs w:val="22"/>
              </w:rPr>
            </w:pPr>
            <w:r w:rsidRPr="00CC4662">
              <w:rPr>
                <w:b/>
                <w:i/>
                <w:sz w:val="22"/>
                <w:szCs w:val="22"/>
                <w:lang w:val="en-US"/>
              </w:rPr>
              <w:t>Decisions which w</w:t>
            </w:r>
            <w:r w:rsidRPr="00CC4662">
              <w:rPr>
                <w:b/>
                <w:i/>
                <w:sz w:val="22"/>
                <w:szCs w:val="22"/>
              </w:rPr>
              <w:t>ill not be reviewed anymore</w:t>
            </w:r>
          </w:p>
        </w:tc>
        <w:tc>
          <w:tcPr>
            <w:tcW w:w="1425" w:type="dxa"/>
            <w:shd w:val="clear" w:color="auto" w:fill="FFC000"/>
          </w:tcPr>
          <w:p w:rsidR="006248CA" w:rsidRPr="00A71011" w:rsidRDefault="006248CA" w:rsidP="00142A1F">
            <w:pPr>
              <w:rPr>
                <w:sz w:val="22"/>
                <w:szCs w:val="22"/>
              </w:rPr>
            </w:pPr>
          </w:p>
        </w:tc>
      </w:tr>
      <w:tr w:rsidR="006248CA" w:rsidRPr="00A71011" w:rsidTr="00BB3B11">
        <w:tc>
          <w:tcPr>
            <w:tcW w:w="13361" w:type="dxa"/>
          </w:tcPr>
          <w:p w:rsidR="006248CA" w:rsidRDefault="006248CA" w:rsidP="00142A1F">
            <w:pPr>
              <w:rPr>
                <w:bCs/>
                <w:sz w:val="22"/>
                <w:szCs w:val="22"/>
                <w:lang w:val="en-US" w:eastAsia="en-US"/>
              </w:rPr>
            </w:pPr>
            <w:r w:rsidRPr="002B42DE">
              <w:rPr>
                <w:b/>
                <w:bCs/>
                <w:sz w:val="22"/>
                <w:szCs w:val="22"/>
                <w:lang w:val="en-US" w:eastAsia="en-US"/>
              </w:rPr>
              <w:t xml:space="preserve">ERC/DEC/(96)02 </w:t>
            </w:r>
            <w:r w:rsidRPr="00B323B1">
              <w:rPr>
                <w:b/>
                <w:bCs/>
                <w:sz w:val="22"/>
                <w:szCs w:val="22"/>
                <w:lang w:val="en-US" w:eastAsia="en-US"/>
              </w:rPr>
              <w:t xml:space="preserve">- </w:t>
            </w:r>
            <w:r w:rsidRPr="00B323B1">
              <w:rPr>
                <w:bCs/>
                <w:sz w:val="22"/>
                <w:szCs w:val="22"/>
                <w:lang w:val="en-US" w:eastAsia="en-US"/>
              </w:rPr>
              <w:t xml:space="preserve">ERC Decision of 7 March 1996 on the </w:t>
            </w:r>
            <w:proofErr w:type="spellStart"/>
            <w:r w:rsidRPr="00B323B1">
              <w:rPr>
                <w:bCs/>
                <w:sz w:val="22"/>
                <w:szCs w:val="22"/>
                <w:lang w:val="en-US" w:eastAsia="en-US"/>
              </w:rPr>
              <w:t>harmonised</w:t>
            </w:r>
            <w:proofErr w:type="spellEnd"/>
            <w:r w:rsidRPr="00B323B1">
              <w:rPr>
                <w:bCs/>
                <w:sz w:val="22"/>
                <w:szCs w:val="22"/>
                <w:lang w:val="en-US" w:eastAsia="en-US"/>
              </w:rPr>
              <w:t xml:space="preserve"> frequency band to be designated for CEPT PR 27 radio equipment and on the implementation of the technical standard for this equipment </w:t>
            </w:r>
          </w:p>
          <w:p w:rsidR="006248CA" w:rsidRPr="00B323B1" w:rsidRDefault="006248CA" w:rsidP="00142A1F">
            <w:pPr>
              <w:rPr>
                <w:bCs/>
                <w:sz w:val="22"/>
                <w:szCs w:val="22"/>
                <w:lang w:val="en-US" w:eastAsia="en-US"/>
              </w:rPr>
            </w:pPr>
            <w:r w:rsidRPr="00A71011">
              <w:rPr>
                <w:i/>
                <w:color w:val="FF0000"/>
              </w:rPr>
              <w:t>NOTE: This Decision is replaced by ECC/DEC/(</w:t>
            </w:r>
            <w:r>
              <w:rPr>
                <w:i/>
                <w:color w:val="FF0000"/>
              </w:rPr>
              <w:t>11</w:t>
            </w:r>
            <w:r w:rsidRPr="00A71011">
              <w:rPr>
                <w:i/>
                <w:color w:val="FF0000"/>
              </w:rPr>
              <w:t>)</w:t>
            </w:r>
            <w:r>
              <w:rPr>
                <w:i/>
                <w:color w:val="FF0000"/>
              </w:rPr>
              <w:t>CC</w:t>
            </w:r>
          </w:p>
        </w:tc>
        <w:tc>
          <w:tcPr>
            <w:tcW w:w="1425" w:type="dxa"/>
          </w:tcPr>
          <w:p w:rsidR="006248CA" w:rsidRPr="00B323B1" w:rsidRDefault="006248CA" w:rsidP="00142A1F">
            <w:pPr>
              <w:rPr>
                <w:sz w:val="22"/>
                <w:szCs w:val="22"/>
              </w:rPr>
            </w:pPr>
          </w:p>
        </w:tc>
      </w:tr>
      <w:tr w:rsidR="006248CA" w:rsidRPr="00A71011" w:rsidTr="00BB3B11">
        <w:tc>
          <w:tcPr>
            <w:tcW w:w="13361" w:type="dxa"/>
          </w:tcPr>
          <w:p w:rsidR="006248CA" w:rsidRPr="00A71011" w:rsidRDefault="006248CA" w:rsidP="00142A1F">
            <w:pPr>
              <w:rPr>
                <w:sz w:val="22"/>
                <w:szCs w:val="22"/>
              </w:rPr>
            </w:pPr>
            <w:r w:rsidRPr="002B42DE">
              <w:rPr>
                <w:b/>
                <w:bCs/>
                <w:sz w:val="22"/>
                <w:szCs w:val="22"/>
                <w:lang w:val="en-US" w:eastAsia="en-US"/>
              </w:rPr>
              <w:t xml:space="preserve">ERC/DEC/(96)06 </w:t>
            </w:r>
            <w:r w:rsidRPr="00A71011">
              <w:rPr>
                <w:b/>
                <w:bCs/>
                <w:sz w:val="22"/>
                <w:szCs w:val="22"/>
                <w:lang w:val="en-US" w:eastAsia="en-US"/>
              </w:rPr>
              <w:t xml:space="preserve">- </w:t>
            </w:r>
            <w:r w:rsidRPr="00A71011">
              <w:rPr>
                <w:bCs/>
                <w:sz w:val="22"/>
                <w:szCs w:val="22"/>
                <w:lang w:eastAsia="en-US"/>
              </w:rPr>
              <w:t>ERC Decision of 7 March 1996 on the withdrawal of the ERC Decision (93)01 "Decision on the frequency bands to be designated for the co-ordinated introduction of Digital Short-Range Radio (DSRR)"</w:t>
            </w:r>
          </w:p>
        </w:tc>
        <w:tc>
          <w:tcPr>
            <w:tcW w:w="1425" w:type="dxa"/>
          </w:tcPr>
          <w:p w:rsidR="006248CA" w:rsidRPr="00A71011" w:rsidRDefault="006248CA" w:rsidP="00142A1F">
            <w:pPr>
              <w:rPr>
                <w:sz w:val="22"/>
                <w:szCs w:val="22"/>
              </w:rPr>
            </w:pPr>
          </w:p>
        </w:tc>
      </w:tr>
      <w:tr w:rsidR="00320D0F" w:rsidRPr="00B54644" w:rsidTr="00BB3B11">
        <w:tc>
          <w:tcPr>
            <w:tcW w:w="13361" w:type="dxa"/>
          </w:tcPr>
          <w:p w:rsidR="00EB0C14" w:rsidRPr="00B54644" w:rsidRDefault="00EB0C14" w:rsidP="00EB0C14">
            <w:pPr>
              <w:rPr>
                <w:sz w:val="22"/>
                <w:szCs w:val="22"/>
              </w:rPr>
            </w:pPr>
            <w:r w:rsidRPr="00B54644">
              <w:rPr>
                <w:b/>
                <w:bCs/>
                <w:sz w:val="22"/>
                <w:szCs w:val="22"/>
                <w:lang w:val="en-US"/>
              </w:rPr>
              <w:t xml:space="preserve">ERC/DEC/(97)03 </w:t>
            </w:r>
            <w:r w:rsidRPr="00B54644">
              <w:rPr>
                <w:b/>
                <w:bCs/>
                <w:sz w:val="22"/>
                <w:szCs w:val="22"/>
              </w:rPr>
              <w:t xml:space="preserve">- </w:t>
            </w:r>
            <w:r w:rsidRPr="00B54644">
              <w:rPr>
                <w:sz w:val="22"/>
                <w:szCs w:val="22"/>
              </w:rPr>
              <w:t>ERC Decision of 30 June 1997 on the Harmonised Use of Spectrum for Satellite Personal Communication Services (S-PCS) operating within the bands 1610-1626.5 MHz, 2483.5-2500 MHz, 1980-2010 MHz and 2170-2200 MHz</w:t>
            </w:r>
          </w:p>
          <w:p w:rsidR="00320D0F" w:rsidRPr="00B54644" w:rsidRDefault="00EB0C14" w:rsidP="00EB0C14">
            <w:pPr>
              <w:rPr>
                <w:b/>
                <w:bCs/>
                <w:sz w:val="22"/>
                <w:szCs w:val="22"/>
                <w:lang w:val="fr-FR" w:eastAsia="en-US"/>
              </w:rPr>
            </w:pPr>
            <w:r w:rsidRPr="00B54644">
              <w:rPr>
                <w:i/>
                <w:color w:val="FF0000"/>
              </w:rPr>
              <w:t>Note new DEC substitute</w:t>
            </w:r>
          </w:p>
        </w:tc>
        <w:tc>
          <w:tcPr>
            <w:tcW w:w="1425" w:type="dxa"/>
          </w:tcPr>
          <w:p w:rsidR="00320D0F" w:rsidRPr="00B54644" w:rsidRDefault="00320D0F" w:rsidP="00142A1F">
            <w:pPr>
              <w:rPr>
                <w:sz w:val="22"/>
                <w:szCs w:val="22"/>
              </w:rPr>
            </w:pPr>
          </w:p>
        </w:tc>
      </w:tr>
      <w:tr w:rsidR="00F21C58" w:rsidRPr="00B54644" w:rsidTr="00BB3B11">
        <w:tc>
          <w:tcPr>
            <w:tcW w:w="13361" w:type="dxa"/>
          </w:tcPr>
          <w:p w:rsidR="00F21C58" w:rsidRPr="00AC7C59" w:rsidRDefault="00F21C58" w:rsidP="00F21C58">
            <w:pPr>
              <w:rPr>
                <w:bCs/>
                <w:sz w:val="22"/>
                <w:szCs w:val="22"/>
                <w:lang w:val="en-US"/>
              </w:rPr>
            </w:pPr>
            <w:r w:rsidRPr="00AC7C59">
              <w:rPr>
                <w:b/>
                <w:bCs/>
                <w:sz w:val="22"/>
                <w:szCs w:val="22"/>
                <w:lang w:val="en-US"/>
              </w:rPr>
              <w:t xml:space="preserve">ERC/DEC/(97)11 </w:t>
            </w:r>
            <w:r w:rsidRPr="00AC7C59">
              <w:rPr>
                <w:b/>
                <w:bCs/>
                <w:sz w:val="22"/>
                <w:szCs w:val="22"/>
              </w:rPr>
              <w:t xml:space="preserve">- </w:t>
            </w:r>
            <w:r w:rsidRPr="00AC7C59">
              <w:rPr>
                <w:bCs/>
                <w:sz w:val="22"/>
                <w:szCs w:val="22"/>
                <w:lang w:val="en-US"/>
              </w:rPr>
              <w:t xml:space="preserve">ERC Decision of 5 December 1997 on free circulation and use of DCS 1800 mobile terminals in CEPT member countries enlarging the field of application of ERC/DEC/(95)01 </w:t>
            </w:r>
          </w:p>
          <w:p w:rsidR="00F21C58" w:rsidRPr="00B54644" w:rsidRDefault="00F21C58" w:rsidP="00F21C58">
            <w:pPr>
              <w:rPr>
                <w:b/>
                <w:bCs/>
                <w:sz w:val="22"/>
                <w:szCs w:val="22"/>
                <w:lang w:val="en-US"/>
              </w:rPr>
            </w:pPr>
            <w:r w:rsidRPr="00B54644">
              <w:rPr>
                <w:i/>
                <w:color w:val="FF0000"/>
              </w:rPr>
              <w:t xml:space="preserve">NOTE: </w:t>
            </w:r>
            <w:r>
              <w:rPr>
                <w:i/>
                <w:color w:val="FF0000"/>
              </w:rPr>
              <w:t>Withdrawn by ECC/DEC/(12)01</w:t>
            </w:r>
          </w:p>
        </w:tc>
        <w:tc>
          <w:tcPr>
            <w:tcW w:w="1425" w:type="dxa"/>
          </w:tcPr>
          <w:p w:rsidR="00F21C58" w:rsidRPr="00B54644" w:rsidRDefault="00F21C58" w:rsidP="00142A1F">
            <w:pPr>
              <w:rPr>
                <w:sz w:val="22"/>
                <w:szCs w:val="22"/>
              </w:rPr>
            </w:pPr>
          </w:p>
        </w:tc>
      </w:tr>
      <w:tr w:rsidR="00F21C58" w:rsidRPr="00B54644" w:rsidTr="00BB3B11">
        <w:tc>
          <w:tcPr>
            <w:tcW w:w="13361" w:type="dxa"/>
          </w:tcPr>
          <w:p w:rsidR="00F21C58" w:rsidRPr="00B54644" w:rsidRDefault="00F21C58" w:rsidP="00F21C58">
            <w:pPr>
              <w:rPr>
                <w:sz w:val="22"/>
                <w:szCs w:val="22"/>
                <w:lang w:val="en-US"/>
              </w:rPr>
            </w:pPr>
            <w:r w:rsidRPr="002B42DE">
              <w:rPr>
                <w:b/>
                <w:bCs/>
                <w:sz w:val="22"/>
                <w:szCs w:val="22"/>
                <w:lang w:val="en-US"/>
              </w:rPr>
              <w:t>ERC/DEC/(98)20</w:t>
            </w:r>
            <w:r w:rsidRPr="00B54644">
              <w:rPr>
                <w:b/>
                <w:bCs/>
                <w:sz w:val="22"/>
                <w:szCs w:val="22"/>
              </w:rPr>
              <w:t xml:space="preserve"> - </w:t>
            </w:r>
            <w:r w:rsidRPr="00B54644">
              <w:rPr>
                <w:sz w:val="22"/>
                <w:szCs w:val="22"/>
                <w:lang w:val="en-US"/>
              </w:rPr>
              <w:t xml:space="preserve">ERC Decision of 23 November 1998 on Exemption from Individual Licensing of GSM mobile terminals </w:t>
            </w:r>
          </w:p>
          <w:p w:rsidR="00F21C58" w:rsidRPr="00B54644" w:rsidRDefault="00F21C58" w:rsidP="00F21C58">
            <w:pPr>
              <w:rPr>
                <w:b/>
                <w:bCs/>
                <w:sz w:val="22"/>
                <w:szCs w:val="22"/>
                <w:lang w:val="en-US"/>
              </w:rPr>
            </w:pPr>
            <w:r w:rsidRPr="00B54644">
              <w:rPr>
                <w:i/>
                <w:color w:val="FF0000"/>
              </w:rPr>
              <w:t xml:space="preserve">NOTE: </w:t>
            </w:r>
            <w:r>
              <w:rPr>
                <w:i/>
                <w:color w:val="FF0000"/>
              </w:rPr>
              <w:t>Withdrawn by ECC/DEC/(12)01</w:t>
            </w:r>
          </w:p>
        </w:tc>
        <w:tc>
          <w:tcPr>
            <w:tcW w:w="1425" w:type="dxa"/>
          </w:tcPr>
          <w:p w:rsidR="00F21C58" w:rsidRPr="00B54644" w:rsidRDefault="00F21C58" w:rsidP="00142A1F">
            <w:pPr>
              <w:rPr>
                <w:sz w:val="22"/>
                <w:szCs w:val="22"/>
              </w:rPr>
            </w:pPr>
          </w:p>
        </w:tc>
      </w:tr>
      <w:tr w:rsidR="006248CA" w:rsidRPr="00B54644" w:rsidTr="00BB3B11">
        <w:tc>
          <w:tcPr>
            <w:tcW w:w="13361" w:type="dxa"/>
          </w:tcPr>
          <w:p w:rsidR="006248CA" w:rsidRPr="00B54644" w:rsidRDefault="006248CA" w:rsidP="00142A1F">
            <w:pPr>
              <w:rPr>
                <w:sz w:val="22"/>
                <w:szCs w:val="22"/>
              </w:rPr>
            </w:pPr>
            <w:r w:rsidRPr="00B54644">
              <w:rPr>
                <w:b/>
                <w:bCs/>
                <w:sz w:val="22"/>
                <w:szCs w:val="22"/>
                <w:lang w:val="en-US"/>
              </w:rPr>
              <w:t xml:space="preserve">ERC/DEC/(98)01 </w:t>
            </w:r>
            <w:r w:rsidRPr="00B54644">
              <w:rPr>
                <w:b/>
                <w:bCs/>
                <w:sz w:val="22"/>
                <w:szCs w:val="22"/>
              </w:rPr>
              <w:t xml:space="preserve">- </w:t>
            </w:r>
            <w:r w:rsidRPr="00B54644">
              <w:rPr>
                <w:sz w:val="22"/>
                <w:szCs w:val="22"/>
              </w:rPr>
              <w:t>ERC Decision of 20 March 1998 on free circulation and use of Inmarsat-D terminals in CEPT member countries enlarging the field of application of ERC/DEC/(95)01</w:t>
            </w:r>
          </w:p>
          <w:p w:rsidR="006248CA" w:rsidRPr="00B54644" w:rsidRDefault="006248CA" w:rsidP="00142A1F">
            <w:pPr>
              <w:rPr>
                <w:i/>
                <w:color w:val="FF0000"/>
              </w:rPr>
            </w:pPr>
            <w:r w:rsidRPr="00B54644">
              <w:rPr>
                <w:i/>
                <w:color w:val="FF0000"/>
              </w:rPr>
              <w:t xml:space="preserve">NOTE: This Decision is replaced by ECC/DEC/(07)04 </w:t>
            </w:r>
          </w:p>
        </w:tc>
        <w:tc>
          <w:tcPr>
            <w:tcW w:w="1425" w:type="dxa"/>
          </w:tcPr>
          <w:p w:rsidR="006248CA" w:rsidRPr="00B54644" w:rsidRDefault="006248CA" w:rsidP="00142A1F">
            <w:pPr>
              <w:rPr>
                <w:sz w:val="22"/>
                <w:szCs w:val="22"/>
              </w:rPr>
            </w:pPr>
          </w:p>
        </w:tc>
      </w:tr>
      <w:tr w:rsidR="006248CA" w:rsidRPr="00B54644" w:rsidTr="00BB3B11">
        <w:tc>
          <w:tcPr>
            <w:tcW w:w="13361" w:type="dxa"/>
          </w:tcPr>
          <w:p w:rsidR="006248CA" w:rsidRPr="00B54644" w:rsidRDefault="006248CA" w:rsidP="00142A1F">
            <w:pPr>
              <w:rPr>
                <w:sz w:val="22"/>
                <w:szCs w:val="22"/>
              </w:rPr>
            </w:pPr>
            <w:r w:rsidRPr="002B42DE">
              <w:rPr>
                <w:b/>
                <w:bCs/>
                <w:sz w:val="22"/>
                <w:szCs w:val="22"/>
                <w:lang w:val="en-US"/>
              </w:rPr>
              <w:t xml:space="preserve">ERC/DEC/(98)02 </w:t>
            </w:r>
            <w:r w:rsidRPr="00B54644">
              <w:rPr>
                <w:b/>
                <w:bCs/>
                <w:sz w:val="22"/>
                <w:szCs w:val="22"/>
              </w:rPr>
              <w:t xml:space="preserve">- </w:t>
            </w:r>
            <w:r w:rsidRPr="00B54644">
              <w:rPr>
                <w:sz w:val="22"/>
                <w:szCs w:val="22"/>
              </w:rPr>
              <w:t>ERC Decision of 20 March 1998 on free circulation and use of Inmarsat-phone (also known as Inmarsat Mini-M) terminals in CEPT member countries enlarging the field of application of ERC/DEC/(95)01</w:t>
            </w:r>
          </w:p>
          <w:p w:rsidR="006248CA" w:rsidRPr="00B54644" w:rsidRDefault="006248CA" w:rsidP="00142A1F">
            <w:pPr>
              <w:rPr>
                <w:sz w:val="22"/>
                <w:szCs w:val="22"/>
              </w:rPr>
            </w:pPr>
            <w:r w:rsidRPr="00B54644">
              <w:rPr>
                <w:i/>
                <w:color w:val="FF0000"/>
              </w:rPr>
              <w:t xml:space="preserve">NOTE: This Decision is replaced by ECC/DEC/(07)04 </w:t>
            </w:r>
          </w:p>
        </w:tc>
        <w:tc>
          <w:tcPr>
            <w:tcW w:w="1425" w:type="dxa"/>
          </w:tcPr>
          <w:p w:rsidR="006248CA" w:rsidRPr="00B54644" w:rsidRDefault="006248CA" w:rsidP="00142A1F">
            <w:pPr>
              <w:rPr>
                <w:sz w:val="22"/>
                <w:szCs w:val="22"/>
              </w:rPr>
            </w:pPr>
          </w:p>
        </w:tc>
      </w:tr>
      <w:tr w:rsidR="006248CA" w:rsidRPr="00B54644" w:rsidTr="00BB3B11">
        <w:tc>
          <w:tcPr>
            <w:tcW w:w="13361" w:type="dxa"/>
          </w:tcPr>
          <w:p w:rsidR="006248CA" w:rsidRPr="00B54644" w:rsidRDefault="006248CA" w:rsidP="00142A1F">
            <w:pPr>
              <w:rPr>
                <w:bCs/>
                <w:sz w:val="22"/>
                <w:szCs w:val="22"/>
              </w:rPr>
            </w:pPr>
            <w:r w:rsidRPr="002B42DE">
              <w:rPr>
                <w:b/>
                <w:bCs/>
                <w:sz w:val="22"/>
                <w:szCs w:val="22"/>
                <w:lang w:val="en-US"/>
              </w:rPr>
              <w:t xml:space="preserve">ERC/DEC/(98)04 </w:t>
            </w:r>
            <w:r w:rsidRPr="00B54644">
              <w:rPr>
                <w:b/>
                <w:bCs/>
                <w:sz w:val="22"/>
                <w:szCs w:val="22"/>
              </w:rPr>
              <w:t xml:space="preserve">– </w:t>
            </w:r>
            <w:r w:rsidRPr="00B54644">
              <w:rPr>
                <w:bCs/>
                <w:sz w:val="22"/>
                <w:szCs w:val="22"/>
              </w:rPr>
              <w:t>ERC Decision of 20 March 1998 on free circulation and use of EMS-MSSAT terminals in CEPT member countries enlarging the field of application of ERC/DEC/(95)01</w:t>
            </w:r>
          </w:p>
          <w:p w:rsidR="006248CA" w:rsidRPr="00B54644" w:rsidRDefault="006248CA" w:rsidP="00142A1F">
            <w:pPr>
              <w:rPr>
                <w:sz w:val="22"/>
                <w:szCs w:val="22"/>
              </w:rPr>
            </w:pPr>
            <w:r w:rsidRPr="00B54644">
              <w:rPr>
                <w:i/>
                <w:color w:val="FF0000"/>
              </w:rPr>
              <w:t xml:space="preserve">NOTE: This Decision is replaced by ECC/DEC/(07)04 </w:t>
            </w:r>
          </w:p>
        </w:tc>
        <w:tc>
          <w:tcPr>
            <w:tcW w:w="1425" w:type="dxa"/>
          </w:tcPr>
          <w:p w:rsidR="006248CA" w:rsidRPr="00B54644" w:rsidRDefault="006248CA" w:rsidP="00142A1F">
            <w:pPr>
              <w:rPr>
                <w:sz w:val="22"/>
                <w:szCs w:val="22"/>
              </w:rPr>
            </w:pPr>
          </w:p>
        </w:tc>
      </w:tr>
      <w:tr w:rsidR="005E1AC7" w:rsidRPr="00B54644" w:rsidTr="00BB3B11">
        <w:tc>
          <w:tcPr>
            <w:tcW w:w="13361" w:type="dxa"/>
          </w:tcPr>
          <w:p w:rsidR="005E1AC7" w:rsidRPr="00B54644" w:rsidRDefault="005E1AC7" w:rsidP="005E1AC7">
            <w:pPr>
              <w:rPr>
                <w:sz w:val="22"/>
                <w:szCs w:val="22"/>
                <w:lang w:val="en-US"/>
              </w:rPr>
            </w:pPr>
            <w:r w:rsidRPr="002B42DE">
              <w:rPr>
                <w:b/>
                <w:bCs/>
                <w:sz w:val="22"/>
                <w:szCs w:val="22"/>
                <w:lang w:val="en-US"/>
              </w:rPr>
              <w:t>ERC/DEC/(98)10</w:t>
            </w:r>
            <w:r w:rsidRPr="00B54644">
              <w:rPr>
                <w:b/>
                <w:bCs/>
                <w:sz w:val="22"/>
                <w:szCs w:val="22"/>
              </w:rPr>
              <w:t xml:space="preserve">- </w:t>
            </w:r>
            <w:r w:rsidRPr="00B54644">
              <w:rPr>
                <w:sz w:val="22"/>
                <w:szCs w:val="22"/>
                <w:lang w:val="en-US"/>
              </w:rPr>
              <w:t xml:space="preserve">ERC Decision of 20 March 1998 on the interconnection of PMR and PAMR systems to a Public Telecommunication Network </w:t>
            </w:r>
          </w:p>
          <w:p w:rsidR="005E1AC7" w:rsidRPr="002B42DE" w:rsidRDefault="005E1AC7" w:rsidP="005E1AC7">
            <w:pPr>
              <w:rPr>
                <w:b/>
                <w:bCs/>
                <w:sz w:val="22"/>
                <w:szCs w:val="22"/>
                <w:lang w:val="en-US"/>
              </w:rPr>
            </w:pPr>
            <w:r w:rsidRPr="00B54644">
              <w:rPr>
                <w:i/>
                <w:sz w:val="22"/>
                <w:szCs w:val="22"/>
                <w:lang w:val="en-US"/>
              </w:rPr>
              <w:t xml:space="preserve">Note </w:t>
            </w:r>
            <w:r w:rsidRPr="00B54644">
              <w:rPr>
                <w:sz w:val="22"/>
                <w:szCs w:val="22"/>
                <w:lang w:val="en-US"/>
              </w:rPr>
              <w:t>WGFM#73</w:t>
            </w:r>
            <w:r w:rsidRPr="00B54644">
              <w:rPr>
                <w:i/>
                <w:sz w:val="22"/>
                <w:szCs w:val="22"/>
                <w:lang w:val="en-US"/>
              </w:rPr>
              <w:t xml:space="preserve"> decided to withdraw</w:t>
            </w:r>
          </w:p>
        </w:tc>
        <w:tc>
          <w:tcPr>
            <w:tcW w:w="1425" w:type="dxa"/>
          </w:tcPr>
          <w:p w:rsidR="005E1AC7" w:rsidRPr="00B54644" w:rsidRDefault="005E1AC7" w:rsidP="00142A1F">
            <w:pPr>
              <w:rPr>
                <w:sz w:val="22"/>
                <w:szCs w:val="22"/>
              </w:rPr>
            </w:pPr>
          </w:p>
        </w:tc>
      </w:tr>
      <w:tr w:rsidR="006248CA" w:rsidRPr="00A71011" w:rsidTr="00BB3B11">
        <w:tc>
          <w:tcPr>
            <w:tcW w:w="13361" w:type="dxa"/>
          </w:tcPr>
          <w:p w:rsidR="006248CA" w:rsidRPr="00B54644" w:rsidRDefault="006248CA" w:rsidP="00142A1F">
            <w:pPr>
              <w:rPr>
                <w:sz w:val="22"/>
                <w:szCs w:val="22"/>
                <w:lang w:val="en-US"/>
              </w:rPr>
            </w:pPr>
            <w:r w:rsidRPr="002B42DE">
              <w:rPr>
                <w:b/>
                <w:bCs/>
                <w:sz w:val="22"/>
                <w:szCs w:val="22"/>
                <w:lang w:val="en-US"/>
              </w:rPr>
              <w:t>ERC/DEC/(98)11</w:t>
            </w:r>
            <w:r w:rsidRPr="00B54644">
              <w:rPr>
                <w:b/>
                <w:bCs/>
                <w:sz w:val="22"/>
                <w:szCs w:val="22"/>
              </w:rPr>
              <w:t xml:space="preserve">- </w:t>
            </w:r>
            <w:r w:rsidRPr="00B54644">
              <w:rPr>
                <w:sz w:val="22"/>
                <w:szCs w:val="22"/>
                <w:lang w:val="en-US"/>
              </w:rPr>
              <w:t xml:space="preserve">ERC Decision of 23 November 1998 on the </w:t>
            </w:r>
            <w:proofErr w:type="spellStart"/>
            <w:r w:rsidRPr="00B54644">
              <w:rPr>
                <w:sz w:val="22"/>
                <w:szCs w:val="22"/>
                <w:lang w:val="en-US"/>
              </w:rPr>
              <w:t>harmonised</w:t>
            </w:r>
            <w:proofErr w:type="spellEnd"/>
            <w:r w:rsidRPr="00B54644">
              <w:rPr>
                <w:sz w:val="22"/>
                <w:szCs w:val="22"/>
                <w:lang w:val="en-US"/>
              </w:rPr>
              <w:t xml:space="preserve"> frequency band to be designated for CEPT PR 27 radio equipment and on the implementation of the technical standard for this equipment </w:t>
            </w:r>
          </w:p>
          <w:p w:rsidR="006248CA" w:rsidRPr="00B323B1" w:rsidRDefault="006248CA" w:rsidP="00142A1F">
            <w:pPr>
              <w:rPr>
                <w:sz w:val="22"/>
                <w:szCs w:val="22"/>
                <w:lang w:val="en-US"/>
              </w:rPr>
            </w:pPr>
            <w:r w:rsidRPr="00B54644">
              <w:rPr>
                <w:i/>
                <w:color w:val="FF0000"/>
              </w:rPr>
              <w:t>NOTE: This Decision is replaced by ECC/DEC/(11)CC</w:t>
            </w:r>
          </w:p>
        </w:tc>
        <w:tc>
          <w:tcPr>
            <w:tcW w:w="1425" w:type="dxa"/>
          </w:tcPr>
          <w:p w:rsidR="006248CA" w:rsidRPr="00B323B1" w:rsidRDefault="006248CA" w:rsidP="00142A1F">
            <w:pPr>
              <w:rPr>
                <w:sz w:val="22"/>
                <w:szCs w:val="22"/>
              </w:rPr>
            </w:pPr>
          </w:p>
        </w:tc>
      </w:tr>
      <w:tr w:rsidR="006248CA" w:rsidRPr="00A71011" w:rsidTr="00BB3B11">
        <w:tc>
          <w:tcPr>
            <w:tcW w:w="13361" w:type="dxa"/>
          </w:tcPr>
          <w:p w:rsidR="006248CA" w:rsidRPr="00A71011" w:rsidRDefault="006248CA" w:rsidP="00142A1F">
            <w:pPr>
              <w:rPr>
                <w:sz w:val="22"/>
                <w:szCs w:val="22"/>
              </w:rPr>
            </w:pPr>
            <w:r w:rsidRPr="002B42DE">
              <w:rPr>
                <w:b/>
                <w:bCs/>
                <w:sz w:val="22"/>
                <w:szCs w:val="22"/>
                <w:lang w:val="en-US"/>
              </w:rPr>
              <w:t xml:space="preserve">ERC/DEC/(98)12 </w:t>
            </w:r>
            <w:r w:rsidRPr="00A71011">
              <w:rPr>
                <w:b/>
                <w:bCs/>
                <w:sz w:val="22"/>
                <w:szCs w:val="22"/>
              </w:rPr>
              <w:t xml:space="preserve">- </w:t>
            </w:r>
            <w:r w:rsidRPr="00A71011">
              <w:rPr>
                <w:sz w:val="22"/>
                <w:szCs w:val="22"/>
              </w:rPr>
              <w:t>ERC Decision of 23 November 1998 on Exemption from Individual Licensing of Inmarsat-D terminals for land mobile applications</w:t>
            </w:r>
          </w:p>
          <w:p w:rsidR="006248CA" w:rsidRPr="00A71011" w:rsidRDefault="006248CA" w:rsidP="00142A1F">
            <w:pPr>
              <w:rPr>
                <w:sz w:val="22"/>
                <w:szCs w:val="22"/>
              </w:rPr>
            </w:pPr>
            <w:r w:rsidRPr="00A71011">
              <w:rPr>
                <w:i/>
                <w:color w:val="FF0000"/>
              </w:rPr>
              <w:t xml:space="preserve">NOTE: This Decision is replaced by ECC/DEC/(07)05 </w:t>
            </w:r>
          </w:p>
        </w:tc>
        <w:tc>
          <w:tcPr>
            <w:tcW w:w="1425" w:type="dxa"/>
          </w:tcPr>
          <w:p w:rsidR="006248CA" w:rsidRPr="00A71011" w:rsidRDefault="006248CA" w:rsidP="00142A1F">
            <w:pPr>
              <w:rPr>
                <w:sz w:val="22"/>
                <w:szCs w:val="22"/>
              </w:rPr>
            </w:pPr>
          </w:p>
        </w:tc>
      </w:tr>
      <w:tr w:rsidR="006248CA" w:rsidRPr="00A71011" w:rsidTr="00BB3B11">
        <w:tc>
          <w:tcPr>
            <w:tcW w:w="13361" w:type="dxa"/>
          </w:tcPr>
          <w:p w:rsidR="006248CA" w:rsidRPr="00A71011" w:rsidRDefault="006248CA" w:rsidP="00142A1F">
            <w:pPr>
              <w:rPr>
                <w:bCs/>
                <w:sz w:val="22"/>
                <w:szCs w:val="22"/>
              </w:rPr>
            </w:pPr>
            <w:r w:rsidRPr="00114328">
              <w:rPr>
                <w:b/>
                <w:bCs/>
                <w:sz w:val="22"/>
                <w:szCs w:val="22"/>
                <w:lang w:val="en-US"/>
              </w:rPr>
              <w:t xml:space="preserve">ERC/DEC/(98)13 </w:t>
            </w:r>
            <w:r w:rsidRPr="00A71011">
              <w:rPr>
                <w:b/>
                <w:bCs/>
                <w:sz w:val="22"/>
                <w:szCs w:val="22"/>
              </w:rPr>
              <w:t xml:space="preserve">– </w:t>
            </w:r>
            <w:r w:rsidRPr="00A71011">
              <w:rPr>
                <w:bCs/>
                <w:sz w:val="22"/>
                <w:szCs w:val="22"/>
              </w:rPr>
              <w:t>ERC Decision of 23 November 1998 on Exemption from Individual Licensing of Inmarsat-C terminals for land mobile applications</w:t>
            </w:r>
          </w:p>
          <w:p w:rsidR="006248CA" w:rsidRPr="00A71011" w:rsidRDefault="006248CA" w:rsidP="00142A1F">
            <w:pPr>
              <w:rPr>
                <w:sz w:val="22"/>
                <w:szCs w:val="22"/>
              </w:rPr>
            </w:pPr>
            <w:r w:rsidRPr="00A71011">
              <w:rPr>
                <w:i/>
                <w:color w:val="FF0000"/>
              </w:rPr>
              <w:t xml:space="preserve">NOTE: This Decision is replaced by ECC/DEC/(07)05 </w:t>
            </w:r>
          </w:p>
        </w:tc>
        <w:tc>
          <w:tcPr>
            <w:tcW w:w="1425" w:type="dxa"/>
          </w:tcPr>
          <w:p w:rsidR="006248CA" w:rsidRPr="00A71011" w:rsidRDefault="006248CA" w:rsidP="00142A1F">
            <w:pPr>
              <w:rPr>
                <w:sz w:val="22"/>
                <w:szCs w:val="22"/>
              </w:rPr>
            </w:pPr>
          </w:p>
        </w:tc>
      </w:tr>
      <w:tr w:rsidR="006248CA" w:rsidRPr="00A71011" w:rsidTr="00BB3B11">
        <w:tc>
          <w:tcPr>
            <w:tcW w:w="13361" w:type="dxa"/>
          </w:tcPr>
          <w:p w:rsidR="006248CA" w:rsidRPr="00A71011" w:rsidRDefault="006248CA" w:rsidP="00142A1F">
            <w:pPr>
              <w:rPr>
                <w:sz w:val="22"/>
                <w:szCs w:val="22"/>
              </w:rPr>
            </w:pPr>
            <w:r w:rsidRPr="002B42DE">
              <w:rPr>
                <w:b/>
                <w:bCs/>
                <w:sz w:val="22"/>
                <w:szCs w:val="22"/>
                <w:lang w:val="en-US"/>
              </w:rPr>
              <w:lastRenderedPageBreak/>
              <w:t xml:space="preserve">ERC/DEC/(98)14 </w:t>
            </w:r>
            <w:r w:rsidRPr="00A71011">
              <w:rPr>
                <w:b/>
                <w:bCs/>
                <w:sz w:val="22"/>
                <w:szCs w:val="22"/>
              </w:rPr>
              <w:t xml:space="preserve">- </w:t>
            </w:r>
            <w:r w:rsidRPr="00A71011">
              <w:rPr>
                <w:sz w:val="22"/>
                <w:szCs w:val="22"/>
              </w:rPr>
              <w:t>ERC Decision of 23 November 1998 on Exemption from Individual Licensing of Inmarsat-M terminals</w:t>
            </w:r>
            <w:r w:rsidR="000E098D">
              <w:rPr>
                <w:sz w:val="22"/>
                <w:szCs w:val="22"/>
              </w:rPr>
              <w:t xml:space="preserve"> for land mobile applications </w:t>
            </w:r>
          </w:p>
          <w:p w:rsidR="006248CA" w:rsidRPr="00A71011" w:rsidRDefault="006248CA" w:rsidP="00142A1F">
            <w:pPr>
              <w:rPr>
                <w:sz w:val="22"/>
                <w:szCs w:val="22"/>
              </w:rPr>
            </w:pPr>
            <w:r w:rsidRPr="00A71011">
              <w:rPr>
                <w:i/>
                <w:color w:val="FF0000"/>
              </w:rPr>
              <w:t xml:space="preserve">NOTE: This Decision is replaced by ECC/DEC/(07)05 </w:t>
            </w:r>
          </w:p>
        </w:tc>
        <w:tc>
          <w:tcPr>
            <w:tcW w:w="1425" w:type="dxa"/>
          </w:tcPr>
          <w:p w:rsidR="006248CA" w:rsidRPr="00A71011" w:rsidRDefault="006248CA" w:rsidP="00142A1F">
            <w:pPr>
              <w:rPr>
                <w:sz w:val="22"/>
                <w:szCs w:val="22"/>
              </w:rPr>
            </w:pPr>
          </w:p>
        </w:tc>
      </w:tr>
      <w:tr w:rsidR="006248CA" w:rsidRPr="00A71011" w:rsidTr="00BB3B11">
        <w:tc>
          <w:tcPr>
            <w:tcW w:w="13361" w:type="dxa"/>
          </w:tcPr>
          <w:p w:rsidR="006248CA" w:rsidRPr="00783532" w:rsidRDefault="006248CA" w:rsidP="00142A1F">
            <w:pPr>
              <w:rPr>
                <w:sz w:val="22"/>
                <w:szCs w:val="22"/>
                <w:lang w:val="en-US"/>
              </w:rPr>
            </w:pPr>
            <w:r w:rsidRPr="002B42DE">
              <w:rPr>
                <w:b/>
                <w:bCs/>
                <w:sz w:val="22"/>
                <w:szCs w:val="22"/>
                <w:lang w:val="en-US"/>
              </w:rPr>
              <w:t xml:space="preserve">ERC/DEC/(98)16 </w:t>
            </w:r>
            <w:r w:rsidRPr="00783532">
              <w:rPr>
                <w:b/>
                <w:bCs/>
                <w:sz w:val="22"/>
                <w:szCs w:val="22"/>
              </w:rPr>
              <w:t xml:space="preserve">- </w:t>
            </w:r>
            <w:r w:rsidRPr="00783532">
              <w:rPr>
                <w:sz w:val="22"/>
                <w:szCs w:val="22"/>
                <w:lang w:val="en-US"/>
              </w:rPr>
              <w:t xml:space="preserve">ERC Decision of 23 November 1998 on Exemption from Individual Licensing of CEPT PR-27 equipment </w:t>
            </w:r>
          </w:p>
          <w:p w:rsidR="006248CA" w:rsidRPr="00783532" w:rsidRDefault="006248CA" w:rsidP="00142A1F">
            <w:pPr>
              <w:rPr>
                <w:sz w:val="22"/>
                <w:szCs w:val="22"/>
                <w:lang w:val="en-US"/>
              </w:rPr>
            </w:pPr>
            <w:r w:rsidRPr="00783532">
              <w:rPr>
                <w:i/>
                <w:color w:val="FF0000"/>
              </w:rPr>
              <w:t>NOTE: This Decision is replaced by ECC/DEC/(11)CC</w:t>
            </w:r>
          </w:p>
        </w:tc>
        <w:tc>
          <w:tcPr>
            <w:tcW w:w="1425" w:type="dxa"/>
          </w:tcPr>
          <w:p w:rsidR="006248CA" w:rsidRPr="00783532" w:rsidRDefault="006248CA" w:rsidP="00142A1F">
            <w:pPr>
              <w:rPr>
                <w:sz w:val="22"/>
                <w:szCs w:val="22"/>
              </w:rPr>
            </w:pPr>
          </w:p>
        </w:tc>
      </w:tr>
      <w:tr w:rsidR="006248CA" w:rsidRPr="00A71011" w:rsidTr="00BB3B11">
        <w:tc>
          <w:tcPr>
            <w:tcW w:w="13361" w:type="dxa"/>
          </w:tcPr>
          <w:p w:rsidR="006248CA" w:rsidRPr="00A71011" w:rsidRDefault="006248CA" w:rsidP="00142A1F">
            <w:pPr>
              <w:rPr>
                <w:bCs/>
                <w:sz w:val="22"/>
                <w:szCs w:val="22"/>
              </w:rPr>
            </w:pPr>
            <w:r w:rsidRPr="002B42DE">
              <w:rPr>
                <w:b/>
                <w:bCs/>
                <w:sz w:val="22"/>
                <w:szCs w:val="22"/>
                <w:lang w:val="en-US"/>
              </w:rPr>
              <w:t xml:space="preserve">ERC/DEC/(98)19 </w:t>
            </w:r>
            <w:r w:rsidRPr="00A71011">
              <w:rPr>
                <w:b/>
                <w:bCs/>
                <w:sz w:val="22"/>
                <w:szCs w:val="22"/>
              </w:rPr>
              <w:t xml:space="preserve">– </w:t>
            </w:r>
            <w:r w:rsidRPr="00A71011">
              <w:rPr>
                <w:bCs/>
                <w:sz w:val="22"/>
                <w:szCs w:val="22"/>
              </w:rPr>
              <w:t>ERC Decision of 23 November 1998 on Exemption from Individual Licensing of EMS-MSSAT terminals for land mobile applications</w:t>
            </w:r>
          </w:p>
          <w:p w:rsidR="006248CA" w:rsidRPr="00A71011" w:rsidRDefault="006248CA" w:rsidP="00142A1F">
            <w:pPr>
              <w:rPr>
                <w:sz w:val="22"/>
                <w:szCs w:val="22"/>
              </w:rPr>
            </w:pPr>
            <w:r w:rsidRPr="00A71011">
              <w:rPr>
                <w:i/>
                <w:color w:val="FF0000"/>
              </w:rPr>
              <w:t xml:space="preserve">NOTE: This Decision is replaced by ECC/DEC/(07)05 </w:t>
            </w:r>
          </w:p>
        </w:tc>
        <w:tc>
          <w:tcPr>
            <w:tcW w:w="1425" w:type="dxa"/>
          </w:tcPr>
          <w:p w:rsidR="006248CA" w:rsidRPr="00A71011" w:rsidRDefault="006248CA" w:rsidP="00142A1F">
            <w:pPr>
              <w:rPr>
                <w:sz w:val="22"/>
                <w:szCs w:val="22"/>
              </w:rPr>
            </w:pPr>
          </w:p>
        </w:tc>
      </w:tr>
      <w:tr w:rsidR="00CB750E" w:rsidRPr="00A71011" w:rsidTr="00BB3B11">
        <w:tc>
          <w:tcPr>
            <w:tcW w:w="13361" w:type="dxa"/>
          </w:tcPr>
          <w:p w:rsidR="00CB750E" w:rsidRPr="002B42DE" w:rsidRDefault="00CB750E" w:rsidP="00CB750E">
            <w:pPr>
              <w:rPr>
                <w:bCs/>
                <w:sz w:val="22"/>
                <w:szCs w:val="22"/>
                <w:lang w:val="en-US"/>
              </w:rPr>
            </w:pPr>
            <w:r w:rsidRPr="002B42DE">
              <w:rPr>
                <w:b/>
                <w:bCs/>
                <w:sz w:val="22"/>
                <w:szCs w:val="22"/>
                <w:lang w:val="en-US"/>
              </w:rPr>
              <w:t xml:space="preserve">ERC/DEC/(98)21 – </w:t>
            </w:r>
            <w:r w:rsidRPr="002B42DE">
              <w:rPr>
                <w:bCs/>
                <w:sz w:val="22"/>
                <w:szCs w:val="22"/>
                <w:lang w:val="en-US"/>
              </w:rPr>
              <w:t>ERC Decision of 23 November 1998 on Exemption from Individual Licensing of DCS 1800 (also known as GSM 1800) mobile terminals</w:t>
            </w:r>
          </w:p>
          <w:p w:rsidR="00CB750E" w:rsidRPr="002B42DE" w:rsidRDefault="00CB750E" w:rsidP="000E098D">
            <w:pPr>
              <w:rPr>
                <w:b/>
                <w:bCs/>
                <w:sz w:val="22"/>
                <w:szCs w:val="22"/>
                <w:lang w:val="en-US"/>
              </w:rPr>
            </w:pPr>
            <w:r w:rsidRPr="000E098D">
              <w:rPr>
                <w:i/>
                <w:color w:val="FF0000"/>
              </w:rPr>
              <w:t>Note: this Decision  is going to be replaced by ECC/DEC/(12)01 on 1 June 2014</w:t>
            </w:r>
          </w:p>
        </w:tc>
        <w:tc>
          <w:tcPr>
            <w:tcW w:w="1425" w:type="dxa"/>
          </w:tcPr>
          <w:p w:rsidR="00CB750E" w:rsidRPr="00A71011" w:rsidRDefault="00CB750E" w:rsidP="00142A1F">
            <w:pPr>
              <w:rPr>
                <w:sz w:val="22"/>
                <w:szCs w:val="22"/>
              </w:rPr>
            </w:pPr>
          </w:p>
        </w:tc>
      </w:tr>
      <w:tr w:rsidR="00B94C48" w:rsidRPr="00A71011" w:rsidTr="00BB3B11">
        <w:tc>
          <w:tcPr>
            <w:tcW w:w="13361" w:type="dxa"/>
          </w:tcPr>
          <w:p w:rsidR="00B94C48" w:rsidRPr="00AC7C59" w:rsidRDefault="00B94C48" w:rsidP="00B94C48">
            <w:pPr>
              <w:rPr>
                <w:b/>
                <w:bCs/>
                <w:sz w:val="22"/>
                <w:szCs w:val="22"/>
                <w:lang w:val="en-US"/>
              </w:rPr>
            </w:pPr>
            <w:r w:rsidRPr="00AC7C59">
              <w:rPr>
                <w:b/>
                <w:bCs/>
                <w:sz w:val="22"/>
                <w:szCs w:val="22"/>
                <w:lang w:val="en-US"/>
              </w:rPr>
              <w:t xml:space="preserve">ERC/DEC/(98)26 </w:t>
            </w:r>
            <w:r w:rsidRPr="00AC7C59">
              <w:rPr>
                <w:b/>
                <w:bCs/>
                <w:sz w:val="22"/>
                <w:szCs w:val="22"/>
              </w:rPr>
              <w:t xml:space="preserve">- </w:t>
            </w:r>
            <w:r w:rsidRPr="00AC7C59">
              <w:rPr>
                <w:bCs/>
                <w:sz w:val="22"/>
                <w:szCs w:val="22"/>
                <w:lang w:val="en-US"/>
              </w:rPr>
              <w:t>ERC Decision of 23 November 1998 on Exemption from Individual Licensing of PMR 446 equipment</w:t>
            </w:r>
            <w:r w:rsidRPr="00AC7C59">
              <w:rPr>
                <w:b/>
                <w:bCs/>
                <w:sz w:val="22"/>
                <w:szCs w:val="22"/>
                <w:lang w:val="en-US"/>
              </w:rPr>
              <w:t xml:space="preserve"> </w:t>
            </w:r>
          </w:p>
          <w:p w:rsidR="00B94C48" w:rsidRPr="00956967" w:rsidRDefault="00B94C48" w:rsidP="00B94C48">
            <w:pPr>
              <w:rPr>
                <w:b/>
                <w:bCs/>
                <w:sz w:val="22"/>
                <w:szCs w:val="22"/>
                <w:lang w:val="en-US"/>
              </w:rPr>
            </w:pPr>
            <w:r w:rsidRPr="00AC7C59">
              <w:rPr>
                <w:i/>
                <w:color w:val="FF0000"/>
              </w:rPr>
              <w:t>NOTE: Re</w:t>
            </w:r>
            <w:r>
              <w:rPr>
                <w:i/>
                <w:color w:val="FF0000"/>
              </w:rPr>
              <w:t xml:space="preserve">placed by amended </w:t>
            </w:r>
            <w:r w:rsidRPr="00AC7C59">
              <w:rPr>
                <w:i/>
                <w:color w:val="FF0000"/>
              </w:rPr>
              <w:t>ERC/DEC/(98)25</w:t>
            </w:r>
          </w:p>
        </w:tc>
        <w:tc>
          <w:tcPr>
            <w:tcW w:w="1425" w:type="dxa"/>
          </w:tcPr>
          <w:p w:rsidR="00B94C48" w:rsidRPr="00A71011" w:rsidRDefault="00B94C48" w:rsidP="00142A1F">
            <w:pPr>
              <w:rPr>
                <w:sz w:val="22"/>
                <w:szCs w:val="22"/>
              </w:rPr>
            </w:pPr>
          </w:p>
        </w:tc>
      </w:tr>
      <w:tr w:rsidR="00B94C48" w:rsidRPr="00A71011" w:rsidTr="00BB3B11">
        <w:tc>
          <w:tcPr>
            <w:tcW w:w="13361" w:type="dxa"/>
          </w:tcPr>
          <w:p w:rsidR="00B94C48" w:rsidRPr="00AC7C59" w:rsidRDefault="00B94C48" w:rsidP="00B94C48">
            <w:pPr>
              <w:rPr>
                <w:sz w:val="22"/>
                <w:szCs w:val="22"/>
                <w:lang w:val="en-US"/>
              </w:rPr>
            </w:pPr>
            <w:r w:rsidRPr="002B42DE">
              <w:rPr>
                <w:b/>
                <w:bCs/>
                <w:sz w:val="22"/>
                <w:szCs w:val="22"/>
                <w:lang w:val="en-US"/>
              </w:rPr>
              <w:t xml:space="preserve">ERC/DEC/(98)27 </w:t>
            </w:r>
            <w:r w:rsidRPr="00AC7C59">
              <w:rPr>
                <w:b/>
                <w:bCs/>
                <w:sz w:val="22"/>
                <w:szCs w:val="22"/>
              </w:rPr>
              <w:t xml:space="preserve">– </w:t>
            </w:r>
            <w:r w:rsidRPr="00AC7C59">
              <w:rPr>
                <w:sz w:val="22"/>
                <w:szCs w:val="22"/>
                <w:lang w:val="en-US"/>
              </w:rPr>
              <w:t>ERC Decision of 23 November 1998 on free circulation and use of PMR 446 equipment in CEPT member countries enlarging the field of application of ERC/DEC/(95)01</w:t>
            </w:r>
          </w:p>
          <w:p w:rsidR="00B94C48" w:rsidRPr="00956967" w:rsidRDefault="00B94C48" w:rsidP="00B94C48">
            <w:pPr>
              <w:rPr>
                <w:b/>
                <w:bCs/>
                <w:sz w:val="22"/>
                <w:szCs w:val="22"/>
                <w:lang w:val="en-US"/>
              </w:rPr>
            </w:pPr>
            <w:r w:rsidRPr="00AC7C59">
              <w:rPr>
                <w:i/>
                <w:color w:val="FF0000"/>
              </w:rPr>
              <w:t>NOTE: Re</w:t>
            </w:r>
            <w:r>
              <w:rPr>
                <w:i/>
                <w:color w:val="FF0000"/>
              </w:rPr>
              <w:t xml:space="preserve">placed by amended </w:t>
            </w:r>
            <w:r w:rsidRPr="00AC7C59">
              <w:rPr>
                <w:i/>
                <w:color w:val="FF0000"/>
              </w:rPr>
              <w:t>ERC/DEC/(98)25</w:t>
            </w:r>
          </w:p>
        </w:tc>
        <w:tc>
          <w:tcPr>
            <w:tcW w:w="1425" w:type="dxa"/>
          </w:tcPr>
          <w:p w:rsidR="00B94C48" w:rsidRPr="00A71011" w:rsidRDefault="00B94C48" w:rsidP="00142A1F">
            <w:pPr>
              <w:rPr>
                <w:sz w:val="22"/>
                <w:szCs w:val="22"/>
              </w:rPr>
            </w:pPr>
          </w:p>
        </w:tc>
      </w:tr>
      <w:tr w:rsidR="006248CA" w:rsidRPr="00A71011" w:rsidTr="00BB3B11">
        <w:tc>
          <w:tcPr>
            <w:tcW w:w="13361" w:type="dxa"/>
          </w:tcPr>
          <w:p w:rsidR="006248CA" w:rsidRPr="00A71011" w:rsidRDefault="006248CA" w:rsidP="00142A1F">
            <w:pPr>
              <w:rPr>
                <w:bCs/>
                <w:sz w:val="22"/>
                <w:szCs w:val="22"/>
              </w:rPr>
            </w:pPr>
            <w:r w:rsidRPr="00956967">
              <w:rPr>
                <w:b/>
                <w:bCs/>
                <w:sz w:val="22"/>
                <w:szCs w:val="22"/>
                <w:lang w:val="en-US"/>
              </w:rPr>
              <w:t xml:space="preserve">ERC/DEC/(98)29 </w:t>
            </w:r>
            <w:r w:rsidRPr="00A71011">
              <w:rPr>
                <w:b/>
                <w:bCs/>
                <w:sz w:val="22"/>
                <w:szCs w:val="22"/>
              </w:rPr>
              <w:t xml:space="preserve">- </w:t>
            </w:r>
            <w:r w:rsidRPr="00A71011">
              <w:rPr>
                <w:bCs/>
                <w:sz w:val="22"/>
                <w:szCs w:val="22"/>
              </w:rPr>
              <w:t>ERC Decision of 23 November 1998 on Exemption from Individual Licensing of Inmarsat-phone terminals (also known as Inmarsat mini-M) for land mobile applications</w:t>
            </w:r>
          </w:p>
          <w:p w:rsidR="006248CA" w:rsidRPr="00A71011" w:rsidRDefault="006248CA" w:rsidP="00142A1F">
            <w:pPr>
              <w:rPr>
                <w:sz w:val="22"/>
                <w:szCs w:val="22"/>
              </w:rPr>
            </w:pPr>
            <w:r w:rsidRPr="00A71011">
              <w:rPr>
                <w:i/>
                <w:color w:val="FF0000"/>
              </w:rPr>
              <w:t xml:space="preserve">NOTE: This Decision is replaced by ECC/DEC/(07)05 </w:t>
            </w:r>
          </w:p>
        </w:tc>
        <w:tc>
          <w:tcPr>
            <w:tcW w:w="1425" w:type="dxa"/>
          </w:tcPr>
          <w:p w:rsidR="006248CA" w:rsidRPr="00A71011" w:rsidRDefault="006248CA" w:rsidP="00142A1F">
            <w:pPr>
              <w:rPr>
                <w:sz w:val="22"/>
                <w:szCs w:val="22"/>
              </w:rPr>
            </w:pPr>
          </w:p>
        </w:tc>
      </w:tr>
      <w:tr w:rsidR="005B36F6" w:rsidRPr="00A71011" w:rsidTr="00BB3B11">
        <w:tc>
          <w:tcPr>
            <w:tcW w:w="13361" w:type="dxa"/>
          </w:tcPr>
          <w:p w:rsidR="005B36F6" w:rsidRPr="006F7B2C" w:rsidRDefault="005B36F6" w:rsidP="000E387C">
            <w:pPr>
              <w:rPr>
                <w:sz w:val="22"/>
                <w:szCs w:val="22"/>
                <w:lang w:val="en-US"/>
              </w:rPr>
            </w:pPr>
            <w:r w:rsidRPr="002B42DE">
              <w:rPr>
                <w:b/>
                <w:bCs/>
                <w:sz w:val="22"/>
                <w:szCs w:val="22"/>
                <w:lang w:val="en-US"/>
              </w:rPr>
              <w:t xml:space="preserve">ERC/DEC/(99)02 </w:t>
            </w:r>
            <w:r w:rsidRPr="006F7B2C">
              <w:rPr>
                <w:b/>
                <w:bCs/>
                <w:sz w:val="22"/>
                <w:szCs w:val="22"/>
              </w:rPr>
              <w:t xml:space="preserve">- </w:t>
            </w:r>
            <w:r w:rsidRPr="006F7B2C">
              <w:rPr>
                <w:sz w:val="22"/>
                <w:szCs w:val="22"/>
                <w:lang w:val="en-US"/>
              </w:rPr>
              <w:t xml:space="preserve">ERC Decision of 10 March 1999 on Exemption from Individual Licensing of Terrestrial Trunked Radio System (TETRA) Mobile Terminals </w:t>
            </w:r>
          </w:p>
          <w:p w:rsidR="005B36F6" w:rsidRPr="006F7B2C" w:rsidRDefault="005B36F6" w:rsidP="005B36F6">
            <w:pPr>
              <w:rPr>
                <w:sz w:val="22"/>
                <w:szCs w:val="22"/>
                <w:lang w:val="en-US"/>
              </w:rPr>
            </w:pPr>
            <w:r w:rsidRPr="006F7B2C">
              <w:rPr>
                <w:i/>
                <w:color w:val="FF0000"/>
                <w:sz w:val="22"/>
                <w:szCs w:val="22"/>
              </w:rPr>
              <w:t xml:space="preserve">Note: This Decision is replaced by </w:t>
            </w:r>
            <w:r w:rsidRPr="006F7B2C">
              <w:rPr>
                <w:i/>
                <w:color w:val="FF0000"/>
              </w:rPr>
              <w:t>ECC/DEC/(12)01</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6F7B2C" w:rsidRDefault="005B36F6" w:rsidP="000E387C">
            <w:pPr>
              <w:rPr>
                <w:bCs/>
                <w:sz w:val="22"/>
                <w:szCs w:val="22"/>
              </w:rPr>
            </w:pPr>
            <w:r w:rsidRPr="002B42DE">
              <w:rPr>
                <w:b/>
                <w:bCs/>
                <w:sz w:val="22"/>
                <w:szCs w:val="22"/>
                <w:lang w:val="en-US"/>
              </w:rPr>
              <w:t xml:space="preserve">ERC/DEC/(99)03 </w:t>
            </w:r>
            <w:r w:rsidRPr="006F7B2C">
              <w:rPr>
                <w:b/>
                <w:bCs/>
                <w:sz w:val="22"/>
                <w:szCs w:val="22"/>
              </w:rPr>
              <w:t xml:space="preserve">– </w:t>
            </w:r>
            <w:r w:rsidRPr="006F7B2C">
              <w:rPr>
                <w:bCs/>
                <w:sz w:val="22"/>
                <w:szCs w:val="22"/>
              </w:rPr>
              <w:t>ERC Decision of 10 March 1999 on Free Circulation and Use of Terrestrial Trunked Radio System (TETRA) Civil Mobile Terminals</w:t>
            </w:r>
          </w:p>
          <w:p w:rsidR="005B36F6" w:rsidRPr="006F7B2C" w:rsidRDefault="005B36F6" w:rsidP="005B36F6">
            <w:pPr>
              <w:rPr>
                <w:sz w:val="22"/>
                <w:szCs w:val="22"/>
              </w:rPr>
            </w:pPr>
            <w:r w:rsidRPr="006F7B2C">
              <w:rPr>
                <w:i/>
                <w:color w:val="FF0000"/>
                <w:sz w:val="22"/>
                <w:szCs w:val="22"/>
              </w:rPr>
              <w:t xml:space="preserve">Note: This Decision is replaced by  </w:t>
            </w:r>
            <w:r w:rsidRPr="006F7B2C">
              <w:rPr>
                <w:i/>
                <w:color w:val="FF0000"/>
              </w:rPr>
              <w:t>ECC/DEC/(12)01</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0E387C">
            <w:pPr>
              <w:rPr>
                <w:bCs/>
                <w:sz w:val="22"/>
                <w:szCs w:val="22"/>
                <w:lang w:val="en-US"/>
              </w:rPr>
            </w:pPr>
            <w:r w:rsidRPr="002B42DE">
              <w:rPr>
                <w:b/>
                <w:bCs/>
                <w:sz w:val="22"/>
                <w:szCs w:val="22"/>
                <w:lang w:val="en-US"/>
              </w:rPr>
              <w:t xml:space="preserve">ERC/DEC/(99)16 </w:t>
            </w:r>
            <w:r w:rsidRPr="00A71011">
              <w:rPr>
                <w:b/>
                <w:bCs/>
                <w:sz w:val="22"/>
                <w:szCs w:val="22"/>
              </w:rPr>
              <w:t xml:space="preserve">– </w:t>
            </w:r>
            <w:r w:rsidRPr="00A71011">
              <w:rPr>
                <w:bCs/>
                <w:sz w:val="22"/>
                <w:szCs w:val="22"/>
                <w:lang w:val="en-US"/>
              </w:rPr>
              <w:t xml:space="preserve">ERC Decision of 1 June 1999 on the withdrawal of the ERC Decision (96)05 "Decision on the </w:t>
            </w:r>
            <w:proofErr w:type="spellStart"/>
            <w:r w:rsidRPr="00A71011">
              <w:rPr>
                <w:bCs/>
                <w:sz w:val="22"/>
                <w:szCs w:val="22"/>
                <w:lang w:val="en-US"/>
              </w:rPr>
              <w:t>harmonised</w:t>
            </w:r>
            <w:proofErr w:type="spellEnd"/>
            <w:r w:rsidRPr="00A71011">
              <w:rPr>
                <w:bCs/>
                <w:sz w:val="22"/>
                <w:szCs w:val="22"/>
                <w:lang w:val="en-US"/>
              </w:rPr>
              <w:t xml:space="preserve"> frequency band to be designated for the introduction of the Multipoint Video Distribution Systems (MVDS)" </w:t>
            </w:r>
          </w:p>
        </w:tc>
        <w:tc>
          <w:tcPr>
            <w:tcW w:w="1425" w:type="dxa"/>
          </w:tcPr>
          <w:p w:rsidR="005B36F6" w:rsidRPr="00A71011" w:rsidRDefault="005B36F6" w:rsidP="000E387C">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ERC/DEC/(99)18 </w:t>
            </w:r>
            <w:r w:rsidRPr="00A71011">
              <w:rPr>
                <w:b/>
                <w:bCs/>
                <w:sz w:val="22"/>
                <w:szCs w:val="22"/>
              </w:rPr>
              <w:t xml:space="preserve">- </w:t>
            </w:r>
            <w:r w:rsidRPr="00A71011">
              <w:rPr>
                <w:sz w:val="22"/>
                <w:szCs w:val="22"/>
              </w:rPr>
              <w:t>ERC Decision of 29 November 1999 on Exemption from Individual Licensing of Inmarsat-B terminals for land mobile applications</w:t>
            </w:r>
          </w:p>
          <w:p w:rsidR="005B36F6" w:rsidRPr="00A71011" w:rsidRDefault="005B36F6" w:rsidP="00142A1F">
            <w:pPr>
              <w:rPr>
                <w:bCs/>
                <w:sz w:val="22"/>
                <w:szCs w:val="22"/>
              </w:rPr>
            </w:pPr>
            <w:r w:rsidRPr="00A71011">
              <w:rPr>
                <w:i/>
                <w:color w:val="FF0000"/>
              </w:rPr>
              <w:t xml:space="preserve">NOTE: This Decision is replaced by ECC/DEC/(07)05 </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ERC/DEC/(99)19 </w:t>
            </w:r>
            <w:r w:rsidRPr="00A71011">
              <w:rPr>
                <w:b/>
                <w:bCs/>
                <w:sz w:val="22"/>
                <w:szCs w:val="22"/>
              </w:rPr>
              <w:t xml:space="preserve">- </w:t>
            </w:r>
            <w:r w:rsidRPr="00A71011">
              <w:rPr>
                <w:sz w:val="22"/>
                <w:szCs w:val="22"/>
              </w:rPr>
              <w:t>ERC Decision of 29 November 1999 on free circulation and use of Inmarsat-B terminals in CEPT member countries enlarging the field of application of ERC/DEC/(95)01</w:t>
            </w:r>
          </w:p>
          <w:p w:rsidR="005B36F6" w:rsidRPr="00A71011" w:rsidRDefault="005B36F6" w:rsidP="00142A1F">
            <w:pPr>
              <w:rPr>
                <w:sz w:val="22"/>
                <w:szCs w:val="22"/>
              </w:rPr>
            </w:pPr>
            <w:r w:rsidRPr="00A71011">
              <w:rPr>
                <w:i/>
                <w:color w:val="FF0000"/>
              </w:rPr>
              <w:t xml:space="preserve">NOTE: This Decision is replaced by ECC/DEC/(07)04 </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ERC/DEC/(99)20 </w:t>
            </w:r>
            <w:r w:rsidRPr="00A71011">
              <w:rPr>
                <w:b/>
                <w:bCs/>
                <w:sz w:val="22"/>
                <w:szCs w:val="22"/>
              </w:rPr>
              <w:t xml:space="preserve">- </w:t>
            </w:r>
            <w:r w:rsidRPr="00A71011">
              <w:rPr>
                <w:sz w:val="22"/>
                <w:szCs w:val="22"/>
              </w:rPr>
              <w:t>ERC Decision of 29 November 1999 on Exemption from Individual Licensing of Inmarsat-M4 terminals for land mobile applications</w:t>
            </w:r>
          </w:p>
          <w:p w:rsidR="005B36F6" w:rsidRPr="00A71011" w:rsidRDefault="005B36F6" w:rsidP="00142A1F">
            <w:pPr>
              <w:rPr>
                <w:sz w:val="22"/>
                <w:szCs w:val="22"/>
                <w:lang w:val="en-US"/>
              </w:rPr>
            </w:pPr>
            <w:r w:rsidRPr="00A71011">
              <w:rPr>
                <w:i/>
                <w:color w:val="FF0000"/>
              </w:rPr>
              <w:lastRenderedPageBreak/>
              <w:t>NOTE: This Decision is replaced by ECC/DEC/(07)05</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bCs/>
                <w:sz w:val="22"/>
                <w:szCs w:val="22"/>
              </w:rPr>
            </w:pPr>
            <w:r w:rsidRPr="002B42DE">
              <w:rPr>
                <w:b/>
                <w:bCs/>
                <w:sz w:val="22"/>
                <w:szCs w:val="22"/>
                <w:lang w:val="en-US"/>
              </w:rPr>
              <w:lastRenderedPageBreak/>
              <w:t xml:space="preserve">ERC/DEC/(99)21 </w:t>
            </w:r>
            <w:r w:rsidRPr="00A71011">
              <w:rPr>
                <w:b/>
                <w:bCs/>
                <w:sz w:val="22"/>
                <w:szCs w:val="22"/>
              </w:rPr>
              <w:t xml:space="preserve">– </w:t>
            </w:r>
            <w:r w:rsidRPr="00A71011">
              <w:rPr>
                <w:bCs/>
                <w:sz w:val="22"/>
                <w:szCs w:val="22"/>
              </w:rPr>
              <w:t>ERC Decision of 29 November 1999 on free circulation and use of Inmarsat-M4 terminals in CEPT member countries enlarging the field of application of ERC/DEC/(95)01</w:t>
            </w:r>
          </w:p>
          <w:p w:rsidR="005B36F6" w:rsidRPr="00A71011" w:rsidRDefault="005B36F6" w:rsidP="00142A1F">
            <w:pPr>
              <w:rPr>
                <w:sz w:val="22"/>
                <w:szCs w:val="22"/>
              </w:rPr>
            </w:pPr>
            <w:r w:rsidRPr="00A71011">
              <w:rPr>
                <w:i/>
                <w:color w:val="FF0000"/>
              </w:rPr>
              <w:t xml:space="preserve">NOTE: This Decision is replaced by ECC/DEC/(07)04 </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ERC/DEC/(99)24 </w:t>
            </w:r>
            <w:r w:rsidRPr="00A71011">
              <w:rPr>
                <w:b/>
                <w:bCs/>
                <w:sz w:val="22"/>
                <w:szCs w:val="22"/>
              </w:rPr>
              <w:t xml:space="preserve">- </w:t>
            </w:r>
            <w:r w:rsidRPr="00A71011">
              <w:rPr>
                <w:sz w:val="22"/>
                <w:szCs w:val="22"/>
              </w:rPr>
              <w:t>ERC Decision of 29 November 1999 on the withdrawal of the ERC/DEC/(96)03, " Decision on the harmonised frequency bands to be designated for the introduction of High Performance Radio Local Area Networks (HIPERLANs)"</w:t>
            </w:r>
          </w:p>
        </w:tc>
        <w:tc>
          <w:tcPr>
            <w:tcW w:w="1425" w:type="dxa"/>
          </w:tcPr>
          <w:p w:rsidR="005B36F6" w:rsidRPr="00A71011" w:rsidRDefault="005B36F6" w:rsidP="00142A1F">
            <w:pPr>
              <w:rPr>
                <w:sz w:val="22"/>
                <w:szCs w:val="22"/>
              </w:rPr>
            </w:pPr>
          </w:p>
        </w:tc>
      </w:tr>
      <w:tr w:rsidR="005B36F6" w:rsidRPr="007B7F7A" w:rsidTr="00BB3B11">
        <w:tc>
          <w:tcPr>
            <w:tcW w:w="13361" w:type="dxa"/>
          </w:tcPr>
          <w:p w:rsidR="005B36F6" w:rsidRDefault="005B36F6" w:rsidP="00142A1F">
            <w:pPr>
              <w:rPr>
                <w:sz w:val="22"/>
                <w:szCs w:val="22"/>
              </w:rPr>
            </w:pPr>
            <w:r w:rsidRPr="002B42DE">
              <w:rPr>
                <w:b/>
                <w:bCs/>
                <w:sz w:val="22"/>
                <w:szCs w:val="22"/>
                <w:lang w:val="en-US"/>
              </w:rPr>
              <w:t xml:space="preserve">ERC/DEC/(00)03 </w:t>
            </w:r>
            <w:r w:rsidRPr="007B7F7A">
              <w:rPr>
                <w:b/>
                <w:bCs/>
                <w:sz w:val="22"/>
                <w:szCs w:val="22"/>
              </w:rPr>
              <w:t xml:space="preserve">- </w:t>
            </w:r>
            <w:r w:rsidRPr="007B7F7A">
              <w:rPr>
                <w:sz w:val="22"/>
                <w:szCs w:val="22"/>
              </w:rPr>
              <w:t>ERC Decision of 27 March 2000 on Exemption from Individual Licensing of Satellite Interactive Terminals (SITs) operating within the Frequency Bands 10.70 - 12.75 GHz space-to-Earth and 29.50 - 30.00 GHz Earth-to-Space</w:t>
            </w:r>
          </w:p>
          <w:p w:rsidR="005B36F6" w:rsidRPr="00806206" w:rsidRDefault="005B36F6" w:rsidP="00142A1F">
            <w:pPr>
              <w:rPr>
                <w:i/>
                <w:sz w:val="22"/>
                <w:szCs w:val="22"/>
                <w:lang w:val="en-US"/>
              </w:rPr>
            </w:pPr>
            <w:r w:rsidRPr="00806206">
              <w:rPr>
                <w:i/>
              </w:rPr>
              <w:t>Note: replaced by ECC/DEC/(06)03</w:t>
            </w:r>
          </w:p>
        </w:tc>
        <w:tc>
          <w:tcPr>
            <w:tcW w:w="1425" w:type="dxa"/>
          </w:tcPr>
          <w:p w:rsidR="005B36F6" w:rsidRPr="007B7F7A" w:rsidRDefault="005B36F6" w:rsidP="00142A1F">
            <w:pPr>
              <w:rPr>
                <w:sz w:val="22"/>
                <w:szCs w:val="22"/>
              </w:rPr>
            </w:pPr>
          </w:p>
        </w:tc>
      </w:tr>
      <w:tr w:rsidR="005B36F6" w:rsidRPr="007B7F7A" w:rsidTr="00BB3B11">
        <w:tc>
          <w:tcPr>
            <w:tcW w:w="13361" w:type="dxa"/>
          </w:tcPr>
          <w:p w:rsidR="005B36F6" w:rsidRDefault="005B36F6" w:rsidP="00142A1F">
            <w:pPr>
              <w:rPr>
                <w:bCs/>
                <w:sz w:val="22"/>
                <w:szCs w:val="22"/>
                <w:lang w:val="en-US"/>
              </w:rPr>
            </w:pPr>
            <w:r w:rsidRPr="002B42DE">
              <w:rPr>
                <w:b/>
                <w:bCs/>
                <w:sz w:val="22"/>
                <w:szCs w:val="22"/>
                <w:lang w:val="en-US"/>
              </w:rPr>
              <w:t xml:space="preserve">ERC/DEC/(00)04 </w:t>
            </w:r>
            <w:r w:rsidRPr="007B7F7A">
              <w:rPr>
                <w:b/>
                <w:bCs/>
                <w:sz w:val="22"/>
                <w:szCs w:val="22"/>
              </w:rPr>
              <w:t xml:space="preserve">– </w:t>
            </w:r>
            <w:r w:rsidRPr="007B7F7A">
              <w:rPr>
                <w:bCs/>
                <w:sz w:val="22"/>
                <w:szCs w:val="22"/>
                <w:lang w:val="en-US"/>
              </w:rPr>
              <w:t>ERC Decision of 27 March 2000 on Exemption from Individual Licensing of Satellite User Terminals (SUTs) operating within the Frequency Bands 19.70 - 20.20 GHz space-to-Earth and 29.50 - 30.00 GHz Earth-to-space</w:t>
            </w:r>
          </w:p>
          <w:p w:rsidR="005B36F6" w:rsidRPr="00806206" w:rsidRDefault="005B36F6" w:rsidP="00142A1F">
            <w:pPr>
              <w:rPr>
                <w:bCs/>
                <w:i/>
                <w:sz w:val="22"/>
                <w:szCs w:val="22"/>
                <w:lang w:val="en-US"/>
              </w:rPr>
            </w:pPr>
            <w:r w:rsidRPr="00806206">
              <w:rPr>
                <w:i/>
              </w:rPr>
              <w:t>Note: replaced by ECC/DEC/(06)03</w:t>
            </w:r>
          </w:p>
        </w:tc>
        <w:tc>
          <w:tcPr>
            <w:tcW w:w="1425" w:type="dxa"/>
          </w:tcPr>
          <w:p w:rsidR="005B36F6" w:rsidRPr="007B7F7A" w:rsidRDefault="005B36F6" w:rsidP="00142A1F">
            <w:pPr>
              <w:rPr>
                <w:sz w:val="22"/>
                <w:szCs w:val="22"/>
              </w:rPr>
            </w:pPr>
          </w:p>
        </w:tc>
      </w:tr>
      <w:tr w:rsidR="005B36F6" w:rsidRPr="00A71011" w:rsidTr="00BB3B11">
        <w:tc>
          <w:tcPr>
            <w:tcW w:w="13361" w:type="dxa"/>
          </w:tcPr>
          <w:p w:rsidR="005B36F6" w:rsidRDefault="005B36F6" w:rsidP="00142A1F">
            <w:pPr>
              <w:rPr>
                <w:sz w:val="22"/>
                <w:szCs w:val="22"/>
              </w:rPr>
            </w:pPr>
            <w:r w:rsidRPr="007B7F7A">
              <w:rPr>
                <w:b/>
                <w:bCs/>
                <w:sz w:val="22"/>
                <w:szCs w:val="22"/>
                <w:lang w:val="en-US"/>
              </w:rPr>
              <w:t xml:space="preserve">ERC/DEC/(00)05 </w:t>
            </w:r>
            <w:r w:rsidRPr="007B7F7A">
              <w:rPr>
                <w:b/>
                <w:bCs/>
                <w:sz w:val="22"/>
                <w:szCs w:val="22"/>
              </w:rPr>
              <w:t xml:space="preserve">- </w:t>
            </w:r>
            <w:r w:rsidRPr="007B7F7A">
              <w:rPr>
                <w:sz w:val="22"/>
                <w:szCs w:val="22"/>
              </w:rPr>
              <w:t>ERC Decision of 27 March 2000 on Exemption from Individual Licensing of Very Small Aperture Terminals (VSAT) operating in the frequency bands 14.0 - 14.25 GHz Earth-to-space and 12.5 - 12.75 GHz space-to-Earth</w:t>
            </w:r>
          </w:p>
          <w:p w:rsidR="005B36F6" w:rsidRPr="00806206" w:rsidRDefault="005B36F6" w:rsidP="00142A1F">
            <w:pPr>
              <w:rPr>
                <w:i/>
                <w:sz w:val="22"/>
                <w:szCs w:val="22"/>
              </w:rPr>
            </w:pPr>
            <w:r w:rsidRPr="00806206">
              <w:rPr>
                <w:i/>
              </w:rPr>
              <w:t>Note: replaced by ECC/DEC/(06)03</w:t>
            </w:r>
          </w:p>
        </w:tc>
        <w:tc>
          <w:tcPr>
            <w:tcW w:w="1425" w:type="dxa"/>
          </w:tcPr>
          <w:p w:rsidR="005B36F6" w:rsidRPr="007B7F7A" w:rsidRDefault="005B36F6" w:rsidP="00142A1F">
            <w:pPr>
              <w:rPr>
                <w:sz w:val="22"/>
                <w:szCs w:val="22"/>
              </w:rPr>
            </w:pPr>
          </w:p>
        </w:tc>
      </w:tr>
      <w:tr w:rsidR="005B36F6" w:rsidRPr="00A71011" w:rsidTr="00BB3B11">
        <w:tc>
          <w:tcPr>
            <w:tcW w:w="13361" w:type="dxa"/>
          </w:tcPr>
          <w:p w:rsidR="005B36F6" w:rsidRPr="00B54644" w:rsidRDefault="005B36F6" w:rsidP="00F21C58">
            <w:pPr>
              <w:rPr>
                <w:sz w:val="22"/>
                <w:szCs w:val="22"/>
                <w:lang w:val="en-US"/>
              </w:rPr>
            </w:pPr>
            <w:r w:rsidRPr="002B42DE">
              <w:rPr>
                <w:b/>
                <w:bCs/>
                <w:sz w:val="22"/>
                <w:szCs w:val="22"/>
                <w:lang w:val="en-US"/>
              </w:rPr>
              <w:t xml:space="preserve">ERC/DEC/(00)06 </w:t>
            </w:r>
            <w:r w:rsidRPr="00B54644">
              <w:rPr>
                <w:b/>
                <w:bCs/>
                <w:sz w:val="22"/>
                <w:szCs w:val="22"/>
              </w:rPr>
              <w:t xml:space="preserve">- </w:t>
            </w:r>
            <w:r w:rsidRPr="00B54644">
              <w:rPr>
                <w:sz w:val="22"/>
                <w:szCs w:val="22"/>
                <w:lang w:val="en-US"/>
              </w:rPr>
              <w:t xml:space="preserve">ERC Decision of 19 October 2000 on the licensing and global circulation and use of IMT-2000 terrestrial and satellite mobile terminals </w:t>
            </w:r>
          </w:p>
          <w:p w:rsidR="005B36F6" w:rsidRPr="007B7F7A" w:rsidRDefault="005B36F6" w:rsidP="00F21C58">
            <w:pPr>
              <w:rPr>
                <w:b/>
                <w:bCs/>
                <w:sz w:val="22"/>
                <w:szCs w:val="22"/>
                <w:lang w:val="en-US"/>
              </w:rPr>
            </w:pPr>
            <w:r w:rsidRPr="00B54644">
              <w:rPr>
                <w:i/>
                <w:color w:val="FF0000"/>
              </w:rPr>
              <w:t xml:space="preserve">NOTE: </w:t>
            </w:r>
            <w:r>
              <w:rPr>
                <w:i/>
                <w:color w:val="FF0000"/>
              </w:rPr>
              <w:t>Withdrawn by ECC/DEC/(12)01</w:t>
            </w:r>
          </w:p>
        </w:tc>
        <w:tc>
          <w:tcPr>
            <w:tcW w:w="1425" w:type="dxa"/>
          </w:tcPr>
          <w:p w:rsidR="005B36F6" w:rsidRPr="007B7F7A" w:rsidRDefault="005B36F6" w:rsidP="00142A1F">
            <w:pPr>
              <w:rPr>
                <w:sz w:val="22"/>
                <w:szCs w:val="22"/>
              </w:rPr>
            </w:pPr>
          </w:p>
        </w:tc>
      </w:tr>
      <w:tr w:rsidR="005B36F6" w:rsidRPr="00B323B1" w:rsidTr="00BB3B11">
        <w:tc>
          <w:tcPr>
            <w:tcW w:w="13361" w:type="dxa"/>
          </w:tcPr>
          <w:p w:rsidR="005B36F6" w:rsidRPr="00B323B1" w:rsidRDefault="005B36F6" w:rsidP="00142A1F">
            <w:pPr>
              <w:rPr>
                <w:sz w:val="22"/>
                <w:szCs w:val="22"/>
                <w:lang w:val="en-US"/>
              </w:rPr>
            </w:pPr>
            <w:r w:rsidRPr="0068736F">
              <w:rPr>
                <w:b/>
                <w:bCs/>
                <w:sz w:val="22"/>
                <w:szCs w:val="22"/>
                <w:lang w:val="en-US"/>
              </w:rPr>
              <w:t xml:space="preserve">ERC/DEC/(01)02 </w:t>
            </w:r>
            <w:r w:rsidRPr="00B323B1">
              <w:rPr>
                <w:b/>
                <w:bCs/>
                <w:sz w:val="22"/>
                <w:szCs w:val="22"/>
              </w:rPr>
              <w:t xml:space="preserve">- </w:t>
            </w:r>
            <w:r w:rsidRPr="00B323B1">
              <w:rPr>
                <w:sz w:val="22"/>
                <w:szCs w:val="22"/>
                <w:lang w:val="en-US"/>
              </w:rPr>
              <w:t xml:space="preserve">ERC Decision of 12 March 2001 on </w:t>
            </w:r>
            <w:proofErr w:type="spellStart"/>
            <w:r w:rsidRPr="00B323B1">
              <w:rPr>
                <w:sz w:val="22"/>
                <w:szCs w:val="22"/>
                <w:lang w:val="en-US"/>
              </w:rPr>
              <w:t>harmonised</w:t>
            </w:r>
            <w:proofErr w:type="spellEnd"/>
            <w:r w:rsidRPr="00B323B1">
              <w:rPr>
                <w:sz w:val="22"/>
                <w:szCs w:val="22"/>
                <w:lang w:val="en-US"/>
              </w:rPr>
              <w:t xml:space="preserve"> frequencies, technical characteristics and exemption from individual licensing of Non-specific Short Range Devices operating in the frequency band 26.957 - 27.283 MHz </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B323B1" w:rsidRDefault="005B36F6" w:rsidP="00142A1F">
            <w:pPr>
              <w:rPr>
                <w:bCs/>
                <w:sz w:val="22"/>
                <w:szCs w:val="22"/>
                <w:lang w:val="en-US"/>
              </w:rPr>
            </w:pPr>
            <w:r w:rsidRPr="00B323B1">
              <w:rPr>
                <w:b/>
                <w:bCs/>
                <w:sz w:val="22"/>
                <w:szCs w:val="22"/>
                <w:lang w:val="en-US"/>
              </w:rPr>
              <w:t xml:space="preserve">ERC/DEC/(01)03 </w:t>
            </w:r>
            <w:r w:rsidRPr="00B323B1">
              <w:rPr>
                <w:b/>
                <w:bCs/>
                <w:sz w:val="22"/>
                <w:szCs w:val="22"/>
              </w:rPr>
              <w:t xml:space="preserve">– </w:t>
            </w:r>
            <w:r w:rsidRPr="00B323B1">
              <w:rPr>
                <w:bCs/>
                <w:sz w:val="22"/>
                <w:szCs w:val="22"/>
                <w:lang w:val="en-US"/>
              </w:rPr>
              <w:t xml:space="preserve">ERC Decision of 12 March 2001 on </w:t>
            </w:r>
            <w:proofErr w:type="spellStart"/>
            <w:r w:rsidRPr="00B323B1">
              <w:rPr>
                <w:bCs/>
                <w:sz w:val="22"/>
                <w:szCs w:val="22"/>
                <w:lang w:val="en-US"/>
              </w:rPr>
              <w:t>harmonised</w:t>
            </w:r>
            <w:proofErr w:type="spellEnd"/>
            <w:r w:rsidRPr="00B323B1">
              <w:rPr>
                <w:bCs/>
                <w:sz w:val="22"/>
                <w:szCs w:val="22"/>
                <w:lang w:val="en-US"/>
              </w:rPr>
              <w:t xml:space="preserve"> frequencies, technical characteristics and exemption from individual licensing of Non-specific Short Range Devices operating in the frequency band 40.660 - 40.700 MHz </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B323B1" w:rsidRDefault="005B36F6" w:rsidP="00142A1F">
            <w:pPr>
              <w:rPr>
                <w:sz w:val="22"/>
                <w:szCs w:val="22"/>
                <w:lang w:val="en-US"/>
              </w:rPr>
            </w:pPr>
            <w:r w:rsidRPr="002B42DE">
              <w:rPr>
                <w:b/>
                <w:bCs/>
                <w:sz w:val="22"/>
                <w:szCs w:val="22"/>
                <w:lang w:val="en-US"/>
              </w:rPr>
              <w:t xml:space="preserve">ERC/DEC/(01)07 </w:t>
            </w:r>
            <w:r w:rsidRPr="00B323B1">
              <w:rPr>
                <w:b/>
                <w:bCs/>
                <w:sz w:val="22"/>
                <w:szCs w:val="22"/>
              </w:rPr>
              <w:t xml:space="preserve">- </w:t>
            </w:r>
            <w:r w:rsidRPr="00B323B1">
              <w:rPr>
                <w:sz w:val="22"/>
                <w:szCs w:val="22"/>
                <w:lang w:val="en-US"/>
              </w:rPr>
              <w:t xml:space="preserve">ERC Decision of 12 March 2001 on </w:t>
            </w:r>
            <w:proofErr w:type="spellStart"/>
            <w:r w:rsidRPr="00B323B1">
              <w:rPr>
                <w:sz w:val="22"/>
                <w:szCs w:val="22"/>
                <w:lang w:val="en-US"/>
              </w:rPr>
              <w:t>harmonised</w:t>
            </w:r>
            <w:proofErr w:type="spellEnd"/>
            <w:r w:rsidRPr="00B323B1">
              <w:rPr>
                <w:sz w:val="22"/>
                <w:szCs w:val="22"/>
                <w:lang w:val="en-US"/>
              </w:rPr>
              <w:t xml:space="preserve"> frequencies, technical characteristics and exemption from individual licensing of Short Range Devices used for Radio Local Area Networks (RLANs) operating in the frequency band 2400 - 2483.5 MHz </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B323B1" w:rsidRDefault="005B36F6" w:rsidP="00142A1F">
            <w:pPr>
              <w:rPr>
                <w:sz w:val="22"/>
                <w:szCs w:val="22"/>
                <w:lang w:val="en-US"/>
              </w:rPr>
            </w:pPr>
            <w:r w:rsidRPr="002B42DE">
              <w:rPr>
                <w:b/>
                <w:bCs/>
                <w:sz w:val="22"/>
                <w:szCs w:val="22"/>
                <w:lang w:val="en-US"/>
              </w:rPr>
              <w:t xml:space="preserve">ERC/DEC/(01)10 </w:t>
            </w:r>
            <w:r w:rsidRPr="00B323B1">
              <w:rPr>
                <w:b/>
                <w:bCs/>
                <w:sz w:val="22"/>
                <w:szCs w:val="22"/>
              </w:rPr>
              <w:t xml:space="preserve">- </w:t>
            </w:r>
            <w:r w:rsidRPr="00B323B1">
              <w:rPr>
                <w:sz w:val="22"/>
                <w:szCs w:val="22"/>
                <w:lang w:val="en-US"/>
              </w:rPr>
              <w:t xml:space="preserve">ERC Decision of 12 March 2001 on </w:t>
            </w:r>
            <w:proofErr w:type="spellStart"/>
            <w:r w:rsidRPr="00B323B1">
              <w:rPr>
                <w:sz w:val="22"/>
                <w:szCs w:val="22"/>
                <w:lang w:val="en-US"/>
              </w:rPr>
              <w:t>harmonised</w:t>
            </w:r>
            <w:proofErr w:type="spellEnd"/>
            <w:r w:rsidRPr="00B323B1">
              <w:rPr>
                <w:sz w:val="22"/>
                <w:szCs w:val="22"/>
                <w:lang w:val="en-US"/>
              </w:rPr>
              <w:t xml:space="preserve"> frequencies, technical characteristics and exemption from individual licensing of Short Range Devices used for Model control operating in the frequencies 26.995, 27.045, 27.095, 27.145 and 27.195 MHz </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B323B1" w:rsidRDefault="005B36F6" w:rsidP="00142A1F">
            <w:pPr>
              <w:rPr>
                <w:sz w:val="22"/>
                <w:szCs w:val="22"/>
                <w:lang w:val="en-US"/>
              </w:rPr>
            </w:pPr>
            <w:r w:rsidRPr="002B42DE">
              <w:rPr>
                <w:b/>
                <w:bCs/>
                <w:sz w:val="22"/>
                <w:szCs w:val="22"/>
                <w:lang w:val="en-US"/>
              </w:rPr>
              <w:t xml:space="preserve">ERC/DEC/(01)16 </w:t>
            </w:r>
            <w:r w:rsidRPr="00B323B1">
              <w:rPr>
                <w:b/>
                <w:bCs/>
                <w:sz w:val="22"/>
                <w:szCs w:val="22"/>
              </w:rPr>
              <w:t xml:space="preserve">- </w:t>
            </w:r>
            <w:r w:rsidRPr="00B323B1">
              <w:rPr>
                <w:sz w:val="22"/>
                <w:szCs w:val="22"/>
                <w:lang w:val="en-US"/>
              </w:rPr>
              <w:t xml:space="preserve">ERC Decision on 12 March 2001 on </w:t>
            </w:r>
            <w:proofErr w:type="spellStart"/>
            <w:r w:rsidRPr="00B323B1">
              <w:rPr>
                <w:sz w:val="22"/>
                <w:szCs w:val="22"/>
                <w:lang w:val="en-US"/>
              </w:rPr>
              <w:t>harmonised</w:t>
            </w:r>
            <w:proofErr w:type="spellEnd"/>
            <w:r w:rsidRPr="00B323B1">
              <w:rPr>
                <w:sz w:val="22"/>
                <w:szCs w:val="22"/>
                <w:lang w:val="en-US"/>
              </w:rPr>
              <w:t xml:space="preserve"> frequencies, technical characteristics and exemption from individual licensing of Short Range Devices used for inductive applications operating in the frequency band 26.957 - 27.283 MHz </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ERC/DEC/(01)22 </w:t>
            </w:r>
            <w:r w:rsidRPr="00A71011">
              <w:rPr>
                <w:b/>
                <w:bCs/>
                <w:sz w:val="22"/>
                <w:szCs w:val="22"/>
              </w:rPr>
              <w:t xml:space="preserve">- </w:t>
            </w:r>
            <w:r w:rsidRPr="00A71011">
              <w:rPr>
                <w:sz w:val="22"/>
                <w:szCs w:val="22"/>
              </w:rPr>
              <w:t xml:space="preserve">ERC Decision of 12 March 2001 on Exemption from Individual Licensing of </w:t>
            </w:r>
            <w:proofErr w:type="spellStart"/>
            <w:r w:rsidRPr="00A71011">
              <w:rPr>
                <w:sz w:val="22"/>
                <w:szCs w:val="22"/>
              </w:rPr>
              <w:t>SpaceChecker</w:t>
            </w:r>
            <w:proofErr w:type="spellEnd"/>
            <w:r w:rsidRPr="00A71011">
              <w:rPr>
                <w:sz w:val="22"/>
                <w:szCs w:val="22"/>
              </w:rPr>
              <w:t xml:space="preserve"> S-SMS Mobile User Terminals</w:t>
            </w:r>
          </w:p>
          <w:p w:rsidR="005B36F6" w:rsidRPr="00A71011" w:rsidRDefault="005B36F6" w:rsidP="00142A1F">
            <w:pPr>
              <w:rPr>
                <w:sz w:val="22"/>
                <w:szCs w:val="22"/>
              </w:rPr>
            </w:pPr>
            <w:r w:rsidRPr="00A71011">
              <w:rPr>
                <w:i/>
                <w:color w:val="FF0000"/>
              </w:rPr>
              <w:t>NOTE: This Decision is replaced by ECC/DEC/(07)05</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ERC/DEC/(01)23 </w:t>
            </w:r>
            <w:r w:rsidRPr="00A71011">
              <w:rPr>
                <w:b/>
                <w:bCs/>
                <w:sz w:val="22"/>
                <w:szCs w:val="22"/>
              </w:rPr>
              <w:t xml:space="preserve">- </w:t>
            </w:r>
            <w:r w:rsidRPr="00A71011">
              <w:rPr>
                <w:sz w:val="22"/>
                <w:szCs w:val="22"/>
              </w:rPr>
              <w:t xml:space="preserve">ERC Decision of 12 March 2001 on free circulation and use of </w:t>
            </w:r>
            <w:proofErr w:type="spellStart"/>
            <w:r w:rsidRPr="00A71011">
              <w:rPr>
                <w:sz w:val="22"/>
                <w:szCs w:val="22"/>
              </w:rPr>
              <w:t>SpaceChecker</w:t>
            </w:r>
            <w:proofErr w:type="spellEnd"/>
            <w:r w:rsidRPr="00A71011">
              <w:rPr>
                <w:sz w:val="22"/>
                <w:szCs w:val="22"/>
              </w:rPr>
              <w:t xml:space="preserve"> S-SMS mobile user terminals in CEPT member countries enlarging the field of application of ERC/DEC/(95)01</w:t>
            </w:r>
          </w:p>
          <w:p w:rsidR="005B36F6" w:rsidRPr="00A71011" w:rsidRDefault="005B36F6" w:rsidP="00142A1F">
            <w:pPr>
              <w:rPr>
                <w:sz w:val="22"/>
                <w:szCs w:val="22"/>
                <w:lang w:val="en-US"/>
              </w:rPr>
            </w:pPr>
            <w:r w:rsidRPr="00A71011">
              <w:rPr>
                <w:i/>
                <w:color w:val="FF0000"/>
              </w:rPr>
              <w:t>NOTE: This Decision is replaced by ECC/DEC/(07)04</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sz w:val="22"/>
                <w:szCs w:val="22"/>
              </w:rPr>
            </w:pPr>
            <w:r w:rsidRPr="002B42DE">
              <w:rPr>
                <w:b/>
                <w:bCs/>
                <w:sz w:val="22"/>
                <w:szCs w:val="22"/>
                <w:lang w:val="en-US"/>
              </w:rPr>
              <w:t xml:space="preserve">ERC/DEC/(01)24 </w:t>
            </w:r>
            <w:r w:rsidRPr="00A71011">
              <w:rPr>
                <w:b/>
                <w:bCs/>
                <w:sz w:val="22"/>
                <w:szCs w:val="22"/>
              </w:rPr>
              <w:t xml:space="preserve">- </w:t>
            </w:r>
            <w:r w:rsidRPr="00A71011">
              <w:rPr>
                <w:sz w:val="22"/>
                <w:szCs w:val="22"/>
              </w:rPr>
              <w:t xml:space="preserve">ERC Decision of 12 March 2001 on free circulation and use of </w:t>
            </w:r>
            <w:proofErr w:type="spellStart"/>
            <w:r w:rsidRPr="00A71011">
              <w:rPr>
                <w:sz w:val="22"/>
                <w:szCs w:val="22"/>
              </w:rPr>
              <w:t>Thuraya</w:t>
            </w:r>
            <w:proofErr w:type="spellEnd"/>
            <w:r w:rsidRPr="00A71011">
              <w:rPr>
                <w:sz w:val="22"/>
                <w:szCs w:val="22"/>
              </w:rPr>
              <w:t xml:space="preserve"> mobile user terminals in CEPT member countries enlarging the field of application of ERC/DEC/(95)01</w:t>
            </w:r>
          </w:p>
          <w:p w:rsidR="005B36F6" w:rsidRPr="00A71011" w:rsidRDefault="005B36F6" w:rsidP="00142A1F">
            <w:pPr>
              <w:rPr>
                <w:sz w:val="22"/>
                <w:szCs w:val="22"/>
                <w:lang w:val="en-US"/>
              </w:rPr>
            </w:pPr>
            <w:r w:rsidRPr="00A71011">
              <w:rPr>
                <w:i/>
                <w:color w:val="FF0000"/>
              </w:rPr>
              <w:lastRenderedPageBreak/>
              <w:t>NOTE: This Decision is replaced by ECC/DEC/(07)04</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bCs/>
                <w:sz w:val="22"/>
                <w:szCs w:val="22"/>
              </w:rPr>
            </w:pPr>
            <w:r w:rsidRPr="002B42DE">
              <w:rPr>
                <w:b/>
                <w:bCs/>
                <w:sz w:val="22"/>
                <w:szCs w:val="22"/>
                <w:lang w:val="en-US"/>
              </w:rPr>
              <w:lastRenderedPageBreak/>
              <w:t xml:space="preserve">ERC/DEC/(01)25 </w:t>
            </w:r>
            <w:r w:rsidRPr="00A71011">
              <w:rPr>
                <w:b/>
                <w:bCs/>
                <w:sz w:val="22"/>
                <w:szCs w:val="22"/>
              </w:rPr>
              <w:t xml:space="preserve">– </w:t>
            </w:r>
            <w:r w:rsidRPr="00A71011">
              <w:rPr>
                <w:bCs/>
                <w:sz w:val="22"/>
                <w:szCs w:val="22"/>
              </w:rPr>
              <w:t xml:space="preserve">ERC Decision of 12 March 2001 on Exemption from Individual Licensing of </w:t>
            </w:r>
            <w:proofErr w:type="spellStart"/>
            <w:r w:rsidRPr="00A71011">
              <w:rPr>
                <w:bCs/>
                <w:sz w:val="22"/>
                <w:szCs w:val="22"/>
              </w:rPr>
              <w:t>Thuraya</w:t>
            </w:r>
            <w:proofErr w:type="spellEnd"/>
            <w:r w:rsidRPr="00A71011">
              <w:rPr>
                <w:bCs/>
                <w:sz w:val="22"/>
                <w:szCs w:val="22"/>
              </w:rPr>
              <w:t xml:space="preserve"> mobile user terminals</w:t>
            </w:r>
          </w:p>
          <w:p w:rsidR="005B36F6" w:rsidRPr="00A71011" w:rsidRDefault="005B36F6" w:rsidP="00142A1F">
            <w:pPr>
              <w:rPr>
                <w:bCs/>
                <w:sz w:val="22"/>
                <w:szCs w:val="22"/>
                <w:lang w:val="en-US"/>
              </w:rPr>
            </w:pPr>
            <w:r w:rsidRPr="00A71011">
              <w:rPr>
                <w:i/>
                <w:color w:val="FF0000"/>
              </w:rPr>
              <w:t>NOTE: This Decision is replaced by ECC/DEC/(07)05</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A71011" w:rsidRDefault="005B36F6" w:rsidP="00142A1F">
            <w:pPr>
              <w:rPr>
                <w:bCs/>
                <w:sz w:val="22"/>
                <w:szCs w:val="22"/>
              </w:rPr>
            </w:pPr>
            <w:r w:rsidRPr="0068736F">
              <w:rPr>
                <w:b/>
                <w:bCs/>
                <w:sz w:val="22"/>
                <w:szCs w:val="22"/>
                <w:lang w:val="en-US"/>
              </w:rPr>
              <w:t xml:space="preserve">ECC/DEC/(02)08 </w:t>
            </w:r>
            <w:r w:rsidRPr="00A71011">
              <w:rPr>
                <w:b/>
                <w:bCs/>
                <w:sz w:val="22"/>
                <w:szCs w:val="22"/>
              </w:rPr>
              <w:t xml:space="preserve">– </w:t>
            </w:r>
            <w:r w:rsidRPr="00A71011">
              <w:rPr>
                <w:bCs/>
                <w:sz w:val="22"/>
                <w:szCs w:val="22"/>
              </w:rPr>
              <w:t>ECC Decision of 15 November 2002 on free circulation and use of Satellite User Terminals operating within the frequency bands 1525-1559 MHz space-to-Earth and 1626.5-1660.5 MHz Earth-to-space, in CEPT countries, enlarging the field of application of ERC/DEC(95)01</w:t>
            </w:r>
          </w:p>
          <w:p w:rsidR="005B36F6" w:rsidRPr="00A71011" w:rsidRDefault="005B36F6" w:rsidP="00142A1F">
            <w:pPr>
              <w:rPr>
                <w:bCs/>
                <w:sz w:val="22"/>
                <w:szCs w:val="22"/>
                <w:lang w:val="en-US"/>
              </w:rPr>
            </w:pPr>
            <w:r w:rsidRPr="00A71011">
              <w:rPr>
                <w:i/>
                <w:color w:val="FF0000"/>
              </w:rPr>
              <w:t>NOTE: This Decision is replaced by ECC/DEC/(07)04</w:t>
            </w:r>
          </w:p>
        </w:tc>
        <w:tc>
          <w:tcPr>
            <w:tcW w:w="1425" w:type="dxa"/>
          </w:tcPr>
          <w:p w:rsidR="005B36F6" w:rsidRPr="00A71011" w:rsidRDefault="005B36F6" w:rsidP="00142A1F">
            <w:pPr>
              <w:rPr>
                <w:sz w:val="22"/>
                <w:szCs w:val="22"/>
              </w:rPr>
            </w:pPr>
          </w:p>
        </w:tc>
      </w:tr>
      <w:tr w:rsidR="005B36F6" w:rsidTr="00BB3B11">
        <w:tc>
          <w:tcPr>
            <w:tcW w:w="13361" w:type="dxa"/>
          </w:tcPr>
          <w:p w:rsidR="005B36F6" w:rsidRPr="002B42DE" w:rsidRDefault="005B36F6" w:rsidP="00142A1F">
            <w:pPr>
              <w:rPr>
                <w:b/>
                <w:bCs/>
                <w:sz w:val="22"/>
                <w:szCs w:val="22"/>
                <w:lang w:val="en-US"/>
              </w:rPr>
            </w:pPr>
            <w:r w:rsidRPr="00B54644">
              <w:rPr>
                <w:b/>
                <w:bCs/>
                <w:sz w:val="22"/>
                <w:szCs w:val="22"/>
                <w:lang w:val="en-US"/>
              </w:rPr>
              <w:t xml:space="preserve">ECC/DEC/(02)01 </w:t>
            </w:r>
            <w:r w:rsidRPr="00B54644">
              <w:rPr>
                <w:b/>
                <w:bCs/>
                <w:sz w:val="22"/>
                <w:szCs w:val="22"/>
              </w:rPr>
              <w:t xml:space="preserve">- </w:t>
            </w:r>
            <w:r w:rsidRPr="00B54644">
              <w:rPr>
                <w:sz w:val="22"/>
                <w:szCs w:val="22"/>
                <w:lang w:val="en-US"/>
              </w:rPr>
              <w:t xml:space="preserve">ECC Decision of 15 March 2002 on the frequency bands to be designated for the coordinated introduction of Road Transport and Traffic </w:t>
            </w:r>
            <w:proofErr w:type="spellStart"/>
            <w:r w:rsidRPr="00B54644">
              <w:rPr>
                <w:sz w:val="22"/>
                <w:szCs w:val="22"/>
                <w:lang w:val="en-US"/>
              </w:rPr>
              <w:t>Telematic</w:t>
            </w:r>
            <w:proofErr w:type="spellEnd"/>
            <w:r w:rsidRPr="00B54644">
              <w:rPr>
                <w:sz w:val="22"/>
                <w:szCs w:val="22"/>
                <w:lang w:val="en-US"/>
              </w:rPr>
              <w:t xml:space="preserve"> Systems</w:t>
            </w:r>
          </w:p>
        </w:tc>
        <w:tc>
          <w:tcPr>
            <w:tcW w:w="1425" w:type="dxa"/>
          </w:tcPr>
          <w:p w:rsidR="005B36F6" w:rsidRPr="00A71011" w:rsidRDefault="005B36F6" w:rsidP="00142A1F">
            <w:pPr>
              <w:rPr>
                <w:sz w:val="22"/>
                <w:szCs w:val="22"/>
              </w:rPr>
            </w:pPr>
          </w:p>
        </w:tc>
      </w:tr>
      <w:tr w:rsidR="005B36F6" w:rsidTr="00BB3B11">
        <w:tc>
          <w:tcPr>
            <w:tcW w:w="13361" w:type="dxa"/>
          </w:tcPr>
          <w:p w:rsidR="005B36F6" w:rsidRPr="00A71011" w:rsidRDefault="005B36F6" w:rsidP="00142A1F">
            <w:pPr>
              <w:rPr>
                <w:sz w:val="22"/>
                <w:szCs w:val="22"/>
              </w:rPr>
            </w:pPr>
            <w:r w:rsidRPr="002B42DE">
              <w:rPr>
                <w:b/>
                <w:bCs/>
                <w:sz w:val="22"/>
                <w:szCs w:val="22"/>
                <w:lang w:val="en-US"/>
              </w:rPr>
              <w:t xml:space="preserve">ECC/DEC/(02)11 </w:t>
            </w:r>
            <w:r w:rsidRPr="00A71011">
              <w:rPr>
                <w:b/>
                <w:bCs/>
                <w:sz w:val="22"/>
                <w:szCs w:val="22"/>
              </w:rPr>
              <w:t xml:space="preserve">- </w:t>
            </w:r>
            <w:r w:rsidRPr="00A71011">
              <w:rPr>
                <w:sz w:val="22"/>
                <w:szCs w:val="22"/>
              </w:rPr>
              <w:t>ECC Decision of 15 November 2002 on exemption from individual licensing of Satellite User Terminals operating within the frequency bands 1525-1559 MHz space-to-Earth and 1626.5-1660.5 MHz Earth-to-space, for land mobile applications</w:t>
            </w:r>
          </w:p>
          <w:p w:rsidR="005B36F6" w:rsidRPr="00A71011" w:rsidRDefault="005B36F6" w:rsidP="00142A1F">
            <w:pPr>
              <w:rPr>
                <w:sz w:val="22"/>
                <w:szCs w:val="22"/>
                <w:lang w:val="en-US"/>
              </w:rPr>
            </w:pPr>
            <w:r w:rsidRPr="00A71011">
              <w:rPr>
                <w:i/>
                <w:color w:val="FF0000"/>
              </w:rPr>
              <w:t>NOTE: This Decision is replaced by ECC/DEC/(07)05 and will be withdrawn on 21 December 2010</w:t>
            </w:r>
          </w:p>
        </w:tc>
        <w:tc>
          <w:tcPr>
            <w:tcW w:w="1425" w:type="dxa"/>
          </w:tcPr>
          <w:p w:rsidR="005B36F6" w:rsidRPr="00A71011" w:rsidRDefault="005B36F6" w:rsidP="00142A1F">
            <w:pPr>
              <w:rPr>
                <w:sz w:val="22"/>
                <w:szCs w:val="22"/>
              </w:rPr>
            </w:pPr>
          </w:p>
        </w:tc>
      </w:tr>
      <w:tr w:rsidR="00CF5B5F" w:rsidTr="00BB3B11">
        <w:tc>
          <w:tcPr>
            <w:tcW w:w="13361" w:type="dxa"/>
          </w:tcPr>
          <w:p w:rsidR="00CF5B5F" w:rsidRPr="00CF5B5F" w:rsidRDefault="00CF5B5F" w:rsidP="00CF5B5F">
            <w:pPr>
              <w:rPr>
                <w:sz w:val="22"/>
                <w:szCs w:val="22"/>
              </w:rPr>
            </w:pPr>
            <w:r w:rsidRPr="002B42DE">
              <w:rPr>
                <w:b/>
                <w:bCs/>
                <w:sz w:val="22"/>
                <w:szCs w:val="22"/>
                <w:lang w:val="en-US"/>
              </w:rPr>
              <w:t xml:space="preserve">ECC/DEC/(03)02 - </w:t>
            </w:r>
            <w:r w:rsidRPr="00CF5B5F">
              <w:rPr>
                <w:sz w:val="22"/>
                <w:szCs w:val="22"/>
              </w:rPr>
              <w:t>ECC Decision of 17 October 2003 on the designation of the frequency band 1479.5-1492 MHz for use by Satellite Digital Audio Broadcasting systems</w:t>
            </w:r>
          </w:p>
          <w:p w:rsidR="00CF5B5F" w:rsidRPr="002B42DE" w:rsidRDefault="00CF5B5F" w:rsidP="00CF5B5F">
            <w:pPr>
              <w:rPr>
                <w:b/>
                <w:bCs/>
                <w:sz w:val="22"/>
                <w:szCs w:val="22"/>
                <w:lang w:val="en-US"/>
              </w:rPr>
            </w:pPr>
            <w:r w:rsidRPr="00CF5B5F">
              <w:rPr>
                <w:i/>
                <w:color w:val="FF0000"/>
              </w:rPr>
              <w:t>Note: withdrawn by ECC/DEC/(13)02</w:t>
            </w:r>
          </w:p>
        </w:tc>
        <w:tc>
          <w:tcPr>
            <w:tcW w:w="1425" w:type="dxa"/>
          </w:tcPr>
          <w:p w:rsidR="00CF5B5F" w:rsidRPr="00A71011" w:rsidRDefault="00CF5B5F" w:rsidP="00142A1F">
            <w:pPr>
              <w:rPr>
                <w:sz w:val="22"/>
                <w:szCs w:val="22"/>
              </w:rPr>
            </w:pPr>
          </w:p>
        </w:tc>
      </w:tr>
      <w:tr w:rsidR="005B36F6" w:rsidTr="00BB3B11">
        <w:tc>
          <w:tcPr>
            <w:tcW w:w="13361" w:type="dxa"/>
          </w:tcPr>
          <w:p w:rsidR="005B36F6" w:rsidRDefault="005B36F6" w:rsidP="00F21C58">
            <w:r w:rsidRPr="00AC7C59">
              <w:rPr>
                <w:b/>
                <w:sz w:val="22"/>
                <w:szCs w:val="22"/>
              </w:rPr>
              <w:t>ECC/DEC/(07)04</w:t>
            </w:r>
            <w:r w:rsidRPr="00AC7C59">
              <w:rPr>
                <w:sz w:val="22"/>
                <w:szCs w:val="22"/>
              </w:rPr>
              <w:t xml:space="preserve">  - </w:t>
            </w:r>
            <w:r w:rsidRPr="00AC7C59">
              <w:t>ECC Decision of 21 December 2007 on free circulation and use of mobile satellite terminals operating in the Mobile-Satellite Service allocations in the frequency range 1-3 GHz</w:t>
            </w:r>
          </w:p>
          <w:p w:rsidR="005B36F6" w:rsidRPr="002B42DE" w:rsidRDefault="005B36F6" w:rsidP="00F21C58">
            <w:pPr>
              <w:rPr>
                <w:b/>
                <w:bCs/>
                <w:sz w:val="22"/>
                <w:szCs w:val="22"/>
                <w:lang w:val="en-US"/>
              </w:rPr>
            </w:pPr>
            <w:r w:rsidRPr="00B54644">
              <w:rPr>
                <w:i/>
                <w:color w:val="FF0000"/>
              </w:rPr>
              <w:t xml:space="preserve">NOTE: </w:t>
            </w:r>
            <w:r>
              <w:rPr>
                <w:i/>
                <w:color w:val="FF0000"/>
              </w:rPr>
              <w:t>Withdrawn by ECC/DEC/(12)01</w:t>
            </w:r>
          </w:p>
        </w:tc>
        <w:tc>
          <w:tcPr>
            <w:tcW w:w="1425" w:type="dxa"/>
          </w:tcPr>
          <w:p w:rsidR="005B36F6" w:rsidRPr="00A71011" w:rsidRDefault="005B36F6" w:rsidP="00142A1F">
            <w:pPr>
              <w:rPr>
                <w:sz w:val="22"/>
                <w:szCs w:val="22"/>
              </w:rPr>
            </w:pPr>
          </w:p>
        </w:tc>
      </w:tr>
      <w:tr w:rsidR="005B36F6" w:rsidTr="00BB3B11">
        <w:tc>
          <w:tcPr>
            <w:tcW w:w="13361" w:type="dxa"/>
          </w:tcPr>
          <w:p w:rsidR="005B36F6" w:rsidRDefault="005B36F6" w:rsidP="00F21C58">
            <w:r w:rsidRPr="00AC7C59">
              <w:rPr>
                <w:b/>
                <w:sz w:val="22"/>
                <w:szCs w:val="22"/>
              </w:rPr>
              <w:t>ECC/DEC/(07)05</w:t>
            </w:r>
            <w:r w:rsidRPr="00AC7C59">
              <w:rPr>
                <w:sz w:val="22"/>
                <w:szCs w:val="22"/>
              </w:rPr>
              <w:t xml:space="preserve">  - </w:t>
            </w:r>
            <w:r w:rsidRPr="00AC7C59">
              <w:t>ECC Decision of 21 December 2007 on exemption from individual licensing of land mobile satellite terminals operating in the Mobile-Satellite Service allocations in the frequency range 1-3 GHz</w:t>
            </w:r>
          </w:p>
          <w:p w:rsidR="005B36F6" w:rsidRPr="00AC7C59" w:rsidRDefault="005B36F6" w:rsidP="00F21C58">
            <w:pPr>
              <w:rPr>
                <w:b/>
                <w:sz w:val="22"/>
                <w:szCs w:val="22"/>
              </w:rPr>
            </w:pPr>
            <w:r w:rsidRPr="00B54644">
              <w:rPr>
                <w:i/>
                <w:color w:val="FF0000"/>
              </w:rPr>
              <w:t xml:space="preserve">NOTE: </w:t>
            </w:r>
            <w:r>
              <w:rPr>
                <w:i/>
                <w:color w:val="FF0000"/>
              </w:rPr>
              <w:t>Withdrawn by ECC/DEC/(12)01</w:t>
            </w:r>
          </w:p>
        </w:tc>
        <w:tc>
          <w:tcPr>
            <w:tcW w:w="1425" w:type="dxa"/>
          </w:tcPr>
          <w:p w:rsidR="005B36F6" w:rsidRPr="00A71011" w:rsidRDefault="005B36F6" w:rsidP="00142A1F">
            <w:pPr>
              <w:rPr>
                <w:sz w:val="22"/>
                <w:szCs w:val="22"/>
              </w:rPr>
            </w:pPr>
          </w:p>
        </w:tc>
      </w:tr>
      <w:tr w:rsidR="005B36F6" w:rsidRPr="00A71011" w:rsidTr="00BB3B11">
        <w:tc>
          <w:tcPr>
            <w:tcW w:w="13361" w:type="dxa"/>
          </w:tcPr>
          <w:p w:rsidR="005B36F6" w:rsidRPr="00EE24EC" w:rsidRDefault="005B36F6" w:rsidP="00142A1F">
            <w:pPr>
              <w:rPr>
                <w:b/>
                <w:bCs/>
                <w:sz w:val="22"/>
                <w:szCs w:val="22"/>
              </w:rPr>
            </w:pPr>
            <w:r w:rsidRPr="002B42DE">
              <w:rPr>
                <w:b/>
                <w:bCs/>
                <w:sz w:val="22"/>
                <w:szCs w:val="22"/>
                <w:lang w:val="en-US"/>
              </w:rPr>
              <w:t xml:space="preserve">ECC/DEC/ (08)02 </w:t>
            </w:r>
            <w:r w:rsidRPr="002B42DE">
              <w:rPr>
                <w:bCs/>
                <w:sz w:val="22"/>
                <w:szCs w:val="22"/>
                <w:lang w:val="en-US"/>
              </w:rPr>
              <w:t>on the withdrawal of ERC/DEC/(97)06, ERC/DEC/(01)01, ERC/DEC/(01)05, ERC/DEC/(01)06, ERC/DEC/(01)14 and ERC/DEC/(01)21</w:t>
            </w:r>
          </w:p>
        </w:tc>
        <w:tc>
          <w:tcPr>
            <w:tcW w:w="1425" w:type="dxa"/>
          </w:tcPr>
          <w:p w:rsidR="005B36F6" w:rsidRDefault="005B36F6" w:rsidP="00142A1F">
            <w:pPr>
              <w:rPr>
                <w:sz w:val="22"/>
                <w:szCs w:val="22"/>
              </w:rPr>
            </w:pPr>
          </w:p>
        </w:tc>
      </w:tr>
      <w:tr w:rsidR="005B36F6" w:rsidRPr="00A71011" w:rsidTr="00BB3B11">
        <w:tc>
          <w:tcPr>
            <w:tcW w:w="13361" w:type="dxa"/>
          </w:tcPr>
          <w:p w:rsidR="005B36F6" w:rsidRPr="002B42DE" w:rsidRDefault="005B36F6" w:rsidP="00142A1F">
            <w:pPr>
              <w:rPr>
                <w:b/>
                <w:bCs/>
                <w:sz w:val="22"/>
                <w:szCs w:val="22"/>
                <w:lang w:val="en-US"/>
              </w:rPr>
            </w:pPr>
            <w:r w:rsidRPr="002B42DE">
              <w:rPr>
                <w:b/>
                <w:bCs/>
                <w:sz w:val="22"/>
                <w:szCs w:val="22"/>
                <w:lang w:val="en-US"/>
              </w:rPr>
              <w:t xml:space="preserve">ECC/DEC/ (08)03 </w:t>
            </w:r>
            <w:r w:rsidRPr="002B42DE">
              <w:rPr>
                <w:bCs/>
                <w:sz w:val="22"/>
                <w:szCs w:val="22"/>
                <w:lang w:val="en-US"/>
              </w:rPr>
              <w:t>on the withdrawal of ERC/DEC/(98)23 on exemption from Individual Licensing of ERMES paging receivers</w:t>
            </w:r>
          </w:p>
        </w:tc>
        <w:tc>
          <w:tcPr>
            <w:tcW w:w="1425" w:type="dxa"/>
          </w:tcPr>
          <w:p w:rsidR="005B36F6" w:rsidRDefault="005B36F6" w:rsidP="00142A1F">
            <w:pPr>
              <w:rPr>
                <w:sz w:val="22"/>
                <w:szCs w:val="22"/>
              </w:rPr>
            </w:pPr>
          </w:p>
        </w:tc>
      </w:tr>
      <w:tr w:rsidR="005B36F6" w:rsidRPr="00A71011" w:rsidTr="00BB3B11">
        <w:tc>
          <w:tcPr>
            <w:tcW w:w="13361" w:type="dxa"/>
          </w:tcPr>
          <w:p w:rsidR="005B36F6" w:rsidRPr="002B42DE" w:rsidRDefault="005B36F6" w:rsidP="00142A1F">
            <w:pPr>
              <w:rPr>
                <w:b/>
                <w:bCs/>
                <w:sz w:val="22"/>
                <w:szCs w:val="22"/>
                <w:lang w:val="en-US"/>
              </w:rPr>
            </w:pPr>
            <w:r w:rsidRPr="002B42DE">
              <w:rPr>
                <w:b/>
                <w:bCs/>
                <w:sz w:val="22"/>
                <w:szCs w:val="22"/>
                <w:lang w:val="en-US"/>
              </w:rPr>
              <w:t xml:space="preserve">ECC/DEC/ (08)04 </w:t>
            </w:r>
            <w:r w:rsidRPr="002B42DE">
              <w:rPr>
                <w:bCs/>
                <w:sz w:val="22"/>
                <w:szCs w:val="22"/>
                <w:lang w:val="en-US"/>
              </w:rPr>
              <w:t>on the withdrawal of ERC/DEC/(01)04, ERC/DEC/(01)09, ERC/DEC/(01)13, ERC/DEC/(01)15 and ERC/DEC/(01)18</w:t>
            </w:r>
          </w:p>
        </w:tc>
        <w:tc>
          <w:tcPr>
            <w:tcW w:w="1425" w:type="dxa"/>
          </w:tcPr>
          <w:p w:rsidR="005B36F6" w:rsidRDefault="005B36F6" w:rsidP="00142A1F">
            <w:pPr>
              <w:rPr>
                <w:sz w:val="22"/>
                <w:szCs w:val="22"/>
              </w:rPr>
            </w:pPr>
          </w:p>
        </w:tc>
      </w:tr>
      <w:tr w:rsidR="005B36F6" w:rsidRPr="00A71011" w:rsidTr="00BB3B11">
        <w:tc>
          <w:tcPr>
            <w:tcW w:w="13361" w:type="dxa"/>
          </w:tcPr>
          <w:p w:rsidR="005B36F6" w:rsidRPr="002B42DE" w:rsidRDefault="005B36F6" w:rsidP="00142A1F">
            <w:pPr>
              <w:rPr>
                <w:b/>
                <w:bCs/>
                <w:sz w:val="22"/>
                <w:szCs w:val="22"/>
                <w:lang w:val="en-US"/>
              </w:rPr>
            </w:pPr>
            <w:r w:rsidRPr="002B42DE">
              <w:rPr>
                <w:b/>
                <w:bCs/>
                <w:sz w:val="22"/>
                <w:szCs w:val="22"/>
                <w:lang w:val="en-US"/>
              </w:rPr>
              <w:t xml:space="preserve">ECC/DEC/(08)06  </w:t>
            </w:r>
            <w:r w:rsidRPr="002B42DE">
              <w:rPr>
                <w:bCs/>
                <w:sz w:val="22"/>
                <w:szCs w:val="22"/>
                <w:lang w:val="en-US"/>
              </w:rPr>
              <w:t>on withdrawal of ERC Decisions ERC/DEC/(00)03, ERC/DEC/(00)04, ERC/DEC/(00)05</w:t>
            </w:r>
          </w:p>
        </w:tc>
        <w:tc>
          <w:tcPr>
            <w:tcW w:w="1425" w:type="dxa"/>
          </w:tcPr>
          <w:p w:rsidR="005B36F6" w:rsidRDefault="005B36F6" w:rsidP="00142A1F">
            <w:pPr>
              <w:rPr>
                <w:sz w:val="22"/>
                <w:szCs w:val="22"/>
              </w:rPr>
            </w:pPr>
          </w:p>
        </w:tc>
      </w:tr>
      <w:tr w:rsidR="005B36F6" w:rsidRPr="00A71011" w:rsidTr="00BB3B11">
        <w:tc>
          <w:tcPr>
            <w:tcW w:w="13361" w:type="dxa"/>
          </w:tcPr>
          <w:p w:rsidR="005B36F6" w:rsidRPr="002B42DE" w:rsidRDefault="005B36F6" w:rsidP="00142A1F">
            <w:pPr>
              <w:rPr>
                <w:b/>
                <w:bCs/>
                <w:sz w:val="22"/>
                <w:szCs w:val="22"/>
                <w:lang w:val="en-US"/>
              </w:rPr>
            </w:pPr>
            <w:r w:rsidRPr="002B42DE">
              <w:rPr>
                <w:b/>
                <w:bCs/>
                <w:sz w:val="22"/>
                <w:szCs w:val="22"/>
                <w:lang w:val="en-US"/>
              </w:rPr>
              <w:t xml:space="preserve">ECC/DEC/(08)07  </w:t>
            </w:r>
            <w:r w:rsidRPr="002B42DE">
              <w:rPr>
                <w:bCs/>
                <w:sz w:val="22"/>
                <w:szCs w:val="22"/>
                <w:lang w:val="en-US"/>
              </w:rPr>
              <w:t>on withdrawal of ERC Decisions ERC/DEC/(98)03, ERC/DEC/(98)17, ERC/DEC/(98)18, ERC/DEC/(98)24</w:t>
            </w:r>
          </w:p>
        </w:tc>
        <w:tc>
          <w:tcPr>
            <w:tcW w:w="1425" w:type="dxa"/>
          </w:tcPr>
          <w:p w:rsidR="005B36F6" w:rsidRDefault="005B36F6" w:rsidP="00142A1F">
            <w:pPr>
              <w:rPr>
                <w:sz w:val="22"/>
                <w:szCs w:val="22"/>
              </w:rPr>
            </w:pPr>
          </w:p>
        </w:tc>
      </w:tr>
      <w:tr w:rsidR="005B36F6" w:rsidRPr="00A71011" w:rsidTr="00BB3B11">
        <w:tc>
          <w:tcPr>
            <w:tcW w:w="13361" w:type="dxa"/>
          </w:tcPr>
          <w:p w:rsidR="005B36F6" w:rsidRPr="003E3AFB" w:rsidRDefault="005B36F6" w:rsidP="00142A1F">
            <w:pPr>
              <w:rPr>
                <w:b/>
                <w:bCs/>
                <w:sz w:val="22"/>
                <w:szCs w:val="22"/>
              </w:rPr>
            </w:pPr>
            <w:r w:rsidRPr="002B42DE">
              <w:rPr>
                <w:b/>
                <w:bCs/>
                <w:sz w:val="22"/>
                <w:szCs w:val="22"/>
                <w:lang w:val="en-US"/>
              </w:rPr>
              <w:t xml:space="preserve">ERC/DEC/ (09)05 </w:t>
            </w:r>
            <w:r w:rsidRPr="003E3AFB">
              <w:rPr>
                <w:sz w:val="22"/>
                <w:szCs w:val="22"/>
                <w:lang w:val="en-US"/>
              </w:rPr>
              <w:t>to withdraw the ERC/DEC/(96)04, ECC/DEC/(04)01 and ECC/DEC/(04)02</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2B42DE" w:rsidRDefault="005B36F6" w:rsidP="00227B7A">
            <w:pPr>
              <w:rPr>
                <w:bCs/>
                <w:sz w:val="22"/>
                <w:szCs w:val="22"/>
                <w:lang w:val="en-US"/>
              </w:rPr>
            </w:pPr>
            <w:r w:rsidRPr="002B42DE">
              <w:rPr>
                <w:b/>
                <w:bCs/>
                <w:sz w:val="22"/>
                <w:szCs w:val="22"/>
                <w:lang w:val="en-US"/>
              </w:rPr>
              <w:t>ECC/DEC/(11)07</w:t>
            </w:r>
            <w:r w:rsidRPr="002B42DE">
              <w:rPr>
                <w:bCs/>
                <w:sz w:val="22"/>
                <w:szCs w:val="22"/>
                <w:lang w:val="en-US"/>
              </w:rPr>
              <w:t xml:space="preserve"> - ECC Decision of  9 December 2011 on the withdrawal of  ECC Decision of  9 December 2011 on withdrawal of ECTRA/DEC(96)01 Regarding a European Telephony Numbering Space (ETNS), ECTRA/DEC(96)48 Regarding a European Telephony Numbering Space (ETNS), ECC/DEC/(04)07 on European Telephony Numbering Space (ETNS) Conventions </w:t>
            </w:r>
          </w:p>
        </w:tc>
        <w:tc>
          <w:tcPr>
            <w:tcW w:w="1425" w:type="dxa"/>
          </w:tcPr>
          <w:p w:rsidR="005B36F6" w:rsidRPr="00B323B1" w:rsidRDefault="005B36F6" w:rsidP="00142A1F">
            <w:pPr>
              <w:rPr>
                <w:sz w:val="22"/>
                <w:szCs w:val="22"/>
              </w:rPr>
            </w:pPr>
          </w:p>
        </w:tc>
      </w:tr>
      <w:tr w:rsidR="005B36F6" w:rsidRPr="00A71011" w:rsidTr="00BB3B11">
        <w:tc>
          <w:tcPr>
            <w:tcW w:w="13361" w:type="dxa"/>
          </w:tcPr>
          <w:p w:rsidR="005B36F6" w:rsidRPr="002B42DE" w:rsidRDefault="005B36F6" w:rsidP="00CF3698">
            <w:pPr>
              <w:rPr>
                <w:bCs/>
                <w:sz w:val="22"/>
                <w:szCs w:val="22"/>
                <w:lang w:val="en-US"/>
              </w:rPr>
            </w:pPr>
            <w:r w:rsidRPr="002B42DE">
              <w:rPr>
                <w:b/>
                <w:bCs/>
                <w:sz w:val="22"/>
                <w:szCs w:val="22"/>
                <w:lang w:val="en-US"/>
              </w:rPr>
              <w:t>ECC/DEC/(11)05</w:t>
            </w:r>
            <w:r w:rsidRPr="002B42DE">
              <w:rPr>
                <w:bCs/>
                <w:sz w:val="22"/>
                <w:szCs w:val="22"/>
                <w:lang w:val="en-US"/>
              </w:rPr>
              <w:t xml:space="preserve"> - ECC Decision of  9 December 2011 on the withdrawal of  ERC Decisions ERC/DEC/(01)02, ERC/DEC/(01)03, ERC/DEC/(01)07, ERC/DEC/(01)10 and ERC/DEC/(01)16</w:t>
            </w:r>
          </w:p>
        </w:tc>
        <w:tc>
          <w:tcPr>
            <w:tcW w:w="1425" w:type="dxa"/>
          </w:tcPr>
          <w:p w:rsidR="005B36F6" w:rsidRPr="00B323B1" w:rsidRDefault="005B36F6" w:rsidP="00142A1F">
            <w:pPr>
              <w:rPr>
                <w:sz w:val="22"/>
                <w:szCs w:val="22"/>
              </w:rPr>
            </w:pPr>
          </w:p>
        </w:tc>
      </w:tr>
    </w:tbl>
    <w:p w:rsidR="007A2ACA" w:rsidRPr="00EE24EC" w:rsidRDefault="007A2ACA" w:rsidP="00F41F7B"/>
    <w:sectPr w:rsidR="007A2ACA" w:rsidRPr="00EE24EC" w:rsidSect="003F74DD">
      <w:footerReference w:type="default" r:id="rId20"/>
      <w:pgSz w:w="16838" w:h="11906" w:orient="landscape" w:code="9"/>
      <w:pgMar w:top="1134" w:right="1134" w:bottom="709" w:left="1134" w:header="709"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omas Weber" w:date="2014-01-09T15:31:00Z" w:initials="TW">
    <w:p w:rsidR="00051CF3" w:rsidRDefault="00051CF3">
      <w:pPr>
        <w:pStyle w:val="Commentaire"/>
      </w:pPr>
      <w:r>
        <w:rPr>
          <w:rStyle w:val="Marquedecommentaire"/>
        </w:rPr>
        <w:annotationRef/>
      </w:r>
      <w:r>
        <w:t>It is proposed to fill in this column for all Decisions for which an recent action, an on-going action or a planned action for the next year is related.  The column may not be needed for actions further in the future, i.e. can remain empty in such cases.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1B" w:rsidRDefault="00AF131B">
      <w:r>
        <w:separator/>
      </w:r>
    </w:p>
  </w:endnote>
  <w:endnote w:type="continuationSeparator" w:id="0">
    <w:p w:rsidR="00AF131B" w:rsidRDefault="00AF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F3" w:rsidRDefault="00901051">
    <w:pPr>
      <w:pStyle w:val="Pieddepage"/>
      <w:jc w:val="center"/>
    </w:pPr>
    <w:r>
      <w:fldChar w:fldCharType="begin"/>
    </w:r>
    <w:r w:rsidR="00650E21">
      <w:instrText xml:space="preserve"> PAGE   \* MERGEFORMAT </w:instrText>
    </w:r>
    <w:r>
      <w:fldChar w:fldCharType="separate"/>
    </w:r>
    <w:r w:rsidR="002B42DE">
      <w:rPr>
        <w:noProof/>
      </w:rPr>
      <w:t>1</w:t>
    </w:r>
    <w:r>
      <w:rPr>
        <w:noProof/>
      </w:rPr>
      <w:fldChar w:fldCharType="end"/>
    </w:r>
  </w:p>
  <w:p w:rsidR="00051CF3" w:rsidRDefault="00051C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1B" w:rsidRDefault="00AF131B">
      <w:r>
        <w:separator/>
      </w:r>
    </w:p>
  </w:footnote>
  <w:footnote w:type="continuationSeparator" w:id="0">
    <w:p w:rsidR="00AF131B" w:rsidRDefault="00AF131B">
      <w:r>
        <w:continuationSeparator/>
      </w:r>
    </w:p>
  </w:footnote>
  <w:footnote w:id="1">
    <w:p w:rsidR="00051CF3" w:rsidRPr="004B1DDD" w:rsidRDefault="00051CF3">
      <w:pPr>
        <w:pStyle w:val="Notedebasdepage"/>
      </w:pPr>
      <w:r>
        <w:rPr>
          <w:rStyle w:val="Appelnotedebasdep"/>
        </w:rPr>
        <w:footnoteRef/>
      </w:r>
      <w:r>
        <w:t xml:space="preserve"> Possible action - R</w:t>
      </w:r>
      <w:r w:rsidRPr="004B1DDD">
        <w:t xml:space="preserve">etain, </w:t>
      </w:r>
      <w:r>
        <w:t>R</w:t>
      </w:r>
      <w:r w:rsidRPr="004B1DDD">
        <w:t xml:space="preserve">evise or </w:t>
      </w:r>
      <w:r>
        <w:t>A</w:t>
      </w:r>
      <w:r w:rsidRPr="004B1DDD">
        <w:t>brogate</w:t>
      </w:r>
      <w:r>
        <w:t xml:space="preserve"> to the date in the Date column</w:t>
      </w:r>
    </w:p>
  </w:footnote>
  <w:footnote w:id="2">
    <w:p w:rsidR="00051CF3" w:rsidRDefault="00051CF3" w:rsidP="000C31E6">
      <w:pPr>
        <w:pStyle w:val="Notedebasdepage"/>
        <w:rPr>
          <w:lang w:val="en-US"/>
        </w:rPr>
      </w:pPr>
      <w:r>
        <w:rPr>
          <w:rStyle w:val="Appelnotedebasdep"/>
        </w:rPr>
        <w:footnoteRef/>
      </w:r>
      <w:r>
        <w:t>Number of CEPT countries implemented or partly implemented the Decision.</w:t>
      </w:r>
    </w:p>
  </w:footnote>
  <w:footnote w:id="3">
    <w:p w:rsidR="00051CF3" w:rsidRDefault="00051CF3" w:rsidP="000C31E6">
      <w:pPr>
        <w:pStyle w:val="Notedebasdepage"/>
        <w:rPr>
          <w:lang w:val="en-US"/>
        </w:rPr>
      </w:pPr>
      <w:r>
        <w:rPr>
          <w:rStyle w:val="Appelnotedebasdep"/>
        </w:rPr>
        <w:footnoteRef/>
      </w:r>
      <w:r>
        <w:t xml:space="preserve"> Number of CEPT countries committed or under study or planned to implement the Decision.</w:t>
      </w:r>
    </w:p>
  </w:footnote>
  <w:footnote w:id="4">
    <w:p w:rsidR="00051CF3" w:rsidRDefault="00051CF3" w:rsidP="000C31E6">
      <w:pPr>
        <w:pStyle w:val="Notedebasdepage"/>
        <w:rPr>
          <w:lang w:val="en-US"/>
        </w:rPr>
      </w:pPr>
      <w:r>
        <w:rPr>
          <w:rStyle w:val="Appelnotedebasdep"/>
        </w:rPr>
        <w:footnoteRef/>
      </w:r>
      <w:r>
        <w:t xml:space="preserve"> Number of CEPT countries not implemented or not applicable to the Decision.</w:t>
      </w:r>
    </w:p>
  </w:footnote>
  <w:footnote w:id="5">
    <w:p w:rsidR="00051CF3" w:rsidRDefault="00051CF3" w:rsidP="000C31E6">
      <w:pPr>
        <w:pStyle w:val="Notedebasdepage"/>
      </w:pPr>
      <w:r>
        <w:rPr>
          <w:rStyle w:val="Appelnotedebasdep"/>
        </w:rPr>
        <w:footnoteRef/>
      </w:r>
      <w:r>
        <w:t xml:space="preserve"> Number of CEPT countries with no information on implementation of the Decision.</w:t>
      </w:r>
    </w:p>
    <w:p w:rsidR="00051CF3" w:rsidRDefault="00051CF3" w:rsidP="000C31E6">
      <w:pPr>
        <w:pStyle w:val="Notedebasdepage"/>
      </w:pPr>
      <w:r w:rsidRPr="00EB1645">
        <w:rPr>
          <w:vertAlign w:val="superscript"/>
        </w:rPr>
        <w:t xml:space="preserve">6 </w:t>
      </w:r>
      <w:r w:rsidRPr="00EB1645">
        <w:t>Three possibilities - Yes, No, Possible</w:t>
      </w:r>
    </w:p>
    <w:p w:rsidR="00051CF3" w:rsidRDefault="00051CF3" w:rsidP="000C31E6">
      <w:pPr>
        <w:pStyle w:val="Notedebasdepage"/>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5C4CB8"/>
    <w:lvl w:ilvl="0">
      <w:start w:val="1"/>
      <w:numFmt w:val="decimal"/>
      <w:lvlText w:val="%1."/>
      <w:lvlJc w:val="left"/>
      <w:pPr>
        <w:tabs>
          <w:tab w:val="num" w:pos="1492"/>
        </w:tabs>
        <w:ind w:left="1492" w:hanging="360"/>
      </w:pPr>
    </w:lvl>
  </w:abstractNum>
  <w:abstractNum w:abstractNumId="1">
    <w:nsid w:val="FFFFFF7D"/>
    <w:multiLevelType w:val="singleLevel"/>
    <w:tmpl w:val="07824130"/>
    <w:lvl w:ilvl="0">
      <w:start w:val="1"/>
      <w:numFmt w:val="decimal"/>
      <w:lvlText w:val="%1."/>
      <w:lvlJc w:val="left"/>
      <w:pPr>
        <w:tabs>
          <w:tab w:val="num" w:pos="1209"/>
        </w:tabs>
        <w:ind w:left="1209" w:hanging="360"/>
      </w:pPr>
    </w:lvl>
  </w:abstractNum>
  <w:abstractNum w:abstractNumId="2">
    <w:nsid w:val="FFFFFF7E"/>
    <w:multiLevelType w:val="singleLevel"/>
    <w:tmpl w:val="401857E6"/>
    <w:lvl w:ilvl="0">
      <w:start w:val="1"/>
      <w:numFmt w:val="decimal"/>
      <w:lvlText w:val="%1."/>
      <w:lvlJc w:val="left"/>
      <w:pPr>
        <w:tabs>
          <w:tab w:val="num" w:pos="926"/>
        </w:tabs>
        <w:ind w:left="926" w:hanging="360"/>
      </w:pPr>
    </w:lvl>
  </w:abstractNum>
  <w:abstractNum w:abstractNumId="3">
    <w:nsid w:val="FFFFFF7F"/>
    <w:multiLevelType w:val="singleLevel"/>
    <w:tmpl w:val="1214035A"/>
    <w:lvl w:ilvl="0">
      <w:start w:val="1"/>
      <w:numFmt w:val="decimal"/>
      <w:lvlText w:val="%1."/>
      <w:lvlJc w:val="left"/>
      <w:pPr>
        <w:tabs>
          <w:tab w:val="num" w:pos="643"/>
        </w:tabs>
        <w:ind w:left="643" w:hanging="360"/>
      </w:pPr>
    </w:lvl>
  </w:abstractNum>
  <w:abstractNum w:abstractNumId="4">
    <w:nsid w:val="FFFFFF80"/>
    <w:multiLevelType w:val="singleLevel"/>
    <w:tmpl w:val="6D7CC8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9679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64B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A8D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3E5D38"/>
    <w:lvl w:ilvl="0">
      <w:start w:val="1"/>
      <w:numFmt w:val="decimal"/>
      <w:lvlText w:val="%1."/>
      <w:lvlJc w:val="left"/>
      <w:pPr>
        <w:tabs>
          <w:tab w:val="num" w:pos="360"/>
        </w:tabs>
        <w:ind w:left="360" w:hanging="360"/>
      </w:pPr>
    </w:lvl>
  </w:abstractNum>
  <w:abstractNum w:abstractNumId="9">
    <w:nsid w:val="FFFFFF89"/>
    <w:multiLevelType w:val="singleLevel"/>
    <w:tmpl w:val="96F80D08"/>
    <w:lvl w:ilvl="0">
      <w:start w:val="1"/>
      <w:numFmt w:val="bullet"/>
      <w:lvlText w:val=""/>
      <w:lvlJc w:val="left"/>
      <w:pPr>
        <w:tabs>
          <w:tab w:val="num" w:pos="360"/>
        </w:tabs>
        <w:ind w:left="360" w:hanging="360"/>
      </w:pPr>
      <w:rPr>
        <w:rFonts w:ascii="Symbol" w:hAnsi="Symbol" w:hint="default"/>
      </w:rPr>
    </w:lvl>
  </w:abstractNum>
  <w:abstractNum w:abstractNumId="10">
    <w:nsid w:val="1A682D9B"/>
    <w:multiLevelType w:val="hybridMultilevel"/>
    <w:tmpl w:val="DC869A4A"/>
    <w:lvl w:ilvl="0" w:tplc="49E2F86C">
      <w:start w:val="1"/>
      <w:numFmt w:val="decimal"/>
      <w:pStyle w:val="body"/>
      <w:lvlText w:val="(%1)"/>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30CF3921"/>
    <w:multiLevelType w:val="hybridMultilevel"/>
    <w:tmpl w:val="A91C47C0"/>
    <w:lvl w:ilvl="0" w:tplc="231C2F2A">
      <w:start w:val="4"/>
      <w:numFmt w:val="bullet"/>
      <w:pStyle w:val="Liste"/>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F3F2118"/>
    <w:multiLevelType w:val="hybridMultilevel"/>
    <w:tmpl w:val="C4940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501AC5"/>
    <w:multiLevelType w:val="multilevel"/>
    <w:tmpl w:val="FEB0297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1A81"/>
    <w:rsid w:val="00002117"/>
    <w:rsid w:val="00006E00"/>
    <w:rsid w:val="0001071C"/>
    <w:rsid w:val="0001483A"/>
    <w:rsid w:val="00015567"/>
    <w:rsid w:val="00021235"/>
    <w:rsid w:val="00024582"/>
    <w:rsid w:val="000250FB"/>
    <w:rsid w:val="00026AE0"/>
    <w:rsid w:val="00031761"/>
    <w:rsid w:val="000405C3"/>
    <w:rsid w:val="00042E75"/>
    <w:rsid w:val="00050D1A"/>
    <w:rsid w:val="00051CF3"/>
    <w:rsid w:val="0006660F"/>
    <w:rsid w:val="00070409"/>
    <w:rsid w:val="00071E84"/>
    <w:rsid w:val="000738E9"/>
    <w:rsid w:val="000743ED"/>
    <w:rsid w:val="00077180"/>
    <w:rsid w:val="00083651"/>
    <w:rsid w:val="000876C9"/>
    <w:rsid w:val="000A4505"/>
    <w:rsid w:val="000B04E9"/>
    <w:rsid w:val="000B4B82"/>
    <w:rsid w:val="000C31E6"/>
    <w:rsid w:val="000C3FE1"/>
    <w:rsid w:val="000D145D"/>
    <w:rsid w:val="000D4145"/>
    <w:rsid w:val="000E098D"/>
    <w:rsid w:val="000E1FAF"/>
    <w:rsid w:val="000E387C"/>
    <w:rsid w:val="000F2160"/>
    <w:rsid w:val="001013E9"/>
    <w:rsid w:val="00101442"/>
    <w:rsid w:val="00106FB0"/>
    <w:rsid w:val="00111772"/>
    <w:rsid w:val="00111D74"/>
    <w:rsid w:val="0011276C"/>
    <w:rsid w:val="00114328"/>
    <w:rsid w:val="00117828"/>
    <w:rsid w:val="00117DC5"/>
    <w:rsid w:val="0012568B"/>
    <w:rsid w:val="001316C5"/>
    <w:rsid w:val="00136A6A"/>
    <w:rsid w:val="00142606"/>
    <w:rsid w:val="00142A1F"/>
    <w:rsid w:val="00146B11"/>
    <w:rsid w:val="00166233"/>
    <w:rsid w:val="0017297B"/>
    <w:rsid w:val="001756A0"/>
    <w:rsid w:val="001812E8"/>
    <w:rsid w:val="00182BED"/>
    <w:rsid w:val="00185692"/>
    <w:rsid w:val="00196C82"/>
    <w:rsid w:val="0019760C"/>
    <w:rsid w:val="001A1011"/>
    <w:rsid w:val="001A42F0"/>
    <w:rsid w:val="001B2EAB"/>
    <w:rsid w:val="001C03D4"/>
    <w:rsid w:val="001D05B6"/>
    <w:rsid w:val="001D1917"/>
    <w:rsid w:val="001D312E"/>
    <w:rsid w:val="001E05F5"/>
    <w:rsid w:val="001E7F06"/>
    <w:rsid w:val="001F0DB0"/>
    <w:rsid w:val="001F2E8C"/>
    <w:rsid w:val="001F3029"/>
    <w:rsid w:val="001F3251"/>
    <w:rsid w:val="001F34A0"/>
    <w:rsid w:val="001F77FF"/>
    <w:rsid w:val="00207E95"/>
    <w:rsid w:val="002114D7"/>
    <w:rsid w:val="002139F1"/>
    <w:rsid w:val="00227B7A"/>
    <w:rsid w:val="002348C7"/>
    <w:rsid w:val="00240A7C"/>
    <w:rsid w:val="00240D09"/>
    <w:rsid w:val="002436C4"/>
    <w:rsid w:val="00247905"/>
    <w:rsid w:val="002504B0"/>
    <w:rsid w:val="00256AB5"/>
    <w:rsid w:val="00262E30"/>
    <w:rsid w:val="00263C4E"/>
    <w:rsid w:val="00270AC4"/>
    <w:rsid w:val="00272245"/>
    <w:rsid w:val="00272C1D"/>
    <w:rsid w:val="00275564"/>
    <w:rsid w:val="0027613C"/>
    <w:rsid w:val="00284D1D"/>
    <w:rsid w:val="002904D1"/>
    <w:rsid w:val="00293BBD"/>
    <w:rsid w:val="00296A70"/>
    <w:rsid w:val="002A7F0E"/>
    <w:rsid w:val="002B42DE"/>
    <w:rsid w:val="002B75BC"/>
    <w:rsid w:val="002C0217"/>
    <w:rsid w:val="002C2EBA"/>
    <w:rsid w:val="002C4971"/>
    <w:rsid w:val="002E5852"/>
    <w:rsid w:val="002E6228"/>
    <w:rsid w:val="002E69D6"/>
    <w:rsid w:val="003048B4"/>
    <w:rsid w:val="00312C09"/>
    <w:rsid w:val="00314164"/>
    <w:rsid w:val="00320D0F"/>
    <w:rsid w:val="00320EC7"/>
    <w:rsid w:val="00321F07"/>
    <w:rsid w:val="003221FD"/>
    <w:rsid w:val="003232AE"/>
    <w:rsid w:val="00323BA5"/>
    <w:rsid w:val="00325795"/>
    <w:rsid w:val="003300C8"/>
    <w:rsid w:val="00331EC0"/>
    <w:rsid w:val="003337CE"/>
    <w:rsid w:val="00337ED4"/>
    <w:rsid w:val="0034186C"/>
    <w:rsid w:val="00341DC5"/>
    <w:rsid w:val="003455DE"/>
    <w:rsid w:val="00346E0E"/>
    <w:rsid w:val="00350981"/>
    <w:rsid w:val="003602F2"/>
    <w:rsid w:val="00363E80"/>
    <w:rsid w:val="00371281"/>
    <w:rsid w:val="00375CBA"/>
    <w:rsid w:val="00381190"/>
    <w:rsid w:val="003814D8"/>
    <w:rsid w:val="0038499B"/>
    <w:rsid w:val="00387D5C"/>
    <w:rsid w:val="00390F04"/>
    <w:rsid w:val="003B0FA1"/>
    <w:rsid w:val="003B22CD"/>
    <w:rsid w:val="003B6A8B"/>
    <w:rsid w:val="003C44BF"/>
    <w:rsid w:val="003C4608"/>
    <w:rsid w:val="003C4CE4"/>
    <w:rsid w:val="003C7A6A"/>
    <w:rsid w:val="003D0580"/>
    <w:rsid w:val="003E3AFB"/>
    <w:rsid w:val="003E731A"/>
    <w:rsid w:val="003F1329"/>
    <w:rsid w:val="003F63D9"/>
    <w:rsid w:val="003F74DD"/>
    <w:rsid w:val="003F7E18"/>
    <w:rsid w:val="00402C7C"/>
    <w:rsid w:val="0040525C"/>
    <w:rsid w:val="0041002A"/>
    <w:rsid w:val="004109E7"/>
    <w:rsid w:val="00415010"/>
    <w:rsid w:val="00415277"/>
    <w:rsid w:val="004161F0"/>
    <w:rsid w:val="00431FB7"/>
    <w:rsid w:val="00446D8A"/>
    <w:rsid w:val="00447F04"/>
    <w:rsid w:val="0045010D"/>
    <w:rsid w:val="00452C05"/>
    <w:rsid w:val="004570C7"/>
    <w:rsid w:val="004610CA"/>
    <w:rsid w:val="0046133C"/>
    <w:rsid w:val="004756E6"/>
    <w:rsid w:val="004805C4"/>
    <w:rsid w:val="00481850"/>
    <w:rsid w:val="0048556B"/>
    <w:rsid w:val="0049417A"/>
    <w:rsid w:val="004979A1"/>
    <w:rsid w:val="004A2CE2"/>
    <w:rsid w:val="004A37A1"/>
    <w:rsid w:val="004A55C7"/>
    <w:rsid w:val="004B1DDD"/>
    <w:rsid w:val="004B2817"/>
    <w:rsid w:val="004B3FFE"/>
    <w:rsid w:val="004C332C"/>
    <w:rsid w:val="004D1075"/>
    <w:rsid w:val="004D184A"/>
    <w:rsid w:val="004D3195"/>
    <w:rsid w:val="004D581E"/>
    <w:rsid w:val="004F34BD"/>
    <w:rsid w:val="004F533E"/>
    <w:rsid w:val="004F5FA3"/>
    <w:rsid w:val="00504026"/>
    <w:rsid w:val="005079F9"/>
    <w:rsid w:val="0051163C"/>
    <w:rsid w:val="00517284"/>
    <w:rsid w:val="00520D71"/>
    <w:rsid w:val="0052333C"/>
    <w:rsid w:val="00527A5C"/>
    <w:rsid w:val="0053192F"/>
    <w:rsid w:val="00541A1D"/>
    <w:rsid w:val="005430C9"/>
    <w:rsid w:val="005461BA"/>
    <w:rsid w:val="005509BD"/>
    <w:rsid w:val="0055143B"/>
    <w:rsid w:val="00554A72"/>
    <w:rsid w:val="0055684D"/>
    <w:rsid w:val="00562A77"/>
    <w:rsid w:val="00582DDF"/>
    <w:rsid w:val="005A3CC1"/>
    <w:rsid w:val="005A4C2E"/>
    <w:rsid w:val="005A7A84"/>
    <w:rsid w:val="005B2E2B"/>
    <w:rsid w:val="005B36F6"/>
    <w:rsid w:val="005C6FFC"/>
    <w:rsid w:val="005D1D53"/>
    <w:rsid w:val="005D455F"/>
    <w:rsid w:val="005E1AC7"/>
    <w:rsid w:val="005E2ABC"/>
    <w:rsid w:val="005F1AA1"/>
    <w:rsid w:val="005F3EB4"/>
    <w:rsid w:val="0060014C"/>
    <w:rsid w:val="00601115"/>
    <w:rsid w:val="006017D3"/>
    <w:rsid w:val="00601E17"/>
    <w:rsid w:val="006020DE"/>
    <w:rsid w:val="0060442B"/>
    <w:rsid w:val="00604EC6"/>
    <w:rsid w:val="00607971"/>
    <w:rsid w:val="00607E59"/>
    <w:rsid w:val="0061098B"/>
    <w:rsid w:val="0061694C"/>
    <w:rsid w:val="00621C53"/>
    <w:rsid w:val="006247EA"/>
    <w:rsid w:val="006248CA"/>
    <w:rsid w:val="00625045"/>
    <w:rsid w:val="0062671A"/>
    <w:rsid w:val="0063313C"/>
    <w:rsid w:val="00633313"/>
    <w:rsid w:val="00633A9E"/>
    <w:rsid w:val="0063431C"/>
    <w:rsid w:val="006432C8"/>
    <w:rsid w:val="0064628E"/>
    <w:rsid w:val="0064787A"/>
    <w:rsid w:val="00650A9E"/>
    <w:rsid w:val="00650E21"/>
    <w:rsid w:val="00655201"/>
    <w:rsid w:val="00656C5A"/>
    <w:rsid w:val="00656D48"/>
    <w:rsid w:val="006607D7"/>
    <w:rsid w:val="006775F5"/>
    <w:rsid w:val="006816C5"/>
    <w:rsid w:val="00685A38"/>
    <w:rsid w:val="0068736F"/>
    <w:rsid w:val="00693775"/>
    <w:rsid w:val="00694A92"/>
    <w:rsid w:val="0069616F"/>
    <w:rsid w:val="006A37E7"/>
    <w:rsid w:val="006B059C"/>
    <w:rsid w:val="006B06AB"/>
    <w:rsid w:val="006B07A6"/>
    <w:rsid w:val="006B07D1"/>
    <w:rsid w:val="006B1CF3"/>
    <w:rsid w:val="006B4332"/>
    <w:rsid w:val="006B7989"/>
    <w:rsid w:val="006C0861"/>
    <w:rsid w:val="006C17FA"/>
    <w:rsid w:val="006C29B1"/>
    <w:rsid w:val="006D79BC"/>
    <w:rsid w:val="006E4721"/>
    <w:rsid w:val="006E699C"/>
    <w:rsid w:val="006E6B9C"/>
    <w:rsid w:val="006E7677"/>
    <w:rsid w:val="006F7B2C"/>
    <w:rsid w:val="007008D9"/>
    <w:rsid w:val="00700E37"/>
    <w:rsid w:val="00706AF1"/>
    <w:rsid w:val="0071625B"/>
    <w:rsid w:val="00716418"/>
    <w:rsid w:val="00727A85"/>
    <w:rsid w:val="00733B9D"/>
    <w:rsid w:val="00734BA1"/>
    <w:rsid w:val="00753C29"/>
    <w:rsid w:val="007557E7"/>
    <w:rsid w:val="00756F9B"/>
    <w:rsid w:val="00766534"/>
    <w:rsid w:val="007732B2"/>
    <w:rsid w:val="007735A6"/>
    <w:rsid w:val="00775A09"/>
    <w:rsid w:val="00783532"/>
    <w:rsid w:val="00796F62"/>
    <w:rsid w:val="007A21A4"/>
    <w:rsid w:val="007A2284"/>
    <w:rsid w:val="007A2ACA"/>
    <w:rsid w:val="007A57F6"/>
    <w:rsid w:val="007B6C8F"/>
    <w:rsid w:val="007B7F7A"/>
    <w:rsid w:val="007C031D"/>
    <w:rsid w:val="007C1312"/>
    <w:rsid w:val="007C6555"/>
    <w:rsid w:val="007C7076"/>
    <w:rsid w:val="007D1A81"/>
    <w:rsid w:val="007D4122"/>
    <w:rsid w:val="007E3045"/>
    <w:rsid w:val="007F7148"/>
    <w:rsid w:val="007F760B"/>
    <w:rsid w:val="008017FB"/>
    <w:rsid w:val="0080195D"/>
    <w:rsid w:val="008054C5"/>
    <w:rsid w:val="00806206"/>
    <w:rsid w:val="00811718"/>
    <w:rsid w:val="00816F36"/>
    <w:rsid w:val="00817BAE"/>
    <w:rsid w:val="00821BA0"/>
    <w:rsid w:val="008234E8"/>
    <w:rsid w:val="00836C9F"/>
    <w:rsid w:val="00846261"/>
    <w:rsid w:val="00862204"/>
    <w:rsid w:val="00870AAA"/>
    <w:rsid w:val="00873B23"/>
    <w:rsid w:val="00873E92"/>
    <w:rsid w:val="0087406A"/>
    <w:rsid w:val="00874652"/>
    <w:rsid w:val="00880B48"/>
    <w:rsid w:val="00881B70"/>
    <w:rsid w:val="008866A4"/>
    <w:rsid w:val="00897E85"/>
    <w:rsid w:val="008A4997"/>
    <w:rsid w:val="008B3030"/>
    <w:rsid w:val="008B5AF5"/>
    <w:rsid w:val="008C021F"/>
    <w:rsid w:val="008D593A"/>
    <w:rsid w:val="008E1494"/>
    <w:rsid w:val="008E1C1D"/>
    <w:rsid w:val="008E51F4"/>
    <w:rsid w:val="008E76F9"/>
    <w:rsid w:val="008F2EFC"/>
    <w:rsid w:val="00901051"/>
    <w:rsid w:val="0090128C"/>
    <w:rsid w:val="00901A81"/>
    <w:rsid w:val="00902ABB"/>
    <w:rsid w:val="00904050"/>
    <w:rsid w:val="00916670"/>
    <w:rsid w:val="00916BAD"/>
    <w:rsid w:val="00917950"/>
    <w:rsid w:val="00921964"/>
    <w:rsid w:val="00927447"/>
    <w:rsid w:val="00933C14"/>
    <w:rsid w:val="00937FBB"/>
    <w:rsid w:val="00944B26"/>
    <w:rsid w:val="00950885"/>
    <w:rsid w:val="00956967"/>
    <w:rsid w:val="00960606"/>
    <w:rsid w:val="00960CFC"/>
    <w:rsid w:val="00961DCB"/>
    <w:rsid w:val="0096310C"/>
    <w:rsid w:val="00963377"/>
    <w:rsid w:val="009722DA"/>
    <w:rsid w:val="00973349"/>
    <w:rsid w:val="00981E30"/>
    <w:rsid w:val="00983AF2"/>
    <w:rsid w:val="00986FBD"/>
    <w:rsid w:val="009929D8"/>
    <w:rsid w:val="009A5942"/>
    <w:rsid w:val="009A656F"/>
    <w:rsid w:val="009A790C"/>
    <w:rsid w:val="009B6A31"/>
    <w:rsid w:val="009B7281"/>
    <w:rsid w:val="009D454B"/>
    <w:rsid w:val="009D7116"/>
    <w:rsid w:val="009E1890"/>
    <w:rsid w:val="009E5A07"/>
    <w:rsid w:val="00A02007"/>
    <w:rsid w:val="00A05A26"/>
    <w:rsid w:val="00A17BA9"/>
    <w:rsid w:val="00A21A40"/>
    <w:rsid w:val="00A2765F"/>
    <w:rsid w:val="00A36E5E"/>
    <w:rsid w:val="00A379C2"/>
    <w:rsid w:val="00A43C6C"/>
    <w:rsid w:val="00A50511"/>
    <w:rsid w:val="00A51B2C"/>
    <w:rsid w:val="00A547AD"/>
    <w:rsid w:val="00A610B7"/>
    <w:rsid w:val="00A62418"/>
    <w:rsid w:val="00A64111"/>
    <w:rsid w:val="00A65AB3"/>
    <w:rsid w:val="00A724F0"/>
    <w:rsid w:val="00A8102E"/>
    <w:rsid w:val="00A8198C"/>
    <w:rsid w:val="00A85DEC"/>
    <w:rsid w:val="00A87402"/>
    <w:rsid w:val="00A93816"/>
    <w:rsid w:val="00A93DE0"/>
    <w:rsid w:val="00A96EBA"/>
    <w:rsid w:val="00AA7B36"/>
    <w:rsid w:val="00AC7C59"/>
    <w:rsid w:val="00AD77F3"/>
    <w:rsid w:val="00AE13D4"/>
    <w:rsid w:val="00AE228F"/>
    <w:rsid w:val="00AE536D"/>
    <w:rsid w:val="00AE5E91"/>
    <w:rsid w:val="00AE5F2A"/>
    <w:rsid w:val="00AF131B"/>
    <w:rsid w:val="00AF5BCC"/>
    <w:rsid w:val="00AF6743"/>
    <w:rsid w:val="00AF6F73"/>
    <w:rsid w:val="00B01774"/>
    <w:rsid w:val="00B02261"/>
    <w:rsid w:val="00B02CE1"/>
    <w:rsid w:val="00B05B6B"/>
    <w:rsid w:val="00B05F7B"/>
    <w:rsid w:val="00B15115"/>
    <w:rsid w:val="00B2283D"/>
    <w:rsid w:val="00B2308D"/>
    <w:rsid w:val="00B24A01"/>
    <w:rsid w:val="00B25488"/>
    <w:rsid w:val="00B323B1"/>
    <w:rsid w:val="00B32A1D"/>
    <w:rsid w:val="00B3339C"/>
    <w:rsid w:val="00B42915"/>
    <w:rsid w:val="00B5121D"/>
    <w:rsid w:val="00B53D1D"/>
    <w:rsid w:val="00B54644"/>
    <w:rsid w:val="00B6375C"/>
    <w:rsid w:val="00B6626C"/>
    <w:rsid w:val="00B6693B"/>
    <w:rsid w:val="00B6790A"/>
    <w:rsid w:val="00B718CD"/>
    <w:rsid w:val="00B71E5A"/>
    <w:rsid w:val="00B82F3E"/>
    <w:rsid w:val="00B9390A"/>
    <w:rsid w:val="00B94C48"/>
    <w:rsid w:val="00BA1FE5"/>
    <w:rsid w:val="00BA35EB"/>
    <w:rsid w:val="00BB017F"/>
    <w:rsid w:val="00BB3B11"/>
    <w:rsid w:val="00BB61A3"/>
    <w:rsid w:val="00BC2F84"/>
    <w:rsid w:val="00BD2A11"/>
    <w:rsid w:val="00BD4106"/>
    <w:rsid w:val="00BE1972"/>
    <w:rsid w:val="00BE5AEB"/>
    <w:rsid w:val="00BF2B02"/>
    <w:rsid w:val="00BF5B71"/>
    <w:rsid w:val="00BF7946"/>
    <w:rsid w:val="00C0160C"/>
    <w:rsid w:val="00C0164D"/>
    <w:rsid w:val="00C03AB4"/>
    <w:rsid w:val="00C157BA"/>
    <w:rsid w:val="00C22F8C"/>
    <w:rsid w:val="00C263B7"/>
    <w:rsid w:val="00C31D3C"/>
    <w:rsid w:val="00C3207F"/>
    <w:rsid w:val="00C446F0"/>
    <w:rsid w:val="00C4517B"/>
    <w:rsid w:val="00C45D4B"/>
    <w:rsid w:val="00C52DA6"/>
    <w:rsid w:val="00C60078"/>
    <w:rsid w:val="00C712BC"/>
    <w:rsid w:val="00C85D95"/>
    <w:rsid w:val="00C94409"/>
    <w:rsid w:val="00C95482"/>
    <w:rsid w:val="00C95ED7"/>
    <w:rsid w:val="00C97B97"/>
    <w:rsid w:val="00CA1805"/>
    <w:rsid w:val="00CA2FE8"/>
    <w:rsid w:val="00CA6811"/>
    <w:rsid w:val="00CB3C20"/>
    <w:rsid w:val="00CB750E"/>
    <w:rsid w:val="00CC0EFD"/>
    <w:rsid w:val="00CC1663"/>
    <w:rsid w:val="00CC4662"/>
    <w:rsid w:val="00CC4F39"/>
    <w:rsid w:val="00CD7D6B"/>
    <w:rsid w:val="00CE023B"/>
    <w:rsid w:val="00CE6B41"/>
    <w:rsid w:val="00CF3698"/>
    <w:rsid w:val="00CF4E76"/>
    <w:rsid w:val="00CF5B5F"/>
    <w:rsid w:val="00D012B9"/>
    <w:rsid w:val="00D06665"/>
    <w:rsid w:val="00D0793D"/>
    <w:rsid w:val="00D13FA2"/>
    <w:rsid w:val="00D152A2"/>
    <w:rsid w:val="00D24601"/>
    <w:rsid w:val="00D337BC"/>
    <w:rsid w:val="00D356DD"/>
    <w:rsid w:val="00D5476B"/>
    <w:rsid w:val="00D6015B"/>
    <w:rsid w:val="00D62556"/>
    <w:rsid w:val="00D63519"/>
    <w:rsid w:val="00D73940"/>
    <w:rsid w:val="00D768BB"/>
    <w:rsid w:val="00D9156D"/>
    <w:rsid w:val="00D91E46"/>
    <w:rsid w:val="00DA13F7"/>
    <w:rsid w:val="00DA17DA"/>
    <w:rsid w:val="00DB04BA"/>
    <w:rsid w:val="00DB2185"/>
    <w:rsid w:val="00DB5C83"/>
    <w:rsid w:val="00DC1D44"/>
    <w:rsid w:val="00DC6CD0"/>
    <w:rsid w:val="00DE57CB"/>
    <w:rsid w:val="00DF1537"/>
    <w:rsid w:val="00E0336E"/>
    <w:rsid w:val="00E1661F"/>
    <w:rsid w:val="00E17765"/>
    <w:rsid w:val="00E2301A"/>
    <w:rsid w:val="00E23B98"/>
    <w:rsid w:val="00E410CA"/>
    <w:rsid w:val="00E45ADF"/>
    <w:rsid w:val="00E50872"/>
    <w:rsid w:val="00E573A1"/>
    <w:rsid w:val="00E61222"/>
    <w:rsid w:val="00E70114"/>
    <w:rsid w:val="00E766DF"/>
    <w:rsid w:val="00E80F51"/>
    <w:rsid w:val="00E81A93"/>
    <w:rsid w:val="00E90EDA"/>
    <w:rsid w:val="00E97B5C"/>
    <w:rsid w:val="00E97C04"/>
    <w:rsid w:val="00EA437B"/>
    <w:rsid w:val="00EA534F"/>
    <w:rsid w:val="00EB0C14"/>
    <w:rsid w:val="00EB0F5B"/>
    <w:rsid w:val="00EB1645"/>
    <w:rsid w:val="00EB1A83"/>
    <w:rsid w:val="00EB301D"/>
    <w:rsid w:val="00EB4BD3"/>
    <w:rsid w:val="00EB7727"/>
    <w:rsid w:val="00EB799D"/>
    <w:rsid w:val="00EC0BF0"/>
    <w:rsid w:val="00EC197E"/>
    <w:rsid w:val="00EC56A3"/>
    <w:rsid w:val="00EC62A3"/>
    <w:rsid w:val="00EC6EB9"/>
    <w:rsid w:val="00ED1E3F"/>
    <w:rsid w:val="00ED5DBD"/>
    <w:rsid w:val="00ED5DBF"/>
    <w:rsid w:val="00EE24EC"/>
    <w:rsid w:val="00EE681C"/>
    <w:rsid w:val="00EF09E3"/>
    <w:rsid w:val="00EF0ADD"/>
    <w:rsid w:val="00F02509"/>
    <w:rsid w:val="00F031D6"/>
    <w:rsid w:val="00F049BE"/>
    <w:rsid w:val="00F06072"/>
    <w:rsid w:val="00F13529"/>
    <w:rsid w:val="00F149FB"/>
    <w:rsid w:val="00F16DE7"/>
    <w:rsid w:val="00F2083E"/>
    <w:rsid w:val="00F20EF7"/>
    <w:rsid w:val="00F21C58"/>
    <w:rsid w:val="00F22F31"/>
    <w:rsid w:val="00F23934"/>
    <w:rsid w:val="00F254DD"/>
    <w:rsid w:val="00F265F8"/>
    <w:rsid w:val="00F3636E"/>
    <w:rsid w:val="00F40D26"/>
    <w:rsid w:val="00F416D2"/>
    <w:rsid w:val="00F41F7B"/>
    <w:rsid w:val="00F46F03"/>
    <w:rsid w:val="00F471E2"/>
    <w:rsid w:val="00F515E5"/>
    <w:rsid w:val="00F6638E"/>
    <w:rsid w:val="00F70E28"/>
    <w:rsid w:val="00F745CB"/>
    <w:rsid w:val="00F81723"/>
    <w:rsid w:val="00F84232"/>
    <w:rsid w:val="00F8593E"/>
    <w:rsid w:val="00F86D0D"/>
    <w:rsid w:val="00F92C3E"/>
    <w:rsid w:val="00F947D2"/>
    <w:rsid w:val="00F94865"/>
    <w:rsid w:val="00F951C0"/>
    <w:rsid w:val="00F97B3D"/>
    <w:rsid w:val="00FA0348"/>
    <w:rsid w:val="00FA0CA0"/>
    <w:rsid w:val="00FB3DD2"/>
    <w:rsid w:val="00FB584E"/>
    <w:rsid w:val="00FB7014"/>
    <w:rsid w:val="00FC25A4"/>
    <w:rsid w:val="00FC281F"/>
    <w:rsid w:val="00FC38EF"/>
    <w:rsid w:val="00FC61BC"/>
    <w:rsid w:val="00FD160E"/>
    <w:rsid w:val="00FD1C86"/>
    <w:rsid w:val="00FD6D93"/>
    <w:rsid w:val="00FF004D"/>
    <w:rsid w:val="00FF49A9"/>
    <w:rsid w:val="00FF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29"/>
    <w:rPr>
      <w:rFonts w:ascii="Times New Roman" w:eastAsia="Times New Roman" w:hAnsi="Times New Roman"/>
      <w:lang w:val="en-GB" w:eastAsia="de-DE"/>
    </w:rPr>
  </w:style>
  <w:style w:type="paragraph" w:styleId="Titre1">
    <w:name w:val="heading 1"/>
    <w:basedOn w:val="Normal"/>
    <w:next w:val="Normal"/>
    <w:qFormat/>
    <w:rsid w:val="00753C29"/>
    <w:pPr>
      <w:keepNext/>
      <w:jc w:val="right"/>
      <w:outlineLvl w:val="0"/>
    </w:pPr>
    <w:rPr>
      <w:b/>
      <w:sz w:val="24"/>
      <w:szCs w:val="24"/>
    </w:rPr>
  </w:style>
  <w:style w:type="paragraph" w:styleId="Titre2">
    <w:name w:val="heading 2"/>
    <w:basedOn w:val="Normal"/>
    <w:next w:val="Normal"/>
    <w:link w:val="Titre2Car"/>
    <w:uiPriority w:val="9"/>
    <w:qFormat/>
    <w:rsid w:val="00B9390A"/>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766534"/>
    <w:pPr>
      <w:keepNext/>
      <w:spacing w:before="240" w:after="60"/>
      <w:outlineLvl w:val="2"/>
    </w:pPr>
    <w:rPr>
      <w:rFonts w:ascii="Cambria" w:hAnsi="Cambria"/>
      <w:b/>
      <w:bCs/>
      <w:sz w:val="26"/>
      <w:szCs w:val="26"/>
      <w:lang w:val="en-US" w:eastAsia="en-US"/>
    </w:rPr>
  </w:style>
  <w:style w:type="paragraph" w:styleId="Titre4">
    <w:name w:val="heading 4"/>
    <w:basedOn w:val="Normal"/>
    <w:next w:val="Normal"/>
    <w:link w:val="Titre4Car"/>
    <w:qFormat/>
    <w:rsid w:val="00766534"/>
    <w:pPr>
      <w:keepNext/>
      <w:spacing w:before="240" w:after="60"/>
      <w:outlineLvl w:val="3"/>
    </w:pPr>
    <w:rPr>
      <w:rFonts w:ascii="Calibri" w:hAnsi="Calibri"/>
      <w:b/>
      <w:b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basedOn w:val="Normal"/>
    <w:rsid w:val="00753C29"/>
    <w:pPr>
      <w:numPr>
        <w:numId w:val="1"/>
      </w:numPr>
      <w:spacing w:line="360" w:lineRule="auto"/>
      <w:jc w:val="both"/>
    </w:pPr>
    <w:rPr>
      <w:rFonts w:ascii="Arial" w:hAnsi="Arial"/>
      <w:sz w:val="22"/>
      <w:szCs w:val="24"/>
      <w:lang w:val="en-US" w:eastAsia="en-US"/>
    </w:rPr>
  </w:style>
  <w:style w:type="paragraph" w:customStyle="1" w:styleId="Box">
    <w:name w:val="Box"/>
    <w:basedOn w:val="Normal"/>
    <w:link w:val="BoxZchn"/>
    <w:rsid w:val="002904D1"/>
    <w:pPr>
      <w:pBdr>
        <w:top w:val="single" w:sz="12" w:space="1" w:color="auto"/>
        <w:left w:val="single" w:sz="12" w:space="4" w:color="auto"/>
        <w:bottom w:val="single" w:sz="12" w:space="1" w:color="auto"/>
        <w:right w:val="single" w:sz="12" w:space="4" w:color="auto"/>
      </w:pBdr>
      <w:spacing w:after="120"/>
      <w:jc w:val="both"/>
    </w:pPr>
    <w:rPr>
      <w:rFonts w:ascii="Arial" w:eastAsia="Calibri" w:hAnsi="Arial"/>
      <w:color w:val="000000"/>
      <w:sz w:val="22"/>
    </w:rPr>
  </w:style>
  <w:style w:type="paragraph" w:styleId="Notedebasdepage">
    <w:name w:val="footnote text"/>
    <w:basedOn w:val="Normal"/>
    <w:semiHidden/>
    <w:unhideWhenUsed/>
    <w:rsid w:val="00753C29"/>
  </w:style>
  <w:style w:type="character" w:customStyle="1" w:styleId="a">
    <w:name w:val="Знак Знак"/>
    <w:semiHidden/>
    <w:rsid w:val="00753C29"/>
    <w:rPr>
      <w:rFonts w:ascii="Times New Roman" w:eastAsia="Times New Roman" w:hAnsi="Times New Roman"/>
      <w:lang w:val="en-GB" w:eastAsia="de-DE"/>
    </w:rPr>
  </w:style>
  <w:style w:type="character" w:styleId="Appelnotedebasdep">
    <w:name w:val="footnote reference"/>
    <w:semiHidden/>
    <w:unhideWhenUsed/>
    <w:rsid w:val="00753C29"/>
    <w:rPr>
      <w:vertAlign w:val="superscript"/>
    </w:rPr>
  </w:style>
  <w:style w:type="paragraph" w:styleId="Textedebulles">
    <w:name w:val="Balloon Text"/>
    <w:basedOn w:val="Normal"/>
    <w:semiHidden/>
    <w:rsid w:val="00753C29"/>
    <w:rPr>
      <w:rFonts w:ascii="Tahoma" w:hAnsi="Tahoma" w:cs="Tahoma"/>
      <w:sz w:val="16"/>
      <w:szCs w:val="16"/>
    </w:rPr>
  </w:style>
  <w:style w:type="character" w:customStyle="1" w:styleId="BoxZchn">
    <w:name w:val="Box Zchn"/>
    <w:link w:val="Box"/>
    <w:rsid w:val="002904D1"/>
    <w:rPr>
      <w:rFonts w:ascii="Arial" w:hAnsi="Arial"/>
      <w:color w:val="000000"/>
      <w:sz w:val="22"/>
      <w:lang w:val="en-GB" w:eastAsia="de-DE" w:bidi="ar-SA"/>
    </w:rPr>
  </w:style>
  <w:style w:type="table" w:styleId="Grilledutableau">
    <w:name w:val="Table Grid"/>
    <w:basedOn w:val="TableauNormal"/>
    <w:rsid w:val="004D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encabezado,he,header odd,header odd1,header odd2,header"/>
    <w:basedOn w:val="Normal"/>
    <w:link w:val="En-tteCar"/>
    <w:unhideWhenUsed/>
    <w:rsid w:val="000C31E6"/>
    <w:pPr>
      <w:tabs>
        <w:tab w:val="center" w:pos="4677"/>
        <w:tab w:val="right" w:pos="9355"/>
      </w:tabs>
    </w:pPr>
  </w:style>
  <w:style w:type="character" w:customStyle="1" w:styleId="En-tteCar">
    <w:name w:val="En-tête Car"/>
    <w:aliases w:val="encabezado Car,he Car,header odd Car,header odd1 Car,header odd2 Car,header Car"/>
    <w:link w:val="En-tte"/>
    <w:rsid w:val="000C31E6"/>
    <w:rPr>
      <w:rFonts w:ascii="Times New Roman" w:eastAsia="Times New Roman" w:hAnsi="Times New Roman"/>
      <w:lang w:val="en-GB" w:eastAsia="de-DE"/>
    </w:rPr>
  </w:style>
  <w:style w:type="paragraph" w:styleId="Pieddepage">
    <w:name w:val="footer"/>
    <w:basedOn w:val="Normal"/>
    <w:link w:val="PieddepageCar"/>
    <w:uiPriority w:val="99"/>
    <w:unhideWhenUsed/>
    <w:rsid w:val="000C31E6"/>
    <w:pPr>
      <w:tabs>
        <w:tab w:val="center" w:pos="4677"/>
        <w:tab w:val="right" w:pos="9355"/>
      </w:tabs>
    </w:pPr>
  </w:style>
  <w:style w:type="character" w:customStyle="1" w:styleId="PieddepageCar">
    <w:name w:val="Pied de page Car"/>
    <w:link w:val="Pieddepage"/>
    <w:uiPriority w:val="99"/>
    <w:rsid w:val="000C31E6"/>
    <w:rPr>
      <w:rFonts w:ascii="Times New Roman" w:eastAsia="Times New Roman" w:hAnsi="Times New Roman"/>
      <w:lang w:val="en-GB" w:eastAsia="de-DE"/>
    </w:rPr>
  </w:style>
  <w:style w:type="character" w:customStyle="1" w:styleId="Titre3Car">
    <w:name w:val="Titre 3 Car"/>
    <w:link w:val="Titre3"/>
    <w:rsid w:val="00766534"/>
    <w:rPr>
      <w:rFonts w:ascii="Cambria" w:eastAsia="Times New Roman" w:hAnsi="Cambria"/>
      <w:b/>
      <w:bCs/>
      <w:sz w:val="26"/>
      <w:szCs w:val="26"/>
      <w:lang w:val="en-US" w:eastAsia="en-US"/>
    </w:rPr>
  </w:style>
  <w:style w:type="character" w:customStyle="1" w:styleId="Titre4Car">
    <w:name w:val="Titre 4 Car"/>
    <w:link w:val="Titre4"/>
    <w:rsid w:val="00766534"/>
    <w:rPr>
      <w:rFonts w:eastAsia="Times New Roman"/>
      <w:b/>
      <w:bCs/>
      <w:sz w:val="28"/>
      <w:szCs w:val="28"/>
      <w:lang w:val="en-US" w:eastAsia="en-US"/>
    </w:rPr>
  </w:style>
  <w:style w:type="character" w:styleId="Marquedecommentaire">
    <w:name w:val="annotation reference"/>
    <w:semiHidden/>
    <w:rsid w:val="00323BA5"/>
    <w:rPr>
      <w:sz w:val="16"/>
      <w:szCs w:val="16"/>
    </w:rPr>
  </w:style>
  <w:style w:type="paragraph" w:styleId="Commentaire">
    <w:name w:val="annotation text"/>
    <w:basedOn w:val="Normal"/>
    <w:semiHidden/>
    <w:rsid w:val="00323BA5"/>
  </w:style>
  <w:style w:type="paragraph" w:styleId="Objetducommentaire">
    <w:name w:val="annotation subject"/>
    <w:basedOn w:val="Commentaire"/>
    <w:next w:val="Commentaire"/>
    <w:semiHidden/>
    <w:rsid w:val="00323BA5"/>
    <w:rPr>
      <w:b/>
      <w:bCs/>
    </w:rPr>
  </w:style>
  <w:style w:type="character" w:customStyle="1" w:styleId="Titre2Car">
    <w:name w:val="Titre 2 Car"/>
    <w:link w:val="Titre2"/>
    <w:uiPriority w:val="9"/>
    <w:semiHidden/>
    <w:rsid w:val="00B9390A"/>
    <w:rPr>
      <w:rFonts w:ascii="Cambria" w:eastAsia="Times New Roman" w:hAnsi="Cambria" w:cs="Times New Roman"/>
      <w:b/>
      <w:bCs/>
      <w:i/>
      <w:iCs/>
      <w:sz w:val="28"/>
      <w:szCs w:val="28"/>
      <w:lang w:val="en-GB" w:eastAsia="de-DE"/>
    </w:rPr>
  </w:style>
  <w:style w:type="character" w:customStyle="1" w:styleId="apple-style-span">
    <w:name w:val="apple-style-span"/>
    <w:basedOn w:val="Policepardfaut"/>
    <w:rsid w:val="00C31D3C"/>
  </w:style>
  <w:style w:type="paragraph" w:customStyle="1" w:styleId="Header2">
    <w:name w:val="Header2"/>
    <w:basedOn w:val="En-tte"/>
    <w:rsid w:val="0019760C"/>
    <w:pPr>
      <w:tabs>
        <w:tab w:val="clear" w:pos="4677"/>
        <w:tab w:val="clear" w:pos="9355"/>
        <w:tab w:val="center" w:pos="4536"/>
        <w:tab w:val="right" w:pos="9072"/>
      </w:tabs>
    </w:pPr>
    <w:rPr>
      <w:rFonts w:ascii="Arial" w:hAnsi="Arial"/>
      <w:b/>
      <w:sz w:val="22"/>
      <w:lang w:val="nb-NO"/>
    </w:rPr>
  </w:style>
  <w:style w:type="paragraph" w:customStyle="1" w:styleId="Header1">
    <w:name w:val="Header1"/>
    <w:basedOn w:val="En-tte"/>
    <w:link w:val="HeaderZchnZchn"/>
    <w:rsid w:val="0019760C"/>
    <w:pPr>
      <w:tabs>
        <w:tab w:val="clear" w:pos="4677"/>
        <w:tab w:val="clear" w:pos="9355"/>
        <w:tab w:val="center" w:pos="4536"/>
        <w:tab w:val="right" w:pos="9072"/>
      </w:tabs>
      <w:spacing w:before="60"/>
    </w:pPr>
    <w:rPr>
      <w:rFonts w:ascii="Arial" w:hAnsi="Arial"/>
      <w:b/>
      <w:sz w:val="22"/>
      <w:lang w:val="nb-NO"/>
    </w:rPr>
  </w:style>
  <w:style w:type="character" w:customStyle="1" w:styleId="HeaderZchnZchn">
    <w:name w:val="Header Zchn Zchn"/>
    <w:link w:val="Header1"/>
    <w:rsid w:val="0019760C"/>
    <w:rPr>
      <w:rFonts w:ascii="Arial" w:eastAsia="Times New Roman" w:hAnsi="Arial"/>
      <w:b/>
      <w:sz w:val="22"/>
      <w:lang w:val="nb-NO"/>
    </w:rPr>
  </w:style>
  <w:style w:type="paragraph" w:customStyle="1" w:styleId="Header3">
    <w:name w:val="Header3"/>
    <w:basedOn w:val="En-tte"/>
    <w:rsid w:val="0006660F"/>
    <w:pPr>
      <w:tabs>
        <w:tab w:val="clear" w:pos="4677"/>
        <w:tab w:val="clear" w:pos="9355"/>
        <w:tab w:val="center" w:pos="4536"/>
        <w:tab w:val="right" w:pos="9072"/>
      </w:tabs>
    </w:pPr>
    <w:rPr>
      <w:rFonts w:ascii="Arial" w:hAnsi="Arial"/>
      <w:b/>
      <w:sz w:val="22"/>
      <w:lang w:val="nb-NO"/>
    </w:rPr>
  </w:style>
  <w:style w:type="paragraph" w:customStyle="1" w:styleId="Header4">
    <w:name w:val="Header4"/>
    <w:basedOn w:val="En-tte"/>
    <w:rsid w:val="00870AAA"/>
    <w:pPr>
      <w:tabs>
        <w:tab w:val="clear" w:pos="4677"/>
        <w:tab w:val="clear" w:pos="9355"/>
        <w:tab w:val="center" w:pos="4536"/>
        <w:tab w:val="right" w:pos="9072"/>
      </w:tabs>
    </w:pPr>
    <w:rPr>
      <w:rFonts w:ascii="Arial" w:hAnsi="Arial"/>
      <w:b/>
      <w:sz w:val="22"/>
      <w:lang w:val="nb-NO"/>
    </w:rPr>
  </w:style>
  <w:style w:type="paragraph" w:customStyle="1" w:styleId="Header5">
    <w:name w:val="Header5"/>
    <w:basedOn w:val="En-tte"/>
    <w:rsid w:val="00C712BC"/>
    <w:pPr>
      <w:tabs>
        <w:tab w:val="clear" w:pos="4677"/>
        <w:tab w:val="clear" w:pos="9355"/>
        <w:tab w:val="center" w:pos="4536"/>
        <w:tab w:val="right" w:pos="9072"/>
      </w:tabs>
    </w:pPr>
    <w:rPr>
      <w:rFonts w:ascii="Arial" w:hAnsi="Arial"/>
      <w:b/>
      <w:sz w:val="22"/>
      <w:lang w:val="nb-NO"/>
    </w:rPr>
  </w:style>
  <w:style w:type="paragraph" w:styleId="Notedefin">
    <w:name w:val="endnote text"/>
    <w:basedOn w:val="Normal"/>
    <w:link w:val="NotedefinCar"/>
    <w:uiPriority w:val="99"/>
    <w:semiHidden/>
    <w:unhideWhenUsed/>
    <w:rsid w:val="005B2E2B"/>
  </w:style>
  <w:style w:type="character" w:customStyle="1" w:styleId="NotedefinCar">
    <w:name w:val="Note de fin Car"/>
    <w:basedOn w:val="Policepardfaut"/>
    <w:link w:val="Notedefin"/>
    <w:uiPriority w:val="99"/>
    <w:semiHidden/>
    <w:rsid w:val="005B2E2B"/>
    <w:rPr>
      <w:rFonts w:ascii="Times New Roman" w:eastAsia="Times New Roman" w:hAnsi="Times New Roman"/>
      <w:lang w:val="en-GB" w:eastAsia="de-DE"/>
    </w:rPr>
  </w:style>
  <w:style w:type="character" w:styleId="Appeldenotedefin">
    <w:name w:val="endnote reference"/>
    <w:basedOn w:val="Policepardfaut"/>
    <w:uiPriority w:val="99"/>
    <w:semiHidden/>
    <w:unhideWhenUsed/>
    <w:rsid w:val="005B2E2B"/>
    <w:rPr>
      <w:vertAlign w:val="superscript"/>
    </w:rPr>
  </w:style>
  <w:style w:type="paragraph" w:styleId="Rvision">
    <w:name w:val="Revision"/>
    <w:hidden/>
    <w:uiPriority w:val="99"/>
    <w:semiHidden/>
    <w:rsid w:val="006607D7"/>
    <w:rPr>
      <w:rFonts w:ascii="Times New Roman" w:eastAsia="Times New Roman" w:hAnsi="Times New Roman"/>
      <w:lang w:val="en-GB" w:eastAsia="de-DE"/>
    </w:rPr>
  </w:style>
  <w:style w:type="paragraph" w:customStyle="1" w:styleId="1">
    <w:name w:val="Верхний колонтитул1"/>
    <w:basedOn w:val="En-tte"/>
    <w:rsid w:val="00927447"/>
    <w:pPr>
      <w:tabs>
        <w:tab w:val="clear" w:pos="4677"/>
        <w:tab w:val="clear" w:pos="9355"/>
        <w:tab w:val="center" w:pos="4536"/>
        <w:tab w:val="right" w:pos="9072"/>
      </w:tabs>
    </w:pPr>
    <w:rPr>
      <w:rFonts w:ascii="Arial" w:hAnsi="Arial"/>
      <w:b/>
      <w:sz w:val="22"/>
      <w:lang w:val="nb-NO"/>
    </w:rPr>
  </w:style>
  <w:style w:type="paragraph" w:customStyle="1" w:styleId="En-tte1">
    <w:name w:val="En-tête1"/>
    <w:basedOn w:val="En-tte"/>
    <w:link w:val="HeaderZchn"/>
    <w:rsid w:val="002B42DE"/>
    <w:pPr>
      <w:tabs>
        <w:tab w:val="clear" w:pos="4677"/>
        <w:tab w:val="clear" w:pos="9355"/>
        <w:tab w:val="center" w:pos="4536"/>
        <w:tab w:val="right" w:pos="9072"/>
      </w:tabs>
      <w:spacing w:before="60" w:line="264" w:lineRule="auto"/>
      <w:ind w:left="57"/>
    </w:pPr>
    <w:rPr>
      <w:rFonts w:ascii="Arial" w:hAnsi="Arial"/>
      <w:b/>
      <w:sz w:val="22"/>
      <w:lang w:val="nb-NO"/>
    </w:rPr>
  </w:style>
  <w:style w:type="paragraph" w:styleId="Liste">
    <w:name w:val="List"/>
    <w:basedOn w:val="Normal"/>
    <w:rsid w:val="002B42DE"/>
    <w:pPr>
      <w:numPr>
        <w:numId w:val="14"/>
      </w:numPr>
      <w:autoSpaceDE w:val="0"/>
      <w:autoSpaceDN w:val="0"/>
      <w:spacing w:before="60" w:after="60" w:line="264" w:lineRule="auto"/>
    </w:pPr>
    <w:rPr>
      <w:rFonts w:ascii="Arial" w:hAnsi="Arial"/>
      <w:lang w:eastAsia="nl-NL"/>
    </w:rPr>
  </w:style>
  <w:style w:type="character" w:customStyle="1" w:styleId="HeaderZchn">
    <w:name w:val="Header Zchn"/>
    <w:link w:val="En-tte1"/>
    <w:rsid w:val="002B42DE"/>
    <w:rPr>
      <w:rFonts w:ascii="Arial" w:eastAsia="Times New Roman" w:hAnsi="Arial"/>
      <w:b/>
      <w:sz w:val="22"/>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val="en-GB" w:eastAsia="de-DE"/>
    </w:rPr>
  </w:style>
  <w:style w:type="paragraph" w:styleId="Titre1">
    <w:name w:val="heading 1"/>
    <w:basedOn w:val="Normal"/>
    <w:next w:val="Normal"/>
    <w:qFormat/>
    <w:pPr>
      <w:keepNext/>
      <w:jc w:val="right"/>
      <w:outlineLvl w:val="0"/>
    </w:pPr>
    <w:rPr>
      <w:b/>
      <w:sz w:val="24"/>
      <w:szCs w:val="24"/>
    </w:rPr>
  </w:style>
  <w:style w:type="paragraph" w:styleId="Titre2">
    <w:name w:val="heading 2"/>
    <w:basedOn w:val="Normal"/>
    <w:next w:val="Normal"/>
    <w:link w:val="Titre2Car"/>
    <w:uiPriority w:val="9"/>
    <w:qFormat/>
    <w:rsid w:val="00B9390A"/>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766534"/>
    <w:pPr>
      <w:keepNext/>
      <w:spacing w:before="240" w:after="60"/>
      <w:outlineLvl w:val="2"/>
    </w:pPr>
    <w:rPr>
      <w:rFonts w:ascii="Cambria" w:hAnsi="Cambria"/>
      <w:b/>
      <w:bCs/>
      <w:sz w:val="26"/>
      <w:szCs w:val="26"/>
      <w:lang w:val="en-US" w:eastAsia="en-US"/>
    </w:rPr>
  </w:style>
  <w:style w:type="paragraph" w:styleId="Titre4">
    <w:name w:val="heading 4"/>
    <w:basedOn w:val="Normal"/>
    <w:next w:val="Normal"/>
    <w:link w:val="Titre4Car"/>
    <w:qFormat/>
    <w:rsid w:val="00766534"/>
    <w:pPr>
      <w:keepNext/>
      <w:spacing w:before="240" w:after="60"/>
      <w:outlineLvl w:val="3"/>
    </w:pPr>
    <w:rPr>
      <w:rFonts w:ascii="Calibri" w:hAnsi="Calibri"/>
      <w:b/>
      <w:b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basedOn w:val="Normal"/>
    <w:pPr>
      <w:numPr>
        <w:numId w:val="1"/>
      </w:numPr>
      <w:spacing w:line="360" w:lineRule="auto"/>
      <w:jc w:val="both"/>
    </w:pPr>
    <w:rPr>
      <w:rFonts w:ascii="Arial" w:hAnsi="Arial"/>
      <w:sz w:val="22"/>
      <w:szCs w:val="24"/>
      <w:lang w:val="en-US" w:eastAsia="en-US"/>
    </w:rPr>
  </w:style>
  <w:style w:type="paragraph" w:customStyle="1" w:styleId="Box">
    <w:name w:val="Box"/>
    <w:basedOn w:val="Normal"/>
    <w:link w:val="BoxZchn"/>
    <w:rsid w:val="002904D1"/>
    <w:pPr>
      <w:pBdr>
        <w:top w:val="single" w:sz="12" w:space="1" w:color="auto"/>
        <w:left w:val="single" w:sz="12" w:space="4" w:color="auto"/>
        <w:bottom w:val="single" w:sz="12" w:space="1" w:color="auto"/>
        <w:right w:val="single" w:sz="12" w:space="4" w:color="auto"/>
      </w:pBdr>
      <w:spacing w:after="120"/>
      <w:jc w:val="both"/>
    </w:pPr>
    <w:rPr>
      <w:rFonts w:ascii="Arial" w:eastAsia="Calibri" w:hAnsi="Arial"/>
      <w:color w:val="000000"/>
      <w:sz w:val="22"/>
    </w:rPr>
  </w:style>
  <w:style w:type="paragraph" w:styleId="Notedebasdepage">
    <w:name w:val="footnote text"/>
    <w:basedOn w:val="Normal"/>
    <w:semiHidden/>
    <w:unhideWhenUsed/>
  </w:style>
  <w:style w:type="character" w:customStyle="1" w:styleId="a">
    <w:name w:val="Знак Знак"/>
    <w:semiHidden/>
    <w:rPr>
      <w:rFonts w:ascii="Times New Roman" w:eastAsia="Times New Roman" w:hAnsi="Times New Roman"/>
      <w:lang w:val="en-GB" w:eastAsia="de-DE"/>
    </w:rPr>
  </w:style>
  <w:style w:type="character" w:styleId="Appelnotedebasdep">
    <w:name w:val="footnote reference"/>
    <w:semiHidden/>
    <w:unhideWhenUsed/>
    <w:rPr>
      <w:vertAlign w:val="superscript"/>
    </w:rPr>
  </w:style>
  <w:style w:type="paragraph" w:styleId="Textedebulles">
    <w:name w:val="Balloon Text"/>
    <w:basedOn w:val="Normal"/>
    <w:semiHidden/>
    <w:rPr>
      <w:rFonts w:ascii="Tahoma" w:hAnsi="Tahoma" w:cs="Tahoma"/>
      <w:sz w:val="16"/>
      <w:szCs w:val="16"/>
    </w:rPr>
  </w:style>
  <w:style w:type="character" w:customStyle="1" w:styleId="BoxZchn">
    <w:name w:val="Box Zchn"/>
    <w:link w:val="Box"/>
    <w:rsid w:val="002904D1"/>
    <w:rPr>
      <w:rFonts w:ascii="Arial" w:hAnsi="Arial"/>
      <w:color w:val="000000"/>
      <w:sz w:val="22"/>
      <w:lang w:val="en-GB" w:eastAsia="de-DE" w:bidi="ar-SA"/>
    </w:rPr>
  </w:style>
  <w:style w:type="table" w:styleId="Grilledutableau">
    <w:name w:val="Table Grid"/>
    <w:basedOn w:val="TableauNormal"/>
    <w:rsid w:val="004D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encabezado,he,header odd,header odd1,header odd2,header"/>
    <w:basedOn w:val="Normal"/>
    <w:link w:val="En-tteCar"/>
    <w:unhideWhenUsed/>
    <w:rsid w:val="000C31E6"/>
    <w:pPr>
      <w:tabs>
        <w:tab w:val="center" w:pos="4677"/>
        <w:tab w:val="right" w:pos="9355"/>
      </w:tabs>
    </w:pPr>
  </w:style>
  <w:style w:type="character" w:customStyle="1" w:styleId="En-tteCar">
    <w:name w:val="Header Char"/>
    <w:aliases w:val="encabezado Char,he Char,header odd Char,header odd1 Char,header odd2 Char,header Char"/>
    <w:link w:val="En-tte"/>
    <w:rsid w:val="000C31E6"/>
    <w:rPr>
      <w:rFonts w:ascii="Times New Roman" w:eastAsia="Times New Roman" w:hAnsi="Times New Roman"/>
      <w:lang w:val="en-GB" w:eastAsia="de-DE"/>
    </w:rPr>
  </w:style>
  <w:style w:type="paragraph" w:styleId="Pieddepage">
    <w:name w:val="footer"/>
    <w:basedOn w:val="Normal"/>
    <w:link w:val="PieddepageCar"/>
    <w:uiPriority w:val="99"/>
    <w:unhideWhenUsed/>
    <w:rsid w:val="000C31E6"/>
    <w:pPr>
      <w:tabs>
        <w:tab w:val="center" w:pos="4677"/>
        <w:tab w:val="right" w:pos="9355"/>
      </w:tabs>
    </w:pPr>
  </w:style>
  <w:style w:type="character" w:customStyle="1" w:styleId="PieddepageCar">
    <w:name w:val="Footer Char"/>
    <w:link w:val="Pieddepage"/>
    <w:uiPriority w:val="99"/>
    <w:rsid w:val="000C31E6"/>
    <w:rPr>
      <w:rFonts w:ascii="Times New Roman" w:eastAsia="Times New Roman" w:hAnsi="Times New Roman"/>
      <w:lang w:val="en-GB" w:eastAsia="de-DE"/>
    </w:rPr>
  </w:style>
  <w:style w:type="character" w:customStyle="1" w:styleId="Titre3Car">
    <w:name w:val="Heading 3 Char"/>
    <w:link w:val="Titre3"/>
    <w:rsid w:val="00766534"/>
    <w:rPr>
      <w:rFonts w:ascii="Cambria" w:eastAsia="Times New Roman" w:hAnsi="Cambria"/>
      <w:b/>
      <w:bCs/>
      <w:sz w:val="26"/>
      <w:szCs w:val="26"/>
      <w:lang w:val="en-US" w:eastAsia="en-US"/>
    </w:rPr>
  </w:style>
  <w:style w:type="character" w:customStyle="1" w:styleId="Titre4Car">
    <w:name w:val="Heading 4 Char"/>
    <w:link w:val="Titre4"/>
    <w:rsid w:val="00766534"/>
    <w:rPr>
      <w:rFonts w:eastAsia="Times New Roman"/>
      <w:b/>
      <w:bCs/>
      <w:sz w:val="28"/>
      <w:szCs w:val="28"/>
      <w:lang w:val="en-US" w:eastAsia="en-US"/>
    </w:rPr>
  </w:style>
  <w:style w:type="character" w:styleId="Marquedecommentaire">
    <w:name w:val="annotation reference"/>
    <w:semiHidden/>
    <w:rsid w:val="00323BA5"/>
    <w:rPr>
      <w:sz w:val="16"/>
      <w:szCs w:val="16"/>
    </w:rPr>
  </w:style>
  <w:style w:type="paragraph" w:styleId="Commentaire">
    <w:name w:val="annotation text"/>
    <w:basedOn w:val="Normal"/>
    <w:semiHidden/>
    <w:rsid w:val="00323BA5"/>
  </w:style>
  <w:style w:type="paragraph" w:styleId="Objetducommentaire">
    <w:name w:val="annotation subject"/>
    <w:basedOn w:val="Commentaire"/>
    <w:next w:val="Commentaire"/>
    <w:semiHidden/>
    <w:rsid w:val="00323BA5"/>
    <w:rPr>
      <w:b/>
      <w:bCs/>
    </w:rPr>
  </w:style>
  <w:style w:type="character" w:customStyle="1" w:styleId="Titre2Car">
    <w:name w:val="Heading 2 Char"/>
    <w:link w:val="Titre2"/>
    <w:uiPriority w:val="9"/>
    <w:semiHidden/>
    <w:rsid w:val="00B9390A"/>
    <w:rPr>
      <w:rFonts w:ascii="Cambria" w:eastAsia="Times New Roman" w:hAnsi="Cambria" w:cs="Times New Roman"/>
      <w:b/>
      <w:bCs/>
      <w:i/>
      <w:iCs/>
      <w:sz w:val="28"/>
      <w:szCs w:val="28"/>
      <w:lang w:val="en-GB" w:eastAsia="de-DE"/>
    </w:rPr>
  </w:style>
  <w:style w:type="character" w:customStyle="1" w:styleId="apple-style-span">
    <w:name w:val="apple-style-span"/>
    <w:basedOn w:val="Policepardfaut"/>
    <w:rsid w:val="00C31D3C"/>
  </w:style>
  <w:style w:type="paragraph" w:customStyle="1" w:styleId="Header2">
    <w:name w:val="Header2"/>
    <w:basedOn w:val="En-tte"/>
    <w:rsid w:val="0019760C"/>
    <w:pPr>
      <w:tabs>
        <w:tab w:val="clear" w:pos="4677"/>
        <w:tab w:val="clear" w:pos="9355"/>
        <w:tab w:val="center" w:pos="4536"/>
        <w:tab w:val="right" w:pos="9072"/>
      </w:tabs>
    </w:pPr>
    <w:rPr>
      <w:rFonts w:ascii="Arial" w:hAnsi="Arial"/>
      <w:b/>
      <w:sz w:val="22"/>
      <w:lang w:val="nb-NO"/>
    </w:rPr>
  </w:style>
  <w:style w:type="paragraph" w:customStyle="1" w:styleId="Header1">
    <w:name w:val="Header1"/>
    <w:basedOn w:val="En-tte"/>
    <w:link w:val="HeaderZchnZchn"/>
    <w:rsid w:val="0019760C"/>
    <w:pPr>
      <w:tabs>
        <w:tab w:val="clear" w:pos="4677"/>
        <w:tab w:val="clear" w:pos="9355"/>
        <w:tab w:val="center" w:pos="4536"/>
        <w:tab w:val="right" w:pos="9072"/>
      </w:tabs>
      <w:spacing w:before="60"/>
    </w:pPr>
    <w:rPr>
      <w:rFonts w:ascii="Arial" w:hAnsi="Arial"/>
      <w:b/>
      <w:sz w:val="22"/>
      <w:lang w:val="nb-NO"/>
    </w:rPr>
  </w:style>
  <w:style w:type="character" w:customStyle="1" w:styleId="HeaderZchnZchn">
    <w:name w:val="Header Zchn Zchn"/>
    <w:link w:val="Header1"/>
    <w:rsid w:val="0019760C"/>
    <w:rPr>
      <w:rFonts w:ascii="Arial" w:eastAsia="Times New Roman" w:hAnsi="Arial"/>
      <w:b/>
      <w:sz w:val="22"/>
      <w:lang w:val="nb-NO"/>
    </w:rPr>
  </w:style>
  <w:style w:type="paragraph" w:customStyle="1" w:styleId="Header3">
    <w:name w:val="Header3"/>
    <w:basedOn w:val="En-tte"/>
    <w:rsid w:val="0006660F"/>
    <w:pPr>
      <w:tabs>
        <w:tab w:val="clear" w:pos="4677"/>
        <w:tab w:val="clear" w:pos="9355"/>
        <w:tab w:val="center" w:pos="4536"/>
        <w:tab w:val="right" w:pos="9072"/>
      </w:tabs>
    </w:pPr>
    <w:rPr>
      <w:rFonts w:ascii="Arial" w:hAnsi="Arial"/>
      <w:b/>
      <w:sz w:val="22"/>
      <w:lang w:val="nb-NO"/>
    </w:rPr>
  </w:style>
  <w:style w:type="paragraph" w:customStyle="1" w:styleId="Header4">
    <w:name w:val="Header4"/>
    <w:basedOn w:val="En-tte"/>
    <w:rsid w:val="00870AAA"/>
    <w:pPr>
      <w:tabs>
        <w:tab w:val="clear" w:pos="4677"/>
        <w:tab w:val="clear" w:pos="9355"/>
        <w:tab w:val="center" w:pos="4536"/>
        <w:tab w:val="right" w:pos="9072"/>
      </w:tabs>
    </w:pPr>
    <w:rPr>
      <w:rFonts w:ascii="Arial" w:hAnsi="Arial"/>
      <w:b/>
      <w:sz w:val="22"/>
      <w:lang w:val="nb-NO"/>
    </w:rPr>
  </w:style>
  <w:style w:type="paragraph" w:customStyle="1" w:styleId="Header5">
    <w:name w:val="Header5"/>
    <w:basedOn w:val="En-tte"/>
    <w:rsid w:val="00C712BC"/>
    <w:pPr>
      <w:tabs>
        <w:tab w:val="clear" w:pos="4677"/>
        <w:tab w:val="clear" w:pos="9355"/>
        <w:tab w:val="center" w:pos="4536"/>
        <w:tab w:val="right" w:pos="9072"/>
      </w:tabs>
    </w:pPr>
    <w:rPr>
      <w:rFonts w:ascii="Arial" w:hAnsi="Arial"/>
      <w:b/>
      <w:sz w:val="22"/>
      <w:lang w:val="nb-NO"/>
    </w:rPr>
  </w:style>
  <w:style w:type="paragraph" w:styleId="Notedefin">
    <w:name w:val="endnote text"/>
    <w:basedOn w:val="Normal"/>
    <w:link w:val="NotedefinCar"/>
    <w:uiPriority w:val="99"/>
    <w:semiHidden/>
    <w:unhideWhenUsed/>
    <w:rsid w:val="005B2E2B"/>
  </w:style>
  <w:style w:type="character" w:customStyle="1" w:styleId="NotedefinCar">
    <w:name w:val="Endnote Text Char"/>
    <w:basedOn w:val="Policepardfaut"/>
    <w:link w:val="Notedefin"/>
    <w:uiPriority w:val="99"/>
    <w:semiHidden/>
    <w:rsid w:val="005B2E2B"/>
    <w:rPr>
      <w:rFonts w:ascii="Times New Roman" w:eastAsia="Times New Roman" w:hAnsi="Times New Roman"/>
      <w:lang w:val="en-GB" w:eastAsia="de-DE"/>
    </w:rPr>
  </w:style>
  <w:style w:type="character" w:styleId="Appeldenotedefin">
    <w:name w:val="endnote reference"/>
    <w:basedOn w:val="Policepardfaut"/>
    <w:uiPriority w:val="99"/>
    <w:semiHidden/>
    <w:unhideWhenUsed/>
    <w:rsid w:val="005B2E2B"/>
    <w:rPr>
      <w:vertAlign w:val="superscript"/>
    </w:rPr>
  </w:style>
  <w:style w:type="paragraph" w:styleId="Rvision">
    <w:name w:val="Revision"/>
    <w:hidden/>
    <w:uiPriority w:val="99"/>
    <w:semiHidden/>
    <w:rsid w:val="006607D7"/>
    <w:rPr>
      <w:rFonts w:ascii="Times New Roman" w:eastAsia="Times New Roman" w:hAnsi="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976">
      <w:bodyDiv w:val="1"/>
      <w:marLeft w:val="0"/>
      <w:marRight w:val="0"/>
      <w:marTop w:val="0"/>
      <w:marBottom w:val="0"/>
      <w:divBdr>
        <w:top w:val="none" w:sz="0" w:space="0" w:color="auto"/>
        <w:left w:val="none" w:sz="0" w:space="0" w:color="auto"/>
        <w:bottom w:val="none" w:sz="0" w:space="0" w:color="auto"/>
        <w:right w:val="none" w:sz="0" w:space="0" w:color="auto"/>
      </w:divBdr>
    </w:div>
    <w:div w:id="331639492">
      <w:bodyDiv w:val="1"/>
      <w:marLeft w:val="0"/>
      <w:marRight w:val="0"/>
      <w:marTop w:val="0"/>
      <w:marBottom w:val="0"/>
      <w:divBdr>
        <w:top w:val="none" w:sz="0" w:space="0" w:color="auto"/>
        <w:left w:val="none" w:sz="0" w:space="0" w:color="auto"/>
        <w:bottom w:val="none" w:sz="0" w:space="0" w:color="auto"/>
        <w:right w:val="none" w:sz="0" w:space="0" w:color="auto"/>
      </w:divBdr>
      <w:divsChild>
        <w:div w:id="116410144">
          <w:marLeft w:val="0"/>
          <w:marRight w:val="0"/>
          <w:marTop w:val="0"/>
          <w:marBottom w:val="0"/>
          <w:divBdr>
            <w:top w:val="none" w:sz="0" w:space="0" w:color="auto"/>
            <w:left w:val="none" w:sz="0" w:space="0" w:color="auto"/>
            <w:bottom w:val="none" w:sz="0" w:space="0" w:color="auto"/>
            <w:right w:val="none" w:sz="0" w:space="0" w:color="auto"/>
          </w:divBdr>
        </w:div>
        <w:div w:id="906451631">
          <w:marLeft w:val="0"/>
          <w:marRight w:val="0"/>
          <w:marTop w:val="0"/>
          <w:marBottom w:val="0"/>
          <w:divBdr>
            <w:top w:val="none" w:sz="0" w:space="0" w:color="auto"/>
            <w:left w:val="none" w:sz="0" w:space="0" w:color="auto"/>
            <w:bottom w:val="none" w:sz="0" w:space="0" w:color="auto"/>
            <w:right w:val="none" w:sz="0" w:space="0" w:color="auto"/>
          </w:divBdr>
        </w:div>
      </w:divsChild>
    </w:div>
    <w:div w:id="1077246437">
      <w:bodyDiv w:val="1"/>
      <w:marLeft w:val="0"/>
      <w:marRight w:val="0"/>
      <w:marTop w:val="0"/>
      <w:marBottom w:val="0"/>
      <w:divBdr>
        <w:top w:val="none" w:sz="0" w:space="0" w:color="auto"/>
        <w:left w:val="none" w:sz="0" w:space="0" w:color="auto"/>
        <w:bottom w:val="none" w:sz="0" w:space="0" w:color="auto"/>
        <w:right w:val="none" w:sz="0" w:space="0" w:color="auto"/>
      </w:divBdr>
    </w:div>
    <w:div w:id="1888447790">
      <w:bodyDiv w:val="1"/>
      <w:marLeft w:val="0"/>
      <w:marRight w:val="0"/>
      <w:marTop w:val="0"/>
      <w:marBottom w:val="0"/>
      <w:divBdr>
        <w:top w:val="none" w:sz="0" w:space="0" w:color="auto"/>
        <w:left w:val="none" w:sz="0" w:space="0" w:color="auto"/>
        <w:bottom w:val="none" w:sz="0" w:space="0" w:color="auto"/>
        <w:right w:val="none" w:sz="0" w:space="0" w:color="auto"/>
      </w:divBdr>
      <w:divsChild>
        <w:div w:id="1401055632">
          <w:marLeft w:val="0"/>
          <w:marRight w:val="0"/>
          <w:marTop w:val="0"/>
          <w:marBottom w:val="0"/>
          <w:divBdr>
            <w:top w:val="none" w:sz="0" w:space="0" w:color="auto"/>
            <w:left w:val="none" w:sz="0" w:space="0" w:color="auto"/>
            <w:bottom w:val="none" w:sz="0" w:space="0" w:color="auto"/>
            <w:right w:val="none" w:sz="0" w:space="0" w:color="auto"/>
          </w:divBdr>
        </w:div>
        <w:div w:id="1864784801">
          <w:marLeft w:val="0"/>
          <w:marRight w:val="0"/>
          <w:marTop w:val="0"/>
          <w:marBottom w:val="0"/>
          <w:divBdr>
            <w:top w:val="none" w:sz="0" w:space="0" w:color="auto"/>
            <w:left w:val="none" w:sz="0" w:space="0" w:color="auto"/>
            <w:bottom w:val="none" w:sz="0" w:space="0" w:color="auto"/>
            <w:right w:val="none" w:sz="0" w:space="0" w:color="auto"/>
          </w:divBdr>
        </w:div>
      </w:divsChild>
    </w:div>
    <w:div w:id="2003388721">
      <w:bodyDiv w:val="1"/>
      <w:marLeft w:val="0"/>
      <w:marRight w:val="0"/>
      <w:marTop w:val="0"/>
      <w:marBottom w:val="0"/>
      <w:divBdr>
        <w:top w:val="none" w:sz="0" w:space="0" w:color="auto"/>
        <w:left w:val="none" w:sz="0" w:space="0" w:color="auto"/>
        <w:bottom w:val="none" w:sz="0" w:space="0" w:color="auto"/>
        <w:right w:val="none" w:sz="0" w:space="0" w:color="auto"/>
      </w:divBdr>
      <w:divsChild>
        <w:div w:id="1135952547">
          <w:marLeft w:val="0"/>
          <w:marRight w:val="0"/>
          <w:marTop w:val="0"/>
          <w:marBottom w:val="0"/>
          <w:divBdr>
            <w:top w:val="none" w:sz="0" w:space="0" w:color="auto"/>
            <w:left w:val="none" w:sz="0" w:space="0" w:color="auto"/>
            <w:bottom w:val="none" w:sz="0" w:space="0" w:color="auto"/>
            <w:right w:val="none" w:sz="0" w:space="0" w:color="auto"/>
          </w:divBdr>
        </w:div>
        <w:div w:id="214253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p.etsi.org/WorkProgram/Report_WorkItem.asp?WKI_ID=35103" TargetMode="External"/><Relationship Id="rId18" Type="http://schemas.openxmlformats.org/officeDocument/2006/relationships/hyperlink" Target="http://webapp.etsi.org/WorkProgram/Report_WorkItem.asp?wki_id=419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ebapp.etsi.org/WorkProgram/Report_WorkItem.asp?WKI_ID=35102" TargetMode="External"/><Relationship Id="rId17" Type="http://schemas.openxmlformats.org/officeDocument/2006/relationships/hyperlink" Target="http://webapp.etsi.org/WorkProgram/Report_WorkItem.asp?WKI_ID=41305" TargetMode="External"/><Relationship Id="rId2" Type="http://schemas.openxmlformats.org/officeDocument/2006/relationships/numbering" Target="numbering.xml"/><Relationship Id="rId16" Type="http://schemas.openxmlformats.org/officeDocument/2006/relationships/hyperlink" Target="http://webapp.etsi.org/WorkProgram/Report_WorkItem.asp?WKI_ID=383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p.etsi.org/WorkProgram/Report_WorkItem.asp?WKI_ID=34709" TargetMode="External"/><Relationship Id="rId5" Type="http://schemas.openxmlformats.org/officeDocument/2006/relationships/settings" Target="settings.xml"/><Relationship Id="rId15" Type="http://schemas.openxmlformats.org/officeDocument/2006/relationships/hyperlink" Target="http://webapp.etsi.org/WorkProgram/Report_WorkItem.asp?WKI_ID=39434" TargetMode="External"/><Relationship Id="rId10" Type="http://schemas.openxmlformats.org/officeDocument/2006/relationships/hyperlink" Target="http://webapp.etsi.org/WorkProgram/Report_WorkItem.asp?WKI_ID=39276" TargetMode="External"/><Relationship Id="rId19" Type="http://schemas.openxmlformats.org/officeDocument/2006/relationships/hyperlink" Target="http://webapp.etsi.org/WorkProgram/Report_WorkItem.asp?WKI_ID=39318"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ebapp.etsi.org/WorkProgram/Report_WorkItem.asp?WKI_ID=3943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63A6-D4C6-46AE-A17E-86BDE49D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8359</Words>
  <Characters>45978</Characters>
  <Application>Microsoft Office Word</Application>
  <DocSecurity>0</DocSecurity>
  <Lines>383</Lines>
  <Paragraphs>108</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NOTE: Revisions of FM(08)128 Annex 28 are based on  FM(09)018 Sec</vt:lpstr>
      <vt:lpstr>{ NOTE: Revisions of FM(08)128 Annex 28 are based on  FM(09)018 Sec</vt:lpstr>
      <vt:lpstr>{ NOTE: Revisions of FM(08)128 Annex 28 are based on  FM(09)018 Sec</vt:lpstr>
    </vt:vector>
  </TitlesOfParts>
  <Company/>
  <LinksUpToDate>false</LinksUpToDate>
  <CharactersWithSpaces>54229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Revisions of FM(08)128 Annex 28 are based on  FM(09)018 Sec</dc:title>
  <dc:creator>Pastukh</dc:creator>
  <dc:description>11 February 2009.</dc:description>
  <cp:lastModifiedBy>RISSONE Christian</cp:lastModifiedBy>
  <cp:revision>7</cp:revision>
  <cp:lastPrinted>2013-05-06T07:11:00Z</cp:lastPrinted>
  <dcterms:created xsi:type="dcterms:W3CDTF">2014-02-22T09:47:00Z</dcterms:created>
  <dcterms:modified xsi:type="dcterms:W3CDTF">2014-02-24T12:57:00Z</dcterms:modified>
</cp:coreProperties>
</file>