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C65B74" w:rsidP="00215746">
            <w:pPr>
              <w:pStyle w:val="Kopfzeile1"/>
            </w:pPr>
            <w:r>
              <w:rPr>
                <w:noProof/>
                <w:lang w:val="fr-FR" w:eastAsia="fr-FR"/>
              </w:rPr>
              <w:drawing>
                <wp:inline distT="0" distB="0" distL="0" distR="0">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346C62" w:rsidRDefault="0098621D" w:rsidP="0079130F">
            <w:pPr>
              <w:pStyle w:val="Kopfzeile1"/>
              <w:tabs>
                <w:tab w:val="clear" w:pos="4536"/>
                <w:tab w:val="right" w:pos="3357"/>
              </w:tabs>
            </w:pPr>
            <w:r>
              <w:tab/>
            </w:r>
            <w:r w:rsidR="00533846">
              <w:t>Doc</w:t>
            </w:r>
            <w:r w:rsidR="00ED7AEC">
              <w:t>. ECC(1</w:t>
            </w:r>
            <w:r w:rsidR="00C76C32">
              <w:t>4</w:t>
            </w:r>
            <w:r w:rsidR="00ED7AEC">
              <w:t>)</w:t>
            </w:r>
            <w:r w:rsidR="0079130F">
              <w:t>017</w:t>
            </w:r>
            <w:bookmarkStart w:id="0" w:name="_GoBack"/>
            <w:bookmarkEnd w:id="0"/>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D149DA" w:rsidP="00A235AB">
            <w:pPr>
              <w:pStyle w:val="Kopfzeile1"/>
              <w:rPr>
                <w:lang w:val="en-GB"/>
              </w:rPr>
            </w:pPr>
            <w:r>
              <w:rPr>
                <w:lang w:val="en-GB"/>
              </w:rPr>
              <w:t>3</w:t>
            </w:r>
            <w:r w:rsidR="00A235AB">
              <w:rPr>
                <w:lang w:val="en-GB"/>
              </w:rPr>
              <w:t>6</w:t>
            </w:r>
            <w:r w:rsidR="00A235AB" w:rsidRPr="00A235AB">
              <w:rPr>
                <w:vertAlign w:val="superscript"/>
                <w:lang w:val="en-GB"/>
              </w:rPr>
              <w:t>th</w:t>
            </w:r>
            <w:r w:rsidR="00A235AB">
              <w:rPr>
                <w:lang w:val="en-GB"/>
              </w:rPr>
              <w:t xml:space="preserve"> </w:t>
            </w:r>
            <w:r w:rsidR="001E0E49" w:rsidRPr="00D149DA">
              <w:rPr>
                <w:lang w:val="en-GB"/>
              </w:rPr>
              <w:t>Meeting</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A235AB" w:rsidP="00A235AB">
            <w:pPr>
              <w:pStyle w:val="Kopfzeile1"/>
              <w:rPr>
                <w:lang w:val="en-GB"/>
              </w:rPr>
            </w:pPr>
            <w:r>
              <w:rPr>
                <w:lang w:val="en-GB"/>
              </w:rPr>
              <w:t>Cluj-Napoca, 11</w:t>
            </w:r>
            <w:r w:rsidR="00D149DA" w:rsidRPr="00D149DA">
              <w:rPr>
                <w:vertAlign w:val="superscript"/>
                <w:lang w:val="en-GB"/>
              </w:rPr>
              <w:t>th</w:t>
            </w:r>
            <w:r w:rsidR="00D149DA">
              <w:rPr>
                <w:lang w:val="en-GB"/>
              </w:rPr>
              <w:t xml:space="preserve"> </w:t>
            </w:r>
            <w:r w:rsidR="00A64930" w:rsidRPr="00D149DA">
              <w:rPr>
                <w:lang w:val="en-GB"/>
              </w:rPr>
              <w:t>–</w:t>
            </w:r>
            <w:r>
              <w:rPr>
                <w:lang w:val="en-GB"/>
              </w:rPr>
              <w:t xml:space="preserve"> 14</w:t>
            </w:r>
            <w:r w:rsidR="00D149DA" w:rsidRPr="00D149DA">
              <w:rPr>
                <w:vertAlign w:val="superscript"/>
                <w:lang w:val="en-GB"/>
              </w:rPr>
              <w:t>th</w:t>
            </w:r>
            <w:r w:rsidR="00D149DA">
              <w:rPr>
                <w:lang w:val="en-GB"/>
              </w:rPr>
              <w:t xml:space="preserve"> </w:t>
            </w:r>
            <w:r w:rsidR="00500553" w:rsidRPr="00D149DA">
              <w:rPr>
                <w:lang w:val="en-GB"/>
              </w:rPr>
              <w:t>March 201</w:t>
            </w:r>
            <w:r>
              <w:rPr>
                <w:lang w:val="en-GB"/>
              </w:rPr>
              <w:t>4</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Date issued:</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8621D" w:rsidRDefault="00B70AB8" w:rsidP="00215746">
            <w:pPr>
              <w:pStyle w:val="Kopfzeile1"/>
              <w:rPr>
                <w:lang w:val="en-GB"/>
              </w:rPr>
            </w:pPr>
            <w:r>
              <w:rPr>
                <w:lang w:val="en-GB"/>
              </w:rPr>
              <w:t>3</w:t>
            </w:r>
            <w:r w:rsidRPr="00B70AB8">
              <w:rPr>
                <w:vertAlign w:val="superscript"/>
                <w:lang w:val="en-GB"/>
              </w:rPr>
              <w:t>rd</w:t>
            </w:r>
            <w:r>
              <w:rPr>
                <w:lang w:val="en-GB"/>
              </w:rPr>
              <w:t xml:space="preserve"> 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797" w:type="dxa"/>
            <w:gridSpan w:val="3"/>
            <w:tcBorders>
              <w:top w:val="nil"/>
              <w:left w:val="nil"/>
              <w:bottom w:val="nil"/>
              <w:right w:val="nil"/>
            </w:tcBorders>
            <w:vAlign w:val="center"/>
          </w:tcPr>
          <w:p w:rsidR="00F05B26" w:rsidRPr="00B70AB8" w:rsidRDefault="00B70AB8" w:rsidP="00B70AB8">
            <w:pPr>
              <w:pStyle w:val="Kopfzeile1"/>
              <w:rPr>
                <w:b w:val="0"/>
                <w:lang w:val="en-GB"/>
              </w:rPr>
            </w:pPr>
            <w:r w:rsidRPr="00B70AB8">
              <w:rPr>
                <w:b w:val="0"/>
                <w:lang w:val="en-GB"/>
              </w:rPr>
              <w:t>ECO</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797" w:type="dxa"/>
            <w:gridSpan w:val="3"/>
            <w:tcBorders>
              <w:top w:val="nil"/>
              <w:left w:val="nil"/>
              <w:bottom w:val="nil"/>
              <w:right w:val="nil"/>
            </w:tcBorders>
            <w:vAlign w:val="center"/>
          </w:tcPr>
          <w:p w:rsidR="00F05B26" w:rsidRPr="00B70AB8" w:rsidRDefault="00B70AB8" w:rsidP="00B70AB8">
            <w:pPr>
              <w:pStyle w:val="Kopfzeile1"/>
              <w:rPr>
                <w:b w:val="0"/>
                <w:lang w:val="en-GB"/>
              </w:rPr>
            </w:pPr>
            <w:r w:rsidRPr="00B70AB8">
              <w:rPr>
                <w:b w:val="0"/>
                <w:lang w:val="en-GB"/>
              </w:rPr>
              <w:t>Update on Research Activity</w:t>
            </w: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C65B74"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254FD9" w:rsidRDefault="005269E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pPr>
          </w:p>
          <w:p w:rsidR="00493F86" w:rsidRPr="0098621D" w:rsidRDefault="00493F86" w:rsidP="00FF320E">
            <w:pPr>
              <w:pStyle w:val="Header1"/>
              <w:rPr>
                <w:sz w:val="8"/>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B70AB8" w:rsidRPr="00D44060" w:rsidTr="00C6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6"/>
        </w:trPr>
        <w:tc>
          <w:tcPr>
            <w:tcW w:w="9640" w:type="dxa"/>
            <w:gridSpan w:val="4"/>
            <w:tcBorders>
              <w:top w:val="nil"/>
            </w:tcBorders>
          </w:tcPr>
          <w:p w:rsidR="00B70AB8" w:rsidRPr="00B70AB8" w:rsidRDefault="00B70AB8" w:rsidP="00B70AB8">
            <w:pPr>
              <w:rPr>
                <w:lang w:val="en-GB"/>
              </w:rPr>
            </w:pPr>
            <w:r w:rsidRPr="00B70AB8">
              <w:rPr>
                <w:lang w:val="en-GB"/>
              </w:rPr>
              <w:t xml:space="preserve">The </w:t>
            </w:r>
            <w:r w:rsidR="00C65B74">
              <w:rPr>
                <w:lang w:val="en-GB"/>
              </w:rPr>
              <w:t>ECC</w:t>
            </w:r>
            <w:r w:rsidRPr="00B70AB8">
              <w:rPr>
                <w:lang w:val="en-GB"/>
              </w:rPr>
              <w:t xml:space="preserve"> is invited to note the present state of contact with and involvement of research bodies in ECC work, beyond the direct involvement reported in ECC(</w:t>
            </w:r>
            <w:r w:rsidR="00C65B74">
              <w:rPr>
                <w:lang w:val="en-GB"/>
              </w:rPr>
              <w:t>13</w:t>
            </w:r>
            <w:r w:rsidRPr="00B70AB8">
              <w:rPr>
                <w:lang w:val="en-GB"/>
              </w:rPr>
              <w:t>)0</w:t>
            </w:r>
            <w:r w:rsidR="00C65B74">
              <w:rPr>
                <w:lang w:val="en-GB"/>
              </w:rPr>
              <w:t>76</w:t>
            </w:r>
            <w:r w:rsidRPr="00B70AB8">
              <w:rPr>
                <w:lang w:val="en-GB"/>
              </w:rPr>
              <w:t>, involving PT SE24, SRD/MG, ECC PT1 and (then) SE43.</w:t>
            </w:r>
          </w:p>
          <w:p w:rsidR="00B70AB8" w:rsidRPr="00B70AB8" w:rsidRDefault="00B70AB8" w:rsidP="00B70AB8">
            <w:pPr>
              <w:rPr>
                <w:lang w:val="en-GB"/>
              </w:rPr>
            </w:pPr>
            <w:r w:rsidRPr="00B70AB8">
              <w:rPr>
                <w:lang w:val="en-GB"/>
              </w:rPr>
              <w:t>The ECO’s present contact is in two planned presentations at research-focused workshops, as detailed below.  This was reported to the recent WG FM and WG SE meetings.</w:t>
            </w:r>
          </w:p>
          <w:p w:rsidR="00B70AB8" w:rsidRPr="00B70AB8" w:rsidRDefault="00B70AB8" w:rsidP="00B70AB8">
            <w:pPr>
              <w:rPr>
                <w:lang w:val="en-GB"/>
              </w:rPr>
            </w:pPr>
            <w:r w:rsidRPr="00B70AB8">
              <w:rPr>
                <w:lang w:val="en-GB"/>
              </w:rPr>
              <w:t>The ECO has also consulted WGSE/FM PTs, in order to update the list of research areas which could bring added value to the technical/regulatory work conducted in those groups.</w:t>
            </w:r>
          </w:p>
          <w:p w:rsidR="00B70AB8" w:rsidRPr="001E0E49" w:rsidRDefault="00B70AB8" w:rsidP="00B70AB8">
            <w:r w:rsidRPr="00B70AB8">
              <w:rPr>
                <w:lang w:val="en-GB"/>
              </w:rPr>
              <w:t>This has brought one response, from SE7, about the current Finnish project RFI (</w:t>
            </w:r>
            <w:hyperlink r:id="rId9" w:history="1">
              <w:r w:rsidRPr="00B70AB8">
                <w:rPr>
                  <w:rStyle w:val="Lienhypertexte"/>
                  <w:lang w:val="en-GB"/>
                </w:rPr>
                <w:t>http://radio.aalto.fi/en/research/space_technology/rfi-detection_and_classification_of_radio_frequency_interference/</w:t>
              </w:r>
            </w:hyperlink>
            <w:r w:rsidRPr="00B70AB8">
              <w:rPr>
                <w:lang w:val="en-GB"/>
              </w:rPr>
              <w:t xml:space="preserve"> ), dealing with measuring of unwanted emissions in the passive band 1.4 GHz.   </w:t>
            </w:r>
          </w:p>
          <w:p w:rsidR="00B70AB8" w:rsidRPr="001E0E49" w:rsidRDefault="00B70AB8" w:rsidP="001E0E49"/>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E0E49" w:rsidRDefault="001E0E49" w:rsidP="001E0E49">
            <w:pPr>
              <w:pStyle w:val="Kopfzeile1"/>
              <w:rPr>
                <w:lang w:val="en-US"/>
              </w:rPr>
            </w:pPr>
            <w:r>
              <w:rPr>
                <w:lang w:val="en-US"/>
              </w:rPr>
              <w:t>Background:</w:t>
            </w:r>
            <w:r w:rsidR="00ED7AEC">
              <w:rPr>
                <w:lang w:val="en-US"/>
              </w:rPr>
              <w:t xml:space="preserve"> </w:t>
            </w:r>
          </w:p>
        </w:tc>
      </w:tr>
      <w:tr w:rsidR="001E0E49" w:rsidRPr="00E305FF"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B70AB8" w:rsidRPr="00B70AB8" w:rsidRDefault="00B70AB8" w:rsidP="00B70AB8">
            <w:pPr>
              <w:rPr>
                <w:bCs/>
                <w:szCs w:val="24"/>
              </w:rPr>
            </w:pPr>
            <w:r w:rsidRPr="00B70AB8">
              <w:rPr>
                <w:bCs/>
                <w:szCs w:val="24"/>
              </w:rPr>
              <w:t>The ECC published its Strategic Plan in March 2010. Within this five year strategy, the ECO’s tasks include to “develop relations with universities and relevant scientific institutes that would be willing to do research in spectrum management, and (to) give advice to research institutes on issues to investigate or on specific research” and to “explore relationships with European research programmes”.</w:t>
            </w:r>
          </w:p>
          <w:p w:rsidR="00B70AB8" w:rsidRPr="00B70AB8" w:rsidRDefault="00B70AB8" w:rsidP="00B70AB8">
            <w:pPr>
              <w:rPr>
                <w:bCs/>
                <w:szCs w:val="24"/>
              </w:rPr>
            </w:pPr>
            <w:r w:rsidRPr="00B70AB8">
              <w:rPr>
                <w:bCs/>
                <w:szCs w:val="24"/>
              </w:rPr>
              <w:t xml:space="preserve">This programme has reached a more mature phase where new contacts are made at a reduced level, and research projects of relevance participate more directly in ECC activity.  The ECC has been </w:t>
            </w:r>
            <w:r w:rsidR="00C65B74">
              <w:rPr>
                <w:bCs/>
                <w:szCs w:val="24"/>
              </w:rPr>
              <w:t>informed of this evolution at previous meetings.</w:t>
            </w:r>
          </w:p>
          <w:p w:rsidR="00B70AB8" w:rsidRPr="00B70AB8" w:rsidRDefault="00B70AB8" w:rsidP="00B70AB8">
            <w:pPr>
              <w:rPr>
                <w:bCs/>
                <w:szCs w:val="24"/>
              </w:rPr>
            </w:pPr>
          </w:p>
          <w:p w:rsidR="001E0E49" w:rsidRPr="00E305FF" w:rsidRDefault="00B70AB8" w:rsidP="00B70AB8">
            <w:pPr>
              <w:rPr>
                <w:bCs/>
                <w:szCs w:val="24"/>
                <w:lang w:val="en-GB"/>
              </w:rPr>
            </w:pPr>
            <w:r w:rsidRPr="00B70AB8">
              <w:rPr>
                <w:bCs/>
                <w:szCs w:val="24"/>
              </w:rPr>
              <w:t xml:space="preserve">The research activity page of the CEPT/ECC web-site gives a summary at </w:t>
            </w:r>
            <w:r w:rsidR="00FF1E00">
              <w:fldChar w:fldCharType="begin"/>
            </w:r>
            <w:r w:rsidR="00FF1E00">
              <w:instrText xml:space="preserve"> HYPERLINK "http://www.cept.org/ecc/topics/research-activity" </w:instrText>
            </w:r>
            <w:r w:rsidR="00FF1E00">
              <w:fldChar w:fldCharType="separate"/>
            </w:r>
            <w:r w:rsidRPr="00B70AB8">
              <w:rPr>
                <w:rStyle w:val="Lienhypertexte"/>
                <w:bCs/>
                <w:szCs w:val="24"/>
              </w:rPr>
              <w:t>http://www.cept.org/ecc/topics/research-activity</w:t>
            </w:r>
            <w:r w:rsidR="00FF1E00">
              <w:rPr>
                <w:rStyle w:val="Lienhypertexte"/>
                <w:bCs/>
                <w:szCs w:val="24"/>
              </w:rPr>
              <w:fldChar w:fldCharType="end"/>
            </w:r>
            <w:r w:rsidRPr="00B70AB8">
              <w:rPr>
                <w:bCs/>
                <w:szCs w:val="24"/>
              </w:rPr>
              <w:t>.</w:t>
            </w:r>
          </w:p>
        </w:tc>
      </w:tr>
    </w:tbl>
    <w:p w:rsidR="00DE5E01" w:rsidRDefault="00DE5E01" w:rsidP="00DE5E01">
      <w:pPr>
        <w:rPr>
          <w:lang w:val="en-GB"/>
        </w:rPr>
      </w:pPr>
    </w:p>
    <w:p w:rsidR="00C65B74" w:rsidRPr="00C65B74" w:rsidRDefault="00C65B74" w:rsidP="00C65B74">
      <w:pPr>
        <w:rPr>
          <w:b/>
          <w:lang w:val="en-GB"/>
        </w:rPr>
      </w:pPr>
      <w:r>
        <w:rPr>
          <w:lang w:val="en-GB"/>
        </w:rPr>
        <w:br w:type="page"/>
      </w:r>
      <w:r w:rsidRPr="00C65B74">
        <w:rPr>
          <w:b/>
          <w:lang w:val="en-GB"/>
        </w:rPr>
        <w:lastRenderedPageBreak/>
        <w:t>Research workshops</w:t>
      </w:r>
    </w:p>
    <w:p w:rsidR="00C65B74" w:rsidRPr="00C65B74" w:rsidRDefault="00C65B74" w:rsidP="00C65B74">
      <w:pPr>
        <w:rPr>
          <w:lang w:val="en-GB"/>
        </w:rPr>
      </w:pPr>
      <w:r w:rsidRPr="00C65B74">
        <w:rPr>
          <w:lang w:val="en-GB"/>
        </w:rPr>
        <w:t xml:space="preserve">1)  The ECO will make a presentation about CEPT preparations for the WRC-15 on IMT additional allocations at a Workshop ‘Radio Access and Spectrum innovations for 5G’. This workshop is organised by a group of FP7/H2020 research projects, with support from the European Commission. The Workshop will take place in Athens, March 2014 co-located with the Future Internet Assembly (FIA). </w:t>
      </w:r>
    </w:p>
    <w:p w:rsidR="00C65B74" w:rsidRPr="00C65B74" w:rsidRDefault="00C65B74" w:rsidP="00C65B74">
      <w:pPr>
        <w:rPr>
          <w:lang w:val="en-GB"/>
        </w:rPr>
      </w:pPr>
      <w:r w:rsidRPr="00C65B74">
        <w:rPr>
          <w:lang w:val="en-GB"/>
        </w:rPr>
        <w:t xml:space="preserve">The presentation will explain the status of CEPT preparations for the WRC-15 on additional spectrum for the mobile service. </w:t>
      </w:r>
    </w:p>
    <w:p w:rsidR="00C65B74" w:rsidRPr="00C65B74" w:rsidRDefault="00C65B74" w:rsidP="00C65B74">
      <w:pPr>
        <w:rPr>
          <w:lang w:val="en-GB"/>
        </w:rPr>
      </w:pPr>
      <w:r w:rsidRPr="00C65B74">
        <w:rPr>
          <w:lang w:val="en-GB"/>
        </w:rPr>
        <w:t xml:space="preserve">2)  The ECO has been invited to make a presentation at the EMC Symposium 2014 in </w:t>
      </w:r>
      <w:proofErr w:type="spellStart"/>
      <w:r w:rsidRPr="00C65B74">
        <w:rPr>
          <w:lang w:val="en-GB"/>
        </w:rPr>
        <w:t>Göteborg</w:t>
      </w:r>
      <w:proofErr w:type="spellEnd"/>
      <w:r w:rsidRPr="00C65B74">
        <w:rPr>
          <w:lang w:val="en-GB"/>
        </w:rPr>
        <w:t xml:space="preserve">.  This will be made in a special session under the theme "Models for System-Level EMC Analysis". </w:t>
      </w:r>
    </w:p>
    <w:p w:rsidR="00C65B74" w:rsidRPr="00C65B74" w:rsidRDefault="00C65B74" w:rsidP="00C65B74">
      <w:pPr>
        <w:rPr>
          <w:lang w:val="en-GB"/>
        </w:rPr>
      </w:pPr>
      <w:r w:rsidRPr="00C65B74">
        <w:rPr>
          <w:lang w:val="en-GB"/>
        </w:rPr>
        <w:t>The plan is to present a paper providing examples of CEPT studies using SEAMCAT as an example of a relevant modelling tool for system-level EMC analysis.</w:t>
      </w:r>
    </w:p>
    <w:p w:rsidR="00C65B74" w:rsidRPr="00C65B74" w:rsidRDefault="00C65B74" w:rsidP="00C65B74">
      <w:pPr>
        <w:rPr>
          <w:lang w:val="en-GB"/>
        </w:rPr>
      </w:pPr>
      <w:r w:rsidRPr="00C65B74">
        <w:rPr>
          <w:lang w:val="en-GB"/>
        </w:rPr>
        <w:t xml:space="preserve">These presentations are also referenced in </w:t>
      </w:r>
      <w:r>
        <w:rPr>
          <w:lang w:val="en-GB"/>
        </w:rPr>
        <w:t>D</w:t>
      </w:r>
      <w:r w:rsidRPr="00C65B74">
        <w:rPr>
          <w:lang w:val="en-GB"/>
        </w:rPr>
        <w:t xml:space="preserve">oc. ECC </w:t>
      </w:r>
      <w:proofErr w:type="gramStart"/>
      <w:r w:rsidRPr="00C65B74">
        <w:rPr>
          <w:lang w:val="en-GB"/>
        </w:rPr>
        <w:t>SG(</w:t>
      </w:r>
      <w:proofErr w:type="gramEnd"/>
      <w:r w:rsidRPr="00C65B74">
        <w:rPr>
          <w:lang w:val="en-GB"/>
        </w:rPr>
        <w:t xml:space="preserve">14)15, </w:t>
      </w:r>
      <w:r>
        <w:rPr>
          <w:lang w:val="en-GB"/>
        </w:rPr>
        <w:t xml:space="preserve">which was </w:t>
      </w:r>
      <w:r w:rsidRPr="00C65B74">
        <w:rPr>
          <w:lang w:val="en-GB"/>
        </w:rPr>
        <w:t>presented to th</w:t>
      </w:r>
      <w:r>
        <w:rPr>
          <w:lang w:val="en-GB"/>
        </w:rPr>
        <w:t>e</w:t>
      </w:r>
      <w:r w:rsidRPr="00C65B74">
        <w:rPr>
          <w:lang w:val="en-GB"/>
        </w:rPr>
        <w:t xml:space="preserve"> SG meeting</w:t>
      </w:r>
      <w:r>
        <w:rPr>
          <w:lang w:val="en-GB"/>
        </w:rPr>
        <w:t xml:space="preserve"> in February 2014.</w:t>
      </w:r>
    </w:p>
    <w:p w:rsidR="00C65B74" w:rsidRPr="00DE5E01" w:rsidRDefault="00C65B74" w:rsidP="00DE5E01">
      <w:pPr>
        <w:rPr>
          <w:lang w:val="en-GB"/>
        </w:rPr>
      </w:pPr>
    </w:p>
    <w:sectPr w:rsidR="00C65B74" w:rsidRPr="00DE5E01"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00" w:rsidRDefault="00FF1E00">
      <w:r>
        <w:separator/>
      </w:r>
    </w:p>
  </w:endnote>
  <w:endnote w:type="continuationSeparator" w:id="0">
    <w:p w:rsidR="00FF1E00" w:rsidRDefault="00F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79130F">
      <w:rPr>
        <w:rStyle w:val="Numrodepage"/>
        <w:noProof/>
        <w:sz w:val="20"/>
      </w:rPr>
      <w:t>2</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00" w:rsidRDefault="00FF1E00">
      <w:r>
        <w:separator/>
      </w:r>
    </w:p>
  </w:footnote>
  <w:footnote w:type="continuationSeparator" w:id="0">
    <w:p w:rsidR="00FF1E00" w:rsidRDefault="00FF1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7"/>
  </w:num>
  <w:num w:numId="2">
    <w:abstractNumId w:val="0"/>
  </w:num>
  <w:num w:numId="3">
    <w:abstractNumId w:val="9"/>
  </w:num>
  <w:num w:numId="4">
    <w:abstractNumId w:val="9"/>
  </w:num>
  <w:num w:numId="5">
    <w:abstractNumId w:val="9"/>
  </w:num>
  <w:num w:numId="6">
    <w:abstractNumId w:val="8"/>
  </w:num>
  <w:num w:numId="7">
    <w:abstractNumId w:val="9"/>
  </w:num>
  <w:num w:numId="8">
    <w:abstractNumId w:val="9"/>
  </w:num>
  <w:num w:numId="9">
    <w:abstractNumId w:val="2"/>
  </w:num>
  <w:num w:numId="10">
    <w:abstractNumId w:val="5"/>
  </w:num>
  <w:num w:numId="11">
    <w:abstractNumId w:val="4"/>
  </w:num>
  <w:num w:numId="12">
    <w:abstractNumId w:val="6"/>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024DF"/>
    <w:rsid w:val="000233C6"/>
    <w:rsid w:val="00033112"/>
    <w:rsid w:val="000364E2"/>
    <w:rsid w:val="00042E6D"/>
    <w:rsid w:val="000641A7"/>
    <w:rsid w:val="00086867"/>
    <w:rsid w:val="00095D52"/>
    <w:rsid w:val="00097E34"/>
    <w:rsid w:val="000B0905"/>
    <w:rsid w:val="000D0F3C"/>
    <w:rsid w:val="000E346F"/>
    <w:rsid w:val="000F1373"/>
    <w:rsid w:val="00106047"/>
    <w:rsid w:val="00113B49"/>
    <w:rsid w:val="00135FE7"/>
    <w:rsid w:val="00161D26"/>
    <w:rsid w:val="00162CBB"/>
    <w:rsid w:val="0016435A"/>
    <w:rsid w:val="001D181E"/>
    <w:rsid w:val="001E0E49"/>
    <w:rsid w:val="001F2614"/>
    <w:rsid w:val="00215746"/>
    <w:rsid w:val="00222F7B"/>
    <w:rsid w:val="00260D98"/>
    <w:rsid w:val="0026766F"/>
    <w:rsid w:val="00277BC1"/>
    <w:rsid w:val="0028051D"/>
    <w:rsid w:val="00294331"/>
    <w:rsid w:val="002A02A3"/>
    <w:rsid w:val="002B169D"/>
    <w:rsid w:val="002B47FC"/>
    <w:rsid w:val="002B683F"/>
    <w:rsid w:val="00314E5E"/>
    <w:rsid w:val="00326C68"/>
    <w:rsid w:val="00346C62"/>
    <w:rsid w:val="00357A5F"/>
    <w:rsid w:val="0039030E"/>
    <w:rsid w:val="003A57CC"/>
    <w:rsid w:val="003B1654"/>
    <w:rsid w:val="003C2268"/>
    <w:rsid w:val="003C4848"/>
    <w:rsid w:val="003C53D0"/>
    <w:rsid w:val="003E76E9"/>
    <w:rsid w:val="003F73E2"/>
    <w:rsid w:val="004002F7"/>
    <w:rsid w:val="00430369"/>
    <w:rsid w:val="00431D12"/>
    <w:rsid w:val="004369DC"/>
    <w:rsid w:val="00443C40"/>
    <w:rsid w:val="004648A4"/>
    <w:rsid w:val="004662F9"/>
    <w:rsid w:val="00486369"/>
    <w:rsid w:val="00493F86"/>
    <w:rsid w:val="004A099D"/>
    <w:rsid w:val="004A47FF"/>
    <w:rsid w:val="004B23D3"/>
    <w:rsid w:val="004F061E"/>
    <w:rsid w:val="004F2824"/>
    <w:rsid w:val="004F2E89"/>
    <w:rsid w:val="00500553"/>
    <w:rsid w:val="005269EA"/>
    <w:rsid w:val="0053015C"/>
    <w:rsid w:val="00533846"/>
    <w:rsid w:val="005348B2"/>
    <w:rsid w:val="005434C4"/>
    <w:rsid w:val="00554550"/>
    <w:rsid w:val="005549FF"/>
    <w:rsid w:val="00562E1E"/>
    <w:rsid w:val="005761BB"/>
    <w:rsid w:val="005F1C1F"/>
    <w:rsid w:val="00616265"/>
    <w:rsid w:val="0063524D"/>
    <w:rsid w:val="006542C3"/>
    <w:rsid w:val="0065588F"/>
    <w:rsid w:val="00664805"/>
    <w:rsid w:val="00684589"/>
    <w:rsid w:val="006845C9"/>
    <w:rsid w:val="006902F9"/>
    <w:rsid w:val="00690B4B"/>
    <w:rsid w:val="0069180A"/>
    <w:rsid w:val="006C4BCC"/>
    <w:rsid w:val="006D1EAC"/>
    <w:rsid w:val="006E1FA9"/>
    <w:rsid w:val="0070740D"/>
    <w:rsid w:val="007538DB"/>
    <w:rsid w:val="0075560F"/>
    <w:rsid w:val="00782F34"/>
    <w:rsid w:val="0079130F"/>
    <w:rsid w:val="007925CA"/>
    <w:rsid w:val="00793843"/>
    <w:rsid w:val="007A1831"/>
    <w:rsid w:val="007A49AD"/>
    <w:rsid w:val="00802521"/>
    <w:rsid w:val="00807AA2"/>
    <w:rsid w:val="00807F54"/>
    <w:rsid w:val="00820168"/>
    <w:rsid w:val="00884205"/>
    <w:rsid w:val="008A37BA"/>
    <w:rsid w:val="008D2718"/>
    <w:rsid w:val="008D4942"/>
    <w:rsid w:val="008D763E"/>
    <w:rsid w:val="008F33D5"/>
    <w:rsid w:val="008F5596"/>
    <w:rsid w:val="008F5ECB"/>
    <w:rsid w:val="008F677F"/>
    <w:rsid w:val="009852E6"/>
    <w:rsid w:val="0098621D"/>
    <w:rsid w:val="00997A4D"/>
    <w:rsid w:val="009B3CB6"/>
    <w:rsid w:val="009C2F3B"/>
    <w:rsid w:val="009D242F"/>
    <w:rsid w:val="009D4B2F"/>
    <w:rsid w:val="00A024A8"/>
    <w:rsid w:val="00A235AB"/>
    <w:rsid w:val="00A267CE"/>
    <w:rsid w:val="00A47207"/>
    <w:rsid w:val="00A477F3"/>
    <w:rsid w:val="00A55294"/>
    <w:rsid w:val="00A64930"/>
    <w:rsid w:val="00A77E89"/>
    <w:rsid w:val="00A87C8C"/>
    <w:rsid w:val="00A95309"/>
    <w:rsid w:val="00AA26E7"/>
    <w:rsid w:val="00AA3CFD"/>
    <w:rsid w:val="00AA59E8"/>
    <w:rsid w:val="00AC0304"/>
    <w:rsid w:val="00AC345D"/>
    <w:rsid w:val="00AD241F"/>
    <w:rsid w:val="00AE7906"/>
    <w:rsid w:val="00B0161E"/>
    <w:rsid w:val="00B1073A"/>
    <w:rsid w:val="00B1660B"/>
    <w:rsid w:val="00B6512A"/>
    <w:rsid w:val="00B70AB8"/>
    <w:rsid w:val="00B70CD3"/>
    <w:rsid w:val="00B90507"/>
    <w:rsid w:val="00BB27C5"/>
    <w:rsid w:val="00BC2918"/>
    <w:rsid w:val="00BE4CC9"/>
    <w:rsid w:val="00BF2999"/>
    <w:rsid w:val="00C154C2"/>
    <w:rsid w:val="00C309B1"/>
    <w:rsid w:val="00C43796"/>
    <w:rsid w:val="00C47BE9"/>
    <w:rsid w:val="00C5418E"/>
    <w:rsid w:val="00C60D46"/>
    <w:rsid w:val="00C62218"/>
    <w:rsid w:val="00C65B74"/>
    <w:rsid w:val="00C75E0E"/>
    <w:rsid w:val="00C76C32"/>
    <w:rsid w:val="00C82BC5"/>
    <w:rsid w:val="00CB0BBB"/>
    <w:rsid w:val="00CD4FA2"/>
    <w:rsid w:val="00CD51FD"/>
    <w:rsid w:val="00CE40EE"/>
    <w:rsid w:val="00CE6591"/>
    <w:rsid w:val="00D004D0"/>
    <w:rsid w:val="00D00B4F"/>
    <w:rsid w:val="00D14191"/>
    <w:rsid w:val="00D149DA"/>
    <w:rsid w:val="00D34708"/>
    <w:rsid w:val="00D53B5D"/>
    <w:rsid w:val="00D671A5"/>
    <w:rsid w:val="00DD08BA"/>
    <w:rsid w:val="00DE5E01"/>
    <w:rsid w:val="00DF2A80"/>
    <w:rsid w:val="00E232D3"/>
    <w:rsid w:val="00E2796D"/>
    <w:rsid w:val="00E27C6A"/>
    <w:rsid w:val="00E40873"/>
    <w:rsid w:val="00E561B8"/>
    <w:rsid w:val="00E577A4"/>
    <w:rsid w:val="00E779E2"/>
    <w:rsid w:val="00E87AEF"/>
    <w:rsid w:val="00E93323"/>
    <w:rsid w:val="00E95CFE"/>
    <w:rsid w:val="00ED7AEC"/>
    <w:rsid w:val="00EE07DC"/>
    <w:rsid w:val="00EE6D93"/>
    <w:rsid w:val="00EF1568"/>
    <w:rsid w:val="00F05B26"/>
    <w:rsid w:val="00F22950"/>
    <w:rsid w:val="00F311FB"/>
    <w:rsid w:val="00F37A73"/>
    <w:rsid w:val="00F43BE8"/>
    <w:rsid w:val="00F53012"/>
    <w:rsid w:val="00FA15BA"/>
    <w:rsid w:val="00FA6EBF"/>
    <w:rsid w:val="00FA7FC5"/>
    <w:rsid w:val="00FD0B6D"/>
    <w:rsid w:val="00FD7E46"/>
    <w:rsid w:val="00FE1DCB"/>
    <w:rsid w:val="00FE61C8"/>
    <w:rsid w:val="00FF1E00"/>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character" w:styleId="Lienhypertextesuivivisit">
    <w:name w:val="FollowedHyperlink"/>
    <w:basedOn w:val="Policepardfaut"/>
    <w:rsid w:val="00C65B74"/>
    <w:rPr>
      <w:color w:val="800080" w:themeColor="followedHyperlink"/>
      <w:u w:val="single"/>
    </w:rPr>
  </w:style>
  <w:style w:type="paragraph" w:styleId="Textedebulles">
    <w:name w:val="Balloon Text"/>
    <w:basedOn w:val="Normal"/>
    <w:link w:val="TextedebullesCar"/>
    <w:rsid w:val="0079130F"/>
    <w:pPr>
      <w:spacing w:after="0"/>
    </w:pPr>
    <w:rPr>
      <w:rFonts w:ascii="Tahoma" w:hAnsi="Tahoma" w:cs="Tahoma"/>
      <w:sz w:val="16"/>
      <w:szCs w:val="16"/>
    </w:rPr>
  </w:style>
  <w:style w:type="character" w:customStyle="1" w:styleId="TextedebullesCar">
    <w:name w:val="Texte de bulles Car"/>
    <w:basedOn w:val="Policepardfaut"/>
    <w:link w:val="Textedebulles"/>
    <w:rsid w:val="0079130F"/>
    <w:rPr>
      <w:rFonts w:ascii="Tahoma" w:hAnsi="Tahoma" w:cs="Tahoma"/>
      <w:sz w:val="16"/>
      <w:szCs w:val="16"/>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character" w:styleId="Lienhypertextesuivivisit">
    <w:name w:val="FollowedHyperlink"/>
    <w:basedOn w:val="Policepardfaut"/>
    <w:rsid w:val="00C65B74"/>
    <w:rPr>
      <w:color w:val="800080" w:themeColor="followedHyperlink"/>
      <w:u w:val="single"/>
    </w:rPr>
  </w:style>
  <w:style w:type="paragraph" w:styleId="Textedebulles">
    <w:name w:val="Balloon Text"/>
    <w:basedOn w:val="Normal"/>
    <w:link w:val="TextedebullesCar"/>
    <w:rsid w:val="0079130F"/>
    <w:pPr>
      <w:spacing w:after="0"/>
    </w:pPr>
    <w:rPr>
      <w:rFonts w:ascii="Tahoma" w:hAnsi="Tahoma" w:cs="Tahoma"/>
      <w:sz w:val="16"/>
      <w:szCs w:val="16"/>
    </w:rPr>
  </w:style>
  <w:style w:type="character" w:customStyle="1" w:styleId="TextedebullesCar">
    <w:name w:val="Texte de bulles Car"/>
    <w:basedOn w:val="Policepardfaut"/>
    <w:link w:val="Textedebulles"/>
    <w:rsid w:val="0079130F"/>
    <w:rPr>
      <w:rFonts w:ascii="Tahoma" w:hAnsi="Tahoma" w:cs="Tahoma"/>
      <w:sz w:val="16"/>
      <w:szCs w:val="16"/>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adio.aalto.fi/en/research/space_technology/rfi-detection_and_classification_of_radio_frequency_inter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FORM01_Input_contribution[1]</Template>
  <TotalTime>2</TotalTime>
  <Pages>2</Pages>
  <Words>466</Words>
  <Characters>2568</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3</cp:revision>
  <cp:lastPrinted>1999-09-27T14:20:00Z</cp:lastPrinted>
  <dcterms:created xsi:type="dcterms:W3CDTF">2014-03-03T16:34:00Z</dcterms:created>
  <dcterms:modified xsi:type="dcterms:W3CDTF">2014-03-03T16:59:00Z</dcterms:modified>
</cp:coreProperties>
</file>