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20" w:rsidRDefault="00DE1231" w:rsidP="00FA2D20">
      <w:pPr>
        <w:jc w:val="center"/>
        <w:rPr>
          <w:b/>
          <w:lang w:val="en-GB"/>
        </w:rPr>
      </w:pPr>
      <w:r>
        <w:rPr>
          <w:b/>
          <w:noProof/>
        </w:rPr>
        <mc:AlternateContent>
          <mc:Choice Requires="wps">
            <w:drawing>
              <wp:anchor distT="0" distB="0" distL="114300" distR="114300" simplePos="0" relativeHeight="251657728" behindDoc="0" locked="0" layoutInCell="1" allowOverlap="1">
                <wp:simplePos x="0" y="0"/>
                <wp:positionH relativeFrom="column">
                  <wp:posOffset>7033895</wp:posOffset>
                </wp:positionH>
                <wp:positionV relativeFrom="paragraph">
                  <wp:posOffset>-224790</wp:posOffset>
                </wp:positionV>
                <wp:extent cx="2047240" cy="40513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10B7" w:rsidRPr="0089635F" w:rsidRDefault="00DE1231" w:rsidP="008E5B53">
                            <w:pPr>
                              <w:rPr>
                                <w:rFonts w:ascii="Arial" w:hAnsi="Arial" w:cs="Arial"/>
                                <w:b/>
                                <w:lang w:val="de-DE"/>
                              </w:rPr>
                            </w:pPr>
                            <w:r>
                              <w:rPr>
                                <w:rFonts w:ascii="Arial" w:hAnsi="Arial" w:cs="Arial"/>
                                <w:b/>
                                <w:lang w:val="de-DE"/>
                              </w:rPr>
                              <w:t>ECC(14)008 Annex06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3.85pt;margin-top:-17.7pt;width:161.2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" stroked="f">
                <v:textbox>
                  <w:txbxContent>
                    <w:p w:rsidR="000D10B7" w:rsidRPr="0089635F" w:rsidRDefault="00DE1231" w:rsidP="008E5B53">
                      <w:pPr>
                        <w:rPr>
                          <w:rFonts w:ascii="Arial" w:hAnsi="Arial" w:cs="Arial"/>
                          <w:b/>
                          <w:lang w:val="de-DE"/>
                        </w:rPr>
                      </w:pPr>
                      <w:r>
                        <w:rPr>
                          <w:rFonts w:ascii="Arial" w:hAnsi="Arial" w:cs="Arial"/>
                          <w:b/>
                          <w:lang w:val="de-DE"/>
                        </w:rPr>
                        <w:t>ECC(14)008 Annex06</w:t>
                      </w:r>
                    </w:p>
                  </w:txbxContent>
                </v:textbox>
              </v:shape>
            </w:pict>
          </mc:Fallback>
        </mc:AlternateContent>
      </w:r>
      <w:r w:rsidR="001C0B2C">
        <w:rPr>
          <w:b/>
          <w:lang w:val="en-GB"/>
        </w:rPr>
        <w:t xml:space="preserve">Comments on </w:t>
      </w:r>
      <w:r w:rsidR="00FA2D20">
        <w:rPr>
          <w:b/>
          <w:lang w:val="en-GB"/>
        </w:rPr>
        <w:t>Call for Input</w:t>
      </w:r>
    </w:p>
    <w:p w:rsidR="009309B1" w:rsidRDefault="00686F27" w:rsidP="00FA2D20">
      <w:pPr>
        <w:rPr>
          <w:b/>
          <w:lang w:val="en-GB"/>
        </w:rPr>
      </w:pPr>
      <w:r>
        <w:rPr>
          <w:b/>
          <w:lang w:val="en-GB"/>
        </w:rPr>
        <w:t>Sources</w:t>
      </w:r>
    </w:p>
    <w:p w:rsidR="00686F27" w:rsidRDefault="00686F27" w:rsidP="009309B1">
      <w:pPr>
        <w:rPr>
          <w:b/>
          <w:lang w:val="en-GB"/>
        </w:rPr>
      </w:pPr>
      <w:r>
        <w:rPr>
          <w:b/>
          <w:lang w:val="en-GB"/>
        </w:rPr>
        <w:tab/>
      </w:r>
    </w:p>
    <w:p w:rsidR="00AA2F1C" w:rsidRDefault="00FA2D20" w:rsidP="005A2D79">
      <w:pPr>
        <w:numPr>
          <w:ilvl w:val="0"/>
          <w:numId w:val="1"/>
        </w:numPr>
        <w:rPr>
          <w:lang w:val="en-GB"/>
        </w:rPr>
      </w:pPr>
      <w:r>
        <w:rPr>
          <w:lang w:val="en-GB"/>
        </w:rPr>
        <w:t>Deutsche Telekom</w:t>
      </w:r>
      <w:bookmarkStart w:id="0" w:name="_GoBack"/>
      <w:bookmarkEnd w:id="0"/>
    </w:p>
    <w:p w:rsidR="005A2D79" w:rsidRDefault="00FA2D20" w:rsidP="00FA2D20">
      <w:pPr>
        <w:numPr>
          <w:ilvl w:val="0"/>
          <w:numId w:val="1"/>
        </w:numPr>
        <w:rPr>
          <w:lang w:val="en-GB"/>
        </w:rPr>
      </w:pPr>
      <w:proofErr w:type="spellStart"/>
      <w:r>
        <w:rPr>
          <w:lang w:val="en-GB"/>
        </w:rPr>
        <w:t>TriaGnoSys</w:t>
      </w:r>
      <w:proofErr w:type="spellEnd"/>
      <w:r>
        <w:rPr>
          <w:lang w:val="en-GB"/>
        </w:rPr>
        <w:t xml:space="preserve"> </w:t>
      </w:r>
      <w:r w:rsidRPr="00FA2D20">
        <w:rPr>
          <w:lang w:val="en-GB"/>
        </w:rPr>
        <w:t>(affiliated to aircraft cabin manufacturer Zodiac Aerospace)</w:t>
      </w:r>
    </w:p>
    <w:p w:rsidR="00871AD3" w:rsidRDefault="00871AD3" w:rsidP="005A2D79">
      <w:pPr>
        <w:numPr>
          <w:ilvl w:val="0"/>
          <w:numId w:val="1"/>
        </w:numPr>
        <w:rPr>
          <w:lang w:val="en-GB"/>
        </w:rPr>
      </w:pPr>
      <w:r w:rsidRPr="00871AD3">
        <w:rPr>
          <w:lang w:val="en-GB"/>
        </w:rPr>
        <w:t>Riedel</w:t>
      </w:r>
      <w:r>
        <w:rPr>
          <w:lang w:val="en-GB"/>
        </w:rPr>
        <w:t xml:space="preserve"> (</w:t>
      </w:r>
      <w:r w:rsidR="00077B6F">
        <w:rPr>
          <w:lang w:val="en-GB"/>
        </w:rPr>
        <w:t>provider</w:t>
      </w:r>
      <w:r>
        <w:rPr>
          <w:lang w:val="en-GB"/>
        </w:rPr>
        <w:t xml:space="preserve"> of PMSE solutions)</w:t>
      </w:r>
    </w:p>
    <w:p w:rsidR="00AE6146" w:rsidRDefault="00AE6146" w:rsidP="00AE6146">
      <w:pPr>
        <w:numPr>
          <w:ilvl w:val="0"/>
          <w:numId w:val="1"/>
        </w:numPr>
        <w:rPr>
          <w:lang w:val="en-GB"/>
        </w:rPr>
      </w:pPr>
      <w:r w:rsidRPr="00AE6146">
        <w:rPr>
          <w:lang w:val="en-GB"/>
        </w:rPr>
        <w:t>NPO (</w:t>
      </w:r>
      <w:proofErr w:type="spellStart"/>
      <w:r w:rsidRPr="00AE6146">
        <w:rPr>
          <w:lang w:val="en-GB"/>
        </w:rPr>
        <w:t>Nederlandse</w:t>
      </w:r>
      <w:proofErr w:type="spellEnd"/>
      <w:r w:rsidRPr="00AE6146">
        <w:rPr>
          <w:lang w:val="en-GB"/>
        </w:rPr>
        <w:t xml:space="preserve"> </w:t>
      </w:r>
      <w:proofErr w:type="spellStart"/>
      <w:r w:rsidRPr="00AE6146">
        <w:rPr>
          <w:lang w:val="en-GB"/>
        </w:rPr>
        <w:t>Publieke</w:t>
      </w:r>
      <w:proofErr w:type="spellEnd"/>
      <w:r w:rsidRPr="00AE6146">
        <w:rPr>
          <w:lang w:val="en-GB"/>
        </w:rPr>
        <w:t xml:space="preserve"> </w:t>
      </w:r>
      <w:proofErr w:type="spellStart"/>
      <w:r w:rsidRPr="00AE6146">
        <w:rPr>
          <w:lang w:val="en-GB"/>
        </w:rPr>
        <w:t>Omroep</w:t>
      </w:r>
      <w:proofErr w:type="spellEnd"/>
      <w:r w:rsidRPr="00AE6146">
        <w:rPr>
          <w:lang w:val="en-GB"/>
        </w:rPr>
        <w:t>; Netherlands Public Broadcasting)</w:t>
      </w:r>
    </w:p>
    <w:p w:rsidR="005A2D79" w:rsidRPr="00871AD3" w:rsidRDefault="00077B6F" w:rsidP="005A2D79">
      <w:pPr>
        <w:numPr>
          <w:ilvl w:val="0"/>
          <w:numId w:val="1"/>
        </w:numPr>
        <w:rPr>
          <w:lang w:val="en-GB"/>
        </w:rPr>
      </w:pPr>
      <w:proofErr w:type="spellStart"/>
      <w:r>
        <w:rPr>
          <w:lang w:val="en-GB"/>
        </w:rPr>
        <w:t>Vislink</w:t>
      </w:r>
      <w:proofErr w:type="spellEnd"/>
      <w:r>
        <w:rPr>
          <w:lang w:val="en-GB"/>
        </w:rPr>
        <w:t xml:space="preserve"> (provider of PMSE solutions)</w:t>
      </w:r>
    </w:p>
    <w:p w:rsidR="00673124" w:rsidRDefault="00673124" w:rsidP="00673124">
      <w:pPr>
        <w:numPr>
          <w:ilvl w:val="0"/>
          <w:numId w:val="1"/>
        </w:numPr>
        <w:rPr>
          <w:lang w:val="en-GB"/>
        </w:rPr>
      </w:pPr>
      <w:r>
        <w:rPr>
          <w:lang w:val="en-GB"/>
        </w:rPr>
        <w:t>IRT  (</w:t>
      </w:r>
      <w:r w:rsidRPr="00673124">
        <w:rPr>
          <w:lang w:val="en-GB"/>
        </w:rPr>
        <w:t>research institute of the public broadcasters of Germany, Austria, and Switzerland</w:t>
      </w:r>
      <w:r>
        <w:rPr>
          <w:lang w:val="en-GB"/>
        </w:rPr>
        <w:t>)</w:t>
      </w:r>
    </w:p>
    <w:p w:rsidR="005A2D79" w:rsidRDefault="005A2D79" w:rsidP="005A2D79">
      <w:pPr>
        <w:numPr>
          <w:ilvl w:val="0"/>
          <w:numId w:val="1"/>
        </w:numPr>
        <w:rPr>
          <w:lang w:val="en-GB"/>
        </w:rPr>
      </w:pPr>
      <w:r>
        <w:rPr>
          <w:lang w:val="en-GB"/>
        </w:rPr>
        <w:t>France</w:t>
      </w:r>
    </w:p>
    <w:p w:rsidR="00E25D35" w:rsidRDefault="00E25D35" w:rsidP="005A2D79">
      <w:pPr>
        <w:numPr>
          <w:ilvl w:val="0"/>
          <w:numId w:val="1"/>
        </w:numPr>
        <w:rPr>
          <w:lang w:val="en-GB"/>
        </w:rPr>
      </w:pPr>
      <w:r>
        <w:rPr>
          <w:lang w:val="en-GB"/>
        </w:rPr>
        <w:t>DECT Forum</w:t>
      </w:r>
    </w:p>
    <w:p w:rsidR="00D132BF" w:rsidRDefault="00D132BF" w:rsidP="005A2D79">
      <w:pPr>
        <w:numPr>
          <w:ilvl w:val="0"/>
          <w:numId w:val="1"/>
        </w:numPr>
        <w:rPr>
          <w:lang w:val="en-GB"/>
        </w:rPr>
      </w:pPr>
      <w:r>
        <w:rPr>
          <w:lang w:val="en-GB"/>
        </w:rPr>
        <w:t>Sweden</w:t>
      </w:r>
    </w:p>
    <w:p w:rsidR="00BE4997" w:rsidRDefault="00BE4997" w:rsidP="005A2D79">
      <w:pPr>
        <w:numPr>
          <w:ilvl w:val="0"/>
          <w:numId w:val="1"/>
        </w:numPr>
        <w:rPr>
          <w:lang w:val="en-GB"/>
        </w:rPr>
      </w:pPr>
      <w:r>
        <w:rPr>
          <w:lang w:val="en-GB"/>
        </w:rPr>
        <w:t>Lufthansa Systems</w:t>
      </w:r>
    </w:p>
    <w:p w:rsidR="007438AC" w:rsidRDefault="007606E3" w:rsidP="005A2D79">
      <w:pPr>
        <w:numPr>
          <w:ilvl w:val="0"/>
          <w:numId w:val="1"/>
        </w:numPr>
        <w:rPr>
          <w:lang w:val="en-GB"/>
        </w:rPr>
      </w:pPr>
      <w:r>
        <w:rPr>
          <w:lang w:val="en-GB"/>
        </w:rPr>
        <w:t>Netherlands</w:t>
      </w:r>
    </w:p>
    <w:p w:rsidR="00402FF2" w:rsidRDefault="00402FF2" w:rsidP="005A2D79">
      <w:pPr>
        <w:numPr>
          <w:ilvl w:val="0"/>
          <w:numId w:val="1"/>
        </w:numPr>
        <w:rPr>
          <w:lang w:val="en-GB"/>
        </w:rPr>
      </w:pPr>
      <w:proofErr w:type="spellStart"/>
      <w:r>
        <w:rPr>
          <w:lang w:val="en-GB"/>
        </w:rPr>
        <w:t>Selex</w:t>
      </w:r>
      <w:proofErr w:type="spellEnd"/>
      <w:r w:rsidR="00A57D7C">
        <w:rPr>
          <w:lang w:val="en-GB"/>
        </w:rPr>
        <w:t xml:space="preserve"> ES</w:t>
      </w:r>
      <w:r>
        <w:rPr>
          <w:lang w:val="en-GB"/>
        </w:rPr>
        <w:t xml:space="preserve"> (inter-alia provider of PPDR solutions)</w:t>
      </w:r>
    </w:p>
    <w:p w:rsidR="00F2643C" w:rsidRDefault="008B065F" w:rsidP="005A2D79">
      <w:pPr>
        <w:numPr>
          <w:ilvl w:val="0"/>
          <w:numId w:val="1"/>
        </w:numPr>
        <w:rPr>
          <w:lang w:val="en-GB"/>
        </w:rPr>
      </w:pPr>
      <w:r>
        <w:rPr>
          <w:lang w:val="en-GB"/>
        </w:rPr>
        <w:t>British Airways</w:t>
      </w:r>
    </w:p>
    <w:p w:rsidR="00B249C9" w:rsidRDefault="00B249C9" w:rsidP="00B249C9">
      <w:pPr>
        <w:numPr>
          <w:ilvl w:val="0"/>
          <w:numId w:val="1"/>
        </w:numPr>
        <w:rPr>
          <w:lang w:val="en-GB"/>
        </w:rPr>
      </w:pPr>
      <w:proofErr w:type="spellStart"/>
      <w:r w:rsidRPr="00B249C9">
        <w:rPr>
          <w:lang w:val="en-GB"/>
        </w:rPr>
        <w:t>Telefónica</w:t>
      </w:r>
      <w:proofErr w:type="spellEnd"/>
      <w:r w:rsidRPr="00B249C9">
        <w:rPr>
          <w:lang w:val="en-GB"/>
        </w:rPr>
        <w:t xml:space="preserve"> S.A.</w:t>
      </w:r>
    </w:p>
    <w:p w:rsidR="005837FB" w:rsidRDefault="005837FB" w:rsidP="005837FB">
      <w:pPr>
        <w:numPr>
          <w:ilvl w:val="0"/>
          <w:numId w:val="1"/>
        </w:numPr>
        <w:rPr>
          <w:lang w:val="en-GB"/>
        </w:rPr>
      </w:pPr>
      <w:r>
        <w:rPr>
          <w:lang w:val="en-GB"/>
        </w:rPr>
        <w:t xml:space="preserve">Multi-operators’ response from </w:t>
      </w:r>
      <w:r w:rsidRPr="005837FB">
        <w:rPr>
          <w:lang w:val="en-GB"/>
        </w:rPr>
        <w:t xml:space="preserve">Bouygues Telecom, Orange, </w:t>
      </w:r>
      <w:r>
        <w:rPr>
          <w:lang w:val="en-GB"/>
        </w:rPr>
        <w:t xml:space="preserve">and </w:t>
      </w:r>
      <w:r w:rsidRPr="005837FB">
        <w:rPr>
          <w:lang w:val="en-GB"/>
        </w:rPr>
        <w:t>SFR</w:t>
      </w:r>
    </w:p>
    <w:p w:rsidR="005837FB" w:rsidRDefault="005837FB" w:rsidP="005837FB">
      <w:pPr>
        <w:numPr>
          <w:ilvl w:val="0"/>
          <w:numId w:val="1"/>
        </w:numPr>
        <w:rPr>
          <w:lang w:val="en-GB"/>
        </w:rPr>
      </w:pPr>
      <w:r>
        <w:rPr>
          <w:lang w:val="en-GB"/>
        </w:rPr>
        <w:t>Germany</w:t>
      </w:r>
    </w:p>
    <w:p w:rsidR="005837FB" w:rsidRDefault="005837FB" w:rsidP="005837FB">
      <w:pPr>
        <w:numPr>
          <w:ilvl w:val="0"/>
          <w:numId w:val="1"/>
        </w:numPr>
        <w:rPr>
          <w:lang w:val="en-GB"/>
        </w:rPr>
      </w:pPr>
      <w:r>
        <w:rPr>
          <w:lang w:val="en-GB"/>
        </w:rPr>
        <w:t>British Telecom</w:t>
      </w:r>
    </w:p>
    <w:p w:rsidR="005A2D79" w:rsidRDefault="005A2D79" w:rsidP="009309B1">
      <w:pPr>
        <w:rPr>
          <w:lang w:val="en-GB"/>
        </w:rPr>
      </w:pPr>
    </w:p>
    <w:p w:rsidR="00680DF5" w:rsidRDefault="00680DF5" w:rsidP="009309B1">
      <w:pPr>
        <w:rPr>
          <w:lang w:val="en-GB"/>
        </w:rPr>
      </w:pPr>
    </w:p>
    <w:p w:rsidR="00680DF5" w:rsidRPr="00680DF5" w:rsidRDefault="00680DF5" w:rsidP="00680DF5">
      <w:pPr>
        <w:rPr>
          <w:rFonts w:ascii="Arial" w:hAnsi="Arial"/>
          <w:b/>
          <w:sz w:val="20"/>
          <w:szCs w:val="20"/>
          <w:lang w:val="en-GB" w:eastAsia="en-US"/>
        </w:rPr>
      </w:pPr>
      <w:r w:rsidRPr="00680DF5">
        <w:rPr>
          <w:rFonts w:ascii="Arial" w:hAnsi="Arial"/>
          <w:b/>
          <w:sz w:val="20"/>
          <w:szCs w:val="20"/>
          <w:lang w:val="en-GB" w:eastAsia="en-US"/>
        </w:rPr>
        <w:t xml:space="preserve">Views </w:t>
      </w:r>
      <w:r>
        <w:rPr>
          <w:rFonts w:ascii="Arial" w:hAnsi="Arial"/>
          <w:b/>
          <w:sz w:val="20"/>
          <w:szCs w:val="20"/>
          <w:lang w:val="en-GB" w:eastAsia="en-US"/>
        </w:rPr>
        <w:t>were</w:t>
      </w:r>
      <w:r w:rsidRPr="00680DF5">
        <w:rPr>
          <w:rFonts w:ascii="Arial" w:hAnsi="Arial"/>
          <w:b/>
          <w:sz w:val="20"/>
          <w:szCs w:val="20"/>
          <w:lang w:val="en-GB" w:eastAsia="en-US"/>
        </w:rPr>
        <w:t xml:space="preserve"> invited on the following:</w:t>
      </w:r>
    </w:p>
    <w:p w:rsidR="00680DF5" w:rsidRPr="00680DF5" w:rsidRDefault="00680DF5" w:rsidP="00680DF5">
      <w:pPr>
        <w:rPr>
          <w:rFonts w:ascii="Arial" w:hAnsi="Arial"/>
          <w:sz w:val="20"/>
          <w:szCs w:val="20"/>
          <w:lang w:val="en-GB" w:eastAsia="en-US"/>
        </w:rPr>
      </w:pPr>
    </w:p>
    <w:p w:rsidR="00680DF5" w:rsidRPr="00680DF5" w:rsidRDefault="00680DF5" w:rsidP="00680DF5">
      <w:pPr>
        <w:numPr>
          <w:ilvl w:val="0"/>
          <w:numId w:val="2"/>
        </w:numPr>
        <w:spacing w:after="240"/>
        <w:jc w:val="both"/>
        <w:rPr>
          <w:rFonts w:ascii="Arial" w:hAnsi="Arial"/>
          <w:sz w:val="20"/>
          <w:szCs w:val="20"/>
          <w:lang w:val="en-GB" w:eastAsia="en-US"/>
        </w:rPr>
      </w:pPr>
      <w:r w:rsidRPr="00680DF5">
        <w:rPr>
          <w:rFonts w:ascii="Arial" w:hAnsi="Arial"/>
          <w:sz w:val="20"/>
          <w:lang w:val="en-GB" w:eastAsia="en-US"/>
        </w:rPr>
        <w:t xml:space="preserve">General questions </w:t>
      </w:r>
    </w:p>
    <w:p w:rsidR="00680DF5" w:rsidRPr="00680DF5" w:rsidRDefault="00680DF5" w:rsidP="00680DF5">
      <w:pPr>
        <w:numPr>
          <w:ilvl w:val="1"/>
          <w:numId w:val="2"/>
        </w:numPr>
        <w:spacing w:after="240"/>
        <w:jc w:val="both"/>
        <w:rPr>
          <w:rFonts w:ascii="Arial" w:hAnsi="Arial"/>
          <w:b/>
          <w:sz w:val="20"/>
          <w:szCs w:val="20"/>
          <w:lang w:val="en-GB" w:eastAsia="en-US"/>
        </w:rPr>
      </w:pPr>
      <w:r w:rsidRPr="00680DF5">
        <w:rPr>
          <w:rFonts w:ascii="Arial" w:hAnsi="Arial"/>
          <w:b/>
          <w:sz w:val="20"/>
          <w:lang w:val="en-GB" w:eastAsia="en-US"/>
        </w:rPr>
        <w:t>What is your view on the preferred scenarios / uses for the bands 1900-1920 MHz and 2010-2025 MHz as set out in the outline of the response to the Commission? Please, justify your answer by indicating the associated economic and other benefits of your preference.</w:t>
      </w:r>
    </w:p>
    <w:tbl>
      <w:tblPr>
        <w:tblW w:w="499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6" w:type="dxa"/>
          <w:right w:w="56" w:type="dxa"/>
        </w:tblCellMar>
        <w:tblLook w:val="0000" w:firstRow="0" w:lastRow="0" w:firstColumn="0" w:lastColumn="0" w:noHBand="0" w:noVBand="0"/>
      </w:tblPr>
      <w:tblGrid>
        <w:gridCol w:w="1010"/>
        <w:gridCol w:w="1890"/>
        <w:gridCol w:w="8225"/>
        <w:gridCol w:w="2964"/>
      </w:tblGrid>
      <w:tr w:rsidR="00DE038B" w:rsidRPr="00AA2F1C" w:rsidTr="00870EF9">
        <w:tblPrEx>
          <w:tblCellMar>
            <w:top w:w="0" w:type="dxa"/>
            <w:bottom w:w="0" w:type="dxa"/>
          </w:tblCellMar>
        </w:tblPrEx>
        <w:trPr>
          <w:cantSplit/>
          <w:trHeight w:val="765"/>
          <w:tblHeader/>
        </w:trPr>
        <w:tc>
          <w:tcPr>
            <w:tcW w:w="358" w:type="pct"/>
          </w:tcPr>
          <w:p w:rsidR="00DE038B" w:rsidRPr="00AA2F1C" w:rsidRDefault="00DE038B" w:rsidP="00A658BB">
            <w:pPr>
              <w:spacing w:before="120" w:line="180" w:lineRule="exact"/>
              <w:jc w:val="center"/>
              <w:rPr>
                <w:sz w:val="16"/>
                <w:szCs w:val="16"/>
                <w:lang w:val="en-US"/>
              </w:rPr>
            </w:pPr>
            <w:r w:rsidRPr="00AA2F1C">
              <w:rPr>
                <w:rFonts w:ascii="Arial" w:hAnsi="Arial"/>
                <w:b/>
                <w:sz w:val="16"/>
                <w:szCs w:val="16"/>
                <w:lang w:val="en-US"/>
              </w:rPr>
              <w:t>Comment number</w:t>
            </w:r>
          </w:p>
        </w:tc>
        <w:tc>
          <w:tcPr>
            <w:tcW w:w="671" w:type="pct"/>
          </w:tcPr>
          <w:p w:rsidR="00DE038B" w:rsidRPr="00AA2F1C" w:rsidRDefault="00DE038B" w:rsidP="00A658BB">
            <w:pPr>
              <w:spacing w:before="120" w:line="180" w:lineRule="exact"/>
              <w:jc w:val="center"/>
              <w:rPr>
                <w:b/>
                <w:sz w:val="16"/>
                <w:szCs w:val="16"/>
                <w:lang w:val="en-US"/>
              </w:rPr>
            </w:pPr>
            <w:r w:rsidRPr="00AA2F1C">
              <w:rPr>
                <w:rFonts w:ascii="Arial" w:hAnsi="Arial"/>
                <w:b/>
                <w:sz w:val="16"/>
                <w:szCs w:val="16"/>
                <w:lang w:val="en-US"/>
              </w:rPr>
              <w:t xml:space="preserve">Type of comment </w:t>
            </w:r>
          </w:p>
        </w:tc>
        <w:tc>
          <w:tcPr>
            <w:tcW w:w="2919" w:type="pct"/>
          </w:tcPr>
          <w:p w:rsidR="00DE038B" w:rsidRPr="00AA2F1C" w:rsidRDefault="00DE038B" w:rsidP="00A658BB">
            <w:pPr>
              <w:spacing w:before="120" w:line="180" w:lineRule="exact"/>
              <w:jc w:val="center"/>
              <w:rPr>
                <w:sz w:val="16"/>
                <w:szCs w:val="16"/>
                <w:lang w:val="en-US"/>
              </w:rPr>
            </w:pPr>
            <w:r w:rsidRPr="00AA2F1C">
              <w:rPr>
                <w:rFonts w:ascii="Arial" w:hAnsi="Arial"/>
                <w:b/>
                <w:sz w:val="16"/>
                <w:szCs w:val="16"/>
                <w:lang w:val="en-US"/>
              </w:rPr>
              <w:t>COMMENTS</w:t>
            </w:r>
          </w:p>
        </w:tc>
        <w:tc>
          <w:tcPr>
            <w:tcW w:w="1052" w:type="pct"/>
          </w:tcPr>
          <w:p w:rsidR="00DE038B" w:rsidRPr="00AA2F1C" w:rsidRDefault="00DE038B" w:rsidP="00A658BB">
            <w:pPr>
              <w:spacing w:before="120" w:line="180" w:lineRule="exact"/>
              <w:jc w:val="center"/>
              <w:rPr>
                <w:rFonts w:ascii="Arial" w:hAnsi="Arial"/>
                <w:b/>
                <w:sz w:val="16"/>
                <w:szCs w:val="16"/>
                <w:lang w:val="en-US"/>
              </w:rPr>
            </w:pPr>
            <w:r>
              <w:rPr>
                <w:rFonts w:ascii="Arial" w:hAnsi="Arial"/>
                <w:b/>
                <w:sz w:val="16"/>
                <w:szCs w:val="16"/>
                <w:lang w:val="en-US"/>
              </w:rPr>
              <w:t>Proposed resolution/handling/action by WGFM in response to the comment</w:t>
            </w:r>
          </w:p>
        </w:tc>
      </w:tr>
      <w:tr w:rsidR="00DE038B" w:rsidTr="00870EF9">
        <w:tblPrEx>
          <w:tblCellMar>
            <w:top w:w="0" w:type="dxa"/>
            <w:bottom w:w="0" w:type="dxa"/>
          </w:tblCellMar>
        </w:tblPrEx>
        <w:trPr>
          <w:cantSplit/>
          <w:trHeight w:val="765"/>
          <w:tblHeader/>
        </w:trPr>
        <w:tc>
          <w:tcPr>
            <w:tcW w:w="358" w:type="pct"/>
          </w:tcPr>
          <w:p w:rsidR="00DE038B" w:rsidRDefault="00DE038B" w:rsidP="00A658BB">
            <w:pPr>
              <w:keepLines/>
              <w:spacing w:before="120"/>
              <w:rPr>
                <w:sz w:val="16"/>
                <w:szCs w:val="16"/>
                <w:lang w:val="en-US"/>
              </w:rPr>
            </w:pPr>
            <w:r>
              <w:rPr>
                <w:sz w:val="16"/>
                <w:szCs w:val="16"/>
                <w:lang w:val="en-US"/>
              </w:rPr>
              <w:lastRenderedPageBreak/>
              <w:t>DT</w:t>
            </w:r>
            <w:r w:rsidRPr="00AA2F1C">
              <w:rPr>
                <w:sz w:val="16"/>
                <w:szCs w:val="16"/>
                <w:lang w:val="en-US"/>
              </w:rPr>
              <w:t>/1</w:t>
            </w:r>
          </w:p>
          <w:p w:rsidR="00DE038B" w:rsidRPr="00AA2F1C" w:rsidRDefault="00DE038B" w:rsidP="00334029">
            <w:pPr>
              <w:keepLines/>
              <w:spacing w:before="120"/>
              <w:rPr>
                <w:sz w:val="16"/>
                <w:szCs w:val="16"/>
                <w:lang w:val="en-US"/>
              </w:rPr>
            </w:pPr>
            <w:proofErr w:type="spellStart"/>
            <w:r w:rsidRPr="00871AD3">
              <w:rPr>
                <w:sz w:val="16"/>
                <w:szCs w:val="16"/>
                <w:lang w:val="en-US"/>
              </w:rPr>
              <w:t>TriaGnoSys</w:t>
            </w:r>
            <w:proofErr w:type="spellEnd"/>
            <w:r w:rsidR="00334029">
              <w:rPr>
                <w:sz w:val="16"/>
                <w:szCs w:val="16"/>
                <w:lang w:val="en-US"/>
              </w:rPr>
              <w:t>/1</w:t>
            </w:r>
          </w:p>
        </w:tc>
        <w:tc>
          <w:tcPr>
            <w:tcW w:w="671" w:type="pct"/>
          </w:tcPr>
          <w:p w:rsidR="00DE038B" w:rsidRPr="002D04E3" w:rsidRDefault="00DE038B" w:rsidP="00A658BB">
            <w:pPr>
              <w:keepLines/>
              <w:spacing w:before="120"/>
              <w:rPr>
                <w:sz w:val="20"/>
                <w:szCs w:val="20"/>
                <w:lang w:val="en-US"/>
              </w:rPr>
            </w:pPr>
            <w:r w:rsidRPr="002D04E3">
              <w:rPr>
                <w:sz w:val="20"/>
                <w:szCs w:val="20"/>
                <w:lang w:val="en-US"/>
              </w:rPr>
              <w:t>Support of DA2GCS</w:t>
            </w:r>
          </w:p>
          <w:p w:rsidR="00DE038B" w:rsidRPr="002D04E3" w:rsidRDefault="00DE038B" w:rsidP="00A658BB">
            <w:pPr>
              <w:keepLines/>
              <w:spacing w:before="120"/>
              <w:rPr>
                <w:sz w:val="20"/>
                <w:szCs w:val="20"/>
                <w:lang w:val="en-US"/>
              </w:rPr>
            </w:pPr>
            <w:r w:rsidRPr="002D04E3">
              <w:rPr>
                <w:sz w:val="20"/>
                <w:szCs w:val="20"/>
                <w:lang w:val="en-US"/>
              </w:rPr>
              <w:t xml:space="preserve">Since 2010 DTAG strongly supports the activities of the ECC to designate spectrum for a Direct-Air-to-Ground (DA2G) service in part of the bands 1900 – 1920 MHz and 2010 – 2025 </w:t>
            </w:r>
            <w:proofErr w:type="spellStart"/>
            <w:r w:rsidRPr="002D04E3">
              <w:rPr>
                <w:sz w:val="20"/>
                <w:szCs w:val="20"/>
                <w:lang w:val="en-US"/>
              </w:rPr>
              <w:t>MHz.</w:t>
            </w:r>
            <w:proofErr w:type="spellEnd"/>
            <w:r w:rsidRPr="002D04E3">
              <w:rPr>
                <w:sz w:val="20"/>
                <w:szCs w:val="20"/>
                <w:lang w:val="en-US"/>
              </w:rPr>
              <w:t xml:space="preserve">  DA2G would enable to deploy a Europe-wide network to supply broadband services to passengers travelling in some 5000 commercial airplanes in European airspace.</w:t>
            </w:r>
          </w:p>
        </w:tc>
        <w:tc>
          <w:tcPr>
            <w:tcW w:w="2919" w:type="pct"/>
          </w:tcPr>
          <w:p w:rsidR="00DE038B" w:rsidRPr="002D04E3" w:rsidRDefault="00DE038B" w:rsidP="00A658BB">
            <w:pPr>
              <w:rPr>
                <w:sz w:val="20"/>
                <w:szCs w:val="20"/>
                <w:lang w:val="en-GB"/>
              </w:rPr>
            </w:pPr>
            <w:r w:rsidRPr="002D04E3">
              <w:rPr>
                <w:bCs/>
                <w:sz w:val="20"/>
                <w:szCs w:val="20"/>
                <w:lang w:val="en-GB"/>
              </w:rPr>
              <w:t>Studies of spectrum availability in Europe based on the results of a recent ECO questionnaire have shown that spectrum to be designated in the sub-bands 1900 – 19</w:t>
            </w:r>
            <w:r w:rsidRPr="002D04E3">
              <w:rPr>
                <w:bCs/>
                <w:sz w:val="20"/>
                <w:szCs w:val="20"/>
                <w:u w:val="single"/>
                <w:lang w:val="en-GB"/>
              </w:rPr>
              <w:t>10</w:t>
            </w:r>
            <w:r w:rsidRPr="002D04E3">
              <w:rPr>
                <w:bCs/>
                <w:sz w:val="20"/>
                <w:szCs w:val="20"/>
                <w:lang w:val="en-GB"/>
              </w:rPr>
              <w:t xml:space="preserve"> MHz paired with 2010 – 20</w:t>
            </w:r>
            <w:r w:rsidRPr="002D04E3">
              <w:rPr>
                <w:bCs/>
                <w:sz w:val="20"/>
                <w:szCs w:val="20"/>
                <w:u w:val="single"/>
                <w:lang w:val="en-GB"/>
              </w:rPr>
              <w:t>20</w:t>
            </w:r>
            <w:r w:rsidRPr="002D04E3">
              <w:rPr>
                <w:bCs/>
                <w:sz w:val="20"/>
                <w:szCs w:val="20"/>
                <w:lang w:val="en-GB"/>
              </w:rPr>
              <w:t xml:space="preserve"> MHz would offer the most suitable solution in order to allow for a DA2G service introduction in a reasonable time frame. The designation of these 2 x 10 MHz of harmonised spectrum throughout Europe would enable to license such a new and innovative broadband service in a technologically neutral manner.</w:t>
            </w:r>
          </w:p>
        </w:tc>
        <w:tc>
          <w:tcPr>
            <w:tcW w:w="1052" w:type="pct"/>
          </w:tcPr>
          <w:p w:rsidR="00DE038B" w:rsidRDefault="00B37E15" w:rsidP="00A658BB">
            <w:pPr>
              <w:keepLines/>
              <w:spacing w:before="120"/>
              <w:jc w:val="both"/>
              <w:rPr>
                <w:sz w:val="16"/>
                <w:szCs w:val="16"/>
                <w:lang w:val="en-US"/>
              </w:rPr>
            </w:pPr>
            <w:r>
              <w:rPr>
                <w:sz w:val="16"/>
                <w:szCs w:val="16"/>
                <w:lang w:val="en-US"/>
              </w:rPr>
              <w:t xml:space="preserve">Support </w:t>
            </w:r>
            <w:r w:rsidR="0024559C">
              <w:rPr>
                <w:sz w:val="16"/>
                <w:szCs w:val="16"/>
                <w:lang w:val="en-US"/>
              </w:rPr>
              <w:t xml:space="preserve">of DA2GCS </w:t>
            </w:r>
            <w:r>
              <w:rPr>
                <w:sz w:val="16"/>
                <w:szCs w:val="16"/>
                <w:lang w:val="en-US"/>
              </w:rPr>
              <w:t xml:space="preserve">reflected in Annex 2 to document </w:t>
            </w:r>
            <w:proofErr w:type="gramStart"/>
            <w:r>
              <w:rPr>
                <w:sz w:val="16"/>
                <w:szCs w:val="16"/>
                <w:lang w:val="en-US"/>
              </w:rPr>
              <w:t>FM(</w:t>
            </w:r>
            <w:proofErr w:type="gramEnd"/>
            <w:r>
              <w:rPr>
                <w:sz w:val="16"/>
                <w:szCs w:val="16"/>
                <w:lang w:val="en-US"/>
              </w:rPr>
              <w:t>14)037 Annex1</w:t>
            </w:r>
            <w:r w:rsidR="0024559C">
              <w:rPr>
                <w:sz w:val="16"/>
                <w:szCs w:val="16"/>
                <w:lang w:val="en-US"/>
              </w:rPr>
              <w:t>.</w:t>
            </w:r>
          </w:p>
          <w:p w:rsidR="0024559C" w:rsidRDefault="0024559C" w:rsidP="00A658BB">
            <w:pPr>
              <w:keepLines/>
              <w:spacing w:before="120"/>
              <w:jc w:val="both"/>
              <w:rPr>
                <w:sz w:val="16"/>
                <w:szCs w:val="16"/>
                <w:lang w:val="en-US"/>
              </w:rPr>
            </w:pPr>
            <w:r>
              <w:rPr>
                <w:sz w:val="16"/>
                <w:szCs w:val="16"/>
                <w:lang w:val="en-US"/>
              </w:rPr>
              <w:t>Indication of the suitability/preference of this solution (1900-1910/2010-2020 MHz) reflected in section 3.1 of the outline of CEPT’s response.</w:t>
            </w:r>
          </w:p>
        </w:tc>
      </w:tr>
      <w:tr w:rsidR="00DE038B" w:rsidTr="00870EF9">
        <w:tblPrEx>
          <w:tblCellMar>
            <w:top w:w="0" w:type="dxa"/>
            <w:bottom w:w="0" w:type="dxa"/>
          </w:tblCellMar>
        </w:tblPrEx>
        <w:trPr>
          <w:cantSplit/>
          <w:trHeight w:val="765"/>
          <w:tblHeader/>
        </w:trPr>
        <w:tc>
          <w:tcPr>
            <w:tcW w:w="358" w:type="pct"/>
          </w:tcPr>
          <w:p w:rsidR="00DE038B" w:rsidRDefault="00DE038B" w:rsidP="00A658BB">
            <w:pPr>
              <w:keepLines/>
              <w:spacing w:before="120"/>
              <w:rPr>
                <w:sz w:val="16"/>
                <w:szCs w:val="16"/>
                <w:lang w:val="en-US"/>
              </w:rPr>
            </w:pPr>
            <w:r>
              <w:rPr>
                <w:sz w:val="16"/>
                <w:szCs w:val="16"/>
                <w:lang w:val="en-US"/>
              </w:rPr>
              <w:t>Riedel /1</w:t>
            </w:r>
          </w:p>
        </w:tc>
        <w:tc>
          <w:tcPr>
            <w:tcW w:w="671" w:type="pct"/>
          </w:tcPr>
          <w:p w:rsidR="00DE038B" w:rsidRDefault="00DE038B" w:rsidP="00A658BB">
            <w:pPr>
              <w:keepLines/>
              <w:spacing w:before="120"/>
              <w:rPr>
                <w:sz w:val="16"/>
                <w:szCs w:val="16"/>
                <w:lang w:val="en-US"/>
              </w:rPr>
            </w:pPr>
            <w:r>
              <w:rPr>
                <w:sz w:val="16"/>
                <w:szCs w:val="16"/>
                <w:lang w:val="en-US"/>
              </w:rPr>
              <w:t>Support for PMSE in the Unpaired bands</w:t>
            </w:r>
          </w:p>
        </w:tc>
        <w:tc>
          <w:tcPr>
            <w:tcW w:w="2919" w:type="pct"/>
          </w:tcPr>
          <w:p w:rsidR="00DE038B" w:rsidRDefault="00DE038B" w:rsidP="00A658BB">
            <w:pPr>
              <w:pStyle w:val="Default"/>
            </w:pPr>
          </w:p>
          <w:p w:rsidR="00DE038B" w:rsidRDefault="00DE038B" w:rsidP="00A658BB">
            <w:pPr>
              <w:pStyle w:val="Default"/>
              <w:rPr>
                <w:sz w:val="20"/>
                <w:szCs w:val="20"/>
              </w:rPr>
            </w:pPr>
            <w:r>
              <w:t xml:space="preserve"> </w:t>
            </w:r>
            <w:r>
              <w:rPr>
                <w:i/>
                <w:iCs/>
                <w:sz w:val="20"/>
                <w:szCs w:val="20"/>
              </w:rPr>
              <w:t xml:space="preserve">Most of the equipment already allocated for PMSE uses in the 2 GHz band covers the mentioned frequency ranges. The 2010 – 2025 MHz range is already included in the tuning ranges of most transmitters. The 1900 – 1920 MHz range is adjacent to this range and could technically easily be made accessible with given equipment. Video spectrum allocation within these ranges is already possible on a geographical short term licensed basis for some countries in Europe. </w:t>
            </w:r>
          </w:p>
          <w:p w:rsidR="00DE038B" w:rsidRDefault="00DE038B" w:rsidP="00A658BB">
            <w:pPr>
              <w:pStyle w:val="Default"/>
              <w:rPr>
                <w:sz w:val="20"/>
                <w:szCs w:val="20"/>
              </w:rPr>
            </w:pPr>
            <w:r>
              <w:rPr>
                <w:i/>
                <w:iCs/>
                <w:sz w:val="20"/>
                <w:szCs w:val="20"/>
              </w:rPr>
              <w:t xml:space="preserve">Wireless video applications rely on the propagation in this frequency range especially for the uplink of video signals from a mobile (motor cycle) or stationary camera to an airborne vehicle. In obstructed applications higher frequencies mean higher power for the same coverage areas, which is not possible because of battery limitations or health safety regulations for cameramen. </w:t>
            </w:r>
          </w:p>
          <w:p w:rsidR="00DE038B" w:rsidRPr="00AA2F1C" w:rsidRDefault="00DE038B" w:rsidP="00A658BB">
            <w:pPr>
              <w:spacing w:before="120"/>
              <w:jc w:val="both"/>
              <w:rPr>
                <w:sz w:val="16"/>
                <w:szCs w:val="16"/>
                <w:lang w:val="en-US"/>
              </w:rPr>
            </w:pPr>
            <w:r w:rsidRPr="00871AD3">
              <w:rPr>
                <w:i/>
                <w:iCs/>
                <w:sz w:val="20"/>
                <w:szCs w:val="20"/>
                <w:lang w:val="en-US"/>
              </w:rPr>
              <w:t>Video PMSE faces a large loss of spectrum allocations in the upper 2 GHz band. An allocation of the unpaired 2 GHz bands would enable 2 – 3 video applications (8/10 MHz channel).</w:t>
            </w:r>
          </w:p>
        </w:tc>
        <w:tc>
          <w:tcPr>
            <w:tcW w:w="1052" w:type="pct"/>
          </w:tcPr>
          <w:p w:rsidR="00DE038B" w:rsidRDefault="0024559C" w:rsidP="0024559C">
            <w:pPr>
              <w:keepLines/>
              <w:spacing w:before="120"/>
              <w:jc w:val="both"/>
              <w:rPr>
                <w:sz w:val="16"/>
                <w:szCs w:val="16"/>
                <w:lang w:val="en-US"/>
              </w:rPr>
            </w:pPr>
            <w:r>
              <w:rPr>
                <w:sz w:val="16"/>
                <w:szCs w:val="16"/>
                <w:lang w:val="en-US"/>
              </w:rPr>
              <w:t xml:space="preserve">Support of PMSE reflected in Annex 2 to document </w:t>
            </w:r>
            <w:proofErr w:type="gramStart"/>
            <w:r>
              <w:rPr>
                <w:sz w:val="16"/>
                <w:szCs w:val="16"/>
                <w:lang w:val="en-US"/>
              </w:rPr>
              <w:t>FM(</w:t>
            </w:r>
            <w:proofErr w:type="gramEnd"/>
            <w:r>
              <w:rPr>
                <w:sz w:val="16"/>
                <w:szCs w:val="16"/>
                <w:lang w:val="en-US"/>
              </w:rPr>
              <w:t>14)037 Annex1</w:t>
            </w:r>
            <w:r w:rsidR="0064153C">
              <w:rPr>
                <w:sz w:val="16"/>
                <w:szCs w:val="16"/>
                <w:lang w:val="en-US"/>
              </w:rPr>
              <w:t xml:space="preserve"> (The outline of CEPT’s response)</w:t>
            </w:r>
            <w:r>
              <w:rPr>
                <w:sz w:val="16"/>
                <w:szCs w:val="16"/>
                <w:lang w:val="en-US"/>
              </w:rPr>
              <w:t>.</w:t>
            </w:r>
          </w:p>
          <w:p w:rsidR="0024559C" w:rsidRDefault="0024559C" w:rsidP="0064153C">
            <w:pPr>
              <w:keepLines/>
              <w:spacing w:before="120"/>
              <w:jc w:val="both"/>
              <w:rPr>
                <w:sz w:val="16"/>
                <w:szCs w:val="16"/>
                <w:lang w:val="en-US"/>
              </w:rPr>
            </w:pPr>
            <w:r>
              <w:rPr>
                <w:sz w:val="16"/>
                <w:szCs w:val="16"/>
                <w:lang w:val="en-US"/>
              </w:rPr>
              <w:t xml:space="preserve">Indication </w:t>
            </w:r>
            <w:r w:rsidR="0064153C">
              <w:rPr>
                <w:sz w:val="16"/>
                <w:szCs w:val="16"/>
                <w:lang w:val="en-US"/>
              </w:rPr>
              <w:t>of the tuning ranges for video PMSE applications reflected in section 3.2 of the outline of CEPT’s response.</w:t>
            </w:r>
          </w:p>
        </w:tc>
      </w:tr>
      <w:tr w:rsidR="0064153C" w:rsidTr="00870EF9">
        <w:tblPrEx>
          <w:tblCellMar>
            <w:top w:w="0" w:type="dxa"/>
            <w:bottom w:w="0" w:type="dxa"/>
          </w:tblCellMar>
        </w:tblPrEx>
        <w:trPr>
          <w:cantSplit/>
          <w:trHeight w:val="765"/>
          <w:tblHeader/>
        </w:trPr>
        <w:tc>
          <w:tcPr>
            <w:tcW w:w="358" w:type="pct"/>
          </w:tcPr>
          <w:p w:rsidR="0064153C" w:rsidRDefault="0064153C" w:rsidP="0064153C">
            <w:pPr>
              <w:keepLines/>
              <w:spacing w:before="120"/>
              <w:rPr>
                <w:sz w:val="16"/>
                <w:szCs w:val="16"/>
                <w:lang w:val="en-US"/>
              </w:rPr>
            </w:pPr>
            <w:r>
              <w:rPr>
                <w:sz w:val="16"/>
                <w:szCs w:val="16"/>
                <w:lang w:val="en-US"/>
              </w:rPr>
              <w:lastRenderedPageBreak/>
              <w:t>NPO/1</w:t>
            </w:r>
          </w:p>
          <w:p w:rsidR="0064153C" w:rsidRDefault="0064153C" w:rsidP="0064153C">
            <w:pPr>
              <w:keepLines/>
              <w:spacing w:before="120"/>
              <w:rPr>
                <w:sz w:val="16"/>
                <w:szCs w:val="16"/>
                <w:lang w:val="en-US"/>
              </w:rPr>
            </w:pPr>
            <w:r>
              <w:rPr>
                <w:sz w:val="16"/>
                <w:szCs w:val="16"/>
                <w:lang w:val="en-US"/>
              </w:rPr>
              <w:t>IRT/1</w:t>
            </w:r>
          </w:p>
        </w:tc>
        <w:tc>
          <w:tcPr>
            <w:tcW w:w="671" w:type="pct"/>
          </w:tcPr>
          <w:p w:rsidR="0064153C" w:rsidRDefault="0064153C" w:rsidP="0064153C">
            <w:pPr>
              <w:keepLines/>
              <w:spacing w:before="120"/>
              <w:rPr>
                <w:sz w:val="16"/>
                <w:szCs w:val="16"/>
                <w:lang w:val="en-US"/>
              </w:rPr>
            </w:pPr>
            <w:r w:rsidRPr="00C30791">
              <w:rPr>
                <w:sz w:val="16"/>
                <w:szCs w:val="16"/>
                <w:lang w:val="en-US"/>
              </w:rPr>
              <w:t>Support for PMSE in the Unpaired bands</w:t>
            </w:r>
          </w:p>
        </w:tc>
        <w:tc>
          <w:tcPr>
            <w:tcW w:w="2919" w:type="pct"/>
          </w:tcPr>
          <w:p w:rsidR="0064153C" w:rsidRPr="00C30791" w:rsidRDefault="0064153C" w:rsidP="0064153C">
            <w:pPr>
              <w:pStyle w:val="Default"/>
              <w:rPr>
                <w:sz w:val="20"/>
                <w:szCs w:val="20"/>
              </w:rPr>
            </w:pPr>
            <w:r w:rsidRPr="00C30791">
              <w:rPr>
                <w:sz w:val="20"/>
                <w:szCs w:val="20"/>
              </w:rPr>
              <w:t>An allocation of the unpaired 2 GHz bands to PMSE is advisable and can easily be implemented. The frequency range is already in the tuning range of most of the equipment used in Europe and in some cases already allocated to PMSE on a geographical short term licensed basis. The 2010 – 2025 MHz range is adjacent to existing PMSE video spectrum allocation. In general NPO advocates the allocation of spectrum based on its propagation characteristics. The use of UHF frequencies for applications that are always within line if sight is ill advised. The subject frequencies bands are capable of usage without line of sight and shou</w:t>
            </w:r>
            <w:r>
              <w:rPr>
                <w:sz w:val="20"/>
                <w:szCs w:val="20"/>
              </w:rPr>
              <w:t>ld</w:t>
            </w:r>
            <w:r w:rsidRPr="00C30791">
              <w:rPr>
                <w:sz w:val="20"/>
                <w:szCs w:val="20"/>
              </w:rPr>
              <w:t xml:space="preserve"> therefore be allocated to applications that require line of sight.</w:t>
            </w:r>
          </w:p>
          <w:p w:rsidR="0064153C" w:rsidRPr="00C30791" w:rsidRDefault="0064153C" w:rsidP="0064153C">
            <w:pPr>
              <w:pStyle w:val="Default"/>
              <w:rPr>
                <w:sz w:val="20"/>
                <w:szCs w:val="20"/>
              </w:rPr>
            </w:pPr>
            <w:r w:rsidRPr="00C30791">
              <w:rPr>
                <w:sz w:val="20"/>
                <w:szCs w:val="20"/>
              </w:rPr>
              <w:t>Wireless video applications rely on the non-line-of-sight propagation in this frequency range especially for the uplink of video signals from a mobile (motor cycle) or stationary camera to an airborne vehicle. Apart from that in non-line-of-sight applications the usage of higher frequencies mean higher</w:t>
            </w:r>
          </w:p>
          <w:p w:rsidR="0064153C" w:rsidRPr="00C30791" w:rsidRDefault="0064153C" w:rsidP="0064153C">
            <w:pPr>
              <w:pStyle w:val="Default"/>
              <w:rPr>
                <w:sz w:val="20"/>
                <w:szCs w:val="20"/>
              </w:rPr>
            </w:pPr>
            <w:proofErr w:type="gramStart"/>
            <w:r w:rsidRPr="00C30791">
              <w:rPr>
                <w:sz w:val="20"/>
                <w:szCs w:val="20"/>
              </w:rPr>
              <w:t>power</w:t>
            </w:r>
            <w:proofErr w:type="gramEnd"/>
            <w:r w:rsidRPr="00C30791">
              <w:rPr>
                <w:sz w:val="20"/>
                <w:szCs w:val="20"/>
              </w:rPr>
              <w:t>, which is not possible because of battery limitations or health safety regulations for the cameraman.</w:t>
            </w:r>
          </w:p>
          <w:p w:rsidR="0064153C" w:rsidRPr="00C30791" w:rsidRDefault="0064153C" w:rsidP="0064153C">
            <w:pPr>
              <w:pStyle w:val="Default"/>
              <w:rPr>
                <w:sz w:val="20"/>
                <w:szCs w:val="20"/>
              </w:rPr>
            </w:pPr>
            <w:r w:rsidRPr="00C30791">
              <w:rPr>
                <w:sz w:val="20"/>
                <w:szCs w:val="20"/>
              </w:rPr>
              <w:t>Video PMSE already faces a large loss of spectrum allocations in the upper 2 GHz band. An allocation of the unpaired 2 GHz bands would enable 2 – 3 video applications (10 MHz channel).</w:t>
            </w:r>
          </w:p>
        </w:tc>
        <w:tc>
          <w:tcPr>
            <w:tcW w:w="1052" w:type="pct"/>
          </w:tcPr>
          <w:p w:rsidR="0064153C" w:rsidRDefault="0064153C" w:rsidP="0064153C">
            <w:pPr>
              <w:keepLines/>
              <w:spacing w:before="120"/>
              <w:jc w:val="both"/>
              <w:rPr>
                <w:sz w:val="16"/>
                <w:szCs w:val="16"/>
                <w:lang w:val="en-US"/>
              </w:rPr>
            </w:pPr>
            <w:r>
              <w:rPr>
                <w:sz w:val="16"/>
                <w:szCs w:val="16"/>
                <w:lang w:val="en-US"/>
              </w:rPr>
              <w:t xml:space="preserve">Support of PMSE reflected in Annex 2 to document </w:t>
            </w:r>
            <w:proofErr w:type="gramStart"/>
            <w:r>
              <w:rPr>
                <w:sz w:val="16"/>
                <w:szCs w:val="16"/>
                <w:lang w:val="en-US"/>
              </w:rPr>
              <w:t>FM(</w:t>
            </w:r>
            <w:proofErr w:type="gramEnd"/>
            <w:r>
              <w:rPr>
                <w:sz w:val="16"/>
                <w:szCs w:val="16"/>
                <w:lang w:val="en-US"/>
              </w:rPr>
              <w:t>14)037 Annex1 (The outline of CEPT’s response).</w:t>
            </w:r>
          </w:p>
          <w:p w:rsidR="0064153C" w:rsidRDefault="0064153C" w:rsidP="0064153C">
            <w:pPr>
              <w:keepLines/>
              <w:spacing w:before="120"/>
              <w:jc w:val="both"/>
              <w:rPr>
                <w:sz w:val="16"/>
                <w:szCs w:val="16"/>
                <w:lang w:val="en-US"/>
              </w:rPr>
            </w:pPr>
            <w:r>
              <w:rPr>
                <w:sz w:val="16"/>
                <w:szCs w:val="16"/>
                <w:lang w:val="en-US"/>
              </w:rPr>
              <w:t>Indication of the tuning ranges for video PMSE applications reflected in section 3.2 of the outline of CEPT’s response.</w:t>
            </w:r>
          </w:p>
        </w:tc>
      </w:tr>
      <w:tr w:rsidR="0064153C" w:rsidTr="00870EF9">
        <w:tblPrEx>
          <w:tblCellMar>
            <w:top w:w="0" w:type="dxa"/>
            <w:bottom w:w="0" w:type="dxa"/>
          </w:tblCellMar>
        </w:tblPrEx>
        <w:trPr>
          <w:cantSplit/>
          <w:trHeight w:val="765"/>
          <w:tblHeader/>
        </w:trPr>
        <w:tc>
          <w:tcPr>
            <w:tcW w:w="358" w:type="pct"/>
          </w:tcPr>
          <w:p w:rsidR="0064153C" w:rsidRDefault="0064153C" w:rsidP="0064153C">
            <w:pPr>
              <w:keepLines/>
              <w:spacing w:before="120"/>
              <w:rPr>
                <w:sz w:val="16"/>
                <w:szCs w:val="16"/>
                <w:lang w:val="en-US"/>
              </w:rPr>
            </w:pPr>
            <w:proofErr w:type="spellStart"/>
            <w:r>
              <w:rPr>
                <w:sz w:val="16"/>
                <w:szCs w:val="16"/>
                <w:lang w:val="en-US"/>
              </w:rPr>
              <w:t>Vislink</w:t>
            </w:r>
            <w:proofErr w:type="spellEnd"/>
            <w:r>
              <w:rPr>
                <w:sz w:val="16"/>
                <w:szCs w:val="16"/>
                <w:lang w:val="en-US"/>
              </w:rPr>
              <w:t>/1</w:t>
            </w:r>
          </w:p>
        </w:tc>
        <w:tc>
          <w:tcPr>
            <w:tcW w:w="671" w:type="pct"/>
          </w:tcPr>
          <w:p w:rsidR="0064153C" w:rsidRPr="00C30791" w:rsidRDefault="0064153C" w:rsidP="0064153C">
            <w:pPr>
              <w:keepLines/>
              <w:spacing w:before="120"/>
              <w:rPr>
                <w:sz w:val="16"/>
                <w:szCs w:val="16"/>
                <w:lang w:val="en-US"/>
              </w:rPr>
            </w:pPr>
            <w:r w:rsidRPr="00EF48C2">
              <w:rPr>
                <w:sz w:val="16"/>
                <w:szCs w:val="16"/>
                <w:lang w:val="en-US"/>
              </w:rPr>
              <w:t>Support for PMSE in the Unpaired bands</w:t>
            </w:r>
          </w:p>
        </w:tc>
        <w:tc>
          <w:tcPr>
            <w:tcW w:w="2919" w:type="pct"/>
          </w:tcPr>
          <w:p w:rsidR="0064153C" w:rsidRPr="00077B6F" w:rsidRDefault="0064153C" w:rsidP="0064153C">
            <w:pPr>
              <w:pStyle w:val="Default"/>
              <w:rPr>
                <w:sz w:val="20"/>
                <w:szCs w:val="20"/>
              </w:rPr>
            </w:pPr>
          </w:p>
          <w:p w:rsidR="0064153C" w:rsidRPr="00077B6F" w:rsidRDefault="0064153C" w:rsidP="0064153C">
            <w:pPr>
              <w:pStyle w:val="Default"/>
              <w:rPr>
                <w:sz w:val="20"/>
                <w:szCs w:val="20"/>
              </w:rPr>
            </w:pPr>
            <w:r w:rsidRPr="00077B6F">
              <w:rPr>
                <w:sz w:val="20"/>
                <w:szCs w:val="20"/>
              </w:rPr>
              <w:t>These unpaired bands are premium bands for PMSE.  PMSE has already lost many channels between 2.0 to 2.6GHz and is currently unable to sustain satisfactory coverage of major national and international events.</w:t>
            </w:r>
          </w:p>
          <w:p w:rsidR="0064153C" w:rsidRPr="00077B6F" w:rsidRDefault="0064153C" w:rsidP="0064153C">
            <w:pPr>
              <w:pStyle w:val="Default"/>
              <w:rPr>
                <w:sz w:val="20"/>
                <w:szCs w:val="20"/>
              </w:rPr>
            </w:pPr>
            <w:r w:rsidRPr="00077B6F">
              <w:rPr>
                <w:sz w:val="20"/>
                <w:szCs w:val="20"/>
              </w:rPr>
              <w:t>These frequencies are within the tuning range of existing PMSE equipment.</w:t>
            </w:r>
          </w:p>
          <w:p w:rsidR="0064153C" w:rsidRPr="00077B6F" w:rsidRDefault="0064153C" w:rsidP="0064153C">
            <w:pPr>
              <w:pStyle w:val="Default"/>
              <w:rPr>
                <w:sz w:val="20"/>
                <w:szCs w:val="20"/>
              </w:rPr>
            </w:pPr>
            <w:r w:rsidRPr="00077B6F">
              <w:rPr>
                <w:sz w:val="20"/>
                <w:szCs w:val="20"/>
              </w:rPr>
              <w:t>The 2 GHz band is used by PMSE for mobile operations; cordless cameras; mobiles on-boards for motor and motorbike racing; rallying; camera motor bike to terrestrial receivers, to helicopters and to fixed wing aircraft.  Where possible sited to achieve direct line of sight transmission but in many situations line of sight is not possible.  Current equipment is operating extremely close to theoretical optimum performance and therefore offers no opportunity for improvement.   Increasing power is not an option because of battery life and EMC and safety considerations.  Increasing antenna gain and therefore size is also not an option.</w:t>
            </w:r>
          </w:p>
          <w:p w:rsidR="0064153C" w:rsidRPr="00C30791" w:rsidRDefault="0064153C" w:rsidP="0064153C">
            <w:pPr>
              <w:pStyle w:val="Default"/>
              <w:rPr>
                <w:sz w:val="20"/>
                <w:szCs w:val="20"/>
              </w:rPr>
            </w:pPr>
            <w:r w:rsidRPr="00077B6F">
              <w:rPr>
                <w:sz w:val="20"/>
                <w:szCs w:val="20"/>
              </w:rPr>
              <w:t>Some events are viewed by massive worldwide audiences, some as many as 500M or more.</w:t>
            </w:r>
          </w:p>
        </w:tc>
        <w:tc>
          <w:tcPr>
            <w:tcW w:w="1052" w:type="pct"/>
          </w:tcPr>
          <w:p w:rsidR="0064153C" w:rsidRDefault="0064153C" w:rsidP="0064153C">
            <w:pPr>
              <w:keepLines/>
              <w:spacing w:before="120"/>
              <w:jc w:val="both"/>
              <w:rPr>
                <w:sz w:val="16"/>
                <w:szCs w:val="16"/>
                <w:lang w:val="en-US"/>
              </w:rPr>
            </w:pPr>
            <w:r>
              <w:rPr>
                <w:sz w:val="16"/>
                <w:szCs w:val="16"/>
                <w:lang w:val="en-US"/>
              </w:rPr>
              <w:t xml:space="preserve">Support of PMSE reflected in Annex 2 to document </w:t>
            </w:r>
            <w:proofErr w:type="gramStart"/>
            <w:r>
              <w:rPr>
                <w:sz w:val="16"/>
                <w:szCs w:val="16"/>
                <w:lang w:val="en-US"/>
              </w:rPr>
              <w:t>FM(</w:t>
            </w:r>
            <w:proofErr w:type="gramEnd"/>
            <w:r>
              <w:rPr>
                <w:sz w:val="16"/>
                <w:szCs w:val="16"/>
                <w:lang w:val="en-US"/>
              </w:rPr>
              <w:t>14)037 Annex1 (The outline of CEPT’s response).</w:t>
            </w:r>
          </w:p>
          <w:p w:rsidR="0064153C" w:rsidRDefault="0064153C" w:rsidP="0064153C">
            <w:pPr>
              <w:keepLines/>
              <w:spacing w:before="120"/>
              <w:jc w:val="both"/>
              <w:rPr>
                <w:sz w:val="16"/>
                <w:szCs w:val="16"/>
                <w:lang w:val="en-US"/>
              </w:rPr>
            </w:pPr>
            <w:r>
              <w:rPr>
                <w:sz w:val="16"/>
                <w:szCs w:val="16"/>
                <w:lang w:val="en-US"/>
              </w:rPr>
              <w:t>Indication of the tuning ranges for video PMSE applications reflected in section 3.2 of the outline of CEPT’s response.</w:t>
            </w:r>
          </w:p>
        </w:tc>
      </w:tr>
      <w:tr w:rsidR="0064153C" w:rsidTr="00870EF9">
        <w:tblPrEx>
          <w:tblCellMar>
            <w:top w:w="0" w:type="dxa"/>
            <w:bottom w:w="0" w:type="dxa"/>
          </w:tblCellMar>
        </w:tblPrEx>
        <w:trPr>
          <w:cantSplit/>
          <w:trHeight w:val="765"/>
          <w:tblHeader/>
        </w:trPr>
        <w:tc>
          <w:tcPr>
            <w:tcW w:w="358" w:type="pct"/>
          </w:tcPr>
          <w:p w:rsidR="0064153C" w:rsidRDefault="0064153C" w:rsidP="0064153C">
            <w:pPr>
              <w:keepLines/>
              <w:spacing w:before="120"/>
              <w:rPr>
                <w:sz w:val="16"/>
                <w:szCs w:val="16"/>
                <w:lang w:val="en-US"/>
              </w:rPr>
            </w:pPr>
            <w:r>
              <w:rPr>
                <w:sz w:val="16"/>
                <w:szCs w:val="16"/>
                <w:lang w:val="en-US"/>
              </w:rPr>
              <w:t>France/1</w:t>
            </w:r>
          </w:p>
        </w:tc>
        <w:tc>
          <w:tcPr>
            <w:tcW w:w="671" w:type="pct"/>
          </w:tcPr>
          <w:p w:rsidR="0064153C" w:rsidRPr="00EF48C2" w:rsidRDefault="0064153C" w:rsidP="0064153C">
            <w:pPr>
              <w:keepLines/>
              <w:spacing w:before="120"/>
              <w:rPr>
                <w:sz w:val="16"/>
                <w:szCs w:val="16"/>
                <w:lang w:val="en-US"/>
              </w:rPr>
            </w:pPr>
            <w:r>
              <w:rPr>
                <w:sz w:val="16"/>
                <w:szCs w:val="16"/>
                <w:lang w:val="en-US"/>
              </w:rPr>
              <w:t>Support of the concept</w:t>
            </w:r>
          </w:p>
        </w:tc>
        <w:tc>
          <w:tcPr>
            <w:tcW w:w="2919" w:type="pct"/>
          </w:tcPr>
          <w:p w:rsidR="0064153C" w:rsidRPr="00140020" w:rsidRDefault="0064153C" w:rsidP="0064153C">
            <w:pPr>
              <w:pStyle w:val="Default"/>
              <w:rPr>
                <w:sz w:val="20"/>
                <w:szCs w:val="20"/>
              </w:rPr>
            </w:pPr>
            <w:r w:rsidRPr="00140020">
              <w:rPr>
                <w:sz w:val="20"/>
                <w:szCs w:val="20"/>
              </w:rPr>
              <w:t xml:space="preserve">In France, we have identified a need for additional spectrum for PMSE (video) applications. The first benefit of this frequency band is that is the band 2010-2025 MHz is adjacent to an existing PMSE allocation used for video links. As a result, the upper part of the new designation is seen as an extension of the existing band and the technology for an immediate implementation is available. This would allow a certain level of economic benefits too. To some extent, video/PMSE technology can be comparable to PPDR technologies. Both users would need similar operation criteria and would be able to operate under similar spectrum regulation as long as they are not co-located. With regard to different scenarios, it seems that, based on the use of appropriate mitigation techniques and restrictions, DA2GC could also operate on these frequency bands on a shared basis with video application. This scenario is considered as an </w:t>
            </w:r>
            <w:r>
              <w:rPr>
                <w:sz w:val="20"/>
                <w:szCs w:val="20"/>
              </w:rPr>
              <w:t>optimized</w:t>
            </w:r>
            <w:r w:rsidRPr="00140020">
              <w:rPr>
                <w:sz w:val="20"/>
                <w:szCs w:val="20"/>
              </w:rPr>
              <w:t xml:space="preserve"> one, noting that a SRD regulation could be also introduced on a non</w:t>
            </w:r>
            <w:r>
              <w:rPr>
                <w:sz w:val="20"/>
                <w:szCs w:val="20"/>
              </w:rPr>
              <w:t>-protection, non-</w:t>
            </w:r>
            <w:r w:rsidRPr="00140020">
              <w:rPr>
                <w:sz w:val="20"/>
                <w:szCs w:val="20"/>
              </w:rPr>
              <w:t>interference basis without impacting the above identified services.</w:t>
            </w:r>
          </w:p>
          <w:p w:rsidR="0064153C" w:rsidRPr="00077B6F" w:rsidRDefault="0064153C" w:rsidP="0064153C">
            <w:pPr>
              <w:pStyle w:val="Default"/>
              <w:rPr>
                <w:sz w:val="20"/>
                <w:szCs w:val="20"/>
              </w:rPr>
            </w:pPr>
            <w:r w:rsidRPr="00140020">
              <w:rPr>
                <w:sz w:val="20"/>
                <w:szCs w:val="20"/>
              </w:rPr>
              <w:t xml:space="preserve">France is of the view that this </w:t>
            </w:r>
            <w:r>
              <w:rPr>
                <w:sz w:val="20"/>
                <w:szCs w:val="20"/>
              </w:rPr>
              <w:t>optimizes</w:t>
            </w:r>
            <w:r w:rsidRPr="00140020">
              <w:rPr>
                <w:sz w:val="20"/>
                <w:szCs w:val="20"/>
              </w:rPr>
              <w:t xml:space="preserve"> the use of the band and accommodates all candidates.</w:t>
            </w:r>
          </w:p>
        </w:tc>
        <w:tc>
          <w:tcPr>
            <w:tcW w:w="1052" w:type="pct"/>
          </w:tcPr>
          <w:p w:rsidR="0064153C" w:rsidRDefault="0064153C" w:rsidP="0064153C">
            <w:pPr>
              <w:keepLines/>
              <w:spacing w:before="120"/>
              <w:jc w:val="both"/>
              <w:rPr>
                <w:sz w:val="16"/>
                <w:szCs w:val="16"/>
                <w:lang w:val="en-US"/>
              </w:rPr>
            </w:pPr>
            <w:r>
              <w:rPr>
                <w:sz w:val="16"/>
                <w:szCs w:val="16"/>
                <w:lang w:val="en-US"/>
              </w:rPr>
              <w:t xml:space="preserve">Support of the concept reflected in Annex 2 to document </w:t>
            </w:r>
            <w:proofErr w:type="gramStart"/>
            <w:r>
              <w:rPr>
                <w:sz w:val="16"/>
                <w:szCs w:val="16"/>
                <w:lang w:val="en-US"/>
              </w:rPr>
              <w:t>FM(</w:t>
            </w:r>
            <w:proofErr w:type="gramEnd"/>
            <w:r>
              <w:rPr>
                <w:sz w:val="16"/>
                <w:szCs w:val="16"/>
                <w:lang w:val="en-US"/>
              </w:rPr>
              <w:t>14)037 Annex1 (The outline of CEPT’s response).</w:t>
            </w:r>
          </w:p>
          <w:p w:rsidR="0064153C" w:rsidRDefault="0064153C" w:rsidP="0064153C">
            <w:pPr>
              <w:keepLines/>
              <w:spacing w:before="120"/>
              <w:jc w:val="both"/>
              <w:rPr>
                <w:sz w:val="16"/>
                <w:szCs w:val="16"/>
                <w:lang w:val="en-US"/>
              </w:rPr>
            </w:pPr>
            <w:r>
              <w:rPr>
                <w:sz w:val="16"/>
                <w:szCs w:val="16"/>
                <w:lang w:val="en-US"/>
              </w:rPr>
              <w:t>Indication of the tuning ranges for video PMSE applications reflected in section 3.2 of the outline of CEPT’s response.</w:t>
            </w:r>
          </w:p>
        </w:tc>
      </w:tr>
      <w:tr w:rsidR="0064153C" w:rsidTr="00870EF9">
        <w:tblPrEx>
          <w:tblCellMar>
            <w:top w:w="0" w:type="dxa"/>
            <w:bottom w:w="0" w:type="dxa"/>
          </w:tblCellMar>
        </w:tblPrEx>
        <w:trPr>
          <w:cantSplit/>
          <w:trHeight w:val="765"/>
          <w:tblHeader/>
        </w:trPr>
        <w:tc>
          <w:tcPr>
            <w:tcW w:w="358" w:type="pct"/>
          </w:tcPr>
          <w:p w:rsidR="0064153C" w:rsidRDefault="0064153C" w:rsidP="0064153C">
            <w:pPr>
              <w:keepLines/>
              <w:spacing w:before="120"/>
              <w:rPr>
                <w:sz w:val="16"/>
                <w:szCs w:val="16"/>
                <w:lang w:val="en-US"/>
              </w:rPr>
            </w:pPr>
            <w:r>
              <w:rPr>
                <w:sz w:val="16"/>
                <w:szCs w:val="16"/>
                <w:lang w:val="en-US"/>
              </w:rPr>
              <w:t>DECT/1</w:t>
            </w:r>
          </w:p>
        </w:tc>
        <w:tc>
          <w:tcPr>
            <w:tcW w:w="671" w:type="pct"/>
          </w:tcPr>
          <w:p w:rsidR="0064153C" w:rsidRDefault="0064153C" w:rsidP="0064153C">
            <w:pPr>
              <w:keepLines/>
              <w:spacing w:before="120"/>
              <w:rPr>
                <w:sz w:val="16"/>
                <w:szCs w:val="16"/>
                <w:lang w:val="en-US"/>
              </w:rPr>
            </w:pPr>
            <w:r>
              <w:rPr>
                <w:sz w:val="16"/>
                <w:szCs w:val="16"/>
                <w:lang w:val="en-US"/>
              </w:rPr>
              <w:t>Support of  DECT in the band 1900-1920 MHz</w:t>
            </w:r>
          </w:p>
        </w:tc>
        <w:tc>
          <w:tcPr>
            <w:tcW w:w="2919" w:type="pct"/>
          </w:tcPr>
          <w:p w:rsidR="0064153C" w:rsidRPr="00DE038B" w:rsidRDefault="0064153C" w:rsidP="0064153C">
            <w:pPr>
              <w:pStyle w:val="Default"/>
              <w:rPr>
                <w:sz w:val="20"/>
                <w:szCs w:val="20"/>
              </w:rPr>
            </w:pPr>
            <w:r>
              <w:rPr>
                <w:sz w:val="20"/>
                <w:szCs w:val="20"/>
              </w:rPr>
              <w:t>C</w:t>
            </w:r>
            <w:r w:rsidRPr="00DE038B">
              <w:rPr>
                <w:sz w:val="20"/>
                <w:szCs w:val="20"/>
              </w:rPr>
              <w:t>OMBINE 1880-1900 MHZ (DECT BAND) WITH 1900-1920 MHZ, MAKING AVAILABLE A 40 MHZ BLOCK FOR DECT</w:t>
            </w:r>
          </w:p>
          <w:p w:rsidR="0064153C" w:rsidRPr="00E25D35" w:rsidRDefault="0064153C" w:rsidP="0064153C">
            <w:pPr>
              <w:pStyle w:val="Default"/>
              <w:rPr>
                <w:sz w:val="16"/>
                <w:szCs w:val="16"/>
              </w:rPr>
            </w:pPr>
            <w:r w:rsidRPr="00E25D35">
              <w:rPr>
                <w:sz w:val="16"/>
                <w:szCs w:val="16"/>
              </w:rPr>
              <w:t xml:space="preserve">The Digital Enhanced Cordless Telecommunications (DECT) system has started its operation in Europe in the designated frequency band 1 880 MHz </w:t>
            </w:r>
            <w:r>
              <w:rPr>
                <w:sz w:val="16"/>
                <w:szCs w:val="16"/>
              </w:rPr>
              <w:t>–</w:t>
            </w:r>
            <w:r w:rsidRPr="00E25D35">
              <w:rPr>
                <w:sz w:val="16"/>
                <w:szCs w:val="16"/>
              </w:rPr>
              <w:t xml:space="preserve"> 1 900 </w:t>
            </w:r>
            <w:proofErr w:type="spellStart"/>
            <w:r w:rsidRPr="00E25D35">
              <w:rPr>
                <w:sz w:val="16"/>
                <w:szCs w:val="16"/>
              </w:rPr>
              <w:t>MHz.</w:t>
            </w:r>
            <w:proofErr w:type="spellEnd"/>
            <w:r w:rsidRPr="00E25D35">
              <w:rPr>
                <w:sz w:val="16"/>
                <w:szCs w:val="16"/>
              </w:rPr>
              <w:t xml:space="preserve"> It has spread around the globe and has become the dominating digital cordless telephone system in the world. DECT has also been approved by the ITU as one of the International Mobile Telecommunications (IMT) systems.</w:t>
            </w:r>
          </w:p>
          <w:p w:rsidR="0064153C" w:rsidRPr="00E25D35" w:rsidRDefault="0064153C" w:rsidP="0064153C">
            <w:pPr>
              <w:pStyle w:val="Default"/>
              <w:rPr>
                <w:sz w:val="16"/>
                <w:szCs w:val="16"/>
              </w:rPr>
            </w:pPr>
            <w:r w:rsidRPr="00E25D35">
              <w:rPr>
                <w:sz w:val="16"/>
                <w:szCs w:val="16"/>
              </w:rPr>
              <w:t xml:space="preserve">The possible allocation of adjacent band 1900 – 1920 MHz to DECT will provide a single continuous block of 40 </w:t>
            </w:r>
            <w:proofErr w:type="spellStart"/>
            <w:r w:rsidRPr="00E25D35">
              <w:rPr>
                <w:sz w:val="16"/>
                <w:szCs w:val="16"/>
              </w:rPr>
              <w:t>MHz.</w:t>
            </w:r>
            <w:proofErr w:type="spellEnd"/>
            <w:r w:rsidRPr="00E25D35">
              <w:rPr>
                <w:sz w:val="16"/>
                <w:szCs w:val="16"/>
              </w:rPr>
              <w:t xml:space="preserve"> The carrier numbers and positions for the use of DECT in the 1900 – 1920 MHz band are already defined (see EN 300 175-2 annex F) as consequence of the IMT allocation. The Harmonized standard for DECT over this band, ETSI EN 301 908-10, is already available as part of the ETSI set of IMT-2000 standards.</w:t>
            </w:r>
          </w:p>
          <w:p w:rsidR="0064153C" w:rsidRPr="00E25D35" w:rsidRDefault="0064153C" w:rsidP="0064153C">
            <w:pPr>
              <w:pStyle w:val="Default"/>
              <w:rPr>
                <w:sz w:val="16"/>
                <w:szCs w:val="16"/>
              </w:rPr>
            </w:pPr>
            <w:r w:rsidRPr="00E25D35">
              <w:rPr>
                <w:sz w:val="16"/>
                <w:szCs w:val="16"/>
              </w:rPr>
              <w:t xml:space="preserve">Two additional carriers can be obtained from the guard space around 1900 </w:t>
            </w:r>
            <w:proofErr w:type="spellStart"/>
            <w:r w:rsidRPr="00E25D35">
              <w:rPr>
                <w:sz w:val="16"/>
                <w:szCs w:val="16"/>
              </w:rPr>
              <w:t>MHz.</w:t>
            </w:r>
            <w:proofErr w:type="spellEnd"/>
            <w:r w:rsidRPr="00E25D35">
              <w:rPr>
                <w:sz w:val="16"/>
                <w:szCs w:val="16"/>
              </w:rPr>
              <w:t xml:space="preserve"> Therefore, twelve new carriers, instead of ten, could be added with the 20 MHz extension.</w:t>
            </w:r>
          </w:p>
          <w:p w:rsidR="0064153C" w:rsidRPr="00E25D35" w:rsidRDefault="0064153C" w:rsidP="0064153C">
            <w:pPr>
              <w:pStyle w:val="Default"/>
              <w:rPr>
                <w:sz w:val="16"/>
                <w:szCs w:val="16"/>
              </w:rPr>
            </w:pPr>
            <w:r w:rsidRPr="00E25D35">
              <w:rPr>
                <w:sz w:val="16"/>
                <w:szCs w:val="16"/>
              </w:rPr>
              <w:t>Immediate implementation is possible. It should be noted that the frequencies 1900 – 1930 MHz are already in use by DECT in non EU countries and that there are already products (&gt; 100 million of devices) in operation over these frequencies. With the proposed license exempt regime, real usage by the public of the band 1900-1920 MHz will be possible in the very short term.</w:t>
            </w:r>
          </w:p>
          <w:p w:rsidR="0064153C" w:rsidRPr="00E25D35" w:rsidRDefault="0064153C" w:rsidP="0064153C">
            <w:pPr>
              <w:pStyle w:val="Default"/>
              <w:rPr>
                <w:sz w:val="16"/>
                <w:szCs w:val="16"/>
              </w:rPr>
            </w:pPr>
            <w:r w:rsidRPr="00E25D35">
              <w:rPr>
                <w:sz w:val="16"/>
                <w:szCs w:val="16"/>
              </w:rPr>
              <w:t xml:space="preserve">Today the majority of the applications are speech focused and are used in two different market segments with </w:t>
            </w:r>
            <w:proofErr w:type="spellStart"/>
            <w:r w:rsidRPr="00E25D35">
              <w:rPr>
                <w:sz w:val="16"/>
                <w:szCs w:val="16"/>
              </w:rPr>
              <w:t>licence</w:t>
            </w:r>
            <w:proofErr w:type="spellEnd"/>
            <w:r w:rsidRPr="00E25D35">
              <w:rPr>
                <w:sz w:val="16"/>
                <w:szCs w:val="16"/>
              </w:rPr>
              <w:t xml:space="preserve"> exempt provision. One is the domestic home market where low cost single cell devices are used. The other is the business market, which requires multi-cell systems with more complex functionality. Besides speech, many products provide low to medium rate data services and machine to machine communications.</w:t>
            </w:r>
          </w:p>
          <w:p w:rsidR="0064153C" w:rsidRPr="00E25D35" w:rsidRDefault="0064153C" w:rsidP="0064153C">
            <w:pPr>
              <w:pStyle w:val="Default"/>
              <w:rPr>
                <w:sz w:val="16"/>
                <w:szCs w:val="16"/>
              </w:rPr>
            </w:pPr>
            <w:r w:rsidRPr="00E25D35">
              <w:rPr>
                <w:sz w:val="16"/>
                <w:szCs w:val="16"/>
              </w:rPr>
              <w:t>The extension band would provide the possibility of the further evolution of the standard towards broadband services with higher bandwidth than today. See ETSI TR 103 149.</w:t>
            </w:r>
          </w:p>
          <w:p w:rsidR="0064153C" w:rsidRPr="00E25D35" w:rsidRDefault="0064153C" w:rsidP="0064153C">
            <w:pPr>
              <w:pStyle w:val="Default"/>
              <w:rPr>
                <w:sz w:val="16"/>
                <w:szCs w:val="16"/>
              </w:rPr>
            </w:pPr>
            <w:r w:rsidRPr="00E25D35">
              <w:rPr>
                <w:sz w:val="16"/>
                <w:szCs w:val="16"/>
              </w:rPr>
              <w:t>DECT operating in the 1900-1920 MHz provides a comprehensive overview of the services that would benefit from the extension band. Examples are the DECT New Generation that now also offers wideband 7 kHz voice transmission, a super-wideband 14 kHz service, higher rate data services, video surveillance and general home automation services (ULE). It should be noted that these example services are complements to the basic speech services and that these enhanced services will be implemented in the fixed line operator infrastructures.</w:t>
            </w:r>
          </w:p>
          <w:p w:rsidR="0064153C" w:rsidRPr="00DE038B" w:rsidRDefault="0064153C" w:rsidP="0064153C">
            <w:pPr>
              <w:pStyle w:val="Default"/>
              <w:rPr>
                <w:sz w:val="20"/>
                <w:szCs w:val="20"/>
              </w:rPr>
            </w:pPr>
            <w:r w:rsidRPr="00DE038B">
              <w:rPr>
                <w:sz w:val="20"/>
                <w:szCs w:val="20"/>
              </w:rPr>
              <w:t>Market information:</w:t>
            </w:r>
          </w:p>
          <w:p w:rsidR="0064153C" w:rsidRPr="00DE038B" w:rsidRDefault="0064153C" w:rsidP="0064153C">
            <w:pPr>
              <w:pStyle w:val="Default"/>
              <w:rPr>
                <w:sz w:val="20"/>
                <w:szCs w:val="20"/>
              </w:rPr>
            </w:pPr>
            <w:r w:rsidRPr="00DE038B">
              <w:rPr>
                <w:sz w:val="20"/>
                <w:szCs w:val="20"/>
              </w:rPr>
              <w:t>Extract from TR 103 149:</w:t>
            </w:r>
          </w:p>
          <w:p w:rsidR="0064153C" w:rsidRPr="00DE038B" w:rsidRDefault="0064153C" w:rsidP="0064153C">
            <w:pPr>
              <w:pStyle w:val="Default"/>
              <w:rPr>
                <w:sz w:val="20"/>
                <w:szCs w:val="20"/>
              </w:rPr>
            </w:pPr>
            <w:r w:rsidRPr="00DE038B">
              <w:rPr>
                <w:sz w:val="20"/>
                <w:szCs w:val="20"/>
              </w:rPr>
              <w:t>Start of citation:</w:t>
            </w:r>
          </w:p>
          <w:p w:rsidR="0064153C" w:rsidRPr="00DE038B" w:rsidRDefault="0064153C" w:rsidP="0064153C">
            <w:pPr>
              <w:pStyle w:val="Default"/>
              <w:rPr>
                <w:sz w:val="16"/>
                <w:szCs w:val="16"/>
              </w:rPr>
            </w:pPr>
            <w:r w:rsidRPr="00DE038B">
              <w:rPr>
                <w:sz w:val="16"/>
                <w:szCs w:val="16"/>
              </w:rPr>
              <w:t>With over 820 million devices installed throughout the world, ETSI</w:t>
            </w:r>
            <w:r>
              <w:rPr>
                <w:sz w:val="16"/>
                <w:szCs w:val="16"/>
              </w:rPr>
              <w:t>’</w:t>
            </w:r>
            <w:r w:rsidRPr="00DE038B">
              <w:rPr>
                <w:sz w:val="16"/>
                <w:szCs w:val="16"/>
              </w:rPr>
              <w:t xml:space="preserve">s DECT specification is the leading standard worldwide for digital cordless telecommunications for both cordless voice and broadband home communication. The system has been adopted in over 110 countries and every year more than 100 million new devices are sold. </w:t>
            </w:r>
            <w:proofErr w:type="spellStart"/>
            <w:r w:rsidRPr="00DE038B">
              <w:rPr>
                <w:sz w:val="16"/>
                <w:szCs w:val="16"/>
              </w:rPr>
              <w:t>DECTproducts</w:t>
            </w:r>
            <w:proofErr w:type="spellEnd"/>
            <w:r w:rsidRPr="00DE038B">
              <w:rPr>
                <w:sz w:val="16"/>
                <w:szCs w:val="16"/>
              </w:rPr>
              <w:t xml:space="preserve"> now account for more than 80 % of the world market.</w:t>
            </w:r>
          </w:p>
          <w:p w:rsidR="0064153C" w:rsidRPr="00DE038B" w:rsidRDefault="0064153C" w:rsidP="0064153C">
            <w:pPr>
              <w:pStyle w:val="Default"/>
              <w:rPr>
                <w:sz w:val="16"/>
                <w:szCs w:val="16"/>
              </w:rPr>
            </w:pPr>
            <w:r>
              <w:rPr>
                <w:sz w:val="16"/>
                <w:szCs w:val="16"/>
              </w:rPr>
              <w:t>“</w:t>
            </w:r>
            <w:r w:rsidRPr="00DE038B">
              <w:rPr>
                <w:sz w:val="16"/>
                <w:szCs w:val="16"/>
              </w:rPr>
              <w:t>The M2M market is growing very fast but its development is not spread out homogeneously over the verticals markets,</w:t>
            </w:r>
            <w:r>
              <w:rPr>
                <w:sz w:val="16"/>
                <w:szCs w:val="16"/>
              </w:rPr>
              <w:t>”</w:t>
            </w:r>
            <w:r w:rsidRPr="00DE038B">
              <w:rPr>
                <w:sz w:val="16"/>
                <w:szCs w:val="16"/>
              </w:rPr>
              <w:t xml:space="preserve"> says Samuel </w:t>
            </w:r>
            <w:proofErr w:type="spellStart"/>
            <w:r w:rsidRPr="00DE038B">
              <w:rPr>
                <w:sz w:val="16"/>
                <w:szCs w:val="16"/>
              </w:rPr>
              <w:t>Ropert</w:t>
            </w:r>
            <w:proofErr w:type="spellEnd"/>
            <w:r w:rsidRPr="00DE038B">
              <w:rPr>
                <w:sz w:val="16"/>
                <w:szCs w:val="16"/>
              </w:rPr>
              <w:t xml:space="preserve">, project manager and senior consultant at IDATE. He adds: </w:t>
            </w:r>
            <w:r>
              <w:rPr>
                <w:sz w:val="16"/>
                <w:szCs w:val="16"/>
              </w:rPr>
              <w:t>“</w:t>
            </w:r>
            <w:r w:rsidRPr="00DE038B">
              <w:rPr>
                <w:sz w:val="16"/>
                <w:szCs w:val="16"/>
              </w:rPr>
              <w:t>Take the automotive industry worldwide: in volume we predict an average growth rate (AGR) of 40 % until 2016. In parallel, the Consumer Electronics industry has an AGR of 15 % and will represent barely a third of the M2M volume for the automotive industry in 2016</w:t>
            </w:r>
            <w:r>
              <w:rPr>
                <w:sz w:val="16"/>
                <w:szCs w:val="16"/>
              </w:rPr>
              <w:t>”</w:t>
            </w:r>
            <w:r w:rsidRPr="00DE038B">
              <w:rPr>
                <w:sz w:val="16"/>
                <w:szCs w:val="16"/>
              </w:rPr>
              <w:t>.</w:t>
            </w:r>
          </w:p>
          <w:p w:rsidR="0064153C" w:rsidRPr="00E25D35" w:rsidRDefault="0064153C" w:rsidP="0064153C">
            <w:pPr>
              <w:pStyle w:val="Default"/>
              <w:rPr>
                <w:sz w:val="16"/>
                <w:szCs w:val="16"/>
              </w:rPr>
            </w:pPr>
            <w:r w:rsidRPr="00DE038B">
              <w:rPr>
                <w:sz w:val="16"/>
                <w:szCs w:val="16"/>
              </w:rPr>
              <w:t>The M2M market is growing very fast. In 2012, the cellular market is expected to represent 140 million modules worldwide for a total market of 22 billion EUR (of which 5</w:t>
            </w:r>
            <w:proofErr w:type="gramStart"/>
            <w:r w:rsidRPr="00DE038B">
              <w:rPr>
                <w:sz w:val="16"/>
                <w:szCs w:val="16"/>
              </w:rPr>
              <w:t>,1</w:t>
            </w:r>
            <w:proofErr w:type="gramEnd"/>
            <w:r w:rsidRPr="00DE038B">
              <w:rPr>
                <w:sz w:val="16"/>
                <w:szCs w:val="16"/>
              </w:rPr>
              <w:t xml:space="preserve"> billion EUR for connectivity). The annual growth of the M2M market was around 14 % in value and 36 % in volume. Most revenues will come from software and IT </w:t>
            </w:r>
            <w:proofErr w:type="gramStart"/>
            <w:r w:rsidRPr="00E25D35">
              <w:rPr>
                <w:sz w:val="16"/>
                <w:szCs w:val="16"/>
              </w:rPr>
              <w:t>services(</w:t>
            </w:r>
            <w:proofErr w:type="gramEnd"/>
            <w:r w:rsidRPr="00E25D35">
              <w:rPr>
                <w:sz w:val="16"/>
                <w:szCs w:val="16"/>
              </w:rPr>
              <w:t xml:space="preserve">around two-thirds of total market value). The world M2M market should grow by 30 % in volume, to represent almost 370 million modules in 2015. Asia-Pacific should dominate Europe and North America in volume only. Europe should still lead in value, followed by North America. </w:t>
            </w:r>
          </w:p>
          <w:p w:rsidR="0064153C" w:rsidRPr="00E25D35" w:rsidRDefault="0064153C" w:rsidP="0064153C">
            <w:pPr>
              <w:pStyle w:val="Default"/>
              <w:rPr>
                <w:sz w:val="16"/>
                <w:szCs w:val="16"/>
              </w:rPr>
            </w:pPr>
            <w:r w:rsidRPr="00E25D35">
              <w:rPr>
                <w:sz w:val="16"/>
                <w:szCs w:val="16"/>
              </w:rPr>
              <w:t xml:space="preserve">According to oneM2M the number of worldwide M2M connections is growing exponentially, with some forecasts as high as 50 billion by 2020. These connections will reside within virtually every major market category, and oneM2M will play a vital role to ensure that these industries </w:t>
            </w:r>
            <w:r>
              <w:rPr>
                <w:sz w:val="16"/>
                <w:szCs w:val="16"/>
              </w:rPr>
              <w:t>–</w:t>
            </w:r>
            <w:r w:rsidRPr="00E25D35">
              <w:rPr>
                <w:sz w:val="16"/>
                <w:szCs w:val="16"/>
              </w:rPr>
              <w:t xml:space="preserve"> from healthcare to transportation and energy to agriculture – can benefit fully from the economic growth and innovation opportunities that M2M communications presents</w:t>
            </w:r>
          </w:p>
          <w:p w:rsidR="0064153C" w:rsidRPr="00140020" w:rsidRDefault="0064153C" w:rsidP="0064153C">
            <w:pPr>
              <w:pStyle w:val="Default"/>
              <w:rPr>
                <w:sz w:val="20"/>
                <w:szCs w:val="20"/>
              </w:rPr>
            </w:pPr>
            <w:r w:rsidRPr="00DE038B">
              <w:rPr>
                <w:sz w:val="20"/>
                <w:szCs w:val="20"/>
              </w:rPr>
              <w:t>End of citation.</w:t>
            </w:r>
          </w:p>
        </w:tc>
        <w:tc>
          <w:tcPr>
            <w:tcW w:w="1052" w:type="pct"/>
          </w:tcPr>
          <w:p w:rsidR="00AE6FE8" w:rsidRDefault="00AE6FE8" w:rsidP="00AE6FE8">
            <w:pPr>
              <w:keepLines/>
              <w:spacing w:before="120"/>
              <w:jc w:val="both"/>
              <w:rPr>
                <w:sz w:val="16"/>
                <w:szCs w:val="16"/>
                <w:lang w:val="en-US"/>
              </w:rPr>
            </w:pPr>
            <w:r>
              <w:rPr>
                <w:sz w:val="16"/>
                <w:szCs w:val="16"/>
                <w:lang w:val="en-US"/>
              </w:rPr>
              <w:t xml:space="preserve">Support of DECT reflected in Annex 2 to document </w:t>
            </w:r>
            <w:proofErr w:type="gramStart"/>
            <w:r>
              <w:rPr>
                <w:sz w:val="16"/>
                <w:szCs w:val="16"/>
                <w:lang w:val="en-US"/>
              </w:rPr>
              <w:t>FM(</w:t>
            </w:r>
            <w:proofErr w:type="gramEnd"/>
            <w:r>
              <w:rPr>
                <w:sz w:val="16"/>
                <w:szCs w:val="16"/>
                <w:lang w:val="en-US"/>
              </w:rPr>
              <w:t>14)037 Annex1 (The outline of CEPT’s response).</w:t>
            </w:r>
          </w:p>
          <w:p w:rsidR="0064153C" w:rsidRDefault="0064153C" w:rsidP="0064153C">
            <w:pPr>
              <w:keepLines/>
              <w:spacing w:before="120"/>
              <w:jc w:val="both"/>
              <w:rPr>
                <w:sz w:val="16"/>
                <w:szCs w:val="16"/>
                <w:lang w:val="en-US"/>
              </w:rPr>
            </w:pPr>
          </w:p>
        </w:tc>
      </w:tr>
      <w:tr w:rsidR="0064153C" w:rsidTr="00870EF9">
        <w:tblPrEx>
          <w:tblCellMar>
            <w:top w:w="0" w:type="dxa"/>
            <w:bottom w:w="0" w:type="dxa"/>
          </w:tblCellMar>
        </w:tblPrEx>
        <w:trPr>
          <w:cantSplit/>
          <w:trHeight w:val="765"/>
          <w:tblHeader/>
        </w:trPr>
        <w:tc>
          <w:tcPr>
            <w:tcW w:w="358" w:type="pct"/>
          </w:tcPr>
          <w:p w:rsidR="0064153C" w:rsidRDefault="0064153C" w:rsidP="0064153C">
            <w:pPr>
              <w:keepLines/>
              <w:spacing w:before="120"/>
              <w:rPr>
                <w:sz w:val="16"/>
                <w:szCs w:val="16"/>
                <w:lang w:val="en-US"/>
              </w:rPr>
            </w:pPr>
            <w:r>
              <w:rPr>
                <w:sz w:val="16"/>
                <w:szCs w:val="16"/>
                <w:lang w:val="en-US"/>
              </w:rPr>
              <w:t>Sweden/1</w:t>
            </w:r>
          </w:p>
        </w:tc>
        <w:tc>
          <w:tcPr>
            <w:tcW w:w="671" w:type="pct"/>
          </w:tcPr>
          <w:p w:rsidR="0064153C" w:rsidRDefault="0064153C" w:rsidP="0064153C">
            <w:pPr>
              <w:keepLines/>
              <w:spacing w:before="120"/>
              <w:rPr>
                <w:sz w:val="16"/>
                <w:szCs w:val="16"/>
                <w:lang w:val="en-US"/>
              </w:rPr>
            </w:pPr>
            <w:r>
              <w:rPr>
                <w:sz w:val="16"/>
                <w:szCs w:val="16"/>
                <w:lang w:val="en-US"/>
              </w:rPr>
              <w:t>Outline of the present difficulties and expectations</w:t>
            </w:r>
          </w:p>
        </w:tc>
        <w:tc>
          <w:tcPr>
            <w:tcW w:w="2919" w:type="pct"/>
          </w:tcPr>
          <w:p w:rsidR="0064153C" w:rsidRPr="00D132BF" w:rsidRDefault="0064153C" w:rsidP="0064153C">
            <w:pPr>
              <w:pStyle w:val="Default"/>
              <w:rPr>
                <w:b/>
                <w:sz w:val="16"/>
                <w:szCs w:val="16"/>
              </w:rPr>
            </w:pPr>
            <w:r w:rsidRPr="00D132BF">
              <w:rPr>
                <w:b/>
                <w:sz w:val="16"/>
                <w:szCs w:val="16"/>
              </w:rPr>
              <w:t>Broadband Direct Air to Ground Communications</w:t>
            </w:r>
          </w:p>
          <w:p w:rsidR="0064153C" w:rsidRDefault="0064153C" w:rsidP="0064153C">
            <w:pPr>
              <w:pStyle w:val="Default"/>
              <w:rPr>
                <w:sz w:val="16"/>
                <w:szCs w:val="16"/>
              </w:rPr>
            </w:pPr>
            <w:r w:rsidRPr="00D132BF">
              <w:rPr>
                <w:sz w:val="16"/>
                <w:szCs w:val="16"/>
              </w:rPr>
              <w:t>Sweden finds it difficult to judge about economic benefits or other benefits that could be associated from an introduction of BDA2GC due to the following reasons:</w:t>
            </w:r>
          </w:p>
          <w:p w:rsidR="0064153C" w:rsidRPr="00D132BF" w:rsidRDefault="0064153C" w:rsidP="0064153C">
            <w:pPr>
              <w:pStyle w:val="Default"/>
              <w:rPr>
                <w:sz w:val="16"/>
                <w:szCs w:val="16"/>
              </w:rPr>
            </w:pPr>
          </w:p>
          <w:p w:rsidR="0064153C" w:rsidRPr="00D132BF" w:rsidRDefault="0064153C" w:rsidP="0064153C">
            <w:pPr>
              <w:pStyle w:val="Default"/>
              <w:ind w:left="1376" w:hanging="1376"/>
              <w:rPr>
                <w:sz w:val="16"/>
                <w:szCs w:val="16"/>
              </w:rPr>
            </w:pPr>
            <w:r w:rsidRPr="00D132BF">
              <w:rPr>
                <w:sz w:val="16"/>
                <w:szCs w:val="16"/>
              </w:rPr>
              <w:t>•</w:t>
            </w:r>
            <w:r w:rsidRPr="00D132BF">
              <w:rPr>
                <w:sz w:val="16"/>
                <w:szCs w:val="16"/>
              </w:rPr>
              <w:tab/>
              <w:t>A credible and well founded business case for a European BDA2GC system is still to be presented and objectively reviewed.</w:t>
            </w:r>
          </w:p>
          <w:p w:rsidR="0064153C" w:rsidRPr="00D132BF" w:rsidRDefault="0064153C" w:rsidP="0064153C">
            <w:pPr>
              <w:pStyle w:val="Default"/>
              <w:ind w:left="1376" w:hanging="1376"/>
              <w:rPr>
                <w:sz w:val="16"/>
                <w:szCs w:val="16"/>
              </w:rPr>
            </w:pPr>
          </w:p>
          <w:p w:rsidR="0064153C" w:rsidRPr="00D132BF" w:rsidRDefault="0064153C" w:rsidP="0064153C">
            <w:pPr>
              <w:pStyle w:val="Default"/>
              <w:ind w:left="1376" w:hanging="1376"/>
              <w:rPr>
                <w:sz w:val="16"/>
                <w:szCs w:val="16"/>
              </w:rPr>
            </w:pPr>
            <w:r w:rsidRPr="00D132BF">
              <w:rPr>
                <w:sz w:val="16"/>
                <w:szCs w:val="16"/>
              </w:rPr>
              <w:t>•</w:t>
            </w:r>
            <w:r w:rsidRPr="00D132BF">
              <w:rPr>
                <w:sz w:val="16"/>
                <w:szCs w:val="16"/>
              </w:rPr>
              <w:tab/>
              <w:t xml:space="preserve">Sweden has doubts about system performance. Theoretical studies have not been objectively reviewed and Sweden believes that several assumptions regarding technical solution (e.g. technical specifications and performance on adaptive antennas) may be questioned. Even if assumptions are valid, capacity and system performance may not be sufficient to meet the </w:t>
            </w:r>
            <w:proofErr w:type="spellStart"/>
            <w:r w:rsidRPr="00D132BF">
              <w:rPr>
                <w:sz w:val="16"/>
                <w:szCs w:val="16"/>
              </w:rPr>
              <w:t>QoS</w:t>
            </w:r>
            <w:proofErr w:type="spellEnd"/>
            <w:r w:rsidRPr="00D132BF">
              <w:rPr>
                <w:sz w:val="16"/>
                <w:szCs w:val="16"/>
              </w:rPr>
              <w:t xml:space="preserve"> that can be expected from users.</w:t>
            </w:r>
          </w:p>
          <w:p w:rsidR="0064153C" w:rsidRPr="00D132BF" w:rsidRDefault="0064153C" w:rsidP="0064153C">
            <w:pPr>
              <w:pStyle w:val="Default"/>
              <w:ind w:left="1376" w:hanging="1376"/>
              <w:rPr>
                <w:sz w:val="16"/>
                <w:szCs w:val="16"/>
              </w:rPr>
            </w:pPr>
          </w:p>
          <w:p w:rsidR="0064153C" w:rsidRPr="00D132BF" w:rsidRDefault="0064153C" w:rsidP="0064153C">
            <w:pPr>
              <w:pStyle w:val="Default"/>
              <w:ind w:left="1376" w:hanging="1376"/>
              <w:rPr>
                <w:sz w:val="16"/>
                <w:szCs w:val="16"/>
              </w:rPr>
            </w:pPr>
            <w:r w:rsidRPr="00D132BF">
              <w:rPr>
                <w:sz w:val="16"/>
                <w:szCs w:val="16"/>
              </w:rPr>
              <w:t>•</w:t>
            </w:r>
            <w:r w:rsidRPr="00D132BF">
              <w:rPr>
                <w:sz w:val="16"/>
                <w:szCs w:val="16"/>
              </w:rPr>
              <w:tab/>
              <w:t xml:space="preserve">Even if situation with current </w:t>
            </w:r>
            <w:proofErr w:type="spellStart"/>
            <w:r w:rsidRPr="00D132BF">
              <w:rPr>
                <w:sz w:val="16"/>
                <w:szCs w:val="16"/>
              </w:rPr>
              <w:t>licences</w:t>
            </w:r>
            <w:proofErr w:type="spellEnd"/>
            <w:r w:rsidRPr="00D132BF">
              <w:rPr>
                <w:sz w:val="16"/>
                <w:szCs w:val="16"/>
              </w:rPr>
              <w:t xml:space="preserve"> in the 2 GHz Unpaired band is solved, Sweden has concerns regarding the possibility to issue some sort of European wide license that may be required for a successful introduction of BDA2GC in Europe.  </w:t>
            </w:r>
          </w:p>
          <w:p w:rsidR="0064153C" w:rsidRPr="00D132BF" w:rsidRDefault="0064153C" w:rsidP="0064153C">
            <w:pPr>
              <w:pStyle w:val="Default"/>
              <w:ind w:left="1376" w:hanging="1376"/>
              <w:rPr>
                <w:sz w:val="16"/>
                <w:szCs w:val="16"/>
              </w:rPr>
            </w:pPr>
          </w:p>
          <w:p w:rsidR="0064153C" w:rsidRPr="00D132BF" w:rsidRDefault="0064153C" w:rsidP="0064153C">
            <w:pPr>
              <w:pStyle w:val="Default"/>
              <w:ind w:left="1376" w:hanging="1376"/>
              <w:rPr>
                <w:sz w:val="16"/>
                <w:szCs w:val="16"/>
              </w:rPr>
            </w:pPr>
            <w:r w:rsidRPr="00D132BF">
              <w:rPr>
                <w:sz w:val="16"/>
                <w:szCs w:val="16"/>
              </w:rPr>
              <w:t>•</w:t>
            </w:r>
            <w:r w:rsidRPr="00D132BF">
              <w:rPr>
                <w:sz w:val="16"/>
                <w:szCs w:val="16"/>
              </w:rPr>
              <w:tab/>
              <w:t xml:space="preserve">It may be possible from a technical point of view to implement BDA2GC in a higher frequency range than 2 GHz. A European solution for 5 GHz is being studied, and 14-14.5 GHz is being considered in US as a complement to current 700MHz solution. Generally a higher frequency band would be preferred due to a lower opportunity cost (lower demand from other services and applications in higher frequencies). In a higher frequency range, it may also be possible to </w:t>
            </w:r>
            <w:proofErr w:type="spellStart"/>
            <w:r w:rsidRPr="00D132BF">
              <w:rPr>
                <w:sz w:val="16"/>
                <w:szCs w:val="16"/>
              </w:rPr>
              <w:t>harmonise</w:t>
            </w:r>
            <w:proofErr w:type="spellEnd"/>
            <w:r w:rsidRPr="00D132BF">
              <w:rPr>
                <w:sz w:val="16"/>
                <w:szCs w:val="16"/>
              </w:rPr>
              <w:t xml:space="preserve"> a wider spectrum which could potentially increase capacity and performance.</w:t>
            </w:r>
          </w:p>
          <w:p w:rsidR="0064153C" w:rsidRPr="00D132BF" w:rsidRDefault="0064153C" w:rsidP="0064153C">
            <w:pPr>
              <w:pStyle w:val="Default"/>
              <w:ind w:left="1376" w:hanging="1376"/>
              <w:rPr>
                <w:sz w:val="16"/>
                <w:szCs w:val="16"/>
              </w:rPr>
            </w:pPr>
          </w:p>
          <w:p w:rsidR="0064153C" w:rsidRPr="00D132BF" w:rsidRDefault="0064153C" w:rsidP="0064153C">
            <w:pPr>
              <w:pStyle w:val="Default"/>
              <w:ind w:left="1376" w:hanging="1376"/>
              <w:rPr>
                <w:sz w:val="16"/>
                <w:szCs w:val="16"/>
              </w:rPr>
            </w:pPr>
            <w:r w:rsidRPr="00D132BF">
              <w:rPr>
                <w:sz w:val="16"/>
                <w:szCs w:val="16"/>
              </w:rPr>
              <w:t>•</w:t>
            </w:r>
            <w:r w:rsidRPr="00D132BF">
              <w:rPr>
                <w:sz w:val="16"/>
                <w:szCs w:val="16"/>
              </w:rPr>
              <w:tab/>
              <w:t xml:space="preserve">When judging on possible economic and other benefits, Sweden finds that it would be relevant to compare BDA2GC with a possible large scale European wide implementation of satellite systems providing this service. Commercial satellite solutions are already in service (e.g. Norwegian Airlines which offers free </w:t>
            </w:r>
            <w:proofErr w:type="spellStart"/>
            <w:r w:rsidRPr="00D132BF">
              <w:rPr>
                <w:sz w:val="16"/>
                <w:szCs w:val="16"/>
              </w:rPr>
              <w:t>WiFi</w:t>
            </w:r>
            <w:proofErr w:type="spellEnd"/>
            <w:r w:rsidRPr="00D132BF">
              <w:rPr>
                <w:sz w:val="16"/>
                <w:szCs w:val="16"/>
              </w:rPr>
              <w:t xml:space="preserve"> on most European flights). Such a comparison would include a long term analysis on economy, system performance and capacity for both solutions (satellite and terrestrial). </w:t>
            </w:r>
          </w:p>
          <w:p w:rsidR="0064153C" w:rsidRPr="00D132BF" w:rsidRDefault="0064153C" w:rsidP="0064153C">
            <w:pPr>
              <w:pStyle w:val="Default"/>
              <w:ind w:left="1376" w:hanging="1376"/>
              <w:rPr>
                <w:sz w:val="16"/>
                <w:szCs w:val="16"/>
              </w:rPr>
            </w:pPr>
          </w:p>
          <w:p w:rsidR="0064153C" w:rsidRPr="00D132BF" w:rsidRDefault="0064153C" w:rsidP="0064153C">
            <w:pPr>
              <w:pStyle w:val="Default"/>
              <w:ind w:left="1376" w:hanging="1376"/>
              <w:rPr>
                <w:sz w:val="16"/>
                <w:szCs w:val="16"/>
              </w:rPr>
            </w:pPr>
            <w:r w:rsidRPr="00D132BF">
              <w:rPr>
                <w:sz w:val="16"/>
                <w:szCs w:val="16"/>
              </w:rPr>
              <w:t>•</w:t>
            </w:r>
            <w:r w:rsidRPr="00D132BF">
              <w:rPr>
                <w:sz w:val="16"/>
                <w:szCs w:val="16"/>
              </w:rPr>
              <w:tab/>
              <w:t xml:space="preserve">Considering all of the above, Sweden finds it premature to evaluate the economic benefits that could be expected from a </w:t>
            </w:r>
            <w:proofErr w:type="spellStart"/>
            <w:r>
              <w:rPr>
                <w:sz w:val="16"/>
                <w:szCs w:val="16"/>
              </w:rPr>
              <w:t>harmonisation</w:t>
            </w:r>
            <w:proofErr w:type="spellEnd"/>
            <w:r>
              <w:rPr>
                <w:sz w:val="16"/>
                <w:szCs w:val="16"/>
              </w:rPr>
              <w:t xml:space="preserve"> </w:t>
            </w:r>
            <w:r w:rsidRPr="00D132BF">
              <w:rPr>
                <w:sz w:val="16"/>
                <w:szCs w:val="16"/>
              </w:rPr>
              <w:t>of BDA2GC in Europe. </w:t>
            </w:r>
          </w:p>
          <w:p w:rsidR="0064153C" w:rsidRPr="00D132BF" w:rsidRDefault="0064153C" w:rsidP="0064153C">
            <w:pPr>
              <w:pStyle w:val="Default"/>
              <w:rPr>
                <w:b/>
                <w:sz w:val="16"/>
                <w:szCs w:val="16"/>
              </w:rPr>
            </w:pPr>
            <w:r w:rsidRPr="00D132BF">
              <w:rPr>
                <w:b/>
                <w:sz w:val="16"/>
                <w:szCs w:val="16"/>
              </w:rPr>
              <w:t>DECT</w:t>
            </w:r>
          </w:p>
          <w:p w:rsidR="0064153C" w:rsidRPr="00D132BF" w:rsidRDefault="0064153C" w:rsidP="0064153C">
            <w:pPr>
              <w:pStyle w:val="Default"/>
              <w:rPr>
                <w:sz w:val="16"/>
                <w:szCs w:val="16"/>
              </w:rPr>
            </w:pPr>
            <w:r w:rsidRPr="00D132BF">
              <w:rPr>
                <w:sz w:val="16"/>
                <w:szCs w:val="16"/>
              </w:rPr>
              <w:t xml:space="preserve">Sweden does not predict a long term growth of the DECT market, and estimates the benefits associated to a </w:t>
            </w:r>
            <w:r>
              <w:rPr>
                <w:sz w:val="16"/>
                <w:szCs w:val="16"/>
              </w:rPr>
              <w:t xml:space="preserve">harmonization </w:t>
            </w:r>
            <w:r w:rsidRPr="00D132BF">
              <w:rPr>
                <w:sz w:val="16"/>
                <w:szCs w:val="16"/>
              </w:rPr>
              <w:t xml:space="preserve">of additional frequency spectrum are therefore limited. </w:t>
            </w:r>
          </w:p>
          <w:p w:rsidR="0064153C" w:rsidRPr="00D132BF" w:rsidRDefault="0064153C" w:rsidP="0064153C">
            <w:pPr>
              <w:pStyle w:val="Default"/>
              <w:rPr>
                <w:b/>
                <w:sz w:val="16"/>
                <w:szCs w:val="16"/>
              </w:rPr>
            </w:pPr>
            <w:r w:rsidRPr="00D132BF">
              <w:rPr>
                <w:b/>
                <w:sz w:val="16"/>
                <w:szCs w:val="16"/>
              </w:rPr>
              <w:t>SRD</w:t>
            </w:r>
          </w:p>
          <w:p w:rsidR="0064153C" w:rsidRPr="00D132BF" w:rsidRDefault="0064153C" w:rsidP="0064153C">
            <w:pPr>
              <w:pStyle w:val="Default"/>
              <w:rPr>
                <w:b/>
                <w:sz w:val="16"/>
                <w:szCs w:val="16"/>
              </w:rPr>
            </w:pPr>
            <w:r w:rsidRPr="00D132BF">
              <w:rPr>
                <w:sz w:val="16"/>
                <w:szCs w:val="16"/>
              </w:rPr>
              <w:t xml:space="preserve">Although industry has showed limited interest, Sweden believes that with the right regulatory and technical conditions, an introduction of SRD in these bands potentially have a very high contribution on economical benefits in Europe. Additional SRD spectrum could provide additional capacity to 2.4 GHz WLAN. Depending on technical conditions and mitigation techniques, the 2 GHz Unpaired bands may also provide improved conditions (compared to 2.4GHz) for some applications regarding for example range or </w:t>
            </w:r>
            <w:proofErr w:type="spellStart"/>
            <w:r w:rsidRPr="00D132BF">
              <w:rPr>
                <w:sz w:val="16"/>
                <w:szCs w:val="16"/>
              </w:rPr>
              <w:t>QoS</w:t>
            </w:r>
            <w:proofErr w:type="spellEnd"/>
            <w:r w:rsidRPr="00D132BF">
              <w:rPr>
                <w:sz w:val="16"/>
                <w:szCs w:val="16"/>
              </w:rPr>
              <w:t xml:space="preserve">. </w:t>
            </w:r>
            <w:r w:rsidRPr="00D132BF">
              <w:rPr>
                <w:sz w:val="16"/>
                <w:szCs w:val="16"/>
              </w:rPr>
              <w:cr/>
            </w:r>
            <w:r w:rsidRPr="00D132BF">
              <w:rPr>
                <w:b/>
                <w:sz w:val="16"/>
                <w:szCs w:val="16"/>
              </w:rPr>
              <w:t>PPDR</w:t>
            </w:r>
          </w:p>
          <w:p w:rsidR="0064153C" w:rsidRPr="00D132BF" w:rsidRDefault="0064153C" w:rsidP="0064153C">
            <w:pPr>
              <w:pStyle w:val="Default"/>
              <w:rPr>
                <w:sz w:val="16"/>
                <w:szCs w:val="16"/>
              </w:rPr>
            </w:pPr>
            <w:r w:rsidRPr="00D132BF">
              <w:rPr>
                <w:sz w:val="16"/>
                <w:szCs w:val="16"/>
              </w:rPr>
              <w:t>S</w:t>
            </w:r>
            <w:r>
              <w:rPr>
                <w:sz w:val="16"/>
                <w:szCs w:val="16"/>
              </w:rPr>
              <w:t>weden</w:t>
            </w:r>
            <w:r w:rsidRPr="00D132BF">
              <w:rPr>
                <w:sz w:val="16"/>
                <w:szCs w:val="16"/>
              </w:rPr>
              <w:t xml:space="preserve"> finds it difficult to evaluate the potential benefits for PPDR broad band services other than Wide Area Networks (which are believed to be better suited in frequency bands below 1GHz). Limited information is provided regarding technical solutions as well as needs and demands from PPDR users.</w:t>
            </w:r>
          </w:p>
          <w:p w:rsidR="0064153C" w:rsidRPr="00D132BF" w:rsidRDefault="0064153C" w:rsidP="0064153C">
            <w:pPr>
              <w:pStyle w:val="Default"/>
              <w:rPr>
                <w:b/>
                <w:sz w:val="16"/>
                <w:szCs w:val="16"/>
              </w:rPr>
            </w:pPr>
            <w:r w:rsidRPr="00D132BF">
              <w:rPr>
                <w:b/>
                <w:sz w:val="16"/>
                <w:szCs w:val="16"/>
              </w:rPr>
              <w:t>PMSE</w:t>
            </w:r>
          </w:p>
          <w:p w:rsidR="0064153C" w:rsidRPr="00D132BF" w:rsidRDefault="0064153C" w:rsidP="0064153C">
            <w:pPr>
              <w:pStyle w:val="Default"/>
              <w:rPr>
                <w:sz w:val="16"/>
                <w:szCs w:val="16"/>
              </w:rPr>
            </w:pPr>
            <w:r w:rsidRPr="00D132BF">
              <w:rPr>
                <w:sz w:val="16"/>
                <w:szCs w:val="16"/>
              </w:rPr>
              <w:t>S</w:t>
            </w:r>
            <w:r>
              <w:rPr>
                <w:sz w:val="16"/>
                <w:szCs w:val="16"/>
              </w:rPr>
              <w:t>weden</w:t>
            </w:r>
            <w:r w:rsidRPr="00D132BF">
              <w:rPr>
                <w:sz w:val="16"/>
                <w:szCs w:val="16"/>
              </w:rPr>
              <w:t xml:space="preserve"> </w:t>
            </w:r>
            <w:proofErr w:type="spellStart"/>
            <w:r w:rsidRPr="00D132BF">
              <w:rPr>
                <w:sz w:val="16"/>
                <w:szCs w:val="16"/>
              </w:rPr>
              <w:t>favours</w:t>
            </w:r>
            <w:proofErr w:type="spellEnd"/>
            <w:r w:rsidRPr="00D132BF">
              <w:rPr>
                <w:sz w:val="16"/>
                <w:szCs w:val="16"/>
              </w:rPr>
              <w:t xml:space="preserve"> in general an expansion of current tuning ranges for PMSE equipment. However, the temporary nature of this usage can only motivate access to spectrum on secondary bases.</w:t>
            </w:r>
          </w:p>
        </w:tc>
        <w:tc>
          <w:tcPr>
            <w:tcW w:w="1052" w:type="pct"/>
          </w:tcPr>
          <w:p w:rsidR="00AE6FE8" w:rsidRDefault="00AE6FE8" w:rsidP="00AE6FE8">
            <w:pPr>
              <w:keepLines/>
              <w:spacing w:before="120"/>
              <w:jc w:val="both"/>
              <w:rPr>
                <w:sz w:val="16"/>
                <w:szCs w:val="16"/>
                <w:lang w:val="en-US"/>
              </w:rPr>
            </w:pPr>
            <w:r>
              <w:rPr>
                <w:sz w:val="16"/>
                <w:szCs w:val="16"/>
                <w:lang w:val="en-US"/>
              </w:rPr>
              <w:t xml:space="preserve">Concerns on any judgment about the economic </w:t>
            </w:r>
            <w:r w:rsidR="00C109E3">
              <w:rPr>
                <w:sz w:val="16"/>
                <w:szCs w:val="16"/>
                <w:lang w:val="en-US"/>
              </w:rPr>
              <w:t>benefits or other benefits associated to BDA2GC</w:t>
            </w:r>
            <w:r>
              <w:rPr>
                <w:sz w:val="16"/>
                <w:szCs w:val="16"/>
                <w:lang w:val="en-US"/>
              </w:rPr>
              <w:t>, as well as the Swedish view on DECT, SRD, PPDR and PMSE, reflected in Annex 2 to document FM(14)037 Annex1 (The outline of CEPT’s response).</w:t>
            </w:r>
          </w:p>
          <w:p w:rsidR="0064153C" w:rsidRPr="00D132BF" w:rsidRDefault="0064153C" w:rsidP="0064153C">
            <w:pPr>
              <w:keepLines/>
              <w:spacing w:before="120"/>
              <w:jc w:val="both"/>
              <w:rPr>
                <w:sz w:val="16"/>
                <w:szCs w:val="16"/>
                <w:lang w:val="en-US"/>
              </w:rPr>
            </w:pPr>
          </w:p>
        </w:tc>
      </w:tr>
      <w:tr w:rsidR="0064153C" w:rsidTr="00870EF9">
        <w:tblPrEx>
          <w:tblCellMar>
            <w:top w:w="0" w:type="dxa"/>
            <w:bottom w:w="0" w:type="dxa"/>
          </w:tblCellMar>
        </w:tblPrEx>
        <w:trPr>
          <w:cantSplit/>
          <w:trHeight w:val="765"/>
          <w:tblHeader/>
        </w:trPr>
        <w:tc>
          <w:tcPr>
            <w:tcW w:w="358" w:type="pct"/>
          </w:tcPr>
          <w:p w:rsidR="0064153C" w:rsidRDefault="0064153C" w:rsidP="0064153C">
            <w:pPr>
              <w:keepLines/>
              <w:spacing w:before="120"/>
              <w:rPr>
                <w:sz w:val="16"/>
                <w:szCs w:val="16"/>
                <w:lang w:val="en-US"/>
              </w:rPr>
            </w:pPr>
            <w:r>
              <w:rPr>
                <w:sz w:val="16"/>
                <w:szCs w:val="16"/>
                <w:lang w:val="en-US"/>
              </w:rPr>
              <w:t>Lufthansa Systems/1</w:t>
            </w:r>
          </w:p>
        </w:tc>
        <w:tc>
          <w:tcPr>
            <w:tcW w:w="671" w:type="pct"/>
          </w:tcPr>
          <w:p w:rsidR="0064153C" w:rsidRDefault="0064153C" w:rsidP="0064153C">
            <w:pPr>
              <w:keepLines/>
              <w:spacing w:before="120"/>
              <w:rPr>
                <w:sz w:val="16"/>
                <w:szCs w:val="16"/>
                <w:lang w:val="en-US"/>
              </w:rPr>
            </w:pPr>
            <w:r>
              <w:rPr>
                <w:sz w:val="16"/>
                <w:szCs w:val="16"/>
                <w:lang w:val="en-US"/>
              </w:rPr>
              <w:t>Support for DA2GCS</w:t>
            </w:r>
          </w:p>
          <w:p w:rsidR="0064153C" w:rsidRDefault="0064153C" w:rsidP="0064153C">
            <w:pPr>
              <w:keepLines/>
              <w:spacing w:before="120"/>
              <w:rPr>
                <w:sz w:val="16"/>
                <w:szCs w:val="16"/>
                <w:lang w:val="en-US"/>
              </w:rPr>
            </w:pPr>
          </w:p>
          <w:p w:rsidR="0064153C" w:rsidRDefault="0064153C" w:rsidP="0064153C">
            <w:pPr>
              <w:keepLines/>
              <w:spacing w:before="120"/>
              <w:rPr>
                <w:sz w:val="16"/>
                <w:szCs w:val="16"/>
                <w:lang w:val="en-US"/>
              </w:rPr>
            </w:pPr>
            <w:r>
              <w:rPr>
                <w:sz w:val="16"/>
                <w:szCs w:val="16"/>
                <w:lang w:val="en-US"/>
              </w:rPr>
              <w:t>Include TDD option for DA2GCS</w:t>
            </w:r>
          </w:p>
        </w:tc>
        <w:tc>
          <w:tcPr>
            <w:tcW w:w="2919" w:type="pct"/>
          </w:tcPr>
          <w:p w:rsidR="0064153C" w:rsidRDefault="0064153C" w:rsidP="0064153C">
            <w:pPr>
              <w:pStyle w:val="Default"/>
              <w:rPr>
                <w:sz w:val="16"/>
                <w:szCs w:val="16"/>
              </w:rPr>
            </w:pPr>
            <w:r w:rsidRPr="00BE4997">
              <w:rPr>
                <w:sz w:val="16"/>
                <w:szCs w:val="16"/>
              </w:rPr>
              <w:t>Lufthansa Systems believes that all options should be explored in order to make best use of this valuable spectrum. As written in Section 3.1 of the draft Report, “A future spectrum designation for Broadband DA2GC should be technology-neutral as far as possible by taking into account the three different system descriptions as developed by ETSI (TR 103 054 [31], TR 101 599 [32] and TR 103 108 [33])”. We therefore find it hard to understand why a decision was taken to no longer study the option of TDD in the upper band (2010-2025 MHz). We believe this is directly contrary to the principle of technology neutrality expressed above and would urge that this decision is reconsidered.</w:t>
            </w:r>
          </w:p>
          <w:p w:rsidR="0064153C" w:rsidRPr="00BE4997" w:rsidRDefault="0064153C" w:rsidP="0064153C">
            <w:pPr>
              <w:pStyle w:val="Default"/>
              <w:rPr>
                <w:sz w:val="16"/>
                <w:szCs w:val="16"/>
              </w:rPr>
            </w:pPr>
          </w:p>
          <w:p w:rsidR="0064153C" w:rsidRDefault="0064153C" w:rsidP="0064153C">
            <w:pPr>
              <w:pStyle w:val="Default"/>
              <w:rPr>
                <w:sz w:val="16"/>
                <w:szCs w:val="16"/>
              </w:rPr>
            </w:pPr>
            <w:r w:rsidRPr="00BE4997">
              <w:rPr>
                <w:sz w:val="16"/>
                <w:szCs w:val="16"/>
              </w:rPr>
              <w:t xml:space="preserve">As a potential provider of direct air-to-ground services, we see Broadband Air-to-Ground as a valuable future service for which there is a clear market demand and tangible economic benefits, as explained in the draft Report. Clearly, we therefore support a designation to BDA2GC in parts of the 2GHz bands including the option to make sufficient spectrum available for a TDD implementation. The nature of the technology employed in the </w:t>
            </w:r>
            <w:proofErr w:type="spellStart"/>
            <w:r w:rsidRPr="00BE4997">
              <w:rPr>
                <w:sz w:val="16"/>
                <w:szCs w:val="16"/>
              </w:rPr>
              <w:t>Beamforming</w:t>
            </w:r>
            <w:proofErr w:type="spellEnd"/>
            <w:r w:rsidRPr="00BE4997">
              <w:rPr>
                <w:sz w:val="16"/>
                <w:szCs w:val="16"/>
              </w:rPr>
              <w:t xml:space="preserve"> TDD BDA2GC system (TR 101 599) allows for operation in variable bandwidths whilst still providing a very acceptable level of performance. We </w:t>
            </w:r>
            <w:r>
              <w:rPr>
                <w:sz w:val="16"/>
                <w:szCs w:val="16"/>
              </w:rPr>
              <w:t xml:space="preserve">recognize </w:t>
            </w:r>
            <w:r w:rsidRPr="00BE4997">
              <w:rPr>
                <w:sz w:val="16"/>
                <w:szCs w:val="16"/>
              </w:rPr>
              <w:t xml:space="preserve">that other applications may also need to be facilitated in parts of the spectrum under consideration and would like to </w:t>
            </w:r>
            <w:proofErr w:type="spellStart"/>
            <w:r w:rsidRPr="00BE4997">
              <w:rPr>
                <w:sz w:val="16"/>
                <w:szCs w:val="16"/>
              </w:rPr>
              <w:t>emphasise</w:t>
            </w:r>
            <w:proofErr w:type="spellEnd"/>
            <w:r w:rsidRPr="00BE4997">
              <w:rPr>
                <w:sz w:val="16"/>
                <w:szCs w:val="16"/>
              </w:rPr>
              <w:t xml:space="preserve"> that this flexibility in bandwidth requirements for this BDA2GC system opens more possibilities for shared use</w:t>
            </w:r>
          </w:p>
          <w:p w:rsidR="0064153C" w:rsidRPr="00BE4997" w:rsidRDefault="0064153C" w:rsidP="0064153C">
            <w:pPr>
              <w:pStyle w:val="Default"/>
              <w:rPr>
                <w:sz w:val="16"/>
                <w:szCs w:val="16"/>
              </w:rPr>
            </w:pPr>
            <w:r w:rsidRPr="00BE4997">
              <w:rPr>
                <w:sz w:val="16"/>
                <w:szCs w:val="16"/>
              </w:rPr>
              <w:t>.</w:t>
            </w:r>
          </w:p>
          <w:p w:rsidR="0064153C" w:rsidRPr="00BE4997" w:rsidRDefault="0064153C" w:rsidP="0064153C">
            <w:pPr>
              <w:pStyle w:val="Default"/>
              <w:rPr>
                <w:sz w:val="16"/>
                <w:szCs w:val="16"/>
              </w:rPr>
            </w:pPr>
            <w:r w:rsidRPr="00BE4997">
              <w:rPr>
                <w:sz w:val="16"/>
                <w:szCs w:val="16"/>
              </w:rPr>
              <w:t xml:space="preserve">No technically feasible option should be ruled out when </w:t>
            </w:r>
            <w:r>
              <w:rPr>
                <w:sz w:val="16"/>
                <w:szCs w:val="16"/>
              </w:rPr>
              <w:pgNum/>
            </w:r>
            <w:proofErr w:type="spellStart"/>
            <w:r>
              <w:rPr>
                <w:sz w:val="16"/>
                <w:szCs w:val="16"/>
              </w:rPr>
              <w:t>ocused</w:t>
            </w:r>
            <w:proofErr w:type="spellEnd"/>
            <w:r>
              <w:rPr>
                <w:sz w:val="16"/>
                <w:szCs w:val="16"/>
              </w:rPr>
              <w:pgNum/>
              <w:t>d</w:t>
            </w:r>
            <w:r>
              <w:rPr>
                <w:sz w:val="16"/>
                <w:szCs w:val="16"/>
              </w:rPr>
              <w:pgNum/>
            </w:r>
            <w:r w:rsidRPr="00BE4997">
              <w:rPr>
                <w:sz w:val="16"/>
                <w:szCs w:val="16"/>
              </w:rPr>
              <w:t xml:space="preserve"> the possible configurations within the lower and upper 2GHz bands. This could include, for example, the entire 20MHz of spectrum in the lower band (1900 – 1920MHz) designated to BDA2GC for TDD usage, leaving the upper band (2010 – 2025MHz) free for designation to one or more of the other applications under consideration (PMSE, PPDR, DECT or SRD). This would be the preferred solution for Lufthansa Systems in these 2GHz bands. Alternatively, BDA2GC could operate adjacent to PMSE, for example, in the lower band, with a lower bandwidth at a reduced (but still acceptable) level of performance. Finally, as stated earlier, we firmly believe that there is no logical reason to exclude the possibility for BDA2GC TDD operation in the upper band, using up to 15MHz of spectrum, although the initial studies need to be completed before the precise technical conditions for such usage could be </w:t>
            </w:r>
            <w:proofErr w:type="spellStart"/>
            <w:r>
              <w:rPr>
                <w:sz w:val="16"/>
                <w:szCs w:val="16"/>
              </w:rPr>
              <w:t>harmonised</w:t>
            </w:r>
            <w:proofErr w:type="spellEnd"/>
            <w:r w:rsidRPr="00BE4997">
              <w:rPr>
                <w:sz w:val="16"/>
                <w:szCs w:val="16"/>
              </w:rPr>
              <w:t>.</w:t>
            </w:r>
          </w:p>
          <w:p w:rsidR="0064153C" w:rsidRPr="00D132BF" w:rsidRDefault="0064153C" w:rsidP="0064153C">
            <w:pPr>
              <w:pStyle w:val="Default"/>
              <w:rPr>
                <w:b/>
                <w:sz w:val="16"/>
                <w:szCs w:val="16"/>
              </w:rPr>
            </w:pPr>
            <w:r w:rsidRPr="00BE4997">
              <w:rPr>
                <w:sz w:val="16"/>
                <w:szCs w:val="16"/>
              </w:rPr>
              <w:t xml:space="preserve">In summary, Lufthansa Systems would like to </w:t>
            </w:r>
            <w:proofErr w:type="spellStart"/>
            <w:r w:rsidRPr="00BE4997">
              <w:rPr>
                <w:sz w:val="16"/>
                <w:szCs w:val="16"/>
              </w:rPr>
              <w:t>emphasise</w:t>
            </w:r>
            <w:proofErr w:type="spellEnd"/>
            <w:r w:rsidRPr="00BE4997">
              <w:rPr>
                <w:sz w:val="16"/>
                <w:szCs w:val="16"/>
              </w:rPr>
              <w:t xml:space="preserve"> the high value of BDA2GC services, the importance of designating sufficient spectrum to BDA2GC to allow for at least</w:t>
            </w:r>
            <w:r>
              <w:rPr>
                <w:sz w:val="16"/>
                <w:szCs w:val="16"/>
              </w:rPr>
              <w:t xml:space="preserve"> </w:t>
            </w:r>
            <w:r w:rsidRPr="00BE4997">
              <w:rPr>
                <w:sz w:val="16"/>
                <w:szCs w:val="16"/>
              </w:rPr>
              <w:t>one TDD system to be deployed and the need for a flexible approach to encompass all technically feasible combinations of applications within these two frequency bands.</w:t>
            </w:r>
          </w:p>
        </w:tc>
        <w:tc>
          <w:tcPr>
            <w:tcW w:w="1052" w:type="pct"/>
          </w:tcPr>
          <w:p w:rsidR="0064153C" w:rsidRPr="00D132BF" w:rsidRDefault="00C109E3" w:rsidP="00C109E3">
            <w:pPr>
              <w:keepLines/>
              <w:spacing w:before="120"/>
              <w:jc w:val="both"/>
              <w:rPr>
                <w:sz w:val="16"/>
                <w:szCs w:val="16"/>
                <w:lang w:val="en-US"/>
              </w:rPr>
            </w:pPr>
            <w:r>
              <w:rPr>
                <w:sz w:val="16"/>
                <w:szCs w:val="16"/>
                <w:lang w:val="en-US"/>
              </w:rPr>
              <w:t xml:space="preserve">Lufthansa Systems urges the reconsideration of the decision to no longer study the TDD option in 2010-2025 </w:t>
            </w:r>
            <w:proofErr w:type="spellStart"/>
            <w:r>
              <w:rPr>
                <w:sz w:val="16"/>
                <w:szCs w:val="16"/>
                <w:lang w:val="en-US"/>
              </w:rPr>
              <w:t>MHz.</w:t>
            </w:r>
            <w:proofErr w:type="spellEnd"/>
            <w:r>
              <w:rPr>
                <w:sz w:val="16"/>
                <w:szCs w:val="16"/>
                <w:lang w:val="en-US"/>
              </w:rPr>
              <w:t xml:space="preserve"> </w:t>
            </w:r>
            <w:r w:rsidR="003C704C">
              <w:rPr>
                <w:sz w:val="16"/>
                <w:szCs w:val="16"/>
                <w:lang w:val="en-US"/>
              </w:rPr>
              <w:t>WGFM#79 is invited to present its view on it.</w:t>
            </w:r>
          </w:p>
        </w:tc>
      </w:tr>
      <w:tr w:rsidR="0064153C" w:rsidTr="00870EF9">
        <w:tblPrEx>
          <w:tblCellMar>
            <w:top w:w="0" w:type="dxa"/>
            <w:bottom w:w="0" w:type="dxa"/>
          </w:tblCellMar>
        </w:tblPrEx>
        <w:trPr>
          <w:cantSplit/>
          <w:trHeight w:val="765"/>
          <w:tblHeader/>
        </w:trPr>
        <w:tc>
          <w:tcPr>
            <w:tcW w:w="358" w:type="pct"/>
          </w:tcPr>
          <w:p w:rsidR="0064153C" w:rsidRDefault="0064153C" w:rsidP="0064153C">
            <w:pPr>
              <w:keepLines/>
              <w:spacing w:before="120"/>
              <w:rPr>
                <w:sz w:val="16"/>
                <w:szCs w:val="16"/>
                <w:lang w:val="en-US"/>
              </w:rPr>
            </w:pPr>
            <w:r>
              <w:rPr>
                <w:sz w:val="16"/>
                <w:szCs w:val="16"/>
                <w:lang w:val="en-US"/>
              </w:rPr>
              <w:t>Netherlands/1</w:t>
            </w:r>
          </w:p>
        </w:tc>
        <w:tc>
          <w:tcPr>
            <w:tcW w:w="671" w:type="pct"/>
          </w:tcPr>
          <w:p w:rsidR="0064153C" w:rsidRDefault="0064153C" w:rsidP="0064153C">
            <w:pPr>
              <w:keepLines/>
              <w:spacing w:before="120"/>
              <w:rPr>
                <w:sz w:val="16"/>
                <w:szCs w:val="16"/>
                <w:lang w:val="en-US"/>
              </w:rPr>
            </w:pPr>
            <w:r>
              <w:rPr>
                <w:sz w:val="16"/>
                <w:szCs w:val="16"/>
                <w:lang w:val="en-US"/>
              </w:rPr>
              <w:t>NL proposes to consider also 1) radio amateur satellite service and  2) metering</w:t>
            </w:r>
          </w:p>
          <w:p w:rsidR="0064153C" w:rsidRDefault="0064153C" w:rsidP="0064153C">
            <w:pPr>
              <w:keepLines/>
              <w:spacing w:before="120"/>
              <w:rPr>
                <w:sz w:val="16"/>
                <w:szCs w:val="16"/>
                <w:lang w:val="en-US"/>
              </w:rPr>
            </w:pPr>
            <w:r>
              <w:rPr>
                <w:sz w:val="16"/>
                <w:szCs w:val="16"/>
                <w:lang w:val="en-US"/>
              </w:rPr>
              <w:t>NL proposes to also consider higher frequencies for DA2GCS in the future such as the FCC in the 14 GHz range, e.g. in a first step as a reservation</w:t>
            </w:r>
          </w:p>
        </w:tc>
        <w:tc>
          <w:tcPr>
            <w:tcW w:w="2919" w:type="pct"/>
          </w:tcPr>
          <w:p w:rsidR="0064153C" w:rsidRPr="007606E3" w:rsidRDefault="0064153C" w:rsidP="0064153C">
            <w:pPr>
              <w:pStyle w:val="Default"/>
              <w:rPr>
                <w:sz w:val="16"/>
                <w:szCs w:val="16"/>
              </w:rPr>
            </w:pPr>
            <w:r w:rsidRPr="007606E3">
              <w:rPr>
                <w:sz w:val="16"/>
                <w:szCs w:val="16"/>
              </w:rPr>
              <w:t xml:space="preserve"> General </w:t>
            </w:r>
          </w:p>
          <w:p w:rsidR="0064153C" w:rsidRPr="007606E3" w:rsidRDefault="0064153C" w:rsidP="0064153C">
            <w:pPr>
              <w:pStyle w:val="Default"/>
              <w:rPr>
                <w:sz w:val="16"/>
                <w:szCs w:val="16"/>
              </w:rPr>
            </w:pPr>
            <w:r w:rsidRPr="007606E3">
              <w:rPr>
                <w:sz w:val="16"/>
                <w:szCs w:val="16"/>
              </w:rPr>
              <w:t xml:space="preserve">The preferred scenarios / uses for the bands 1900-1920 MHz and 2010-2025 MHz as set out in the outline of the response to the Commission are strongly </w:t>
            </w:r>
            <w:r>
              <w:rPr>
                <w:sz w:val="16"/>
                <w:szCs w:val="16"/>
              </w:rPr>
              <w:pgNum/>
              <w:t>focused</w:t>
            </w:r>
            <w:r w:rsidRPr="007606E3">
              <w:rPr>
                <w:sz w:val="16"/>
                <w:szCs w:val="16"/>
              </w:rPr>
              <w:t xml:space="preserve"> on mobile/broadband use. We are of the opinion that a number of possible uses are underexposed, for example:</w:t>
            </w:r>
          </w:p>
          <w:p w:rsidR="0064153C" w:rsidRPr="007606E3" w:rsidRDefault="0064153C" w:rsidP="0064153C">
            <w:pPr>
              <w:pStyle w:val="Default"/>
              <w:rPr>
                <w:sz w:val="16"/>
                <w:szCs w:val="16"/>
              </w:rPr>
            </w:pPr>
          </w:p>
          <w:p w:rsidR="0064153C" w:rsidRPr="007606E3" w:rsidRDefault="0064153C" w:rsidP="0064153C">
            <w:pPr>
              <w:pStyle w:val="Default"/>
              <w:rPr>
                <w:b/>
                <w:sz w:val="16"/>
                <w:szCs w:val="16"/>
              </w:rPr>
            </w:pPr>
            <w:r w:rsidRPr="007606E3">
              <w:rPr>
                <w:b/>
                <w:sz w:val="16"/>
                <w:szCs w:val="16"/>
              </w:rPr>
              <w:t>Radio amateurs</w:t>
            </w:r>
          </w:p>
          <w:p w:rsidR="0064153C" w:rsidRPr="007606E3" w:rsidRDefault="0064153C" w:rsidP="0064153C">
            <w:pPr>
              <w:pStyle w:val="Default"/>
              <w:rPr>
                <w:sz w:val="16"/>
                <w:szCs w:val="16"/>
              </w:rPr>
            </w:pPr>
            <w:r w:rsidRPr="007606E3">
              <w:rPr>
                <w:sz w:val="16"/>
                <w:szCs w:val="16"/>
              </w:rPr>
              <w:t xml:space="preserve">Frequency use for the radio amateur service is currently under pressure. We propose therefore to consider that the radio amateur (satellite) </w:t>
            </w:r>
            <w:proofErr w:type="gramStart"/>
            <w:r w:rsidRPr="007606E3">
              <w:rPr>
                <w:sz w:val="16"/>
                <w:szCs w:val="16"/>
              </w:rPr>
              <w:t>service use</w:t>
            </w:r>
            <w:proofErr w:type="gramEnd"/>
            <w:r w:rsidRPr="007606E3">
              <w:rPr>
                <w:sz w:val="16"/>
                <w:szCs w:val="16"/>
              </w:rPr>
              <w:t xml:space="preserve"> the unpaired bands for cognitive radio experiments under controlled conditions.</w:t>
            </w:r>
          </w:p>
          <w:p w:rsidR="0064153C" w:rsidRPr="007606E3" w:rsidRDefault="0064153C" w:rsidP="0064153C">
            <w:pPr>
              <w:pStyle w:val="Default"/>
              <w:rPr>
                <w:sz w:val="16"/>
                <w:szCs w:val="16"/>
              </w:rPr>
            </w:pPr>
            <w:r w:rsidRPr="007606E3">
              <w:rPr>
                <w:sz w:val="16"/>
                <w:szCs w:val="16"/>
              </w:rPr>
              <w:t xml:space="preserve">Radio amateur always have been on the edge of developments in radio and major technologies have been developed by them such as </w:t>
            </w:r>
            <w:proofErr w:type="spellStart"/>
            <w:r w:rsidRPr="007606E3">
              <w:rPr>
                <w:sz w:val="16"/>
                <w:szCs w:val="16"/>
              </w:rPr>
              <w:t>microsats</w:t>
            </w:r>
            <w:proofErr w:type="spellEnd"/>
            <w:r w:rsidRPr="007606E3">
              <w:rPr>
                <w:sz w:val="16"/>
                <w:szCs w:val="16"/>
              </w:rPr>
              <w:t>, sat mailbox systems and weak signal propagation protocols, just to name some examples. As such, their economic and scientific value should not be ignored.</w:t>
            </w:r>
          </w:p>
          <w:p w:rsidR="0064153C" w:rsidRPr="007606E3" w:rsidRDefault="0064153C" w:rsidP="0064153C">
            <w:pPr>
              <w:pStyle w:val="Default"/>
              <w:rPr>
                <w:sz w:val="16"/>
                <w:szCs w:val="16"/>
              </w:rPr>
            </w:pPr>
            <w:r w:rsidRPr="007606E3">
              <w:rPr>
                <w:sz w:val="16"/>
                <w:szCs w:val="16"/>
              </w:rPr>
              <w:t xml:space="preserve">We propose the whole frequency band under a detailed </w:t>
            </w:r>
            <w:proofErr w:type="spellStart"/>
            <w:r w:rsidRPr="007606E3">
              <w:rPr>
                <w:sz w:val="16"/>
                <w:szCs w:val="16"/>
              </w:rPr>
              <w:t>licencing</w:t>
            </w:r>
            <w:proofErr w:type="spellEnd"/>
            <w:r w:rsidRPr="007606E3">
              <w:rPr>
                <w:sz w:val="16"/>
                <w:szCs w:val="16"/>
              </w:rPr>
              <w:t xml:space="preserve"> regime only available for amateurs and universities with a full (F) </w:t>
            </w:r>
            <w:proofErr w:type="spellStart"/>
            <w:r w:rsidRPr="007606E3">
              <w:rPr>
                <w:sz w:val="16"/>
                <w:szCs w:val="16"/>
              </w:rPr>
              <w:t>licence</w:t>
            </w:r>
            <w:proofErr w:type="spellEnd"/>
            <w:r w:rsidRPr="007606E3">
              <w:rPr>
                <w:sz w:val="16"/>
                <w:szCs w:val="16"/>
              </w:rPr>
              <w:t xml:space="preserve">. Also the possibility for experimental </w:t>
            </w:r>
            <w:proofErr w:type="spellStart"/>
            <w:r w:rsidRPr="007606E3">
              <w:rPr>
                <w:sz w:val="16"/>
                <w:szCs w:val="16"/>
              </w:rPr>
              <w:t>licences</w:t>
            </w:r>
            <w:proofErr w:type="spellEnd"/>
            <w:r w:rsidRPr="007606E3">
              <w:rPr>
                <w:sz w:val="16"/>
                <w:szCs w:val="16"/>
              </w:rPr>
              <w:t xml:space="preserve"> could be considered.</w:t>
            </w:r>
          </w:p>
          <w:p w:rsidR="0064153C" w:rsidRPr="007606E3" w:rsidRDefault="0064153C" w:rsidP="0064153C">
            <w:pPr>
              <w:pStyle w:val="Default"/>
              <w:rPr>
                <w:sz w:val="16"/>
                <w:szCs w:val="16"/>
              </w:rPr>
            </w:pPr>
          </w:p>
          <w:p w:rsidR="0064153C" w:rsidRPr="007606E3" w:rsidRDefault="0064153C" w:rsidP="0064153C">
            <w:pPr>
              <w:pStyle w:val="Default"/>
              <w:rPr>
                <w:b/>
                <w:sz w:val="16"/>
                <w:szCs w:val="16"/>
              </w:rPr>
            </w:pPr>
            <w:r w:rsidRPr="007606E3">
              <w:rPr>
                <w:b/>
                <w:sz w:val="16"/>
                <w:szCs w:val="16"/>
              </w:rPr>
              <w:t>Metering</w:t>
            </w:r>
          </w:p>
          <w:p w:rsidR="0064153C" w:rsidRPr="007606E3" w:rsidRDefault="0064153C" w:rsidP="0064153C">
            <w:pPr>
              <w:pStyle w:val="Default"/>
              <w:rPr>
                <w:sz w:val="16"/>
                <w:szCs w:val="16"/>
              </w:rPr>
            </w:pPr>
            <w:r w:rsidRPr="007606E3">
              <w:rPr>
                <w:sz w:val="16"/>
                <w:szCs w:val="16"/>
              </w:rPr>
              <w:t xml:space="preserve">The benefits of smart metering, smart grids and smart cities are understood and accepted’. Needed frequency ranges are dependent on a country’s geography and the average construction of houses and buildings. Also a number of bands proposed for metering, such as the 870-876 MHz, are not available in a substantial number of countries. </w:t>
            </w:r>
          </w:p>
          <w:p w:rsidR="0064153C" w:rsidRPr="007606E3" w:rsidRDefault="0064153C" w:rsidP="0064153C">
            <w:pPr>
              <w:pStyle w:val="Default"/>
              <w:rPr>
                <w:sz w:val="16"/>
                <w:szCs w:val="16"/>
              </w:rPr>
            </w:pPr>
            <w:r w:rsidRPr="007606E3">
              <w:rPr>
                <w:sz w:val="16"/>
                <w:szCs w:val="16"/>
              </w:rPr>
              <w:t>Metering equipment in the EU is equipped with a replaceable radio module, therefore this band, in addition to the existing one as an alternative, is a logic choice.</w:t>
            </w:r>
          </w:p>
          <w:p w:rsidR="0064153C" w:rsidRPr="007606E3" w:rsidRDefault="0064153C" w:rsidP="0064153C">
            <w:pPr>
              <w:pStyle w:val="Default"/>
              <w:rPr>
                <w:sz w:val="16"/>
                <w:szCs w:val="16"/>
              </w:rPr>
            </w:pPr>
          </w:p>
          <w:p w:rsidR="0064153C" w:rsidRPr="007606E3" w:rsidRDefault="0064153C" w:rsidP="0064153C">
            <w:pPr>
              <w:pStyle w:val="Default"/>
              <w:rPr>
                <w:b/>
                <w:sz w:val="16"/>
                <w:szCs w:val="16"/>
              </w:rPr>
            </w:pPr>
            <w:r w:rsidRPr="007606E3">
              <w:rPr>
                <w:b/>
                <w:sz w:val="16"/>
                <w:szCs w:val="16"/>
              </w:rPr>
              <w:t>DA2CG</w:t>
            </w:r>
          </w:p>
          <w:p w:rsidR="0064153C" w:rsidRPr="007606E3" w:rsidRDefault="0064153C" w:rsidP="0064153C">
            <w:pPr>
              <w:pStyle w:val="Default"/>
              <w:rPr>
                <w:sz w:val="16"/>
                <w:szCs w:val="16"/>
              </w:rPr>
            </w:pPr>
            <w:r w:rsidRPr="007606E3">
              <w:rPr>
                <w:sz w:val="16"/>
                <w:szCs w:val="16"/>
              </w:rPr>
              <w:t>Direct air to ground currently focusses on frequencies in the 5GHz range. These bands are heavily used by primary Radar and will in future be heavily used by RLAN and other SRD applications. The unpaired band could partly be used for DA2CG. Although we are of the opinion the available bandwidth in both 5 GHz and the bands around 2 GHz might not be enough to facilitate DA2CG after the initial phase. Preferably frequencies above 13 GHz should be made available for DA2CG.</w:t>
            </w:r>
          </w:p>
          <w:p w:rsidR="0064153C" w:rsidRPr="00BE4997" w:rsidRDefault="0064153C" w:rsidP="0064153C">
            <w:pPr>
              <w:pStyle w:val="Default"/>
              <w:rPr>
                <w:sz w:val="16"/>
                <w:szCs w:val="16"/>
              </w:rPr>
            </w:pPr>
            <w:r w:rsidRPr="007606E3">
              <w:rPr>
                <w:sz w:val="16"/>
                <w:szCs w:val="16"/>
              </w:rPr>
              <w:t>Economic benefits are not really clear yet but a reservation for this application may be advisable.</w:t>
            </w:r>
          </w:p>
        </w:tc>
        <w:tc>
          <w:tcPr>
            <w:tcW w:w="1052" w:type="pct"/>
          </w:tcPr>
          <w:p w:rsidR="003C704C" w:rsidRDefault="003C704C" w:rsidP="003C704C">
            <w:pPr>
              <w:keepLines/>
              <w:spacing w:before="120"/>
              <w:jc w:val="both"/>
              <w:rPr>
                <w:sz w:val="16"/>
                <w:szCs w:val="16"/>
                <w:lang w:val="en-US"/>
              </w:rPr>
            </w:pPr>
            <w:r>
              <w:rPr>
                <w:sz w:val="16"/>
                <w:szCs w:val="16"/>
                <w:lang w:val="en-US"/>
              </w:rPr>
              <w:t xml:space="preserve">Proposals on Radio amateur service, metering and DA2GC reflected in Annex 2 to document </w:t>
            </w:r>
            <w:proofErr w:type="gramStart"/>
            <w:r>
              <w:rPr>
                <w:sz w:val="16"/>
                <w:szCs w:val="16"/>
                <w:lang w:val="en-US"/>
              </w:rPr>
              <w:t>FM(</w:t>
            </w:r>
            <w:proofErr w:type="gramEnd"/>
            <w:r>
              <w:rPr>
                <w:sz w:val="16"/>
                <w:szCs w:val="16"/>
                <w:lang w:val="en-US"/>
              </w:rPr>
              <w:t>14)037 Annex1 (The outline of CEPT’s response).</w:t>
            </w:r>
          </w:p>
          <w:p w:rsidR="0064153C" w:rsidRDefault="003C704C" w:rsidP="003C704C">
            <w:pPr>
              <w:keepLines/>
              <w:spacing w:before="120"/>
              <w:jc w:val="both"/>
              <w:rPr>
                <w:sz w:val="16"/>
                <w:szCs w:val="16"/>
                <w:lang w:val="en-US"/>
              </w:rPr>
            </w:pPr>
            <w:r>
              <w:rPr>
                <w:sz w:val="16"/>
                <w:szCs w:val="16"/>
                <w:lang w:val="en-US"/>
              </w:rPr>
              <w:t>WGFM#79 is invited to consider the following proposals:</w:t>
            </w:r>
          </w:p>
          <w:p w:rsidR="003C704C" w:rsidRDefault="003C704C" w:rsidP="00457152">
            <w:pPr>
              <w:keepLines/>
              <w:numPr>
                <w:ilvl w:val="0"/>
                <w:numId w:val="7"/>
              </w:numPr>
              <w:spacing w:before="120"/>
              <w:jc w:val="both"/>
              <w:rPr>
                <w:sz w:val="16"/>
                <w:szCs w:val="16"/>
                <w:lang w:val="en-US"/>
              </w:rPr>
            </w:pPr>
            <w:r>
              <w:rPr>
                <w:sz w:val="16"/>
                <w:szCs w:val="16"/>
                <w:lang w:val="en-US"/>
              </w:rPr>
              <w:t>Radio amateurs</w:t>
            </w:r>
          </w:p>
          <w:p w:rsidR="003C704C" w:rsidRPr="00457152" w:rsidRDefault="003C704C" w:rsidP="00457152">
            <w:pPr>
              <w:keepLines/>
              <w:spacing w:before="120"/>
              <w:ind w:left="360"/>
              <w:jc w:val="both"/>
              <w:rPr>
                <w:sz w:val="16"/>
                <w:szCs w:val="16"/>
                <w:lang w:val="en-US"/>
              </w:rPr>
            </w:pPr>
            <w:r w:rsidRPr="00457152">
              <w:rPr>
                <w:sz w:val="16"/>
                <w:szCs w:val="16"/>
                <w:lang w:val="en-US"/>
              </w:rPr>
              <w:t>It can be seen from the RR Article 5 and the ECA Table that the amateur-satellite service always follows an amateur service allocation. As no amateur service allocation exists at the moment for the 2 GHz Unpaired Bands, it may be a long process to introduce such an allocation. Therefore, any activity within CEPT on this matter is considered to need sufficient support and a clear description of the demand, so as to conduct all necessary studies. It is as well to note that amateur-satellite service allocations already exist for the bands 1260-1270 MHz and 2400-2450 MHz, therefore it is suggested not to consider the proposed amateur-satellite usage in the 2 GHz Unpaired Bands.</w:t>
            </w:r>
          </w:p>
          <w:p w:rsidR="003C704C" w:rsidRDefault="00D72E3D" w:rsidP="00457152">
            <w:pPr>
              <w:keepLines/>
              <w:numPr>
                <w:ilvl w:val="0"/>
                <w:numId w:val="6"/>
              </w:numPr>
              <w:spacing w:before="120"/>
              <w:jc w:val="both"/>
              <w:rPr>
                <w:sz w:val="16"/>
                <w:szCs w:val="16"/>
                <w:lang w:val="en-US"/>
              </w:rPr>
            </w:pPr>
            <w:r>
              <w:rPr>
                <w:sz w:val="16"/>
                <w:szCs w:val="16"/>
                <w:lang w:val="en-US"/>
              </w:rPr>
              <w:t>Metering</w:t>
            </w:r>
          </w:p>
          <w:p w:rsidR="00D72E3D" w:rsidRPr="00457152" w:rsidRDefault="00D72E3D" w:rsidP="00457152">
            <w:pPr>
              <w:keepLines/>
              <w:spacing w:before="120"/>
              <w:ind w:left="360"/>
              <w:jc w:val="both"/>
              <w:rPr>
                <w:sz w:val="16"/>
                <w:szCs w:val="16"/>
                <w:lang w:val="en-US"/>
              </w:rPr>
            </w:pPr>
            <w:r w:rsidRPr="00457152">
              <w:rPr>
                <w:sz w:val="16"/>
                <w:szCs w:val="16"/>
                <w:lang w:val="en-US"/>
              </w:rPr>
              <w:t xml:space="preserve">In line with the SRD strategy set out in CEPT Reports 14, 43 and 44 for metering applications, as well as the recent RSPG Report on </w:t>
            </w:r>
            <w:proofErr w:type="spellStart"/>
            <w:r w:rsidRPr="00457152">
              <w:rPr>
                <w:sz w:val="16"/>
                <w:szCs w:val="16"/>
                <w:lang w:val="en-US"/>
              </w:rPr>
              <w:t>Sectoral</w:t>
            </w:r>
            <w:proofErr w:type="spellEnd"/>
            <w:r w:rsidRPr="00457152">
              <w:rPr>
                <w:sz w:val="16"/>
                <w:szCs w:val="16"/>
                <w:lang w:val="en-US"/>
              </w:rPr>
              <w:t xml:space="preserve"> Needs, metering devices should be covered by a non-specific SRD regulatory approach. This request is therefore already included in the DECT/SRD usage block (section </w:t>
            </w:r>
            <w:r w:rsidRPr="00457152">
              <w:rPr>
                <w:sz w:val="16"/>
                <w:szCs w:val="16"/>
                <w:lang w:val="en-US"/>
              </w:rPr>
              <w:fldChar w:fldCharType="begin"/>
            </w:r>
            <w:r w:rsidRPr="00457152">
              <w:rPr>
                <w:sz w:val="16"/>
                <w:szCs w:val="16"/>
                <w:lang w:val="en-US"/>
              </w:rPr>
              <w:instrText xml:space="preserve"> REF _Ref368347696 \w \h </w:instrText>
            </w:r>
            <w:r w:rsidRPr="00457152">
              <w:rPr>
                <w:sz w:val="16"/>
                <w:szCs w:val="16"/>
                <w:lang w:val="en-US"/>
              </w:rPr>
            </w:r>
            <w:r>
              <w:rPr>
                <w:sz w:val="16"/>
                <w:szCs w:val="16"/>
                <w:lang w:val="en-US"/>
              </w:rPr>
              <w:instrText xml:space="preserve"> \* MERGEFORMAT </w:instrText>
            </w:r>
            <w:r w:rsidRPr="00457152">
              <w:rPr>
                <w:sz w:val="16"/>
                <w:szCs w:val="16"/>
                <w:lang w:val="en-US"/>
              </w:rPr>
              <w:fldChar w:fldCharType="separate"/>
            </w:r>
            <w:r w:rsidRPr="00457152">
              <w:rPr>
                <w:sz w:val="16"/>
                <w:szCs w:val="16"/>
                <w:lang w:val="en-US"/>
              </w:rPr>
              <w:t>3.6</w:t>
            </w:r>
            <w:r w:rsidRPr="00457152">
              <w:rPr>
                <w:sz w:val="16"/>
                <w:szCs w:val="16"/>
                <w:lang w:val="en-US"/>
              </w:rPr>
              <w:fldChar w:fldCharType="end"/>
            </w:r>
            <w:r w:rsidRPr="00457152">
              <w:rPr>
                <w:sz w:val="16"/>
                <w:szCs w:val="16"/>
                <w:lang w:val="en-US"/>
              </w:rPr>
              <w:t>).</w:t>
            </w:r>
          </w:p>
          <w:p w:rsidR="00D72E3D" w:rsidRDefault="00D72E3D" w:rsidP="00D72E3D">
            <w:pPr>
              <w:keepLines/>
              <w:numPr>
                <w:ilvl w:val="0"/>
                <w:numId w:val="6"/>
              </w:numPr>
              <w:spacing w:before="120"/>
              <w:jc w:val="both"/>
              <w:rPr>
                <w:sz w:val="16"/>
                <w:szCs w:val="16"/>
                <w:lang w:val="en-US"/>
              </w:rPr>
            </w:pPr>
            <w:r>
              <w:rPr>
                <w:sz w:val="16"/>
                <w:szCs w:val="16"/>
                <w:lang w:val="en-US"/>
              </w:rPr>
              <w:t>DA2GC</w:t>
            </w:r>
          </w:p>
          <w:p w:rsidR="00D72E3D" w:rsidRPr="00457152" w:rsidRDefault="00C345F2" w:rsidP="00457152">
            <w:pPr>
              <w:keepLines/>
              <w:spacing w:before="120"/>
              <w:ind w:left="360"/>
              <w:jc w:val="both"/>
              <w:rPr>
                <w:sz w:val="16"/>
                <w:szCs w:val="16"/>
                <w:lang w:val="en-GB"/>
              </w:rPr>
            </w:pPr>
            <w:r>
              <w:rPr>
                <w:sz w:val="16"/>
                <w:szCs w:val="16"/>
                <w:lang w:val="en-US"/>
              </w:rPr>
              <w:t>It is suggested that the unpaired bands be partly used for DA2GC (indication of the three preferred options mentioned in section 3.1 seem to fulfil this requirement).</w:t>
            </w:r>
          </w:p>
        </w:tc>
      </w:tr>
      <w:tr w:rsidR="0064153C" w:rsidTr="00870EF9">
        <w:tblPrEx>
          <w:tblCellMar>
            <w:top w:w="0" w:type="dxa"/>
            <w:bottom w:w="0" w:type="dxa"/>
          </w:tblCellMar>
        </w:tblPrEx>
        <w:trPr>
          <w:cantSplit/>
          <w:trHeight w:val="765"/>
          <w:tblHeader/>
        </w:trPr>
        <w:tc>
          <w:tcPr>
            <w:tcW w:w="358" w:type="pct"/>
          </w:tcPr>
          <w:p w:rsidR="0064153C" w:rsidRDefault="0064153C" w:rsidP="0064153C">
            <w:pPr>
              <w:keepLines/>
              <w:spacing w:before="120"/>
              <w:rPr>
                <w:sz w:val="16"/>
                <w:szCs w:val="16"/>
                <w:lang w:val="en-US"/>
              </w:rPr>
            </w:pPr>
            <w:r>
              <w:rPr>
                <w:sz w:val="16"/>
                <w:szCs w:val="16"/>
                <w:lang w:val="en-US"/>
              </w:rPr>
              <w:t>Netherlands/2</w:t>
            </w:r>
          </w:p>
        </w:tc>
        <w:tc>
          <w:tcPr>
            <w:tcW w:w="671" w:type="pct"/>
          </w:tcPr>
          <w:p w:rsidR="0064153C" w:rsidRDefault="0064153C" w:rsidP="0064153C">
            <w:pPr>
              <w:keepLines/>
              <w:spacing w:before="120"/>
              <w:rPr>
                <w:sz w:val="16"/>
                <w:szCs w:val="16"/>
                <w:lang w:val="en-US"/>
              </w:rPr>
            </w:pPr>
            <w:r>
              <w:rPr>
                <w:sz w:val="16"/>
                <w:szCs w:val="16"/>
                <w:lang w:val="en-US"/>
              </w:rPr>
              <w:t>Support for PMSE</w:t>
            </w:r>
          </w:p>
        </w:tc>
        <w:tc>
          <w:tcPr>
            <w:tcW w:w="2919" w:type="pct"/>
          </w:tcPr>
          <w:p w:rsidR="0064153C" w:rsidRPr="007606E3" w:rsidRDefault="0064153C" w:rsidP="0064153C">
            <w:pPr>
              <w:pStyle w:val="Default"/>
              <w:rPr>
                <w:sz w:val="16"/>
                <w:szCs w:val="16"/>
              </w:rPr>
            </w:pPr>
            <w:r w:rsidRPr="00B921AE">
              <w:rPr>
                <w:sz w:val="16"/>
                <w:szCs w:val="16"/>
              </w:rPr>
              <w:t>The unpaired bands could be partially made available for PMSE</w:t>
            </w:r>
          </w:p>
        </w:tc>
        <w:tc>
          <w:tcPr>
            <w:tcW w:w="1052" w:type="pct"/>
          </w:tcPr>
          <w:p w:rsidR="00C345F2" w:rsidRDefault="00C345F2" w:rsidP="00C345F2">
            <w:pPr>
              <w:keepLines/>
              <w:spacing w:before="120"/>
              <w:jc w:val="both"/>
              <w:rPr>
                <w:sz w:val="16"/>
                <w:szCs w:val="16"/>
                <w:lang w:val="en-US"/>
              </w:rPr>
            </w:pPr>
            <w:r>
              <w:rPr>
                <w:sz w:val="16"/>
                <w:szCs w:val="16"/>
                <w:lang w:val="en-US"/>
              </w:rPr>
              <w:t xml:space="preserve">Support of PMSE in part of the unpaired spectrum reflected in Annex 2 to document </w:t>
            </w:r>
            <w:proofErr w:type="gramStart"/>
            <w:r>
              <w:rPr>
                <w:sz w:val="16"/>
                <w:szCs w:val="16"/>
                <w:lang w:val="en-US"/>
              </w:rPr>
              <w:t>FM(</w:t>
            </w:r>
            <w:proofErr w:type="gramEnd"/>
            <w:r>
              <w:rPr>
                <w:sz w:val="16"/>
                <w:szCs w:val="16"/>
                <w:lang w:val="en-US"/>
              </w:rPr>
              <w:t>14)037 Annex1 (The outline of CEPT’s response).</w:t>
            </w:r>
          </w:p>
          <w:p w:rsidR="0064153C" w:rsidRPr="00D132BF" w:rsidRDefault="0064153C" w:rsidP="0064153C">
            <w:pPr>
              <w:keepLines/>
              <w:spacing w:before="120"/>
              <w:jc w:val="both"/>
              <w:rPr>
                <w:sz w:val="16"/>
                <w:szCs w:val="16"/>
                <w:lang w:val="en-US"/>
              </w:rPr>
            </w:pPr>
          </w:p>
        </w:tc>
      </w:tr>
      <w:tr w:rsidR="0064153C" w:rsidTr="00870EF9">
        <w:tblPrEx>
          <w:tblCellMar>
            <w:top w:w="0" w:type="dxa"/>
            <w:bottom w:w="0" w:type="dxa"/>
          </w:tblCellMar>
        </w:tblPrEx>
        <w:trPr>
          <w:cantSplit/>
          <w:trHeight w:val="765"/>
          <w:tblHeader/>
        </w:trPr>
        <w:tc>
          <w:tcPr>
            <w:tcW w:w="358" w:type="pct"/>
          </w:tcPr>
          <w:p w:rsidR="0064153C" w:rsidRDefault="0064153C" w:rsidP="0064153C">
            <w:pPr>
              <w:keepLines/>
              <w:spacing w:before="120"/>
              <w:rPr>
                <w:sz w:val="16"/>
                <w:szCs w:val="16"/>
                <w:lang w:val="en-US"/>
              </w:rPr>
            </w:pPr>
            <w:proofErr w:type="spellStart"/>
            <w:r>
              <w:rPr>
                <w:sz w:val="16"/>
                <w:szCs w:val="16"/>
                <w:lang w:val="en-US"/>
              </w:rPr>
              <w:t>Selex</w:t>
            </w:r>
            <w:proofErr w:type="spellEnd"/>
            <w:r>
              <w:rPr>
                <w:sz w:val="16"/>
                <w:szCs w:val="16"/>
                <w:lang w:val="en-US"/>
              </w:rPr>
              <w:t>/1</w:t>
            </w:r>
          </w:p>
        </w:tc>
        <w:tc>
          <w:tcPr>
            <w:tcW w:w="671" w:type="pct"/>
          </w:tcPr>
          <w:p w:rsidR="0064153C" w:rsidRDefault="0064153C" w:rsidP="00C345F2">
            <w:pPr>
              <w:keepLines/>
              <w:spacing w:before="120"/>
              <w:rPr>
                <w:sz w:val="16"/>
                <w:szCs w:val="16"/>
                <w:lang w:val="en-US"/>
              </w:rPr>
            </w:pPr>
            <w:r>
              <w:rPr>
                <w:sz w:val="16"/>
                <w:szCs w:val="16"/>
                <w:lang w:val="en-US"/>
              </w:rPr>
              <w:t>Support for ad-hoc PPDR and PPDR capacity ho</w:t>
            </w:r>
            <w:r w:rsidR="00C345F2">
              <w:rPr>
                <w:sz w:val="16"/>
                <w:szCs w:val="16"/>
                <w:lang w:val="en-US"/>
              </w:rPr>
              <w:t>t</w:t>
            </w:r>
            <w:r>
              <w:rPr>
                <w:sz w:val="16"/>
                <w:szCs w:val="16"/>
                <w:lang w:val="en-US"/>
              </w:rPr>
              <w:t xml:space="preserve"> spots in the 2 GHz ranges</w:t>
            </w:r>
          </w:p>
        </w:tc>
        <w:tc>
          <w:tcPr>
            <w:tcW w:w="2919" w:type="pct"/>
          </w:tcPr>
          <w:p w:rsidR="0064153C" w:rsidRPr="00D133B5" w:rsidRDefault="0064153C" w:rsidP="0064153C">
            <w:pPr>
              <w:pStyle w:val="Default"/>
              <w:rPr>
                <w:sz w:val="16"/>
                <w:szCs w:val="16"/>
              </w:rPr>
            </w:pPr>
            <w:proofErr w:type="spellStart"/>
            <w:r w:rsidRPr="00D133B5">
              <w:rPr>
                <w:sz w:val="16"/>
                <w:szCs w:val="16"/>
              </w:rPr>
              <w:t>Selex</w:t>
            </w:r>
            <w:proofErr w:type="spellEnd"/>
            <w:r w:rsidRPr="00D133B5">
              <w:rPr>
                <w:sz w:val="16"/>
                <w:szCs w:val="16"/>
              </w:rPr>
              <w:t xml:space="preserve"> ES supports the uses of ad-hoc PPDR networks for the bands 1900-1920 MHz and 2010</w:t>
            </w:r>
            <w:r>
              <w:rPr>
                <w:sz w:val="16"/>
                <w:szCs w:val="16"/>
              </w:rPr>
              <w:t>-</w:t>
            </w:r>
            <w:r w:rsidRPr="00D133B5">
              <w:rPr>
                <w:sz w:val="16"/>
                <w:szCs w:val="16"/>
              </w:rPr>
              <w:t xml:space="preserve">2025 </w:t>
            </w:r>
          </w:p>
          <w:p w:rsidR="0064153C" w:rsidRPr="00D133B5" w:rsidRDefault="0064153C" w:rsidP="0064153C">
            <w:pPr>
              <w:pStyle w:val="Default"/>
              <w:rPr>
                <w:sz w:val="16"/>
                <w:szCs w:val="16"/>
              </w:rPr>
            </w:pPr>
            <w:proofErr w:type="spellStart"/>
            <w:r w:rsidRPr="00D133B5">
              <w:rPr>
                <w:sz w:val="16"/>
                <w:szCs w:val="16"/>
              </w:rPr>
              <w:t>MHz.</w:t>
            </w:r>
            <w:proofErr w:type="spellEnd"/>
            <w:r w:rsidRPr="00D133B5">
              <w:rPr>
                <w:sz w:val="16"/>
                <w:szCs w:val="16"/>
              </w:rPr>
              <w:t xml:space="preserve"> </w:t>
            </w:r>
          </w:p>
          <w:p w:rsidR="0064153C" w:rsidRPr="00D133B5" w:rsidRDefault="0064153C" w:rsidP="0064153C">
            <w:pPr>
              <w:pStyle w:val="Default"/>
              <w:rPr>
                <w:sz w:val="16"/>
                <w:szCs w:val="16"/>
              </w:rPr>
            </w:pPr>
          </w:p>
          <w:p w:rsidR="0064153C" w:rsidRPr="00D133B5" w:rsidRDefault="0064153C" w:rsidP="0064153C">
            <w:pPr>
              <w:pStyle w:val="Default"/>
              <w:rPr>
                <w:sz w:val="16"/>
                <w:szCs w:val="16"/>
              </w:rPr>
            </w:pPr>
            <w:r w:rsidRPr="00D133B5">
              <w:rPr>
                <w:sz w:val="16"/>
                <w:szCs w:val="16"/>
              </w:rPr>
              <w:t xml:space="preserve">Taking into account the ECC Report 199 it is assumed that future European BB PPDDR systems </w:t>
            </w:r>
          </w:p>
          <w:p w:rsidR="0064153C" w:rsidRPr="00D133B5" w:rsidRDefault="0064153C" w:rsidP="0064153C">
            <w:pPr>
              <w:pStyle w:val="Default"/>
              <w:rPr>
                <w:sz w:val="16"/>
                <w:szCs w:val="16"/>
              </w:rPr>
            </w:pPr>
            <w:r w:rsidRPr="00D133B5">
              <w:rPr>
                <w:sz w:val="16"/>
                <w:szCs w:val="16"/>
              </w:rPr>
              <w:t xml:space="preserve">will consist of the following two basic elements: </w:t>
            </w:r>
          </w:p>
          <w:p w:rsidR="0064153C" w:rsidRPr="00D133B5" w:rsidRDefault="0064153C" w:rsidP="0064153C">
            <w:pPr>
              <w:pStyle w:val="Default"/>
              <w:rPr>
                <w:sz w:val="16"/>
                <w:szCs w:val="16"/>
              </w:rPr>
            </w:pPr>
          </w:p>
          <w:p w:rsidR="0064153C" w:rsidRPr="00D133B5" w:rsidRDefault="0064153C" w:rsidP="0064153C">
            <w:pPr>
              <w:pStyle w:val="Default"/>
              <w:rPr>
                <w:sz w:val="16"/>
                <w:szCs w:val="16"/>
              </w:rPr>
            </w:pPr>
            <w:r w:rsidRPr="00D133B5">
              <w:rPr>
                <w:sz w:val="16"/>
                <w:szCs w:val="16"/>
              </w:rPr>
              <w:t xml:space="preserve">• BB PPDR Wide Area Network (WAN), and </w:t>
            </w:r>
          </w:p>
          <w:p w:rsidR="0064153C" w:rsidRDefault="0064153C" w:rsidP="0064153C">
            <w:pPr>
              <w:pStyle w:val="Default"/>
              <w:rPr>
                <w:sz w:val="16"/>
                <w:szCs w:val="16"/>
              </w:rPr>
            </w:pPr>
            <w:r w:rsidRPr="00D133B5">
              <w:rPr>
                <w:sz w:val="16"/>
                <w:szCs w:val="16"/>
              </w:rPr>
              <w:t xml:space="preserve">• BB PPDR temporary additional capacity (ad-hoc networks). </w:t>
            </w:r>
          </w:p>
          <w:p w:rsidR="0064153C" w:rsidRPr="00D133B5" w:rsidRDefault="0064153C" w:rsidP="0064153C">
            <w:pPr>
              <w:pStyle w:val="Default"/>
              <w:rPr>
                <w:sz w:val="16"/>
                <w:szCs w:val="16"/>
              </w:rPr>
            </w:pPr>
          </w:p>
          <w:p w:rsidR="0064153C" w:rsidRPr="00D133B5" w:rsidRDefault="0064153C" w:rsidP="0064153C">
            <w:pPr>
              <w:pStyle w:val="Default"/>
              <w:rPr>
                <w:sz w:val="16"/>
                <w:szCs w:val="16"/>
              </w:rPr>
            </w:pPr>
            <w:r w:rsidRPr="00D133B5">
              <w:rPr>
                <w:sz w:val="16"/>
                <w:szCs w:val="16"/>
              </w:rPr>
              <w:t xml:space="preserve">BB PPDR WAN should have a coverage level that meets the national requirements and which supports PPDR users with high mobility. </w:t>
            </w:r>
          </w:p>
          <w:p w:rsidR="0064153C" w:rsidRPr="00D133B5" w:rsidRDefault="0064153C" w:rsidP="0064153C">
            <w:pPr>
              <w:pStyle w:val="Default"/>
              <w:rPr>
                <w:sz w:val="16"/>
                <w:szCs w:val="16"/>
              </w:rPr>
            </w:pPr>
          </w:p>
          <w:p w:rsidR="0064153C" w:rsidRPr="00D133B5" w:rsidRDefault="0064153C" w:rsidP="0064153C">
            <w:pPr>
              <w:pStyle w:val="Default"/>
              <w:rPr>
                <w:sz w:val="16"/>
                <w:szCs w:val="16"/>
              </w:rPr>
            </w:pPr>
            <w:r w:rsidRPr="00D133B5">
              <w:rPr>
                <w:sz w:val="16"/>
                <w:szCs w:val="16"/>
              </w:rPr>
              <w:t>BBB PPDR temporary additional capacity (also known as “hot-spot” or “local area” networks) are supposed to provide additional local coverage at the scene of</w:t>
            </w:r>
            <w:r>
              <w:rPr>
                <w:sz w:val="16"/>
                <w:szCs w:val="16"/>
              </w:rPr>
              <w:t xml:space="preserve"> </w:t>
            </w:r>
            <w:r w:rsidRPr="00D133B5">
              <w:rPr>
                <w:sz w:val="16"/>
                <w:szCs w:val="16"/>
              </w:rPr>
              <w:t>the incident in order to provide the necessary communication facilities to PPDR users in addition</w:t>
            </w:r>
            <w:r>
              <w:rPr>
                <w:sz w:val="16"/>
                <w:szCs w:val="16"/>
              </w:rPr>
              <w:t xml:space="preserve"> </w:t>
            </w:r>
            <w:r w:rsidRPr="00D133B5">
              <w:rPr>
                <w:sz w:val="16"/>
                <w:szCs w:val="16"/>
              </w:rPr>
              <w:t>to those provided through the WAN or where the WAN radio</w:t>
            </w:r>
            <w:r>
              <w:rPr>
                <w:sz w:val="16"/>
                <w:szCs w:val="16"/>
              </w:rPr>
              <w:t xml:space="preserve"> </w:t>
            </w:r>
            <w:r w:rsidRPr="00D133B5">
              <w:rPr>
                <w:sz w:val="16"/>
                <w:szCs w:val="16"/>
              </w:rPr>
              <w:t xml:space="preserve">communications are limited or not available. This additional capacity may be provided by ad-hoc networks or other means ((such as additional temporary base stations of the WAN) and are supposed to have high capacity and support PPDR users with low mobility. </w:t>
            </w:r>
          </w:p>
          <w:p w:rsidR="0064153C" w:rsidRPr="00D133B5" w:rsidRDefault="0064153C" w:rsidP="0064153C">
            <w:pPr>
              <w:pStyle w:val="Default"/>
              <w:rPr>
                <w:sz w:val="16"/>
                <w:szCs w:val="16"/>
              </w:rPr>
            </w:pPr>
          </w:p>
          <w:p w:rsidR="0064153C" w:rsidRPr="00D133B5" w:rsidRDefault="0064153C" w:rsidP="0064153C">
            <w:pPr>
              <w:pStyle w:val="Default"/>
              <w:rPr>
                <w:sz w:val="16"/>
                <w:szCs w:val="16"/>
              </w:rPr>
            </w:pPr>
            <w:r w:rsidRPr="00D133B5">
              <w:rPr>
                <w:sz w:val="16"/>
                <w:szCs w:val="16"/>
              </w:rPr>
              <w:t>Both BB PPDR WAN and temporary additional capacity are supposed to provide radio</w:t>
            </w:r>
            <w:r>
              <w:rPr>
                <w:sz w:val="16"/>
                <w:szCs w:val="16"/>
              </w:rPr>
              <w:t xml:space="preserve"> </w:t>
            </w:r>
            <w:r w:rsidRPr="00D133B5">
              <w:rPr>
                <w:sz w:val="16"/>
                <w:szCs w:val="16"/>
              </w:rPr>
              <w:t xml:space="preserve">communications to PPDR users in mission critical as well as in non-miss ion critical situations. Mission critical communication requirements are assumed to be more stringent than those in non-mission critical situations. </w:t>
            </w:r>
          </w:p>
          <w:p w:rsidR="0064153C" w:rsidRPr="00D133B5" w:rsidRDefault="0064153C" w:rsidP="0064153C">
            <w:pPr>
              <w:pStyle w:val="Default"/>
              <w:rPr>
                <w:sz w:val="16"/>
                <w:szCs w:val="16"/>
              </w:rPr>
            </w:pPr>
          </w:p>
          <w:p w:rsidR="0064153C" w:rsidRPr="00D133B5" w:rsidRDefault="0064153C" w:rsidP="0064153C">
            <w:pPr>
              <w:pStyle w:val="Default"/>
              <w:rPr>
                <w:sz w:val="16"/>
                <w:szCs w:val="16"/>
              </w:rPr>
            </w:pPr>
            <w:r w:rsidRPr="00D133B5">
              <w:rPr>
                <w:sz w:val="16"/>
                <w:szCs w:val="16"/>
              </w:rPr>
              <w:t>The approach of BB PPDDR Wide Area Network (WAN), and BB PPDRR temporary additional capacity (ad-hoc networks)) could be s</w:t>
            </w:r>
            <w:r>
              <w:rPr>
                <w:sz w:val="16"/>
                <w:szCs w:val="16"/>
              </w:rPr>
              <w:t>i</w:t>
            </w:r>
            <w:r w:rsidRPr="00D133B5">
              <w:rPr>
                <w:sz w:val="16"/>
                <w:szCs w:val="16"/>
              </w:rPr>
              <w:t xml:space="preserve">milar </w:t>
            </w:r>
            <w:r>
              <w:rPr>
                <w:sz w:val="16"/>
                <w:szCs w:val="16"/>
              </w:rPr>
              <w:t>to that used for the commercial</w:t>
            </w:r>
            <w:r w:rsidRPr="00D133B5">
              <w:rPr>
                <w:sz w:val="16"/>
                <w:szCs w:val="16"/>
              </w:rPr>
              <w:t xml:space="preserve"> networks, </w:t>
            </w:r>
          </w:p>
          <w:p w:rsidR="0064153C" w:rsidRPr="00D133B5" w:rsidRDefault="0064153C" w:rsidP="0064153C">
            <w:pPr>
              <w:pStyle w:val="Default"/>
              <w:rPr>
                <w:sz w:val="16"/>
                <w:szCs w:val="16"/>
              </w:rPr>
            </w:pPr>
          </w:p>
          <w:p w:rsidR="0064153C" w:rsidRPr="00D133B5" w:rsidRDefault="0064153C" w:rsidP="0064153C">
            <w:pPr>
              <w:pStyle w:val="Default"/>
              <w:rPr>
                <w:sz w:val="16"/>
                <w:szCs w:val="16"/>
              </w:rPr>
            </w:pPr>
            <w:r w:rsidRPr="00D133B5">
              <w:rPr>
                <w:sz w:val="16"/>
                <w:szCs w:val="16"/>
              </w:rPr>
              <w:t xml:space="preserve">• Frequencies below 1GHz for WAN to ensure the coverage </w:t>
            </w:r>
          </w:p>
          <w:p w:rsidR="0064153C" w:rsidRPr="00D133B5" w:rsidRDefault="0064153C" w:rsidP="0064153C">
            <w:pPr>
              <w:pStyle w:val="Default"/>
              <w:rPr>
                <w:sz w:val="16"/>
                <w:szCs w:val="16"/>
              </w:rPr>
            </w:pPr>
            <w:r w:rsidRPr="00D133B5">
              <w:rPr>
                <w:sz w:val="16"/>
                <w:szCs w:val="16"/>
              </w:rPr>
              <w:t xml:space="preserve">• Frequencies around 2GHz for ad-hoc networks to deliver capacity: </w:t>
            </w:r>
          </w:p>
          <w:p w:rsidR="0064153C" w:rsidRPr="00D133B5" w:rsidRDefault="0064153C" w:rsidP="0064153C">
            <w:pPr>
              <w:pStyle w:val="Default"/>
              <w:rPr>
                <w:sz w:val="16"/>
                <w:szCs w:val="16"/>
              </w:rPr>
            </w:pPr>
            <w:r w:rsidRPr="00D133B5">
              <w:rPr>
                <w:sz w:val="16"/>
                <w:szCs w:val="16"/>
              </w:rPr>
              <w:t xml:space="preserve"> </w:t>
            </w:r>
          </w:p>
          <w:p w:rsidR="0064153C" w:rsidRPr="00D133B5" w:rsidRDefault="0064153C" w:rsidP="0064153C">
            <w:pPr>
              <w:pStyle w:val="Default"/>
              <w:numPr>
                <w:ilvl w:val="0"/>
                <w:numId w:val="3"/>
              </w:numPr>
              <w:rPr>
                <w:sz w:val="16"/>
                <w:szCs w:val="16"/>
              </w:rPr>
            </w:pPr>
            <w:r w:rsidRPr="00D133B5">
              <w:rPr>
                <w:sz w:val="16"/>
                <w:szCs w:val="16"/>
              </w:rPr>
              <w:t xml:space="preserve">to deliver enough capacity in some specific dense urban area , where several PPDR organizations may have to cooperate </w:t>
            </w:r>
            <w:r>
              <w:rPr>
                <w:sz w:val="16"/>
                <w:szCs w:val="16"/>
              </w:rPr>
              <w:t xml:space="preserve"> o</w:t>
            </w:r>
            <w:r w:rsidRPr="00D133B5">
              <w:rPr>
                <w:sz w:val="16"/>
                <w:szCs w:val="16"/>
              </w:rPr>
              <w:t xml:space="preserve">n the same event (police, fire-fighters, utilities, transport agencies…) by implementing “capacity-spot” (e.g. permanent additional capacity in dense urban areas), </w:t>
            </w:r>
          </w:p>
          <w:p w:rsidR="0064153C" w:rsidRPr="00175345" w:rsidRDefault="0064153C" w:rsidP="0064153C">
            <w:pPr>
              <w:pStyle w:val="Default"/>
              <w:numPr>
                <w:ilvl w:val="0"/>
                <w:numId w:val="3"/>
              </w:numPr>
              <w:rPr>
                <w:sz w:val="16"/>
                <w:szCs w:val="16"/>
              </w:rPr>
            </w:pPr>
            <w:proofErr w:type="gramStart"/>
            <w:r w:rsidRPr="00175345">
              <w:rPr>
                <w:sz w:val="16"/>
                <w:szCs w:val="16"/>
              </w:rPr>
              <w:t>to</w:t>
            </w:r>
            <w:proofErr w:type="gramEnd"/>
            <w:r w:rsidRPr="00175345">
              <w:rPr>
                <w:sz w:val="16"/>
                <w:szCs w:val="16"/>
              </w:rPr>
              <w:t xml:space="preserve"> provide extra temporary resources/capacity such as those required to cover large emergencies, large public events as well as disasters by implementing  temporary ad-hoc solutions. </w:t>
            </w:r>
          </w:p>
          <w:p w:rsidR="0064153C" w:rsidRDefault="0064153C" w:rsidP="0064153C">
            <w:pPr>
              <w:pStyle w:val="Default"/>
              <w:rPr>
                <w:sz w:val="16"/>
                <w:szCs w:val="16"/>
              </w:rPr>
            </w:pPr>
          </w:p>
          <w:p w:rsidR="0064153C" w:rsidRPr="00D133B5" w:rsidRDefault="0064153C" w:rsidP="0064153C">
            <w:pPr>
              <w:pStyle w:val="Default"/>
              <w:rPr>
                <w:sz w:val="16"/>
                <w:szCs w:val="16"/>
              </w:rPr>
            </w:pPr>
            <w:r w:rsidRPr="00D133B5">
              <w:rPr>
                <w:sz w:val="16"/>
                <w:szCs w:val="16"/>
              </w:rPr>
              <w:t>Depending on national implementation of the Wide Area Network and the poss</w:t>
            </w:r>
            <w:r>
              <w:rPr>
                <w:sz w:val="16"/>
                <w:szCs w:val="16"/>
              </w:rPr>
              <w:t>i</w:t>
            </w:r>
            <w:r w:rsidRPr="00D133B5">
              <w:rPr>
                <w:sz w:val="16"/>
                <w:szCs w:val="16"/>
              </w:rPr>
              <w:t xml:space="preserve">ble limited availability of frequency bands below 1 GHz, the unpaired terrestrial 2 GHz bands </w:t>
            </w:r>
            <w:r>
              <w:rPr>
                <w:sz w:val="16"/>
                <w:szCs w:val="16"/>
              </w:rPr>
              <w:t>s</w:t>
            </w:r>
            <w:r w:rsidRPr="00D133B5">
              <w:rPr>
                <w:sz w:val="16"/>
                <w:szCs w:val="16"/>
              </w:rPr>
              <w:t xml:space="preserve">hould be a complementary option to fulfill existing and future PPDR requirements for “capacity-spots” or temporary ad-hoc network s. </w:t>
            </w:r>
          </w:p>
          <w:p w:rsidR="0064153C" w:rsidRPr="00D133B5" w:rsidRDefault="0064153C" w:rsidP="0064153C">
            <w:pPr>
              <w:pStyle w:val="Default"/>
              <w:rPr>
                <w:sz w:val="16"/>
                <w:szCs w:val="16"/>
              </w:rPr>
            </w:pPr>
          </w:p>
          <w:p w:rsidR="0064153C" w:rsidRPr="00D133B5" w:rsidRDefault="0064153C" w:rsidP="0064153C">
            <w:pPr>
              <w:pStyle w:val="Default"/>
              <w:rPr>
                <w:sz w:val="16"/>
                <w:szCs w:val="16"/>
              </w:rPr>
            </w:pPr>
            <w:r w:rsidRPr="00D133B5">
              <w:rPr>
                <w:sz w:val="16"/>
                <w:szCs w:val="16"/>
              </w:rPr>
              <w:t xml:space="preserve">The use of the unpaired terrestrial 2 G Hz bands BB PPDR temporary additional capacity (ad-hoc </w:t>
            </w:r>
          </w:p>
          <w:p w:rsidR="0064153C" w:rsidRPr="00D133B5" w:rsidRDefault="0064153C" w:rsidP="0064153C">
            <w:pPr>
              <w:pStyle w:val="Default"/>
              <w:rPr>
                <w:sz w:val="16"/>
                <w:szCs w:val="16"/>
              </w:rPr>
            </w:pPr>
            <w:r w:rsidRPr="00D133B5">
              <w:rPr>
                <w:sz w:val="16"/>
                <w:szCs w:val="16"/>
              </w:rPr>
              <w:t xml:space="preserve">networks) solutions has thee following significant advantages: </w:t>
            </w:r>
          </w:p>
          <w:p w:rsidR="0064153C" w:rsidRPr="00D133B5" w:rsidRDefault="0064153C" w:rsidP="0064153C">
            <w:pPr>
              <w:pStyle w:val="Default"/>
              <w:rPr>
                <w:sz w:val="16"/>
                <w:szCs w:val="16"/>
              </w:rPr>
            </w:pPr>
          </w:p>
          <w:p w:rsidR="0064153C" w:rsidRPr="00D133B5" w:rsidRDefault="0064153C" w:rsidP="0064153C">
            <w:pPr>
              <w:pStyle w:val="Default"/>
              <w:numPr>
                <w:ilvl w:val="0"/>
                <w:numId w:val="5"/>
              </w:numPr>
              <w:rPr>
                <w:sz w:val="16"/>
                <w:szCs w:val="16"/>
              </w:rPr>
            </w:pPr>
            <w:r w:rsidRPr="00D133B5">
              <w:rPr>
                <w:sz w:val="16"/>
                <w:szCs w:val="16"/>
              </w:rPr>
              <w:t xml:space="preserve">Coverage: Already cited above. </w:t>
            </w:r>
          </w:p>
          <w:p w:rsidR="0064153C" w:rsidRPr="00D133B5" w:rsidRDefault="0064153C" w:rsidP="0064153C">
            <w:pPr>
              <w:pStyle w:val="Default"/>
              <w:numPr>
                <w:ilvl w:val="0"/>
                <w:numId w:val="5"/>
              </w:numPr>
              <w:rPr>
                <w:sz w:val="16"/>
                <w:szCs w:val="16"/>
              </w:rPr>
            </w:pPr>
            <w:r w:rsidRPr="00D133B5">
              <w:rPr>
                <w:sz w:val="16"/>
                <w:szCs w:val="16"/>
              </w:rPr>
              <w:t>Eco-System: The 2GHz TDD frequency so</w:t>
            </w:r>
            <w:r>
              <w:rPr>
                <w:sz w:val="16"/>
                <w:szCs w:val="16"/>
              </w:rPr>
              <w:t>l</w:t>
            </w:r>
            <w:r w:rsidRPr="00D133B5">
              <w:rPr>
                <w:sz w:val="16"/>
                <w:szCs w:val="16"/>
              </w:rPr>
              <w:t xml:space="preserve">utions are already included in the large LTE eco-system then benefitting of economics of scale. </w:t>
            </w:r>
          </w:p>
          <w:p w:rsidR="0064153C" w:rsidRPr="00B921AE" w:rsidRDefault="0064153C" w:rsidP="0064153C">
            <w:pPr>
              <w:pStyle w:val="Default"/>
              <w:numPr>
                <w:ilvl w:val="0"/>
                <w:numId w:val="5"/>
              </w:numPr>
              <w:rPr>
                <w:sz w:val="16"/>
                <w:szCs w:val="16"/>
              </w:rPr>
            </w:pPr>
            <w:r w:rsidRPr="00D133B5">
              <w:rPr>
                <w:sz w:val="16"/>
                <w:szCs w:val="16"/>
              </w:rPr>
              <w:t xml:space="preserve">Europe </w:t>
            </w:r>
            <w:proofErr w:type="gramStart"/>
            <w:r w:rsidRPr="00D133B5">
              <w:rPr>
                <w:sz w:val="16"/>
                <w:szCs w:val="16"/>
              </w:rPr>
              <w:t>an</w:t>
            </w:r>
            <w:proofErr w:type="gramEnd"/>
            <w:r w:rsidRPr="00D133B5">
              <w:rPr>
                <w:sz w:val="16"/>
                <w:szCs w:val="16"/>
              </w:rPr>
              <w:t xml:space="preserve"> Harmonization: It will be possible to have a European harmonized solution for the unpaired 2 GHz frequency band.</w:t>
            </w:r>
          </w:p>
        </w:tc>
        <w:tc>
          <w:tcPr>
            <w:tcW w:w="1052" w:type="pct"/>
          </w:tcPr>
          <w:p w:rsidR="00B82844" w:rsidRDefault="00B82844" w:rsidP="00B82844">
            <w:pPr>
              <w:keepLines/>
              <w:spacing w:before="120"/>
              <w:jc w:val="both"/>
              <w:rPr>
                <w:sz w:val="16"/>
                <w:szCs w:val="16"/>
                <w:lang w:val="en-US"/>
              </w:rPr>
            </w:pPr>
            <w:r>
              <w:rPr>
                <w:sz w:val="16"/>
                <w:szCs w:val="16"/>
                <w:lang w:val="en-US"/>
              </w:rPr>
              <w:t xml:space="preserve">Support of ad-hoc PPDR reflected in Annex 2 to document </w:t>
            </w:r>
            <w:proofErr w:type="gramStart"/>
            <w:r>
              <w:rPr>
                <w:sz w:val="16"/>
                <w:szCs w:val="16"/>
                <w:lang w:val="en-US"/>
              </w:rPr>
              <w:t>FM(</w:t>
            </w:r>
            <w:proofErr w:type="gramEnd"/>
            <w:r>
              <w:rPr>
                <w:sz w:val="16"/>
                <w:szCs w:val="16"/>
                <w:lang w:val="en-US"/>
              </w:rPr>
              <w:t>14)037 Annex1 (The outline of CEPT’s response).</w:t>
            </w:r>
          </w:p>
          <w:p w:rsidR="0064153C" w:rsidRPr="00D132BF" w:rsidRDefault="0064153C" w:rsidP="0064153C">
            <w:pPr>
              <w:keepLines/>
              <w:spacing w:before="120"/>
              <w:jc w:val="both"/>
              <w:rPr>
                <w:sz w:val="16"/>
                <w:szCs w:val="16"/>
                <w:lang w:val="en-US"/>
              </w:rPr>
            </w:pPr>
          </w:p>
        </w:tc>
      </w:tr>
      <w:tr w:rsidR="0064153C" w:rsidTr="00870EF9">
        <w:tblPrEx>
          <w:tblCellMar>
            <w:top w:w="0" w:type="dxa"/>
            <w:bottom w:w="0" w:type="dxa"/>
          </w:tblCellMar>
        </w:tblPrEx>
        <w:trPr>
          <w:cantSplit/>
          <w:trHeight w:val="765"/>
          <w:tblHeader/>
        </w:trPr>
        <w:tc>
          <w:tcPr>
            <w:tcW w:w="358" w:type="pct"/>
          </w:tcPr>
          <w:p w:rsidR="0064153C" w:rsidRDefault="0064153C" w:rsidP="0064153C">
            <w:pPr>
              <w:keepLines/>
              <w:spacing w:before="120"/>
              <w:rPr>
                <w:sz w:val="16"/>
                <w:szCs w:val="16"/>
                <w:lang w:val="en-US"/>
              </w:rPr>
            </w:pPr>
            <w:r>
              <w:rPr>
                <w:sz w:val="16"/>
                <w:szCs w:val="16"/>
                <w:lang w:val="en-US"/>
              </w:rPr>
              <w:t>British Airways/1</w:t>
            </w:r>
          </w:p>
        </w:tc>
        <w:tc>
          <w:tcPr>
            <w:tcW w:w="671" w:type="pct"/>
          </w:tcPr>
          <w:p w:rsidR="0064153C" w:rsidRPr="007C3D7E" w:rsidRDefault="0064153C" w:rsidP="0064153C">
            <w:pPr>
              <w:keepLines/>
              <w:spacing w:before="120"/>
              <w:rPr>
                <w:sz w:val="16"/>
                <w:szCs w:val="16"/>
                <w:lang w:val="da-DK"/>
              </w:rPr>
            </w:pPr>
            <w:r w:rsidRPr="007C3D7E">
              <w:rPr>
                <w:sz w:val="16"/>
                <w:szCs w:val="16"/>
                <w:lang w:val="da-DK"/>
              </w:rPr>
              <w:t>Support for harmonised solution for DA2GCS</w:t>
            </w:r>
          </w:p>
        </w:tc>
        <w:tc>
          <w:tcPr>
            <w:tcW w:w="2919" w:type="pct"/>
          </w:tcPr>
          <w:p w:rsidR="0064153C" w:rsidRPr="007C3D7E" w:rsidRDefault="0064153C" w:rsidP="0064153C">
            <w:pPr>
              <w:pStyle w:val="Default"/>
              <w:rPr>
                <w:sz w:val="16"/>
                <w:szCs w:val="16"/>
              </w:rPr>
            </w:pPr>
            <w:r w:rsidRPr="007C3D7E">
              <w:rPr>
                <w:sz w:val="16"/>
                <w:szCs w:val="16"/>
              </w:rPr>
              <w:t>As a leading global premium airline, British Airways already operates satellite in-flight connectivity to</w:t>
            </w:r>
            <w:r>
              <w:rPr>
                <w:sz w:val="16"/>
                <w:szCs w:val="16"/>
              </w:rPr>
              <w:t xml:space="preserve"> </w:t>
            </w:r>
            <w:r w:rsidRPr="007C3D7E">
              <w:rPr>
                <w:sz w:val="16"/>
                <w:szCs w:val="16"/>
              </w:rPr>
              <w:t>enable our customers to connect whilst on-board. The services allow our customers to use their</w:t>
            </w:r>
            <w:r>
              <w:rPr>
                <w:sz w:val="16"/>
                <w:szCs w:val="16"/>
              </w:rPr>
              <w:t xml:space="preserve"> </w:t>
            </w:r>
            <w:r w:rsidRPr="007C3D7E">
              <w:rPr>
                <w:sz w:val="16"/>
                <w:szCs w:val="16"/>
              </w:rPr>
              <w:t>personal devices to access email, text messages and the Internet. Given the success of these services,</w:t>
            </w:r>
            <w:r>
              <w:rPr>
                <w:sz w:val="16"/>
                <w:szCs w:val="16"/>
              </w:rPr>
              <w:t xml:space="preserve"> </w:t>
            </w:r>
            <w:r w:rsidRPr="007C3D7E">
              <w:rPr>
                <w:sz w:val="16"/>
                <w:szCs w:val="16"/>
              </w:rPr>
              <w:t xml:space="preserve">British Airways wishes to highlight our support for a </w:t>
            </w:r>
            <w:proofErr w:type="spellStart"/>
            <w:r w:rsidRPr="007C3D7E">
              <w:rPr>
                <w:sz w:val="16"/>
                <w:szCs w:val="16"/>
              </w:rPr>
              <w:t>harmonised</w:t>
            </w:r>
            <w:proofErr w:type="spellEnd"/>
            <w:r w:rsidRPr="007C3D7E">
              <w:rPr>
                <w:sz w:val="16"/>
                <w:szCs w:val="16"/>
              </w:rPr>
              <w:t xml:space="preserve"> spectrum for Broadband Direct Air To</w:t>
            </w:r>
            <w:r>
              <w:rPr>
                <w:sz w:val="16"/>
                <w:szCs w:val="16"/>
              </w:rPr>
              <w:t xml:space="preserve"> </w:t>
            </w:r>
            <w:r w:rsidRPr="007C3D7E">
              <w:rPr>
                <w:sz w:val="16"/>
                <w:szCs w:val="16"/>
              </w:rPr>
              <w:t>Ground Connectivity within Europe.</w:t>
            </w:r>
          </w:p>
          <w:p w:rsidR="0064153C" w:rsidRPr="007C3D7E" w:rsidRDefault="0064153C" w:rsidP="0064153C">
            <w:pPr>
              <w:pStyle w:val="Default"/>
              <w:rPr>
                <w:sz w:val="16"/>
                <w:szCs w:val="16"/>
              </w:rPr>
            </w:pPr>
            <w:r w:rsidRPr="007C3D7E">
              <w:rPr>
                <w:sz w:val="16"/>
                <w:szCs w:val="16"/>
              </w:rPr>
              <w:t>As more customers use Personal Electronic Devices on our aircraft and with regulations on their use</w:t>
            </w:r>
            <w:r>
              <w:rPr>
                <w:sz w:val="16"/>
                <w:szCs w:val="16"/>
              </w:rPr>
              <w:t xml:space="preserve"> </w:t>
            </w:r>
            <w:r w:rsidRPr="007C3D7E">
              <w:rPr>
                <w:sz w:val="16"/>
                <w:szCs w:val="16"/>
              </w:rPr>
              <w:t>relaxed, enabling Direct Air To Ground Connectivity in Europe will allow travelers to keep pace with</w:t>
            </w:r>
            <w:r>
              <w:rPr>
                <w:sz w:val="16"/>
                <w:szCs w:val="16"/>
              </w:rPr>
              <w:t xml:space="preserve"> </w:t>
            </w:r>
            <w:r w:rsidRPr="007C3D7E">
              <w:rPr>
                <w:sz w:val="16"/>
                <w:szCs w:val="16"/>
              </w:rPr>
              <w:t>those in North America and other regions where this is, or soon to be, a reality.</w:t>
            </w:r>
          </w:p>
          <w:p w:rsidR="0064153C" w:rsidRPr="007C3D7E" w:rsidRDefault="0064153C" w:rsidP="0064153C">
            <w:pPr>
              <w:pStyle w:val="Default"/>
              <w:rPr>
                <w:sz w:val="16"/>
                <w:szCs w:val="16"/>
              </w:rPr>
            </w:pPr>
            <w:r w:rsidRPr="007C3D7E">
              <w:rPr>
                <w:sz w:val="16"/>
                <w:szCs w:val="16"/>
              </w:rPr>
              <w:t>British Airways encourages all parties to concentrate efforts to deliver the European Direct Air To</w:t>
            </w:r>
          </w:p>
          <w:p w:rsidR="0064153C" w:rsidRPr="007C3D7E" w:rsidRDefault="0064153C" w:rsidP="0064153C">
            <w:pPr>
              <w:pStyle w:val="Default"/>
              <w:rPr>
                <w:sz w:val="16"/>
                <w:szCs w:val="16"/>
              </w:rPr>
            </w:pPr>
            <w:r w:rsidRPr="007C3D7E">
              <w:rPr>
                <w:sz w:val="16"/>
                <w:szCs w:val="16"/>
              </w:rPr>
              <w:t>Ground Connectivity solution by designating the required frequency bands.</w:t>
            </w:r>
          </w:p>
          <w:p w:rsidR="0064153C" w:rsidRPr="00D133B5" w:rsidRDefault="0064153C" w:rsidP="0064153C">
            <w:pPr>
              <w:pStyle w:val="Default"/>
              <w:rPr>
                <w:sz w:val="16"/>
                <w:szCs w:val="16"/>
              </w:rPr>
            </w:pPr>
            <w:r w:rsidRPr="007C3D7E">
              <w:rPr>
                <w:sz w:val="16"/>
                <w:szCs w:val="16"/>
              </w:rPr>
              <w:t>We look forward to a successful conclusion.</w:t>
            </w:r>
          </w:p>
        </w:tc>
        <w:tc>
          <w:tcPr>
            <w:tcW w:w="1052" w:type="pct"/>
          </w:tcPr>
          <w:p w:rsidR="00B82844" w:rsidRDefault="00B82844" w:rsidP="00B82844">
            <w:pPr>
              <w:keepLines/>
              <w:spacing w:before="120"/>
              <w:jc w:val="both"/>
              <w:rPr>
                <w:sz w:val="16"/>
                <w:szCs w:val="16"/>
                <w:lang w:val="en-US"/>
              </w:rPr>
            </w:pPr>
            <w:r>
              <w:rPr>
                <w:sz w:val="16"/>
                <w:szCs w:val="16"/>
                <w:lang w:val="en-US"/>
              </w:rPr>
              <w:t xml:space="preserve">Support of </w:t>
            </w:r>
            <w:proofErr w:type="spellStart"/>
            <w:r>
              <w:rPr>
                <w:sz w:val="16"/>
                <w:szCs w:val="16"/>
                <w:lang w:val="en-US"/>
              </w:rPr>
              <w:t>harmonised</w:t>
            </w:r>
            <w:proofErr w:type="spellEnd"/>
            <w:r>
              <w:rPr>
                <w:sz w:val="16"/>
                <w:szCs w:val="16"/>
                <w:lang w:val="en-US"/>
              </w:rPr>
              <w:t xml:space="preserve"> spectrum for BDA2GC reflected in Annex 2 to document </w:t>
            </w:r>
            <w:proofErr w:type="gramStart"/>
            <w:r>
              <w:rPr>
                <w:sz w:val="16"/>
                <w:szCs w:val="16"/>
                <w:lang w:val="en-US"/>
              </w:rPr>
              <w:t>FM(</w:t>
            </w:r>
            <w:proofErr w:type="gramEnd"/>
            <w:r>
              <w:rPr>
                <w:sz w:val="16"/>
                <w:szCs w:val="16"/>
                <w:lang w:val="en-US"/>
              </w:rPr>
              <w:t>14)037 Annex1 (The outline of CEPT’s response).</w:t>
            </w:r>
          </w:p>
          <w:p w:rsidR="0064153C" w:rsidRPr="00D132BF" w:rsidRDefault="0064153C" w:rsidP="0064153C">
            <w:pPr>
              <w:keepLines/>
              <w:spacing w:before="120"/>
              <w:jc w:val="both"/>
              <w:rPr>
                <w:sz w:val="16"/>
                <w:szCs w:val="16"/>
                <w:lang w:val="en-US"/>
              </w:rPr>
            </w:pPr>
          </w:p>
        </w:tc>
      </w:tr>
      <w:tr w:rsidR="0064153C" w:rsidTr="00870EF9">
        <w:tblPrEx>
          <w:tblCellMar>
            <w:top w:w="0" w:type="dxa"/>
            <w:bottom w:w="0" w:type="dxa"/>
          </w:tblCellMar>
        </w:tblPrEx>
        <w:trPr>
          <w:cantSplit/>
          <w:trHeight w:val="765"/>
          <w:tblHeader/>
        </w:trPr>
        <w:tc>
          <w:tcPr>
            <w:tcW w:w="358" w:type="pct"/>
          </w:tcPr>
          <w:p w:rsidR="0064153C" w:rsidRDefault="0064153C" w:rsidP="0064153C">
            <w:pPr>
              <w:keepLines/>
              <w:spacing w:before="120"/>
              <w:rPr>
                <w:sz w:val="16"/>
                <w:szCs w:val="16"/>
                <w:lang w:val="en-US"/>
              </w:rPr>
            </w:pPr>
            <w:r>
              <w:rPr>
                <w:sz w:val="16"/>
                <w:szCs w:val="16"/>
                <w:lang w:val="en-US"/>
              </w:rPr>
              <w:t>Telefonica/1</w:t>
            </w:r>
          </w:p>
        </w:tc>
        <w:tc>
          <w:tcPr>
            <w:tcW w:w="671" w:type="pct"/>
          </w:tcPr>
          <w:p w:rsidR="0064153C" w:rsidRPr="00B249C9" w:rsidRDefault="0064153C" w:rsidP="0064153C">
            <w:pPr>
              <w:keepLines/>
              <w:spacing w:before="120"/>
              <w:rPr>
                <w:sz w:val="16"/>
                <w:szCs w:val="16"/>
                <w:lang w:val="en-US"/>
              </w:rPr>
            </w:pPr>
            <w:r w:rsidRPr="00B249C9">
              <w:rPr>
                <w:sz w:val="16"/>
                <w:szCs w:val="16"/>
                <w:lang w:val="en-US"/>
              </w:rPr>
              <w:t xml:space="preserve">Support of DA2GCS, FDD option </w:t>
            </w:r>
          </w:p>
        </w:tc>
        <w:tc>
          <w:tcPr>
            <w:tcW w:w="2919" w:type="pct"/>
          </w:tcPr>
          <w:p w:rsidR="0064153C" w:rsidRPr="007C3D7E" w:rsidRDefault="0064153C" w:rsidP="0064153C">
            <w:pPr>
              <w:pStyle w:val="Default"/>
              <w:rPr>
                <w:sz w:val="16"/>
                <w:szCs w:val="16"/>
              </w:rPr>
            </w:pPr>
            <w:proofErr w:type="spellStart"/>
            <w:r w:rsidRPr="00B249C9">
              <w:rPr>
                <w:sz w:val="16"/>
                <w:szCs w:val="16"/>
              </w:rPr>
              <w:t>Telefónica</w:t>
            </w:r>
            <w:proofErr w:type="spellEnd"/>
            <w:r w:rsidRPr="00B249C9">
              <w:rPr>
                <w:sz w:val="16"/>
                <w:szCs w:val="16"/>
              </w:rPr>
              <w:t xml:space="preserve"> shares the identification of the shortlist of potential harmonized uses for PPDR, PMSE, SRD, DECT and BDA2GC in principle. From the spectrum efficiency perspective, a common usage of the two TDD bands under discussion (1900-1920 and 2010-2025 MHz) would be recommended. This could be achieved by an FDD-usage of the two bands, leading to a possible preference for the BDA2GC service.</w:t>
            </w:r>
          </w:p>
        </w:tc>
        <w:tc>
          <w:tcPr>
            <w:tcW w:w="1052" w:type="pct"/>
          </w:tcPr>
          <w:p w:rsidR="00421C37" w:rsidRDefault="00421C37" w:rsidP="00421C37">
            <w:pPr>
              <w:keepLines/>
              <w:spacing w:before="120"/>
              <w:jc w:val="both"/>
              <w:rPr>
                <w:sz w:val="16"/>
                <w:szCs w:val="16"/>
                <w:lang w:val="en-US"/>
              </w:rPr>
            </w:pPr>
            <w:r>
              <w:rPr>
                <w:sz w:val="16"/>
                <w:szCs w:val="16"/>
                <w:lang w:val="en-US"/>
              </w:rPr>
              <w:t xml:space="preserve">Support of the concept / shortlist (PPDR, PMSE, SRD, DECT, BDA2GC) as well as support for a common usage reflected in Annex 2 to document </w:t>
            </w:r>
            <w:proofErr w:type="gramStart"/>
            <w:r>
              <w:rPr>
                <w:sz w:val="16"/>
                <w:szCs w:val="16"/>
                <w:lang w:val="en-US"/>
              </w:rPr>
              <w:t>FM(</w:t>
            </w:r>
            <w:proofErr w:type="gramEnd"/>
            <w:r>
              <w:rPr>
                <w:sz w:val="16"/>
                <w:szCs w:val="16"/>
                <w:lang w:val="en-US"/>
              </w:rPr>
              <w:t>14)037 Annex1 (The outline of CEPT’s response).</w:t>
            </w:r>
          </w:p>
          <w:p w:rsidR="00421C37" w:rsidRDefault="00421C37" w:rsidP="00421C37">
            <w:pPr>
              <w:keepLines/>
              <w:spacing w:before="120"/>
              <w:jc w:val="both"/>
              <w:rPr>
                <w:sz w:val="16"/>
                <w:szCs w:val="16"/>
                <w:lang w:val="en-US"/>
              </w:rPr>
            </w:pPr>
            <w:r>
              <w:rPr>
                <w:sz w:val="16"/>
                <w:szCs w:val="16"/>
                <w:lang w:val="en-US"/>
              </w:rPr>
              <w:t xml:space="preserve">Preference for an FDD usage of both bands for BDA2GC (note: the </w:t>
            </w:r>
            <w:proofErr w:type="gramStart"/>
            <w:r>
              <w:rPr>
                <w:sz w:val="16"/>
                <w:szCs w:val="16"/>
                <w:lang w:val="en-US"/>
              </w:rPr>
              <w:t>indication of the three preferred options mentioned in section 3.1 seem</w:t>
            </w:r>
            <w:proofErr w:type="gramEnd"/>
            <w:r>
              <w:rPr>
                <w:sz w:val="16"/>
                <w:szCs w:val="16"/>
                <w:lang w:val="en-US"/>
              </w:rPr>
              <w:t xml:space="preserve"> to fulfil this requirement).</w:t>
            </w:r>
          </w:p>
          <w:p w:rsidR="0064153C" w:rsidRPr="00D132BF" w:rsidRDefault="0064153C" w:rsidP="0064153C">
            <w:pPr>
              <w:keepLines/>
              <w:spacing w:before="120"/>
              <w:jc w:val="both"/>
              <w:rPr>
                <w:sz w:val="16"/>
                <w:szCs w:val="16"/>
                <w:lang w:val="en-US"/>
              </w:rPr>
            </w:pPr>
          </w:p>
        </w:tc>
      </w:tr>
      <w:tr w:rsidR="0064153C" w:rsidTr="00870EF9">
        <w:tblPrEx>
          <w:tblCellMar>
            <w:top w:w="0" w:type="dxa"/>
            <w:bottom w:w="0" w:type="dxa"/>
          </w:tblCellMar>
        </w:tblPrEx>
        <w:trPr>
          <w:cantSplit/>
          <w:trHeight w:val="765"/>
          <w:tblHeader/>
        </w:trPr>
        <w:tc>
          <w:tcPr>
            <w:tcW w:w="358" w:type="pct"/>
          </w:tcPr>
          <w:p w:rsidR="0064153C" w:rsidRDefault="0064153C" w:rsidP="0064153C">
            <w:pPr>
              <w:keepLines/>
              <w:spacing w:before="120"/>
              <w:rPr>
                <w:sz w:val="16"/>
                <w:szCs w:val="16"/>
                <w:lang w:val="en-US"/>
              </w:rPr>
            </w:pPr>
            <w:r w:rsidRPr="005837FB">
              <w:rPr>
                <w:sz w:val="16"/>
                <w:szCs w:val="16"/>
                <w:lang w:val="en-US"/>
              </w:rPr>
              <w:t>Bouygues Telecom, Orange, SFR</w:t>
            </w:r>
            <w:r>
              <w:rPr>
                <w:sz w:val="16"/>
                <w:szCs w:val="16"/>
                <w:lang w:val="en-US"/>
              </w:rPr>
              <w:t>/1</w:t>
            </w:r>
          </w:p>
        </w:tc>
        <w:tc>
          <w:tcPr>
            <w:tcW w:w="671" w:type="pct"/>
          </w:tcPr>
          <w:p w:rsidR="0064153C" w:rsidRDefault="0064153C" w:rsidP="0064153C">
            <w:pPr>
              <w:keepLines/>
              <w:spacing w:before="120"/>
              <w:rPr>
                <w:sz w:val="16"/>
                <w:szCs w:val="16"/>
                <w:lang w:val="en-US"/>
              </w:rPr>
            </w:pPr>
            <w:r>
              <w:rPr>
                <w:sz w:val="16"/>
                <w:szCs w:val="16"/>
                <w:lang w:val="en-US"/>
              </w:rPr>
              <w:t>T</w:t>
            </w:r>
            <w:r w:rsidRPr="005837FB">
              <w:rPr>
                <w:sz w:val="16"/>
                <w:szCs w:val="16"/>
                <w:lang w:val="en-US"/>
              </w:rPr>
              <w:t>he current allocation of the unpaired terrestrial 2 GHz bands to the mobile network operators shall remain as part of the possible alternatives</w:t>
            </w:r>
          </w:p>
          <w:p w:rsidR="0064153C" w:rsidRPr="00B249C9" w:rsidRDefault="0064153C" w:rsidP="0064153C">
            <w:pPr>
              <w:keepLines/>
              <w:spacing w:before="120"/>
              <w:rPr>
                <w:sz w:val="16"/>
                <w:szCs w:val="16"/>
                <w:lang w:val="en-US"/>
              </w:rPr>
            </w:pPr>
            <w:r w:rsidRPr="00870EF9">
              <w:rPr>
                <w:sz w:val="16"/>
                <w:szCs w:val="16"/>
                <w:lang w:val="en-US"/>
              </w:rPr>
              <w:t>Note ECO: The main point of the contribution is the recent availability of mass-market handsets on the 2.1 GHz TDD bands. Such handsets are the same as those which also include the 2.3 GHz TDD band and the 2.6 GHz TDD band, in addition to all European FDD LTE bands)</w:t>
            </w:r>
            <w:r>
              <w:rPr>
                <w:sz w:val="16"/>
                <w:szCs w:val="16"/>
                <w:lang w:val="en-US"/>
              </w:rPr>
              <w:t>.</w:t>
            </w:r>
          </w:p>
        </w:tc>
        <w:tc>
          <w:tcPr>
            <w:tcW w:w="2919" w:type="pct"/>
          </w:tcPr>
          <w:p w:rsidR="0064153C" w:rsidRPr="005837FB" w:rsidRDefault="0064153C" w:rsidP="0064153C">
            <w:pPr>
              <w:pStyle w:val="Default"/>
              <w:rPr>
                <w:sz w:val="16"/>
                <w:szCs w:val="16"/>
              </w:rPr>
            </w:pPr>
            <w:proofErr w:type="gramStart"/>
            <w:r w:rsidRPr="005837FB">
              <w:rPr>
                <w:sz w:val="16"/>
                <w:szCs w:val="16"/>
              </w:rPr>
              <w:t>Part of 1900-1920 MHz band have</w:t>
            </w:r>
            <w:proofErr w:type="gramEnd"/>
            <w:r w:rsidRPr="005837FB">
              <w:rPr>
                <w:sz w:val="16"/>
                <w:szCs w:val="16"/>
              </w:rPr>
              <w:t xml:space="preserve"> been licensed to mobile operators (each 5 MHz). The allocated TDD spectrum has not been used until now, mainly due to a lack of handset ecosystem on this band. The situation is changing now: the most recent versions of the iPhones 5c and 5s (at least the Asian version) include band 39, 1880-1920 MHz, in addition to all other FDD bands used in European handsets (bands 1, 2, 3, 5, 7, 8, 20), plus two other D bands (bands 38 and 40)</w:t>
            </w:r>
            <w:r w:rsidRPr="00870EF9">
              <w:rPr>
                <w:b/>
                <w:i/>
                <w:sz w:val="16"/>
                <w:szCs w:val="16"/>
              </w:rPr>
              <w:t>,</w:t>
            </w:r>
            <w:r w:rsidRPr="005837FB">
              <w:rPr>
                <w:sz w:val="16"/>
                <w:szCs w:val="16"/>
              </w:rPr>
              <w:t xml:space="preserve"> in addition, the aggregation of TDD and FDD has been developed by 3GPP in release 12, this TDD-FDD aggregation and the availability of LTE terminals allow the possible use of these two bands or at least part of these two bands by LTE, since TDD can be deployed as hot spot solution to complement (hot spot data capacity enhancement) the national FDD networks which is declared as primary cell to terminals supporting both FDD and TDD.</w:t>
            </w:r>
          </w:p>
          <w:p w:rsidR="0064153C" w:rsidRPr="005837FB" w:rsidRDefault="0064153C" w:rsidP="0064153C">
            <w:pPr>
              <w:pStyle w:val="Default"/>
              <w:rPr>
                <w:sz w:val="16"/>
                <w:szCs w:val="16"/>
              </w:rPr>
            </w:pPr>
            <w:r w:rsidRPr="005837FB">
              <w:rPr>
                <w:sz w:val="16"/>
                <w:szCs w:val="16"/>
              </w:rPr>
              <w:t xml:space="preserve">In addition, the increasing M2M Smart City traffic need specific frequency band, part of these unpaired frequency bands are expected to be used for some smart city applications, for example parking places monitoring, public lighting control, smart metering, air quality control, etc.  These types of smart city applications are deployed from a specific area in a city to the entire city, even a group of cities, </w:t>
            </w:r>
            <w:proofErr w:type="gramStart"/>
            <w:r w:rsidRPr="005837FB">
              <w:rPr>
                <w:sz w:val="16"/>
                <w:szCs w:val="16"/>
              </w:rPr>
              <w:t>depending</w:t>
            </w:r>
            <w:proofErr w:type="gramEnd"/>
            <w:r w:rsidRPr="005837FB">
              <w:rPr>
                <w:sz w:val="16"/>
                <w:szCs w:val="16"/>
              </w:rPr>
              <w:t xml:space="preserve"> the applications/services, using LTE or alternative systems. A licensed band such as the 2.1 GHz TDD spectrum can ensure the expected quality of service which cannot be provided by the SRD spectrum at shared basis</w:t>
            </w:r>
          </w:p>
          <w:p w:rsidR="0064153C" w:rsidRPr="00B249C9" w:rsidRDefault="0064153C" w:rsidP="0064153C">
            <w:pPr>
              <w:pStyle w:val="Default"/>
              <w:rPr>
                <w:sz w:val="16"/>
                <w:szCs w:val="16"/>
              </w:rPr>
            </w:pPr>
            <w:r w:rsidRPr="005837FB">
              <w:rPr>
                <w:sz w:val="16"/>
                <w:szCs w:val="16"/>
              </w:rPr>
              <w:t>It is our view that the current allocation of the unpaired terrestrial 2 GHz bands to the mobile network operators shall remain as part of the possible alternatives, other alternative uses should not create interference to these licensed sub-bands.</w:t>
            </w:r>
          </w:p>
        </w:tc>
        <w:tc>
          <w:tcPr>
            <w:tcW w:w="1052" w:type="pct"/>
          </w:tcPr>
          <w:p w:rsidR="00421C37" w:rsidRPr="00457152" w:rsidRDefault="00421C37" w:rsidP="00457152">
            <w:pPr>
              <w:keepLines/>
              <w:spacing w:before="120"/>
              <w:jc w:val="both"/>
              <w:rPr>
                <w:sz w:val="16"/>
                <w:szCs w:val="16"/>
                <w:lang w:val="en-US"/>
              </w:rPr>
            </w:pPr>
            <w:r>
              <w:rPr>
                <w:sz w:val="16"/>
                <w:szCs w:val="16"/>
                <w:lang w:val="en-US"/>
              </w:rPr>
              <w:t xml:space="preserve">Desire to maintain mobile as an option </w:t>
            </w:r>
            <w:r w:rsidRPr="00421C37">
              <w:rPr>
                <w:sz w:val="16"/>
                <w:szCs w:val="16"/>
                <w:lang w:val="en-US"/>
              </w:rPr>
              <w:t xml:space="preserve">reflected in Annex 2 to document </w:t>
            </w:r>
            <w:proofErr w:type="gramStart"/>
            <w:r w:rsidRPr="00421C37">
              <w:rPr>
                <w:sz w:val="16"/>
                <w:szCs w:val="16"/>
                <w:lang w:val="en-US"/>
              </w:rPr>
              <w:t>FM(</w:t>
            </w:r>
            <w:proofErr w:type="gramEnd"/>
            <w:r w:rsidRPr="00421C37">
              <w:rPr>
                <w:sz w:val="16"/>
                <w:szCs w:val="16"/>
                <w:lang w:val="en-US"/>
              </w:rPr>
              <w:t>14)037 Annex1 (The outline of CEPT’s response).</w:t>
            </w:r>
            <w:r>
              <w:rPr>
                <w:sz w:val="16"/>
                <w:szCs w:val="16"/>
                <w:lang w:val="en-US"/>
              </w:rPr>
              <w:t xml:space="preserve"> </w:t>
            </w:r>
            <w:r w:rsidRPr="00457152">
              <w:rPr>
                <w:sz w:val="16"/>
                <w:szCs w:val="16"/>
                <w:lang w:val="en-US"/>
              </w:rPr>
              <w:t xml:space="preserve">In addition, </w:t>
            </w:r>
            <w:r>
              <w:rPr>
                <w:sz w:val="16"/>
                <w:szCs w:val="16"/>
                <w:lang w:val="en-US"/>
              </w:rPr>
              <w:t xml:space="preserve">it is considered </w:t>
            </w:r>
            <w:r w:rsidRPr="00457152">
              <w:rPr>
                <w:sz w:val="16"/>
                <w:szCs w:val="16"/>
                <w:lang w:val="en-US"/>
              </w:rPr>
              <w:t xml:space="preserve">that each potential </w:t>
            </w:r>
            <w:proofErr w:type="spellStart"/>
            <w:r w:rsidRPr="00457152">
              <w:rPr>
                <w:sz w:val="16"/>
                <w:szCs w:val="16"/>
                <w:lang w:val="en-US"/>
              </w:rPr>
              <w:t>harmonised</w:t>
            </w:r>
            <w:proofErr w:type="spellEnd"/>
            <w:r w:rsidRPr="00457152">
              <w:rPr>
                <w:sz w:val="16"/>
                <w:szCs w:val="16"/>
                <w:lang w:val="en-US"/>
              </w:rPr>
              <w:t xml:space="preserve"> use in the shortlist should be assessed against the use of the unpaired 2GHz bands for TDD-FDD aggregation on hotspots and for M2M. </w:t>
            </w:r>
          </w:p>
          <w:p w:rsidR="00421C37" w:rsidRPr="00457152" w:rsidRDefault="00421C37" w:rsidP="00457152">
            <w:pPr>
              <w:keepLines/>
              <w:spacing w:before="120"/>
              <w:jc w:val="both"/>
              <w:rPr>
                <w:sz w:val="16"/>
                <w:szCs w:val="16"/>
                <w:lang w:val="en-US"/>
              </w:rPr>
            </w:pPr>
            <w:r>
              <w:rPr>
                <w:sz w:val="16"/>
                <w:szCs w:val="16"/>
                <w:lang w:val="en-US"/>
              </w:rPr>
              <w:t xml:space="preserve">As </w:t>
            </w:r>
            <w:r w:rsidRPr="00457152">
              <w:rPr>
                <w:sz w:val="16"/>
                <w:szCs w:val="16"/>
                <w:lang w:val="en-US"/>
              </w:rPr>
              <w:t>the purpose of the Mandate on the “Unpaired terrestrial 2 GHz bands” is to assess and identify alternative uses of the unpaired terrestrial 2 GHz band other than for the provision of mobile electronic communications services</w:t>
            </w:r>
            <w:r>
              <w:rPr>
                <w:sz w:val="16"/>
                <w:szCs w:val="16"/>
                <w:lang w:val="en-US"/>
              </w:rPr>
              <w:t xml:space="preserve">, it is proposed not to study further this </w:t>
            </w:r>
            <w:r w:rsidRPr="00457152">
              <w:rPr>
                <w:sz w:val="16"/>
                <w:szCs w:val="16"/>
                <w:lang w:val="en-US"/>
              </w:rPr>
              <w:t>option</w:t>
            </w:r>
            <w:r>
              <w:rPr>
                <w:sz w:val="16"/>
                <w:szCs w:val="16"/>
                <w:lang w:val="en-US"/>
              </w:rPr>
              <w:t xml:space="preserve"> within </w:t>
            </w:r>
            <w:r w:rsidRPr="00457152">
              <w:rPr>
                <w:sz w:val="16"/>
                <w:szCs w:val="16"/>
                <w:lang w:val="en-US"/>
              </w:rPr>
              <w:t>the scope of this Mandate.</w:t>
            </w:r>
          </w:p>
          <w:p w:rsidR="0064153C" w:rsidRPr="00421C37" w:rsidRDefault="0064153C" w:rsidP="00421C37">
            <w:pPr>
              <w:keepLines/>
              <w:spacing w:before="120"/>
              <w:jc w:val="both"/>
              <w:rPr>
                <w:sz w:val="16"/>
                <w:szCs w:val="16"/>
                <w:lang w:val="en-US"/>
              </w:rPr>
            </w:pPr>
          </w:p>
        </w:tc>
      </w:tr>
      <w:tr w:rsidR="0064153C" w:rsidTr="00870EF9">
        <w:tblPrEx>
          <w:tblCellMar>
            <w:top w:w="0" w:type="dxa"/>
            <w:bottom w:w="0" w:type="dxa"/>
          </w:tblCellMar>
        </w:tblPrEx>
        <w:trPr>
          <w:cantSplit/>
          <w:trHeight w:val="765"/>
          <w:tblHeader/>
        </w:trPr>
        <w:tc>
          <w:tcPr>
            <w:tcW w:w="358" w:type="pct"/>
          </w:tcPr>
          <w:p w:rsidR="0064153C" w:rsidRPr="005837FB" w:rsidRDefault="0064153C" w:rsidP="0064153C">
            <w:pPr>
              <w:keepLines/>
              <w:spacing w:before="120"/>
              <w:rPr>
                <w:sz w:val="16"/>
                <w:szCs w:val="16"/>
                <w:lang w:val="en-US"/>
              </w:rPr>
            </w:pPr>
            <w:r>
              <w:rPr>
                <w:sz w:val="16"/>
                <w:szCs w:val="16"/>
                <w:lang w:val="en-US"/>
              </w:rPr>
              <w:t>Germany/1</w:t>
            </w:r>
          </w:p>
        </w:tc>
        <w:tc>
          <w:tcPr>
            <w:tcW w:w="671" w:type="pct"/>
          </w:tcPr>
          <w:p w:rsidR="0064153C" w:rsidRDefault="0064153C" w:rsidP="0064153C">
            <w:pPr>
              <w:keepLines/>
              <w:spacing w:before="120"/>
              <w:rPr>
                <w:sz w:val="16"/>
                <w:szCs w:val="16"/>
                <w:lang w:val="en-US"/>
              </w:rPr>
            </w:pPr>
            <w:r>
              <w:rPr>
                <w:sz w:val="16"/>
                <w:szCs w:val="16"/>
                <w:lang w:val="en-US"/>
              </w:rPr>
              <w:t>Support approach</w:t>
            </w:r>
          </w:p>
        </w:tc>
        <w:tc>
          <w:tcPr>
            <w:tcW w:w="2919" w:type="pct"/>
          </w:tcPr>
          <w:p w:rsidR="0064153C" w:rsidRPr="005837FB" w:rsidRDefault="0064153C" w:rsidP="0064153C">
            <w:pPr>
              <w:pStyle w:val="Default"/>
              <w:rPr>
                <w:sz w:val="16"/>
                <w:szCs w:val="16"/>
              </w:rPr>
            </w:pPr>
            <w:r w:rsidRPr="00870EF9">
              <w:rPr>
                <w:sz w:val="16"/>
                <w:szCs w:val="16"/>
              </w:rPr>
              <w:t xml:space="preserve">The preferred scenarios / uses as set out in the outline are supported. This is in line with the position of the German administration already provided during the relevant meetings (WG FM Correspondence Group, WG FM, </w:t>
            </w:r>
            <w:proofErr w:type="gramStart"/>
            <w:r w:rsidRPr="00870EF9">
              <w:rPr>
                <w:sz w:val="16"/>
                <w:szCs w:val="16"/>
              </w:rPr>
              <w:t>ECC</w:t>
            </w:r>
            <w:proofErr w:type="gramEnd"/>
            <w:r w:rsidRPr="00870EF9">
              <w:rPr>
                <w:sz w:val="16"/>
                <w:szCs w:val="16"/>
              </w:rPr>
              <w:t>).</w:t>
            </w:r>
          </w:p>
        </w:tc>
        <w:tc>
          <w:tcPr>
            <w:tcW w:w="1052" w:type="pct"/>
          </w:tcPr>
          <w:p w:rsidR="002B4519" w:rsidRDefault="002B4519" w:rsidP="002B4519">
            <w:pPr>
              <w:keepLines/>
              <w:spacing w:before="120"/>
              <w:jc w:val="both"/>
              <w:rPr>
                <w:sz w:val="16"/>
                <w:szCs w:val="16"/>
                <w:lang w:val="en-US"/>
              </w:rPr>
            </w:pPr>
            <w:r>
              <w:rPr>
                <w:sz w:val="16"/>
                <w:szCs w:val="16"/>
                <w:lang w:val="en-US"/>
              </w:rPr>
              <w:t xml:space="preserve">Support for the preferred scenarios / uses reflected in Annex 2 to document </w:t>
            </w:r>
            <w:proofErr w:type="gramStart"/>
            <w:r>
              <w:rPr>
                <w:sz w:val="16"/>
                <w:szCs w:val="16"/>
                <w:lang w:val="en-US"/>
              </w:rPr>
              <w:t>FM(</w:t>
            </w:r>
            <w:proofErr w:type="gramEnd"/>
            <w:r>
              <w:rPr>
                <w:sz w:val="16"/>
                <w:szCs w:val="16"/>
                <w:lang w:val="en-US"/>
              </w:rPr>
              <w:t>14)037 Annex1 (The outline of CEPT’s response).</w:t>
            </w:r>
          </w:p>
          <w:p w:rsidR="0064153C" w:rsidRPr="00D132BF" w:rsidRDefault="0064153C" w:rsidP="0064153C">
            <w:pPr>
              <w:keepLines/>
              <w:spacing w:before="120"/>
              <w:jc w:val="both"/>
              <w:rPr>
                <w:sz w:val="16"/>
                <w:szCs w:val="16"/>
                <w:lang w:val="en-US"/>
              </w:rPr>
            </w:pPr>
          </w:p>
        </w:tc>
      </w:tr>
      <w:tr w:rsidR="0064153C" w:rsidTr="00870EF9">
        <w:tblPrEx>
          <w:tblCellMar>
            <w:top w:w="0" w:type="dxa"/>
            <w:bottom w:w="0" w:type="dxa"/>
          </w:tblCellMar>
        </w:tblPrEx>
        <w:trPr>
          <w:cantSplit/>
          <w:trHeight w:val="765"/>
          <w:tblHeader/>
        </w:trPr>
        <w:tc>
          <w:tcPr>
            <w:tcW w:w="358" w:type="pct"/>
          </w:tcPr>
          <w:p w:rsidR="0064153C" w:rsidRDefault="0064153C" w:rsidP="0064153C">
            <w:pPr>
              <w:keepLines/>
              <w:spacing w:before="120"/>
              <w:rPr>
                <w:sz w:val="16"/>
                <w:szCs w:val="16"/>
                <w:lang w:val="en-US"/>
              </w:rPr>
            </w:pPr>
            <w:r>
              <w:rPr>
                <w:sz w:val="16"/>
                <w:szCs w:val="16"/>
                <w:lang w:val="en-US"/>
              </w:rPr>
              <w:t>British Telecom/1</w:t>
            </w:r>
          </w:p>
        </w:tc>
        <w:tc>
          <w:tcPr>
            <w:tcW w:w="671" w:type="pct"/>
          </w:tcPr>
          <w:p w:rsidR="0064153C" w:rsidRDefault="0064153C" w:rsidP="0064153C">
            <w:pPr>
              <w:keepLines/>
              <w:spacing w:before="120"/>
              <w:rPr>
                <w:sz w:val="16"/>
                <w:szCs w:val="16"/>
                <w:lang w:val="en-US"/>
              </w:rPr>
            </w:pPr>
            <w:r>
              <w:rPr>
                <w:sz w:val="16"/>
                <w:szCs w:val="16"/>
                <w:lang w:val="en-US"/>
              </w:rPr>
              <w:t>Support for DA2GCS in 1900-1920 MHz</w:t>
            </w:r>
          </w:p>
        </w:tc>
        <w:tc>
          <w:tcPr>
            <w:tcW w:w="2919" w:type="pct"/>
          </w:tcPr>
          <w:p w:rsidR="0064153C" w:rsidRPr="0097366E" w:rsidRDefault="0064153C" w:rsidP="0064153C">
            <w:pPr>
              <w:pStyle w:val="Default"/>
              <w:rPr>
                <w:sz w:val="16"/>
                <w:szCs w:val="16"/>
              </w:rPr>
            </w:pPr>
            <w:r w:rsidRPr="0097366E">
              <w:rPr>
                <w:sz w:val="16"/>
                <w:szCs w:val="16"/>
              </w:rPr>
              <w:t>We prefer that the band 1900 – 1920 MHz is made available for DA2GC applications.  CEPT SE44 has identified that there are three candidate DA2GC technologies all of which are able to use this band for that purpose (as indicated in Draft ECC Report 209), and FM48 is currently preparing to draft regulations which would enable any of those three DA2GC technologies to operate in this band.</w:t>
            </w:r>
          </w:p>
          <w:p w:rsidR="0064153C" w:rsidRPr="0097366E" w:rsidRDefault="0064153C" w:rsidP="0064153C">
            <w:pPr>
              <w:pStyle w:val="Default"/>
              <w:rPr>
                <w:sz w:val="16"/>
                <w:szCs w:val="16"/>
              </w:rPr>
            </w:pPr>
          </w:p>
          <w:p w:rsidR="0064153C" w:rsidRPr="00870EF9" w:rsidRDefault="0064153C" w:rsidP="0064153C">
            <w:pPr>
              <w:pStyle w:val="Default"/>
              <w:rPr>
                <w:sz w:val="16"/>
                <w:szCs w:val="16"/>
              </w:rPr>
            </w:pPr>
            <w:r w:rsidRPr="0097366E">
              <w:rPr>
                <w:sz w:val="16"/>
                <w:szCs w:val="16"/>
              </w:rPr>
              <w:t xml:space="preserve">DA2GC is a new application in Europe, although it has proved to be successful in the USA, and we believe that it presents the best solution for providing internet connectivity for passengers on board commercial aircraft.  Although there are currently systems operating using satellite connectivity, the use of a DA2GC system would enable higher data rates to be provided to each aircraft, at a lower cost, more efficiently (using frequency re-use across Europe).  </w:t>
            </w:r>
          </w:p>
        </w:tc>
        <w:tc>
          <w:tcPr>
            <w:tcW w:w="1052" w:type="pct"/>
          </w:tcPr>
          <w:p w:rsidR="002B4519" w:rsidRDefault="002B4519" w:rsidP="002B4519">
            <w:pPr>
              <w:keepLines/>
              <w:spacing w:before="120"/>
              <w:jc w:val="both"/>
              <w:rPr>
                <w:sz w:val="16"/>
                <w:szCs w:val="16"/>
                <w:lang w:val="en-US"/>
              </w:rPr>
            </w:pPr>
            <w:r>
              <w:rPr>
                <w:sz w:val="16"/>
                <w:szCs w:val="16"/>
                <w:lang w:val="en-US"/>
              </w:rPr>
              <w:t xml:space="preserve">Support for DA2GC in 1900-1920 MHz reflected in Annex 2 to document </w:t>
            </w:r>
            <w:proofErr w:type="gramStart"/>
            <w:r>
              <w:rPr>
                <w:sz w:val="16"/>
                <w:szCs w:val="16"/>
                <w:lang w:val="en-US"/>
              </w:rPr>
              <w:t>FM(</w:t>
            </w:r>
            <w:proofErr w:type="gramEnd"/>
            <w:r>
              <w:rPr>
                <w:sz w:val="16"/>
                <w:szCs w:val="16"/>
                <w:lang w:val="en-US"/>
              </w:rPr>
              <w:t>14)037 Annex1 (The outline of CEPT’s response).</w:t>
            </w:r>
          </w:p>
          <w:p w:rsidR="0064153C" w:rsidRPr="00D132BF" w:rsidRDefault="0064153C" w:rsidP="0064153C">
            <w:pPr>
              <w:keepLines/>
              <w:spacing w:before="120"/>
              <w:jc w:val="both"/>
              <w:rPr>
                <w:sz w:val="16"/>
                <w:szCs w:val="16"/>
                <w:lang w:val="en-US"/>
              </w:rPr>
            </w:pPr>
          </w:p>
        </w:tc>
      </w:tr>
    </w:tbl>
    <w:p w:rsidR="00680DF5" w:rsidRPr="00680DF5" w:rsidRDefault="00680DF5" w:rsidP="00680DF5">
      <w:pPr>
        <w:spacing w:after="240"/>
        <w:jc w:val="both"/>
        <w:rPr>
          <w:rFonts w:ascii="Arial" w:hAnsi="Arial"/>
          <w:b/>
          <w:sz w:val="20"/>
          <w:lang w:val="en-US" w:eastAsia="en-US"/>
        </w:rPr>
      </w:pPr>
    </w:p>
    <w:p w:rsidR="00680DF5" w:rsidRPr="00680DF5" w:rsidRDefault="00680DF5" w:rsidP="00680DF5">
      <w:pPr>
        <w:spacing w:after="240"/>
        <w:jc w:val="both"/>
        <w:rPr>
          <w:rFonts w:ascii="Arial" w:hAnsi="Arial"/>
          <w:b/>
          <w:sz w:val="20"/>
          <w:szCs w:val="20"/>
          <w:lang w:val="en-GB" w:eastAsia="en-US"/>
        </w:rPr>
      </w:pPr>
    </w:p>
    <w:p w:rsidR="00680DF5" w:rsidRDefault="00680DF5" w:rsidP="00680DF5">
      <w:pPr>
        <w:numPr>
          <w:ilvl w:val="1"/>
          <w:numId w:val="2"/>
        </w:numPr>
        <w:spacing w:after="240"/>
        <w:jc w:val="both"/>
        <w:rPr>
          <w:rFonts w:ascii="Arial" w:hAnsi="Arial"/>
          <w:b/>
          <w:sz w:val="20"/>
          <w:lang w:val="en-GB" w:eastAsia="en-US"/>
        </w:rPr>
      </w:pPr>
      <w:r w:rsidRPr="00680DF5">
        <w:rPr>
          <w:rFonts w:ascii="Arial" w:hAnsi="Arial"/>
          <w:sz w:val="20"/>
          <w:lang w:val="en-GB" w:eastAsia="en-US"/>
        </w:rPr>
        <w:t xml:space="preserve">In the outline of the response to the Commission it is suggested placing the shortlist of potential harmonised uses of the 1900-1920 MHz and 2010-2025 MHz frequency bands, proposed for further study in the EC Mandate (as detailed in Annex 4), into 3 defined categories (see section </w:t>
      </w:r>
      <w:r w:rsidRPr="00680DF5">
        <w:rPr>
          <w:rFonts w:ascii="Arial" w:hAnsi="Arial"/>
          <w:sz w:val="20"/>
          <w:lang w:val="en-GB" w:eastAsia="en-US"/>
        </w:rPr>
        <w:fldChar w:fldCharType="begin"/>
      </w:r>
      <w:r w:rsidRPr="00680DF5">
        <w:rPr>
          <w:rFonts w:ascii="Arial" w:hAnsi="Arial"/>
          <w:sz w:val="20"/>
          <w:lang w:val="en-GB" w:eastAsia="en-US"/>
        </w:rPr>
        <w:instrText xml:space="preserve"> REF _Ref368347696 \r \h  \* MERGEFORMAT </w:instrText>
      </w:r>
      <w:r w:rsidRPr="00680DF5">
        <w:rPr>
          <w:rFonts w:ascii="Arial" w:hAnsi="Arial"/>
          <w:sz w:val="20"/>
          <w:lang w:val="en-GB" w:eastAsia="en-US"/>
        </w:rPr>
      </w:r>
      <w:r w:rsidRPr="00680DF5">
        <w:rPr>
          <w:rFonts w:ascii="Arial" w:hAnsi="Arial"/>
          <w:sz w:val="20"/>
          <w:lang w:val="en-GB" w:eastAsia="en-US"/>
        </w:rPr>
        <w:fldChar w:fldCharType="separate"/>
      </w:r>
      <w:r w:rsidRPr="00680DF5">
        <w:rPr>
          <w:rFonts w:ascii="Arial" w:hAnsi="Arial"/>
          <w:sz w:val="20"/>
          <w:lang w:val="en-GB" w:eastAsia="en-US"/>
        </w:rPr>
        <w:t>3.6</w:t>
      </w:r>
      <w:r w:rsidRPr="00680DF5">
        <w:rPr>
          <w:rFonts w:ascii="Arial" w:hAnsi="Arial"/>
          <w:sz w:val="20"/>
          <w:lang w:val="en-GB" w:eastAsia="en-US"/>
        </w:rPr>
        <w:fldChar w:fldCharType="end"/>
      </w:r>
      <w:r w:rsidRPr="00680DF5">
        <w:rPr>
          <w:rFonts w:ascii="Arial" w:hAnsi="Arial"/>
          <w:sz w:val="20"/>
          <w:lang w:val="en-GB" w:eastAsia="en-US"/>
        </w:rPr>
        <w:t xml:space="preserve"> of the outline of the response to the Commission on </w:t>
      </w:r>
      <w:r w:rsidRPr="00680DF5">
        <w:rPr>
          <w:rFonts w:ascii="Arial" w:hAnsi="Arial"/>
          <w:sz w:val="20"/>
          <w:lang w:val="en-GB" w:eastAsia="en-US"/>
        </w:rPr>
        <w:fldChar w:fldCharType="begin"/>
      </w:r>
      <w:r w:rsidRPr="00680DF5">
        <w:rPr>
          <w:rFonts w:ascii="Arial" w:hAnsi="Arial"/>
          <w:sz w:val="20"/>
          <w:lang w:val="en-GB" w:eastAsia="en-US"/>
        </w:rPr>
        <w:instrText xml:space="preserve"> REF _Ref368347719 \h  \* MERGEFORMAT </w:instrText>
      </w:r>
      <w:r w:rsidRPr="00680DF5">
        <w:rPr>
          <w:rFonts w:ascii="Arial" w:hAnsi="Arial"/>
          <w:sz w:val="20"/>
          <w:lang w:val="en-GB" w:eastAsia="en-US"/>
        </w:rPr>
      </w:r>
      <w:r w:rsidRPr="00680DF5">
        <w:rPr>
          <w:rFonts w:ascii="Arial" w:hAnsi="Arial"/>
          <w:sz w:val="20"/>
          <w:lang w:val="en-GB" w:eastAsia="en-US"/>
        </w:rPr>
        <w:fldChar w:fldCharType="separate"/>
      </w:r>
      <w:r w:rsidRPr="00680DF5">
        <w:rPr>
          <w:rFonts w:ascii="Arial" w:hAnsi="Arial"/>
          <w:sz w:val="20"/>
          <w:lang w:val="en-GB" w:eastAsia="en-US"/>
        </w:rPr>
        <w:t>Synergies between the proposed short list of selected use</w:t>
      </w:r>
      <w:r w:rsidRPr="00680DF5">
        <w:rPr>
          <w:rFonts w:ascii="Arial" w:hAnsi="Arial"/>
          <w:sz w:val="20"/>
          <w:lang w:val="en-GB" w:eastAsia="en-US"/>
        </w:rPr>
        <w:fldChar w:fldCharType="end"/>
      </w:r>
      <w:r w:rsidRPr="00680DF5">
        <w:rPr>
          <w:rFonts w:ascii="Arial" w:hAnsi="Arial"/>
          <w:sz w:val="20"/>
          <w:lang w:val="en-GB" w:eastAsia="en-US"/>
        </w:rPr>
        <w:t xml:space="preserve">). </w:t>
      </w:r>
      <w:r w:rsidRPr="00680DF5">
        <w:rPr>
          <w:rFonts w:ascii="Arial" w:hAnsi="Arial"/>
          <w:b/>
          <w:sz w:val="20"/>
          <w:lang w:val="en-GB" w:eastAsia="en-US"/>
        </w:rPr>
        <w:t>Do you agree with this approach? (Yes/No) If not please explain in detail why.</w:t>
      </w:r>
    </w:p>
    <w:p w:rsidR="00680DF5" w:rsidRDefault="00680DF5" w:rsidP="00680DF5">
      <w:pPr>
        <w:spacing w:after="240"/>
        <w:jc w:val="both"/>
        <w:rPr>
          <w:rFonts w:ascii="Arial" w:hAnsi="Arial"/>
          <w:b/>
          <w:sz w:val="20"/>
          <w:lang w:val="en-GB" w:eastAsia="en-US"/>
        </w:rPr>
      </w:pPr>
    </w:p>
    <w:tbl>
      <w:tblPr>
        <w:tblW w:w="499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6" w:type="dxa"/>
          <w:right w:w="56" w:type="dxa"/>
        </w:tblCellMar>
        <w:tblLook w:val="0000" w:firstRow="0" w:lastRow="0" w:firstColumn="0" w:lastColumn="0" w:noHBand="0" w:noVBand="0"/>
      </w:tblPr>
      <w:tblGrid>
        <w:gridCol w:w="1235"/>
        <w:gridCol w:w="1842"/>
        <w:gridCol w:w="8524"/>
        <w:gridCol w:w="2488"/>
      </w:tblGrid>
      <w:tr w:rsidR="000C44C8" w:rsidRPr="00AA2F1C" w:rsidTr="00BA10D3">
        <w:tblPrEx>
          <w:tblCellMar>
            <w:top w:w="0" w:type="dxa"/>
            <w:bottom w:w="0" w:type="dxa"/>
          </w:tblCellMar>
        </w:tblPrEx>
        <w:trPr>
          <w:cantSplit/>
          <w:trHeight w:val="765"/>
          <w:tblHeader/>
        </w:trPr>
        <w:tc>
          <w:tcPr>
            <w:tcW w:w="438" w:type="pct"/>
          </w:tcPr>
          <w:p w:rsidR="000C44C8" w:rsidRPr="00AA2F1C" w:rsidRDefault="000C44C8" w:rsidP="00A658BB">
            <w:pPr>
              <w:spacing w:before="120" w:line="180" w:lineRule="exact"/>
              <w:jc w:val="center"/>
              <w:rPr>
                <w:sz w:val="16"/>
                <w:szCs w:val="16"/>
                <w:lang w:val="en-US"/>
              </w:rPr>
            </w:pPr>
            <w:r w:rsidRPr="00AA2F1C">
              <w:rPr>
                <w:rFonts w:ascii="Arial" w:hAnsi="Arial"/>
                <w:b/>
                <w:sz w:val="16"/>
                <w:szCs w:val="16"/>
                <w:lang w:val="en-US"/>
              </w:rPr>
              <w:t>Comment number</w:t>
            </w:r>
          </w:p>
        </w:tc>
        <w:tc>
          <w:tcPr>
            <w:tcW w:w="654" w:type="pct"/>
          </w:tcPr>
          <w:p w:rsidR="000C44C8" w:rsidRPr="00AA2F1C" w:rsidRDefault="000C44C8" w:rsidP="00A658BB">
            <w:pPr>
              <w:spacing w:before="120" w:line="180" w:lineRule="exact"/>
              <w:jc w:val="center"/>
              <w:rPr>
                <w:b/>
                <w:sz w:val="16"/>
                <w:szCs w:val="16"/>
                <w:lang w:val="en-US"/>
              </w:rPr>
            </w:pPr>
            <w:r w:rsidRPr="00AA2F1C">
              <w:rPr>
                <w:rFonts w:ascii="Arial" w:hAnsi="Arial"/>
                <w:b/>
                <w:sz w:val="16"/>
                <w:szCs w:val="16"/>
                <w:lang w:val="en-US"/>
              </w:rPr>
              <w:t xml:space="preserve">Type of comment </w:t>
            </w:r>
          </w:p>
        </w:tc>
        <w:tc>
          <w:tcPr>
            <w:tcW w:w="3024" w:type="pct"/>
          </w:tcPr>
          <w:p w:rsidR="000C44C8" w:rsidRPr="00AA2F1C" w:rsidRDefault="000C44C8" w:rsidP="00A658BB">
            <w:pPr>
              <w:spacing w:before="120" w:line="180" w:lineRule="exact"/>
              <w:jc w:val="center"/>
              <w:rPr>
                <w:sz w:val="16"/>
                <w:szCs w:val="16"/>
                <w:lang w:val="en-US"/>
              </w:rPr>
            </w:pPr>
            <w:r w:rsidRPr="00AA2F1C">
              <w:rPr>
                <w:rFonts w:ascii="Arial" w:hAnsi="Arial"/>
                <w:b/>
                <w:sz w:val="16"/>
                <w:szCs w:val="16"/>
                <w:lang w:val="en-US"/>
              </w:rPr>
              <w:t>COMMENTS</w:t>
            </w:r>
          </w:p>
        </w:tc>
        <w:tc>
          <w:tcPr>
            <w:tcW w:w="883" w:type="pct"/>
          </w:tcPr>
          <w:p w:rsidR="000C44C8" w:rsidRPr="00AA2F1C" w:rsidRDefault="000C44C8" w:rsidP="00A658BB">
            <w:pPr>
              <w:spacing w:before="120" w:line="180" w:lineRule="exact"/>
              <w:jc w:val="center"/>
              <w:rPr>
                <w:rFonts w:ascii="Arial" w:hAnsi="Arial"/>
                <w:b/>
                <w:sz w:val="16"/>
                <w:szCs w:val="16"/>
                <w:lang w:val="en-US"/>
              </w:rPr>
            </w:pPr>
            <w:r>
              <w:rPr>
                <w:rFonts w:ascii="Arial" w:hAnsi="Arial"/>
                <w:b/>
                <w:sz w:val="16"/>
                <w:szCs w:val="16"/>
                <w:lang w:val="en-US"/>
              </w:rPr>
              <w:t>Proposed resolution/handling/action by WGFM in response to the comment</w:t>
            </w:r>
          </w:p>
        </w:tc>
      </w:tr>
      <w:tr w:rsidR="000C44C8" w:rsidRPr="002D04E3" w:rsidTr="00BA10D3">
        <w:tblPrEx>
          <w:tblCellMar>
            <w:top w:w="0" w:type="dxa"/>
            <w:bottom w:w="0" w:type="dxa"/>
          </w:tblCellMar>
        </w:tblPrEx>
        <w:trPr>
          <w:cantSplit/>
          <w:trHeight w:val="765"/>
          <w:tblHeader/>
        </w:trPr>
        <w:tc>
          <w:tcPr>
            <w:tcW w:w="438" w:type="pct"/>
          </w:tcPr>
          <w:p w:rsidR="000C44C8" w:rsidRPr="002D04E3" w:rsidRDefault="000C44C8" w:rsidP="00A658BB">
            <w:pPr>
              <w:keepLines/>
              <w:spacing w:before="120"/>
              <w:rPr>
                <w:sz w:val="20"/>
                <w:szCs w:val="20"/>
                <w:lang w:val="en-US"/>
              </w:rPr>
            </w:pPr>
            <w:r w:rsidRPr="002D04E3">
              <w:rPr>
                <w:sz w:val="20"/>
                <w:szCs w:val="20"/>
                <w:lang w:val="en-US"/>
              </w:rPr>
              <w:t>DT/2</w:t>
            </w:r>
          </w:p>
          <w:p w:rsidR="000C44C8" w:rsidRPr="002D04E3" w:rsidRDefault="000C44C8" w:rsidP="00334029">
            <w:pPr>
              <w:keepLines/>
              <w:spacing w:before="120"/>
              <w:rPr>
                <w:sz w:val="20"/>
                <w:szCs w:val="20"/>
                <w:lang w:val="en-US"/>
              </w:rPr>
            </w:pPr>
            <w:proofErr w:type="spellStart"/>
            <w:r w:rsidRPr="002D04E3">
              <w:rPr>
                <w:sz w:val="20"/>
                <w:szCs w:val="20"/>
                <w:lang w:val="en-US"/>
              </w:rPr>
              <w:t>TriaGnoSys</w:t>
            </w:r>
            <w:proofErr w:type="spellEnd"/>
            <w:r w:rsidR="00334029" w:rsidRPr="002D04E3">
              <w:rPr>
                <w:sz w:val="20"/>
                <w:szCs w:val="20"/>
                <w:lang w:val="en-US"/>
              </w:rPr>
              <w:t>/2</w:t>
            </w:r>
          </w:p>
        </w:tc>
        <w:tc>
          <w:tcPr>
            <w:tcW w:w="654" w:type="pct"/>
          </w:tcPr>
          <w:p w:rsidR="000C44C8" w:rsidRPr="002D04E3" w:rsidRDefault="000C44C8" w:rsidP="00A658BB">
            <w:pPr>
              <w:keepLines/>
              <w:spacing w:before="120"/>
              <w:rPr>
                <w:sz w:val="20"/>
                <w:szCs w:val="20"/>
                <w:lang w:val="en-US"/>
              </w:rPr>
            </w:pPr>
            <w:r w:rsidRPr="002D04E3">
              <w:rPr>
                <w:sz w:val="20"/>
                <w:szCs w:val="20"/>
                <w:lang w:val="en-US"/>
              </w:rPr>
              <w:t>Support the approach.</w:t>
            </w:r>
          </w:p>
          <w:p w:rsidR="000C44C8" w:rsidRPr="002D04E3" w:rsidRDefault="000C44C8" w:rsidP="00A658BB">
            <w:pPr>
              <w:keepLines/>
              <w:spacing w:before="120"/>
              <w:rPr>
                <w:sz w:val="20"/>
                <w:szCs w:val="20"/>
                <w:lang w:val="en-US"/>
              </w:rPr>
            </w:pPr>
            <w:r w:rsidRPr="002D04E3">
              <w:rPr>
                <w:sz w:val="20"/>
                <w:szCs w:val="20"/>
                <w:lang w:val="en-US"/>
              </w:rPr>
              <w:t>Support of sharing of DA2GCS with PMSE, DECT and SRDs</w:t>
            </w:r>
          </w:p>
        </w:tc>
        <w:tc>
          <w:tcPr>
            <w:tcW w:w="3024" w:type="pct"/>
          </w:tcPr>
          <w:p w:rsidR="000C44C8" w:rsidRPr="002D04E3" w:rsidRDefault="000C44C8" w:rsidP="00A658BB">
            <w:pPr>
              <w:rPr>
                <w:bCs/>
                <w:sz w:val="20"/>
                <w:szCs w:val="20"/>
                <w:lang w:val="en-GB"/>
              </w:rPr>
            </w:pPr>
            <w:r w:rsidRPr="002D04E3">
              <w:rPr>
                <w:bCs/>
                <w:sz w:val="20"/>
                <w:szCs w:val="20"/>
                <w:lang w:val="en-GB"/>
              </w:rPr>
              <w:t>Compatibility of a LTE-based DA2G system according to ETSI TR 103 054 employing 2 x 10 MHz with radio services in adjacent bands have been proven by studies published in Draft ECC Report 209. In addition studies in PT SE7 have shown that sharing of the DA2G forward link (ground-to-air) with PMSE cordless camera links is feasible under specific conditions. Such sharing feasibility is also expected to be valid for applications like SRD and DECT, in particular if low power, low duty cycle, DCS (Dynamic Channel Selection) and/or a restriction to in-house-only operation would apply for these applications.</w:t>
            </w:r>
          </w:p>
        </w:tc>
        <w:tc>
          <w:tcPr>
            <w:tcW w:w="883" w:type="pct"/>
          </w:tcPr>
          <w:p w:rsidR="002B4519" w:rsidRDefault="002B4519" w:rsidP="002B4519">
            <w:pPr>
              <w:keepLines/>
              <w:spacing w:before="120"/>
              <w:jc w:val="both"/>
              <w:rPr>
                <w:sz w:val="16"/>
                <w:szCs w:val="16"/>
                <w:lang w:val="en-US"/>
              </w:rPr>
            </w:pPr>
            <w:r>
              <w:rPr>
                <w:sz w:val="16"/>
                <w:szCs w:val="16"/>
                <w:lang w:val="en-US"/>
              </w:rPr>
              <w:t xml:space="preserve">Support of sharing of DA2GC with PMSE, DECT and SRD reflected in Annex 2 to document </w:t>
            </w:r>
            <w:proofErr w:type="gramStart"/>
            <w:r>
              <w:rPr>
                <w:sz w:val="16"/>
                <w:szCs w:val="16"/>
                <w:lang w:val="en-US"/>
              </w:rPr>
              <w:t>FM(</w:t>
            </w:r>
            <w:proofErr w:type="gramEnd"/>
            <w:r>
              <w:rPr>
                <w:sz w:val="16"/>
                <w:szCs w:val="16"/>
                <w:lang w:val="en-US"/>
              </w:rPr>
              <w:t>14)037 Annex1 (The outline of CEPT’s response).</w:t>
            </w:r>
          </w:p>
          <w:p w:rsidR="000C44C8" w:rsidRPr="002D04E3" w:rsidRDefault="000C44C8" w:rsidP="00A658BB">
            <w:pPr>
              <w:keepLines/>
              <w:spacing w:before="120"/>
              <w:jc w:val="both"/>
              <w:rPr>
                <w:sz w:val="20"/>
                <w:szCs w:val="20"/>
                <w:lang w:val="en-US"/>
              </w:rPr>
            </w:pPr>
          </w:p>
        </w:tc>
      </w:tr>
      <w:tr w:rsidR="000C44C8" w:rsidRPr="002D04E3" w:rsidTr="00BA10D3">
        <w:tblPrEx>
          <w:tblCellMar>
            <w:top w:w="0" w:type="dxa"/>
            <w:bottom w:w="0" w:type="dxa"/>
          </w:tblCellMar>
        </w:tblPrEx>
        <w:trPr>
          <w:cantSplit/>
          <w:trHeight w:val="765"/>
          <w:tblHeader/>
        </w:trPr>
        <w:tc>
          <w:tcPr>
            <w:tcW w:w="438" w:type="pct"/>
          </w:tcPr>
          <w:p w:rsidR="000C44C8" w:rsidRPr="002D04E3" w:rsidRDefault="000C44C8" w:rsidP="00A658BB">
            <w:pPr>
              <w:keepLines/>
              <w:spacing w:before="120"/>
              <w:rPr>
                <w:sz w:val="20"/>
                <w:szCs w:val="20"/>
                <w:lang w:val="en-US"/>
              </w:rPr>
            </w:pPr>
            <w:r w:rsidRPr="002D04E3">
              <w:rPr>
                <w:sz w:val="20"/>
                <w:szCs w:val="20"/>
                <w:lang w:val="en-US"/>
              </w:rPr>
              <w:t>Riedel/2</w:t>
            </w:r>
          </w:p>
          <w:p w:rsidR="000C44C8" w:rsidRPr="002D04E3" w:rsidRDefault="000C44C8" w:rsidP="00A658BB">
            <w:pPr>
              <w:keepLines/>
              <w:spacing w:before="120"/>
              <w:rPr>
                <w:sz w:val="20"/>
                <w:szCs w:val="20"/>
                <w:lang w:val="en-US"/>
              </w:rPr>
            </w:pPr>
            <w:r w:rsidRPr="002D04E3">
              <w:rPr>
                <w:sz w:val="20"/>
                <w:szCs w:val="20"/>
                <w:lang w:val="en-US"/>
              </w:rPr>
              <w:t>NPO/2</w:t>
            </w:r>
          </w:p>
          <w:p w:rsidR="000C44C8" w:rsidRPr="002D04E3" w:rsidRDefault="000C44C8" w:rsidP="00A658BB">
            <w:pPr>
              <w:keepLines/>
              <w:spacing w:before="120"/>
              <w:rPr>
                <w:sz w:val="20"/>
                <w:szCs w:val="20"/>
                <w:lang w:val="en-US"/>
              </w:rPr>
            </w:pPr>
            <w:r w:rsidRPr="002D04E3">
              <w:rPr>
                <w:sz w:val="20"/>
                <w:szCs w:val="20"/>
                <w:lang w:val="en-US"/>
              </w:rPr>
              <w:t>IRT/2</w:t>
            </w:r>
          </w:p>
        </w:tc>
        <w:tc>
          <w:tcPr>
            <w:tcW w:w="654" w:type="pct"/>
          </w:tcPr>
          <w:p w:rsidR="000C44C8" w:rsidRPr="002D04E3" w:rsidRDefault="000C44C8" w:rsidP="00077B6F">
            <w:pPr>
              <w:keepLines/>
              <w:spacing w:before="120"/>
              <w:rPr>
                <w:sz w:val="20"/>
                <w:szCs w:val="20"/>
                <w:lang w:val="en-US"/>
              </w:rPr>
            </w:pPr>
            <w:r w:rsidRPr="002D04E3">
              <w:rPr>
                <w:sz w:val="20"/>
                <w:szCs w:val="20"/>
                <w:lang w:val="en-US"/>
              </w:rPr>
              <w:t>Support the approach.</w:t>
            </w:r>
          </w:p>
          <w:p w:rsidR="000C44C8" w:rsidRPr="002D04E3" w:rsidRDefault="000C44C8" w:rsidP="00077B6F">
            <w:pPr>
              <w:keepLines/>
              <w:spacing w:before="120"/>
              <w:rPr>
                <w:sz w:val="20"/>
                <w:szCs w:val="20"/>
                <w:lang w:val="en-US"/>
              </w:rPr>
            </w:pPr>
            <w:r w:rsidRPr="002D04E3">
              <w:rPr>
                <w:sz w:val="20"/>
                <w:szCs w:val="20"/>
                <w:lang w:val="en-US"/>
              </w:rPr>
              <w:t>Difficult to coordinate between PMSE and ad hoc PPDR</w:t>
            </w:r>
          </w:p>
        </w:tc>
        <w:tc>
          <w:tcPr>
            <w:tcW w:w="3024" w:type="pct"/>
          </w:tcPr>
          <w:p w:rsidR="000C44C8" w:rsidRPr="002D04E3" w:rsidRDefault="000C44C8" w:rsidP="00680DF5">
            <w:pPr>
              <w:rPr>
                <w:bCs/>
                <w:sz w:val="20"/>
                <w:szCs w:val="20"/>
                <w:lang w:val="en-GB"/>
              </w:rPr>
            </w:pPr>
            <w:r w:rsidRPr="002D04E3">
              <w:rPr>
                <w:bCs/>
                <w:sz w:val="20"/>
                <w:szCs w:val="20"/>
                <w:lang w:val="en-GB"/>
              </w:rPr>
              <w:t>The proposed categories for further study seem to be a good approach because of</w:t>
            </w:r>
          </w:p>
          <w:p w:rsidR="000C44C8" w:rsidRPr="002D04E3" w:rsidRDefault="000C44C8" w:rsidP="00680DF5">
            <w:pPr>
              <w:rPr>
                <w:bCs/>
                <w:sz w:val="20"/>
                <w:szCs w:val="20"/>
                <w:lang w:val="en-GB"/>
              </w:rPr>
            </w:pPr>
            <w:proofErr w:type="gramStart"/>
            <w:r w:rsidRPr="002D04E3">
              <w:rPr>
                <w:bCs/>
                <w:sz w:val="20"/>
                <w:szCs w:val="20"/>
                <w:lang w:val="en-GB"/>
              </w:rPr>
              <w:t>similar</w:t>
            </w:r>
            <w:proofErr w:type="gramEnd"/>
            <w:r w:rsidRPr="002D04E3">
              <w:rPr>
                <w:bCs/>
                <w:sz w:val="20"/>
                <w:szCs w:val="20"/>
                <w:lang w:val="en-GB"/>
              </w:rPr>
              <w:t xml:space="preserve"> system characteristics of the pooled systems.</w:t>
            </w:r>
          </w:p>
          <w:p w:rsidR="000C44C8" w:rsidRPr="002D04E3" w:rsidRDefault="000C44C8" w:rsidP="00680DF5">
            <w:pPr>
              <w:rPr>
                <w:bCs/>
                <w:sz w:val="20"/>
                <w:szCs w:val="20"/>
                <w:lang w:val="en-GB"/>
              </w:rPr>
            </w:pPr>
            <w:r w:rsidRPr="002D04E3">
              <w:rPr>
                <w:bCs/>
                <w:sz w:val="20"/>
                <w:szCs w:val="20"/>
                <w:lang w:val="en-GB"/>
              </w:rPr>
              <w:t>But for the actual sharing it should be noted that especially for the PMSE, PPDR pool</w:t>
            </w:r>
          </w:p>
          <w:p w:rsidR="000C44C8" w:rsidRPr="002D04E3" w:rsidRDefault="000C44C8" w:rsidP="00680DF5">
            <w:pPr>
              <w:rPr>
                <w:bCs/>
                <w:sz w:val="20"/>
                <w:szCs w:val="20"/>
                <w:lang w:val="en-GB"/>
              </w:rPr>
            </w:pPr>
            <w:proofErr w:type="gramStart"/>
            <w:r w:rsidRPr="002D04E3">
              <w:rPr>
                <w:bCs/>
                <w:sz w:val="20"/>
                <w:szCs w:val="20"/>
                <w:lang w:val="en-GB"/>
              </w:rPr>
              <w:t>the</w:t>
            </w:r>
            <w:proofErr w:type="gramEnd"/>
            <w:r w:rsidRPr="002D04E3">
              <w:rPr>
                <w:bCs/>
                <w:sz w:val="20"/>
                <w:szCs w:val="20"/>
                <w:lang w:val="en-GB"/>
              </w:rPr>
              <w:t xml:space="preserve"> same tech characteristic but the usage by different stakeholders makes a sharing difficult (but not impossible). See answer to question 3 for more.</w:t>
            </w:r>
          </w:p>
        </w:tc>
        <w:tc>
          <w:tcPr>
            <w:tcW w:w="883" w:type="pct"/>
          </w:tcPr>
          <w:p w:rsidR="000C44C8" w:rsidRPr="002D04E3" w:rsidRDefault="00794EFD" w:rsidP="00BA10D3">
            <w:pPr>
              <w:keepLines/>
              <w:spacing w:before="120"/>
              <w:jc w:val="both"/>
              <w:rPr>
                <w:sz w:val="20"/>
                <w:szCs w:val="20"/>
                <w:lang w:val="en-US"/>
              </w:rPr>
            </w:pPr>
            <w:r>
              <w:rPr>
                <w:sz w:val="16"/>
                <w:szCs w:val="16"/>
                <w:lang w:val="en-US"/>
              </w:rPr>
              <w:t xml:space="preserve">Support of the proposed categories reflected in Annex 2 to document </w:t>
            </w:r>
            <w:proofErr w:type="gramStart"/>
            <w:r>
              <w:rPr>
                <w:sz w:val="16"/>
                <w:szCs w:val="16"/>
                <w:lang w:val="en-US"/>
              </w:rPr>
              <w:t>FM(</w:t>
            </w:r>
            <w:proofErr w:type="gramEnd"/>
            <w:r>
              <w:rPr>
                <w:sz w:val="16"/>
                <w:szCs w:val="16"/>
                <w:lang w:val="en-US"/>
              </w:rPr>
              <w:t>14)037 Annex1 (The outline of CEPT’s response).</w:t>
            </w:r>
            <w:r w:rsidRPr="00457152">
              <w:rPr>
                <w:sz w:val="16"/>
                <w:szCs w:val="16"/>
                <w:lang w:val="en-US"/>
              </w:rPr>
              <w:t xml:space="preserve"> </w:t>
            </w:r>
          </w:p>
        </w:tc>
      </w:tr>
      <w:tr w:rsidR="00BA10D3" w:rsidRPr="002D04E3" w:rsidTr="00BA10D3">
        <w:tblPrEx>
          <w:tblCellMar>
            <w:top w:w="0" w:type="dxa"/>
            <w:bottom w:w="0" w:type="dxa"/>
          </w:tblCellMar>
        </w:tblPrEx>
        <w:trPr>
          <w:cantSplit/>
          <w:trHeight w:val="765"/>
          <w:tblHeader/>
        </w:trPr>
        <w:tc>
          <w:tcPr>
            <w:tcW w:w="438" w:type="pct"/>
          </w:tcPr>
          <w:p w:rsidR="00BA10D3" w:rsidRPr="002D04E3" w:rsidRDefault="00BA10D3" w:rsidP="00BA10D3">
            <w:pPr>
              <w:keepLines/>
              <w:spacing w:before="120"/>
              <w:rPr>
                <w:sz w:val="20"/>
                <w:szCs w:val="20"/>
                <w:lang w:val="en-US"/>
              </w:rPr>
            </w:pPr>
            <w:proofErr w:type="spellStart"/>
            <w:r w:rsidRPr="002D04E3">
              <w:rPr>
                <w:sz w:val="20"/>
                <w:szCs w:val="20"/>
                <w:lang w:val="en-US"/>
              </w:rPr>
              <w:t>Vislink</w:t>
            </w:r>
            <w:proofErr w:type="spellEnd"/>
            <w:r w:rsidRPr="002D04E3">
              <w:rPr>
                <w:sz w:val="20"/>
                <w:szCs w:val="20"/>
                <w:lang w:val="en-US"/>
              </w:rPr>
              <w:t>/2</w:t>
            </w:r>
          </w:p>
        </w:tc>
        <w:tc>
          <w:tcPr>
            <w:tcW w:w="654" w:type="pct"/>
          </w:tcPr>
          <w:p w:rsidR="00BA10D3" w:rsidRPr="002D04E3" w:rsidRDefault="00BA10D3" w:rsidP="00BA10D3">
            <w:pPr>
              <w:keepLines/>
              <w:spacing w:before="120"/>
              <w:rPr>
                <w:sz w:val="20"/>
                <w:szCs w:val="20"/>
                <w:lang w:val="en-US"/>
              </w:rPr>
            </w:pPr>
            <w:r w:rsidRPr="002D04E3">
              <w:rPr>
                <w:sz w:val="20"/>
                <w:szCs w:val="20"/>
                <w:lang w:val="en-US"/>
              </w:rPr>
              <w:t>Support the approach.</w:t>
            </w:r>
          </w:p>
        </w:tc>
        <w:tc>
          <w:tcPr>
            <w:tcW w:w="3024" w:type="pct"/>
          </w:tcPr>
          <w:p w:rsidR="00BA10D3" w:rsidRPr="002D04E3" w:rsidRDefault="00BA10D3" w:rsidP="00BA10D3">
            <w:pPr>
              <w:rPr>
                <w:bCs/>
                <w:sz w:val="20"/>
                <w:szCs w:val="20"/>
                <w:lang w:val="en-GB"/>
              </w:rPr>
            </w:pPr>
            <w:r w:rsidRPr="002D04E3">
              <w:rPr>
                <w:bCs/>
                <w:sz w:val="20"/>
                <w:szCs w:val="20"/>
                <w:lang w:val="en-GB"/>
              </w:rPr>
              <w:t>PMSE generally supports sharing frequencies with other users where these occur and where difference usage can be separated time wise, geographically, or with sufficient frequency separation.</w:t>
            </w:r>
          </w:p>
          <w:p w:rsidR="00BA10D3" w:rsidRPr="002D04E3" w:rsidRDefault="00BA10D3" w:rsidP="00BA10D3">
            <w:pPr>
              <w:rPr>
                <w:bCs/>
                <w:sz w:val="20"/>
                <w:szCs w:val="20"/>
                <w:lang w:val="en-GB"/>
              </w:rPr>
            </w:pPr>
            <w:r w:rsidRPr="002D04E3">
              <w:rPr>
                <w:bCs/>
                <w:sz w:val="20"/>
                <w:szCs w:val="20"/>
                <w:lang w:val="en-GB"/>
              </w:rPr>
              <w:t>We support the principle of examining a shortlist of potential harmonised users although we have concerns about the time scale for such a review as the problem exists now, and what is PMSE to do in the meantime?</w:t>
            </w:r>
          </w:p>
        </w:tc>
        <w:tc>
          <w:tcPr>
            <w:tcW w:w="883" w:type="pct"/>
          </w:tcPr>
          <w:p w:rsidR="00BA10D3" w:rsidRPr="002D04E3" w:rsidRDefault="00BA10D3" w:rsidP="00286550">
            <w:pPr>
              <w:keepLines/>
              <w:spacing w:before="120"/>
              <w:jc w:val="both"/>
              <w:rPr>
                <w:sz w:val="20"/>
                <w:szCs w:val="20"/>
                <w:lang w:val="en-US"/>
              </w:rPr>
            </w:pPr>
            <w:r>
              <w:rPr>
                <w:sz w:val="16"/>
                <w:szCs w:val="16"/>
                <w:lang w:val="en-US"/>
              </w:rPr>
              <w:t xml:space="preserve">Support </w:t>
            </w:r>
            <w:r w:rsidR="00286550">
              <w:rPr>
                <w:sz w:val="16"/>
                <w:szCs w:val="16"/>
                <w:lang w:val="en-US"/>
              </w:rPr>
              <w:t xml:space="preserve">of the approach (sharing between PMSE and other users) </w:t>
            </w:r>
            <w:r>
              <w:rPr>
                <w:sz w:val="16"/>
                <w:szCs w:val="16"/>
                <w:lang w:val="en-US"/>
              </w:rPr>
              <w:t xml:space="preserve">reflected in Annex 2 to document </w:t>
            </w:r>
            <w:proofErr w:type="gramStart"/>
            <w:r>
              <w:rPr>
                <w:sz w:val="16"/>
                <w:szCs w:val="16"/>
                <w:lang w:val="en-US"/>
              </w:rPr>
              <w:t>FM(</w:t>
            </w:r>
            <w:proofErr w:type="gramEnd"/>
            <w:r>
              <w:rPr>
                <w:sz w:val="16"/>
                <w:szCs w:val="16"/>
                <w:lang w:val="en-US"/>
              </w:rPr>
              <w:t>14)037 Annex1 (The outline of CEPT’s response).</w:t>
            </w:r>
            <w:r w:rsidRPr="00E5703C">
              <w:rPr>
                <w:sz w:val="16"/>
                <w:szCs w:val="16"/>
                <w:lang w:val="en-US"/>
              </w:rPr>
              <w:t xml:space="preserve"> </w:t>
            </w:r>
          </w:p>
        </w:tc>
      </w:tr>
      <w:tr w:rsidR="00BA10D3" w:rsidTr="00BA10D3">
        <w:tblPrEx>
          <w:tblCellMar>
            <w:top w:w="0" w:type="dxa"/>
            <w:bottom w:w="0" w:type="dxa"/>
          </w:tblCellMar>
        </w:tblPrEx>
        <w:trPr>
          <w:cantSplit/>
          <w:trHeight w:val="765"/>
          <w:tblHeader/>
        </w:trPr>
        <w:tc>
          <w:tcPr>
            <w:tcW w:w="438" w:type="pct"/>
          </w:tcPr>
          <w:p w:rsidR="00BA10D3" w:rsidRDefault="00BA10D3" w:rsidP="00BA10D3">
            <w:pPr>
              <w:keepLines/>
              <w:spacing w:before="120"/>
              <w:rPr>
                <w:sz w:val="16"/>
                <w:szCs w:val="16"/>
                <w:lang w:val="en-US"/>
              </w:rPr>
            </w:pPr>
            <w:r>
              <w:rPr>
                <w:sz w:val="16"/>
                <w:szCs w:val="16"/>
                <w:lang w:val="en-US"/>
              </w:rPr>
              <w:t>France/2</w:t>
            </w:r>
          </w:p>
        </w:tc>
        <w:tc>
          <w:tcPr>
            <w:tcW w:w="654" w:type="pct"/>
          </w:tcPr>
          <w:p w:rsidR="00BA10D3" w:rsidRPr="002D04E3" w:rsidRDefault="00BA10D3" w:rsidP="00BA10D3">
            <w:pPr>
              <w:keepLines/>
              <w:spacing w:before="120"/>
              <w:rPr>
                <w:sz w:val="20"/>
                <w:szCs w:val="20"/>
                <w:lang w:val="en-US"/>
              </w:rPr>
            </w:pPr>
            <w:r w:rsidRPr="002D04E3">
              <w:rPr>
                <w:sz w:val="20"/>
                <w:szCs w:val="20"/>
                <w:lang w:val="en-US"/>
              </w:rPr>
              <w:t>Be more precise on synergies, especially between PPDR and PMSE</w:t>
            </w:r>
          </w:p>
        </w:tc>
        <w:tc>
          <w:tcPr>
            <w:tcW w:w="3024" w:type="pct"/>
          </w:tcPr>
          <w:p w:rsidR="00BA10D3" w:rsidRPr="002D04E3" w:rsidRDefault="00BA10D3" w:rsidP="00BA10D3">
            <w:pPr>
              <w:rPr>
                <w:bCs/>
                <w:sz w:val="20"/>
                <w:szCs w:val="20"/>
                <w:lang w:val="en-GB"/>
              </w:rPr>
            </w:pPr>
            <w:r w:rsidRPr="002D04E3">
              <w:rPr>
                <w:bCs/>
                <w:sz w:val="20"/>
                <w:szCs w:val="20"/>
                <w:lang w:val="en-GB"/>
              </w:rPr>
              <w:t xml:space="preserve">Yes partially. The approach should clarify with a clear description on what are exactly the synergies and for which application this synergy is identified. In particular, with regard to the synergy between PPDR and Video/PMSE (see answer to question 3). </w:t>
            </w:r>
            <w:r w:rsidRPr="002D04E3">
              <w:rPr>
                <w:bCs/>
                <w:sz w:val="20"/>
                <w:szCs w:val="20"/>
                <w:lang w:val="en-GB"/>
              </w:rPr>
              <w:cr/>
            </w:r>
          </w:p>
          <w:p w:rsidR="00BA10D3" w:rsidRPr="002D04E3" w:rsidRDefault="00BA10D3" w:rsidP="00BA10D3">
            <w:pPr>
              <w:rPr>
                <w:bCs/>
                <w:sz w:val="20"/>
                <w:szCs w:val="20"/>
                <w:lang w:val="en-GB"/>
              </w:rPr>
            </w:pPr>
            <w:r w:rsidRPr="002D04E3">
              <w:rPr>
                <w:bCs/>
                <w:sz w:val="20"/>
                <w:szCs w:val="20"/>
                <w:lang w:val="en-GB"/>
              </w:rPr>
              <w:t>Therefore, it could be beneficial and clearer for the reader to define which type of application of PPDR system could be covered by the regulation based on PMSE video link.</w:t>
            </w:r>
          </w:p>
        </w:tc>
        <w:tc>
          <w:tcPr>
            <w:tcW w:w="883" w:type="pct"/>
          </w:tcPr>
          <w:p w:rsidR="00BA10D3" w:rsidRDefault="00286550" w:rsidP="00A77EC9">
            <w:pPr>
              <w:keepLines/>
              <w:spacing w:before="120"/>
              <w:jc w:val="both"/>
              <w:rPr>
                <w:sz w:val="16"/>
                <w:szCs w:val="16"/>
                <w:lang w:val="en-US"/>
              </w:rPr>
            </w:pPr>
            <w:r>
              <w:rPr>
                <w:sz w:val="16"/>
                <w:szCs w:val="16"/>
                <w:lang w:val="en-US"/>
              </w:rPr>
              <w:t>To clarify the concept, it is suggested to define which type of application of PPDR system could be covered by the regulation based on PMSE video link.</w:t>
            </w:r>
            <w:r w:rsidR="00A77EC9">
              <w:rPr>
                <w:sz w:val="16"/>
                <w:szCs w:val="16"/>
                <w:lang w:val="en-US"/>
              </w:rPr>
              <w:t xml:space="preserve"> It is therefore proposed to consider </w:t>
            </w:r>
            <w:proofErr w:type="gramStart"/>
            <w:r w:rsidR="00A77EC9">
              <w:rPr>
                <w:sz w:val="16"/>
                <w:szCs w:val="16"/>
                <w:lang w:val="en-US"/>
              </w:rPr>
              <w:t>to add</w:t>
            </w:r>
            <w:proofErr w:type="gramEnd"/>
            <w:r w:rsidR="00A77EC9">
              <w:rPr>
                <w:sz w:val="16"/>
                <w:szCs w:val="16"/>
                <w:lang w:val="en-US"/>
              </w:rPr>
              <w:t xml:space="preserve"> this information.</w:t>
            </w:r>
          </w:p>
          <w:p w:rsidR="00A77EC9" w:rsidRDefault="00A77EC9" w:rsidP="00A77EC9">
            <w:pPr>
              <w:keepLines/>
              <w:spacing w:before="120"/>
              <w:jc w:val="both"/>
              <w:rPr>
                <w:sz w:val="16"/>
                <w:szCs w:val="16"/>
                <w:lang w:val="en-US"/>
              </w:rPr>
            </w:pPr>
          </w:p>
        </w:tc>
      </w:tr>
      <w:tr w:rsidR="00BA10D3" w:rsidTr="00BA10D3">
        <w:tblPrEx>
          <w:tblCellMar>
            <w:top w:w="0" w:type="dxa"/>
            <w:bottom w:w="0" w:type="dxa"/>
          </w:tblCellMar>
        </w:tblPrEx>
        <w:trPr>
          <w:cantSplit/>
          <w:trHeight w:val="765"/>
          <w:tblHeader/>
        </w:trPr>
        <w:tc>
          <w:tcPr>
            <w:tcW w:w="438" w:type="pct"/>
          </w:tcPr>
          <w:p w:rsidR="00BA10D3" w:rsidRDefault="00BA10D3" w:rsidP="00BA10D3">
            <w:pPr>
              <w:keepLines/>
              <w:spacing w:before="120"/>
              <w:rPr>
                <w:sz w:val="16"/>
                <w:szCs w:val="16"/>
                <w:lang w:val="en-US"/>
              </w:rPr>
            </w:pPr>
            <w:r>
              <w:rPr>
                <w:sz w:val="16"/>
                <w:szCs w:val="16"/>
                <w:lang w:val="en-US"/>
              </w:rPr>
              <w:t>DECT/2</w:t>
            </w:r>
          </w:p>
        </w:tc>
        <w:tc>
          <w:tcPr>
            <w:tcW w:w="654" w:type="pct"/>
          </w:tcPr>
          <w:p w:rsidR="00BA10D3" w:rsidRPr="002D04E3" w:rsidRDefault="00BA10D3" w:rsidP="00BA10D3">
            <w:pPr>
              <w:keepLines/>
              <w:spacing w:before="120"/>
              <w:rPr>
                <w:sz w:val="20"/>
                <w:szCs w:val="20"/>
                <w:lang w:val="en-US"/>
              </w:rPr>
            </w:pPr>
            <w:r w:rsidRPr="002D04E3">
              <w:rPr>
                <w:sz w:val="20"/>
                <w:szCs w:val="20"/>
                <w:lang w:val="en-US"/>
              </w:rPr>
              <w:t>Lack of information about SRDs is a concern</w:t>
            </w:r>
          </w:p>
        </w:tc>
        <w:tc>
          <w:tcPr>
            <w:tcW w:w="3024" w:type="pct"/>
          </w:tcPr>
          <w:p w:rsidR="00BA10D3" w:rsidRPr="002D04E3" w:rsidRDefault="00BA10D3" w:rsidP="00BA10D3">
            <w:pPr>
              <w:rPr>
                <w:bCs/>
                <w:sz w:val="20"/>
                <w:szCs w:val="20"/>
                <w:lang w:val="en-GB"/>
              </w:rPr>
            </w:pPr>
            <w:r w:rsidRPr="002D04E3">
              <w:rPr>
                <w:bCs/>
                <w:sz w:val="20"/>
                <w:szCs w:val="20"/>
                <w:lang w:val="en-GB"/>
              </w:rPr>
              <w:t>No, because without having a clear definition about the SRD transmitter, antenna and receiver parameters and a clear description about the services using SRDs this question cannot be answered satisfactory.</w:t>
            </w:r>
          </w:p>
          <w:p w:rsidR="00BA10D3" w:rsidRPr="002D04E3" w:rsidRDefault="00BA10D3" w:rsidP="00BA10D3">
            <w:pPr>
              <w:rPr>
                <w:bCs/>
                <w:sz w:val="20"/>
                <w:szCs w:val="20"/>
                <w:lang w:val="en-GB"/>
              </w:rPr>
            </w:pPr>
            <w:r w:rsidRPr="002D04E3">
              <w:rPr>
                <w:bCs/>
                <w:sz w:val="20"/>
                <w:szCs w:val="20"/>
                <w:lang w:val="en-GB"/>
              </w:rPr>
              <w:t>Details about the concern are found in the answer concerning Question 2. Furthermore a detailed paper was presented recently to CEPT ECC SE7 (</w:t>
            </w:r>
            <w:proofErr w:type="gramStart"/>
            <w:r w:rsidRPr="002D04E3">
              <w:rPr>
                <w:bCs/>
                <w:sz w:val="20"/>
                <w:szCs w:val="20"/>
                <w:lang w:val="en-GB"/>
              </w:rPr>
              <w:t>Document  SE7</w:t>
            </w:r>
            <w:proofErr w:type="gramEnd"/>
            <w:r w:rsidRPr="002D04E3">
              <w:rPr>
                <w:bCs/>
                <w:sz w:val="20"/>
                <w:szCs w:val="20"/>
                <w:lang w:val="en-GB"/>
              </w:rPr>
              <w:t>(13)100r2 ).</w:t>
            </w:r>
          </w:p>
          <w:p w:rsidR="00BA10D3" w:rsidRPr="002D04E3" w:rsidRDefault="00BA10D3" w:rsidP="00BA10D3">
            <w:pPr>
              <w:rPr>
                <w:bCs/>
                <w:sz w:val="20"/>
                <w:szCs w:val="20"/>
                <w:lang w:val="en-GB"/>
              </w:rPr>
            </w:pPr>
          </w:p>
        </w:tc>
        <w:tc>
          <w:tcPr>
            <w:tcW w:w="883" w:type="pct"/>
          </w:tcPr>
          <w:p w:rsidR="00CC1597" w:rsidRDefault="00CC1597" w:rsidP="00CC1597">
            <w:pPr>
              <w:keepLines/>
              <w:spacing w:before="120"/>
              <w:jc w:val="both"/>
              <w:rPr>
                <w:sz w:val="16"/>
                <w:szCs w:val="16"/>
                <w:lang w:val="en-US"/>
              </w:rPr>
            </w:pPr>
            <w:r>
              <w:rPr>
                <w:sz w:val="16"/>
                <w:szCs w:val="16"/>
                <w:lang w:val="en-US"/>
              </w:rPr>
              <w:t xml:space="preserve">Additional information on SRDs was provided and, consequently, was reflected in document </w:t>
            </w:r>
            <w:proofErr w:type="gramStart"/>
            <w:r>
              <w:rPr>
                <w:sz w:val="16"/>
                <w:szCs w:val="16"/>
                <w:lang w:val="en-US"/>
              </w:rPr>
              <w:t>FM(</w:t>
            </w:r>
            <w:proofErr w:type="gramEnd"/>
            <w:r>
              <w:rPr>
                <w:sz w:val="16"/>
                <w:szCs w:val="16"/>
                <w:lang w:val="en-US"/>
              </w:rPr>
              <w:t>14)037 Annex1 (The outline of CEPT’s response).</w:t>
            </w:r>
            <w:r w:rsidR="000A6BCA">
              <w:rPr>
                <w:sz w:val="16"/>
                <w:szCs w:val="16"/>
                <w:lang w:val="en-US"/>
              </w:rPr>
              <w:t xml:space="preserve"> Can be taken into account for further considerations on DECT/SRD sharing and DECT/SRD vs DA2GCS sharing.</w:t>
            </w:r>
          </w:p>
          <w:p w:rsidR="00BA10D3" w:rsidRDefault="00BA10D3" w:rsidP="00BA10D3">
            <w:pPr>
              <w:keepLines/>
              <w:spacing w:before="120"/>
              <w:jc w:val="both"/>
              <w:rPr>
                <w:sz w:val="16"/>
                <w:szCs w:val="16"/>
                <w:lang w:val="en-US"/>
              </w:rPr>
            </w:pPr>
          </w:p>
        </w:tc>
      </w:tr>
      <w:tr w:rsidR="00BA10D3" w:rsidTr="00BA10D3">
        <w:tblPrEx>
          <w:tblCellMar>
            <w:top w:w="0" w:type="dxa"/>
            <w:bottom w:w="0" w:type="dxa"/>
          </w:tblCellMar>
        </w:tblPrEx>
        <w:trPr>
          <w:cantSplit/>
          <w:trHeight w:val="765"/>
          <w:tblHeader/>
        </w:trPr>
        <w:tc>
          <w:tcPr>
            <w:tcW w:w="438" w:type="pct"/>
          </w:tcPr>
          <w:p w:rsidR="00BA10D3" w:rsidRDefault="00BA10D3" w:rsidP="00BA10D3">
            <w:pPr>
              <w:keepLines/>
              <w:spacing w:before="120"/>
              <w:rPr>
                <w:sz w:val="16"/>
                <w:szCs w:val="16"/>
                <w:lang w:val="en-US"/>
              </w:rPr>
            </w:pPr>
            <w:r>
              <w:rPr>
                <w:sz w:val="16"/>
                <w:szCs w:val="16"/>
                <w:lang w:val="en-US"/>
              </w:rPr>
              <w:t>Sweden/2</w:t>
            </w:r>
          </w:p>
        </w:tc>
        <w:tc>
          <w:tcPr>
            <w:tcW w:w="654" w:type="pct"/>
          </w:tcPr>
          <w:p w:rsidR="00BA10D3" w:rsidRPr="002D04E3" w:rsidRDefault="00BA10D3" w:rsidP="00BA10D3">
            <w:pPr>
              <w:keepLines/>
              <w:spacing w:before="120"/>
              <w:rPr>
                <w:sz w:val="20"/>
                <w:szCs w:val="20"/>
                <w:lang w:val="en-US"/>
              </w:rPr>
            </w:pPr>
            <w:r w:rsidRPr="002D04E3">
              <w:rPr>
                <w:sz w:val="20"/>
                <w:szCs w:val="20"/>
                <w:lang w:val="en-US"/>
              </w:rPr>
              <w:t>Support approach, however insufficient information seen at this time.</w:t>
            </w:r>
          </w:p>
        </w:tc>
        <w:tc>
          <w:tcPr>
            <w:tcW w:w="3024" w:type="pct"/>
          </w:tcPr>
          <w:p w:rsidR="00BA10D3" w:rsidRPr="002D04E3" w:rsidRDefault="00BA10D3" w:rsidP="00BA10D3">
            <w:pPr>
              <w:rPr>
                <w:bCs/>
                <w:sz w:val="20"/>
                <w:szCs w:val="20"/>
                <w:lang w:val="en-GB"/>
              </w:rPr>
            </w:pPr>
            <w:r w:rsidRPr="002D04E3">
              <w:rPr>
                <w:bCs/>
                <w:sz w:val="20"/>
                <w:szCs w:val="20"/>
                <w:lang w:val="en-GB"/>
              </w:rPr>
              <w:t>Yes.</w:t>
            </w:r>
          </w:p>
          <w:p w:rsidR="00BA10D3" w:rsidRPr="002D04E3" w:rsidRDefault="00BA10D3" w:rsidP="00BA10D3">
            <w:pPr>
              <w:rPr>
                <w:bCs/>
                <w:sz w:val="20"/>
                <w:szCs w:val="20"/>
                <w:lang w:val="en-GB"/>
              </w:rPr>
            </w:pPr>
            <w:r w:rsidRPr="002D04E3">
              <w:rPr>
                <w:bCs/>
                <w:sz w:val="20"/>
                <w:szCs w:val="20"/>
                <w:lang w:val="en-GB"/>
              </w:rPr>
              <w:t xml:space="preserve">Comment: Approach supported by Sweden given the prerequisites that this spectrum needs to be harmonised for one or several of the proposed uses. However, Sweden finds it premature to at this stage harmonise this spectrum due insufficient information provided on the proposed uses, as well as proven demand for these uses: </w:t>
            </w:r>
          </w:p>
          <w:p w:rsidR="00BA10D3" w:rsidRPr="002D04E3" w:rsidRDefault="00BA10D3" w:rsidP="00BA10D3">
            <w:pPr>
              <w:ind w:left="730" w:hanging="730"/>
              <w:rPr>
                <w:bCs/>
                <w:sz w:val="20"/>
                <w:szCs w:val="20"/>
                <w:lang w:val="en-GB"/>
              </w:rPr>
            </w:pPr>
            <w:r w:rsidRPr="002D04E3">
              <w:rPr>
                <w:bCs/>
                <w:sz w:val="20"/>
                <w:szCs w:val="20"/>
                <w:lang w:val="en-GB"/>
              </w:rPr>
              <w:t>•</w:t>
            </w:r>
            <w:r w:rsidRPr="002D04E3">
              <w:rPr>
                <w:bCs/>
                <w:sz w:val="20"/>
                <w:szCs w:val="20"/>
                <w:lang w:val="en-GB"/>
              </w:rPr>
              <w:tab/>
              <w:t>BDA2GC: Insecurity on system performance, business case, licensing and possibility to use higher frequency ranges or satellite solutions</w:t>
            </w:r>
          </w:p>
          <w:p w:rsidR="00BA10D3" w:rsidRPr="002D04E3" w:rsidRDefault="00BA10D3" w:rsidP="00BA10D3">
            <w:pPr>
              <w:ind w:left="730" w:hanging="730"/>
              <w:rPr>
                <w:bCs/>
                <w:sz w:val="20"/>
                <w:szCs w:val="20"/>
                <w:lang w:val="en-GB"/>
              </w:rPr>
            </w:pPr>
          </w:p>
          <w:p w:rsidR="00BA10D3" w:rsidRPr="002D04E3" w:rsidRDefault="00BA10D3" w:rsidP="00BA10D3">
            <w:pPr>
              <w:ind w:left="730" w:hanging="730"/>
              <w:rPr>
                <w:bCs/>
                <w:sz w:val="20"/>
                <w:szCs w:val="20"/>
                <w:lang w:val="en-GB"/>
              </w:rPr>
            </w:pPr>
            <w:r w:rsidRPr="002D04E3">
              <w:rPr>
                <w:bCs/>
                <w:sz w:val="20"/>
                <w:szCs w:val="20"/>
                <w:lang w:val="en-GB"/>
              </w:rPr>
              <w:t>•</w:t>
            </w:r>
            <w:r w:rsidRPr="002D04E3">
              <w:rPr>
                <w:bCs/>
                <w:sz w:val="20"/>
                <w:szCs w:val="20"/>
                <w:lang w:val="en-GB"/>
              </w:rPr>
              <w:tab/>
              <w:t>PPDR: Very limited interest from industry and user community</w:t>
            </w:r>
          </w:p>
          <w:p w:rsidR="00BA10D3" w:rsidRPr="002D04E3" w:rsidRDefault="00BA10D3" w:rsidP="00BA10D3">
            <w:pPr>
              <w:ind w:left="730" w:hanging="730"/>
              <w:rPr>
                <w:bCs/>
                <w:sz w:val="20"/>
                <w:szCs w:val="20"/>
                <w:lang w:val="en-GB"/>
              </w:rPr>
            </w:pPr>
          </w:p>
          <w:p w:rsidR="00BA10D3" w:rsidRPr="002D04E3" w:rsidRDefault="00BA10D3" w:rsidP="00BA10D3">
            <w:pPr>
              <w:ind w:left="730" w:hanging="730"/>
              <w:rPr>
                <w:bCs/>
                <w:sz w:val="20"/>
                <w:szCs w:val="20"/>
                <w:lang w:val="en-GB"/>
              </w:rPr>
            </w:pPr>
            <w:r w:rsidRPr="002D04E3">
              <w:rPr>
                <w:bCs/>
                <w:sz w:val="20"/>
                <w:szCs w:val="20"/>
                <w:lang w:val="en-GB"/>
              </w:rPr>
              <w:t>•</w:t>
            </w:r>
            <w:r w:rsidRPr="002D04E3">
              <w:rPr>
                <w:bCs/>
                <w:sz w:val="20"/>
                <w:szCs w:val="20"/>
                <w:lang w:val="en-GB"/>
              </w:rPr>
              <w:tab/>
              <w:t>SRD: No active support from industry</w:t>
            </w:r>
          </w:p>
          <w:p w:rsidR="00BA10D3" w:rsidRPr="002D04E3" w:rsidRDefault="00BA10D3" w:rsidP="00BA10D3">
            <w:pPr>
              <w:ind w:left="730" w:hanging="730"/>
              <w:rPr>
                <w:bCs/>
                <w:sz w:val="20"/>
                <w:szCs w:val="20"/>
                <w:lang w:val="en-GB"/>
              </w:rPr>
            </w:pPr>
          </w:p>
          <w:p w:rsidR="00BA10D3" w:rsidRPr="002D04E3" w:rsidRDefault="00BA10D3" w:rsidP="00BA10D3">
            <w:pPr>
              <w:ind w:left="730" w:hanging="730"/>
              <w:rPr>
                <w:bCs/>
                <w:sz w:val="20"/>
                <w:szCs w:val="20"/>
                <w:lang w:val="en-GB"/>
              </w:rPr>
            </w:pPr>
            <w:r w:rsidRPr="002D04E3">
              <w:rPr>
                <w:bCs/>
                <w:sz w:val="20"/>
                <w:szCs w:val="20"/>
                <w:lang w:val="en-GB"/>
              </w:rPr>
              <w:t>•</w:t>
            </w:r>
            <w:r w:rsidRPr="002D04E3">
              <w:rPr>
                <w:bCs/>
                <w:sz w:val="20"/>
                <w:szCs w:val="20"/>
                <w:lang w:val="en-GB"/>
              </w:rPr>
              <w:tab/>
              <w:t xml:space="preserve">DECT: Uncertain long term market development. Technology neutrality a prerequisite for a European harmonisation. </w:t>
            </w:r>
          </w:p>
          <w:p w:rsidR="00BA10D3" w:rsidRPr="002D04E3" w:rsidRDefault="00BA10D3" w:rsidP="00BA10D3">
            <w:pPr>
              <w:ind w:left="730" w:hanging="730"/>
              <w:rPr>
                <w:bCs/>
                <w:sz w:val="20"/>
                <w:szCs w:val="20"/>
                <w:lang w:val="en-GB"/>
              </w:rPr>
            </w:pPr>
          </w:p>
          <w:p w:rsidR="00BA10D3" w:rsidRPr="002D04E3" w:rsidRDefault="00BA10D3" w:rsidP="00BA10D3">
            <w:pPr>
              <w:ind w:left="730" w:hanging="730"/>
              <w:rPr>
                <w:bCs/>
                <w:sz w:val="20"/>
                <w:szCs w:val="20"/>
                <w:lang w:val="en-GB"/>
              </w:rPr>
            </w:pPr>
            <w:r w:rsidRPr="002D04E3">
              <w:rPr>
                <w:bCs/>
                <w:sz w:val="20"/>
                <w:szCs w:val="20"/>
                <w:lang w:val="en-GB"/>
              </w:rPr>
              <w:t>•</w:t>
            </w:r>
            <w:r w:rsidRPr="002D04E3">
              <w:rPr>
                <w:bCs/>
                <w:sz w:val="20"/>
                <w:szCs w:val="20"/>
                <w:lang w:val="en-GB"/>
              </w:rPr>
              <w:tab/>
              <w:t>PMSE: Temporary nature of use only motivates access to spectrum on secondary bases</w:t>
            </w:r>
          </w:p>
        </w:tc>
        <w:tc>
          <w:tcPr>
            <w:tcW w:w="883" w:type="pct"/>
          </w:tcPr>
          <w:p w:rsidR="00BA10D3" w:rsidRDefault="009C063F" w:rsidP="009C063F">
            <w:pPr>
              <w:keepLines/>
              <w:spacing w:before="120"/>
              <w:jc w:val="both"/>
              <w:rPr>
                <w:sz w:val="16"/>
                <w:szCs w:val="16"/>
                <w:lang w:val="en-US"/>
              </w:rPr>
            </w:pPr>
            <w:r>
              <w:rPr>
                <w:sz w:val="16"/>
                <w:szCs w:val="16"/>
                <w:lang w:val="en-US"/>
              </w:rPr>
              <w:t xml:space="preserve">Support of the approach reflected in Annex 2 to document </w:t>
            </w:r>
            <w:proofErr w:type="gramStart"/>
            <w:r>
              <w:rPr>
                <w:sz w:val="16"/>
                <w:szCs w:val="16"/>
                <w:lang w:val="en-US"/>
              </w:rPr>
              <w:t>FM(</w:t>
            </w:r>
            <w:proofErr w:type="gramEnd"/>
            <w:r>
              <w:rPr>
                <w:sz w:val="16"/>
                <w:szCs w:val="16"/>
                <w:lang w:val="en-US"/>
              </w:rPr>
              <w:t xml:space="preserve">14)037 Annex1 (The outline of CEPT’s response). </w:t>
            </w:r>
          </w:p>
          <w:p w:rsidR="00F43294" w:rsidRDefault="009C063F" w:rsidP="00F43294">
            <w:pPr>
              <w:keepLines/>
              <w:spacing w:before="120"/>
              <w:jc w:val="both"/>
              <w:rPr>
                <w:sz w:val="16"/>
                <w:szCs w:val="16"/>
                <w:lang w:val="en-US"/>
              </w:rPr>
            </w:pPr>
            <w:r>
              <w:rPr>
                <w:sz w:val="16"/>
                <w:szCs w:val="16"/>
                <w:lang w:val="en-US"/>
              </w:rPr>
              <w:t xml:space="preserve">Considered premature to </w:t>
            </w:r>
            <w:proofErr w:type="spellStart"/>
            <w:r>
              <w:rPr>
                <w:sz w:val="16"/>
                <w:szCs w:val="16"/>
                <w:lang w:val="en-US"/>
              </w:rPr>
              <w:t>harmonise</w:t>
            </w:r>
            <w:proofErr w:type="spellEnd"/>
            <w:r>
              <w:rPr>
                <w:sz w:val="16"/>
                <w:szCs w:val="16"/>
                <w:lang w:val="en-US"/>
              </w:rPr>
              <w:t xml:space="preserve"> this spectrum due to insufficient information</w:t>
            </w:r>
            <w:r w:rsidR="00F43294">
              <w:rPr>
                <w:sz w:val="16"/>
                <w:szCs w:val="16"/>
                <w:lang w:val="en-US"/>
              </w:rPr>
              <w:t xml:space="preserve"> provided on the proposed uses and corresponding demand. WGFM#79 is invited to consider this proposal.</w:t>
            </w:r>
          </w:p>
          <w:p w:rsidR="009C063F" w:rsidRDefault="009C063F" w:rsidP="00F43294">
            <w:pPr>
              <w:keepLines/>
              <w:spacing w:before="120"/>
              <w:jc w:val="both"/>
              <w:rPr>
                <w:sz w:val="16"/>
                <w:szCs w:val="16"/>
                <w:lang w:val="en-US"/>
              </w:rPr>
            </w:pPr>
          </w:p>
        </w:tc>
      </w:tr>
      <w:tr w:rsidR="00BA10D3" w:rsidTr="00BA10D3">
        <w:tblPrEx>
          <w:tblCellMar>
            <w:top w:w="0" w:type="dxa"/>
            <w:bottom w:w="0" w:type="dxa"/>
          </w:tblCellMar>
        </w:tblPrEx>
        <w:trPr>
          <w:cantSplit/>
          <w:trHeight w:val="765"/>
          <w:tblHeader/>
        </w:trPr>
        <w:tc>
          <w:tcPr>
            <w:tcW w:w="438" w:type="pct"/>
          </w:tcPr>
          <w:p w:rsidR="00BA10D3" w:rsidRDefault="00BA10D3" w:rsidP="00BA10D3">
            <w:pPr>
              <w:keepLines/>
              <w:spacing w:before="120"/>
              <w:rPr>
                <w:sz w:val="16"/>
                <w:szCs w:val="16"/>
                <w:lang w:val="en-US"/>
              </w:rPr>
            </w:pPr>
            <w:proofErr w:type="spellStart"/>
            <w:r>
              <w:rPr>
                <w:sz w:val="16"/>
                <w:szCs w:val="16"/>
                <w:lang w:val="en-US"/>
              </w:rPr>
              <w:t>Selex</w:t>
            </w:r>
            <w:proofErr w:type="spellEnd"/>
            <w:r>
              <w:rPr>
                <w:sz w:val="16"/>
                <w:szCs w:val="16"/>
                <w:lang w:val="en-US"/>
              </w:rPr>
              <w:t>/2</w:t>
            </w:r>
          </w:p>
        </w:tc>
        <w:tc>
          <w:tcPr>
            <w:tcW w:w="654" w:type="pct"/>
          </w:tcPr>
          <w:p w:rsidR="00BA10D3" w:rsidRPr="002D04E3" w:rsidRDefault="00BA10D3" w:rsidP="00BA10D3">
            <w:pPr>
              <w:keepLines/>
              <w:spacing w:before="120"/>
              <w:rPr>
                <w:sz w:val="20"/>
                <w:szCs w:val="20"/>
                <w:lang w:val="en-US"/>
              </w:rPr>
            </w:pPr>
            <w:r w:rsidRPr="002D04E3">
              <w:rPr>
                <w:sz w:val="20"/>
                <w:szCs w:val="20"/>
                <w:lang w:val="en-US"/>
              </w:rPr>
              <w:t>Support approach</w:t>
            </w:r>
          </w:p>
        </w:tc>
        <w:tc>
          <w:tcPr>
            <w:tcW w:w="3024" w:type="pct"/>
          </w:tcPr>
          <w:p w:rsidR="00BA10D3" w:rsidRPr="002D04E3" w:rsidRDefault="00BA10D3" w:rsidP="00BA10D3">
            <w:pPr>
              <w:rPr>
                <w:bCs/>
                <w:sz w:val="20"/>
                <w:szCs w:val="20"/>
                <w:lang w:val="en-GB"/>
              </w:rPr>
            </w:pPr>
            <w:r w:rsidRPr="002D04E3">
              <w:rPr>
                <w:bCs/>
                <w:sz w:val="20"/>
                <w:szCs w:val="20"/>
                <w:lang w:val="en-GB"/>
              </w:rPr>
              <w:t>Yes.</w:t>
            </w:r>
          </w:p>
        </w:tc>
        <w:tc>
          <w:tcPr>
            <w:tcW w:w="883" w:type="pct"/>
          </w:tcPr>
          <w:p w:rsidR="00BA10D3" w:rsidRDefault="00F43294" w:rsidP="00BA10D3">
            <w:pPr>
              <w:keepLines/>
              <w:spacing w:before="120"/>
              <w:jc w:val="both"/>
              <w:rPr>
                <w:sz w:val="16"/>
                <w:szCs w:val="16"/>
                <w:lang w:val="en-US"/>
              </w:rPr>
            </w:pPr>
            <w:r>
              <w:rPr>
                <w:sz w:val="16"/>
                <w:szCs w:val="16"/>
                <w:lang w:val="en-US"/>
              </w:rPr>
              <w:t xml:space="preserve">Support of the approach reflected in Annex 2 to document </w:t>
            </w:r>
            <w:proofErr w:type="gramStart"/>
            <w:r>
              <w:rPr>
                <w:sz w:val="16"/>
                <w:szCs w:val="16"/>
                <w:lang w:val="en-US"/>
              </w:rPr>
              <w:t>FM(</w:t>
            </w:r>
            <w:proofErr w:type="gramEnd"/>
            <w:r>
              <w:rPr>
                <w:sz w:val="16"/>
                <w:szCs w:val="16"/>
                <w:lang w:val="en-US"/>
              </w:rPr>
              <w:t xml:space="preserve">14)037 Annex1 (The outline of CEPT’s response). </w:t>
            </w:r>
          </w:p>
          <w:p w:rsidR="00F43294" w:rsidRDefault="00F43294" w:rsidP="00BA10D3">
            <w:pPr>
              <w:keepLines/>
              <w:spacing w:before="120"/>
              <w:jc w:val="both"/>
              <w:rPr>
                <w:sz w:val="16"/>
                <w:szCs w:val="16"/>
                <w:lang w:val="en-US"/>
              </w:rPr>
            </w:pPr>
          </w:p>
        </w:tc>
      </w:tr>
      <w:tr w:rsidR="00BA10D3" w:rsidTr="00BA10D3">
        <w:tblPrEx>
          <w:tblCellMar>
            <w:top w:w="0" w:type="dxa"/>
            <w:bottom w:w="0" w:type="dxa"/>
          </w:tblCellMar>
        </w:tblPrEx>
        <w:trPr>
          <w:cantSplit/>
          <w:trHeight w:val="765"/>
          <w:tblHeader/>
        </w:trPr>
        <w:tc>
          <w:tcPr>
            <w:tcW w:w="438" w:type="pct"/>
          </w:tcPr>
          <w:p w:rsidR="00BA10D3" w:rsidRDefault="00BA10D3" w:rsidP="00BA10D3">
            <w:pPr>
              <w:keepLines/>
              <w:spacing w:before="120"/>
              <w:rPr>
                <w:sz w:val="16"/>
                <w:szCs w:val="16"/>
                <w:lang w:val="en-US"/>
              </w:rPr>
            </w:pPr>
            <w:r>
              <w:rPr>
                <w:sz w:val="16"/>
                <w:szCs w:val="16"/>
                <w:lang w:val="en-US"/>
              </w:rPr>
              <w:t>Telefonica/2</w:t>
            </w:r>
          </w:p>
        </w:tc>
        <w:tc>
          <w:tcPr>
            <w:tcW w:w="654" w:type="pct"/>
          </w:tcPr>
          <w:p w:rsidR="00BA10D3" w:rsidRPr="002D04E3" w:rsidRDefault="00BA10D3" w:rsidP="00BA10D3">
            <w:pPr>
              <w:keepLines/>
              <w:spacing w:before="120"/>
              <w:rPr>
                <w:sz w:val="20"/>
                <w:szCs w:val="20"/>
                <w:lang w:val="en-US"/>
              </w:rPr>
            </w:pPr>
            <w:r w:rsidRPr="002D04E3">
              <w:rPr>
                <w:sz w:val="20"/>
                <w:szCs w:val="20"/>
                <w:lang w:val="en-US"/>
              </w:rPr>
              <w:t>Support approach but needs also proper consideration of existing licenses and socio-economic studies detailing the synergies</w:t>
            </w:r>
          </w:p>
          <w:p w:rsidR="00BA10D3" w:rsidRPr="002D04E3" w:rsidRDefault="00BA10D3" w:rsidP="00BA10D3">
            <w:pPr>
              <w:keepLines/>
              <w:spacing w:before="120"/>
              <w:rPr>
                <w:sz w:val="20"/>
                <w:szCs w:val="20"/>
                <w:lang w:val="en-US"/>
              </w:rPr>
            </w:pPr>
          </w:p>
          <w:p w:rsidR="00BA10D3" w:rsidRPr="002D04E3" w:rsidRDefault="00BA10D3" w:rsidP="00BA10D3">
            <w:pPr>
              <w:keepLines/>
              <w:spacing w:before="120"/>
              <w:rPr>
                <w:sz w:val="20"/>
                <w:szCs w:val="20"/>
                <w:lang w:val="en-US"/>
              </w:rPr>
            </w:pPr>
          </w:p>
          <w:p w:rsidR="00BA10D3" w:rsidRPr="002D04E3" w:rsidRDefault="00BA10D3" w:rsidP="00BA10D3">
            <w:pPr>
              <w:keepLines/>
              <w:spacing w:before="120"/>
              <w:rPr>
                <w:sz w:val="20"/>
                <w:szCs w:val="20"/>
                <w:lang w:val="en-US"/>
              </w:rPr>
            </w:pPr>
          </w:p>
          <w:p w:rsidR="00BA10D3" w:rsidRPr="002D04E3" w:rsidRDefault="00BA10D3" w:rsidP="00BA10D3">
            <w:pPr>
              <w:keepLines/>
              <w:spacing w:before="120"/>
              <w:rPr>
                <w:sz w:val="20"/>
                <w:szCs w:val="20"/>
                <w:lang w:val="en-US"/>
              </w:rPr>
            </w:pPr>
          </w:p>
          <w:p w:rsidR="00BA10D3" w:rsidRPr="002D04E3" w:rsidRDefault="00BA10D3" w:rsidP="00BA10D3">
            <w:pPr>
              <w:keepLines/>
              <w:spacing w:before="120"/>
              <w:rPr>
                <w:sz w:val="20"/>
                <w:szCs w:val="20"/>
                <w:lang w:val="en-US"/>
              </w:rPr>
            </w:pPr>
          </w:p>
          <w:p w:rsidR="00BA10D3" w:rsidRPr="002D04E3" w:rsidRDefault="00BA10D3" w:rsidP="00BA10D3">
            <w:pPr>
              <w:keepLines/>
              <w:spacing w:before="120"/>
              <w:rPr>
                <w:sz w:val="20"/>
                <w:szCs w:val="20"/>
                <w:lang w:val="en-US"/>
              </w:rPr>
            </w:pPr>
          </w:p>
          <w:p w:rsidR="00BA10D3" w:rsidRPr="002D04E3" w:rsidRDefault="00BA10D3" w:rsidP="00BA10D3">
            <w:pPr>
              <w:keepLines/>
              <w:spacing w:before="120"/>
              <w:rPr>
                <w:sz w:val="20"/>
                <w:szCs w:val="20"/>
                <w:lang w:val="en-US"/>
              </w:rPr>
            </w:pPr>
          </w:p>
          <w:p w:rsidR="00BA10D3" w:rsidRPr="002D04E3" w:rsidRDefault="00BA10D3" w:rsidP="00BA10D3">
            <w:pPr>
              <w:keepLines/>
              <w:spacing w:before="120"/>
              <w:rPr>
                <w:sz w:val="20"/>
                <w:szCs w:val="20"/>
                <w:lang w:val="en-US"/>
              </w:rPr>
            </w:pPr>
          </w:p>
          <w:p w:rsidR="00BA10D3" w:rsidRPr="002D04E3" w:rsidRDefault="00BA10D3" w:rsidP="00BA10D3">
            <w:pPr>
              <w:keepLines/>
              <w:spacing w:before="120"/>
              <w:rPr>
                <w:sz w:val="20"/>
                <w:szCs w:val="20"/>
                <w:lang w:val="en-US"/>
              </w:rPr>
            </w:pPr>
            <w:r w:rsidRPr="002D04E3">
              <w:rPr>
                <w:sz w:val="20"/>
                <w:szCs w:val="20"/>
                <w:lang w:val="en-US"/>
              </w:rPr>
              <w:t>and</w:t>
            </w:r>
          </w:p>
          <w:p w:rsidR="00BA10D3" w:rsidRPr="002D04E3" w:rsidRDefault="00BA10D3" w:rsidP="00BA10D3">
            <w:pPr>
              <w:keepLines/>
              <w:spacing w:before="120"/>
              <w:rPr>
                <w:sz w:val="20"/>
                <w:szCs w:val="20"/>
                <w:lang w:val="en-US"/>
              </w:rPr>
            </w:pPr>
            <w:r w:rsidRPr="002D04E3">
              <w:rPr>
                <w:sz w:val="20"/>
                <w:szCs w:val="20"/>
                <w:lang w:val="en-US"/>
              </w:rPr>
              <w:t>Protection of the adjacent services</w:t>
            </w:r>
          </w:p>
          <w:p w:rsidR="00BA10D3" w:rsidRPr="002D04E3" w:rsidRDefault="00BA10D3" w:rsidP="00BA10D3">
            <w:pPr>
              <w:keepLines/>
              <w:spacing w:before="120"/>
              <w:rPr>
                <w:sz w:val="20"/>
                <w:szCs w:val="20"/>
                <w:lang w:val="en-US"/>
              </w:rPr>
            </w:pPr>
          </w:p>
        </w:tc>
        <w:tc>
          <w:tcPr>
            <w:tcW w:w="3024" w:type="pct"/>
          </w:tcPr>
          <w:p w:rsidR="00BA10D3" w:rsidRPr="002D04E3" w:rsidRDefault="00BA10D3" w:rsidP="00BA10D3">
            <w:pPr>
              <w:rPr>
                <w:bCs/>
                <w:sz w:val="20"/>
                <w:szCs w:val="20"/>
                <w:lang w:val="en-GB"/>
              </w:rPr>
            </w:pPr>
            <w:r w:rsidRPr="002D04E3">
              <w:rPr>
                <w:bCs/>
                <w:sz w:val="20"/>
                <w:szCs w:val="20"/>
                <w:lang w:val="en-GB"/>
              </w:rPr>
              <w:t xml:space="preserve">In addition to the potential direct FDD-usage by BDA2GC, the combination of “PMSE and PPDR” and/or “DECT and SDR” could provide synergies in the usage of both TDD-bands under discussion. Hence, </w:t>
            </w:r>
            <w:proofErr w:type="spellStart"/>
            <w:r w:rsidRPr="002D04E3">
              <w:rPr>
                <w:bCs/>
                <w:sz w:val="20"/>
                <w:szCs w:val="20"/>
                <w:lang w:val="en-GB"/>
              </w:rPr>
              <w:t>Telefónica</w:t>
            </w:r>
            <w:proofErr w:type="spellEnd"/>
            <w:r w:rsidRPr="002D04E3">
              <w:rPr>
                <w:bCs/>
                <w:sz w:val="20"/>
                <w:szCs w:val="20"/>
                <w:lang w:val="en-GB"/>
              </w:rPr>
              <w:t xml:space="preserve"> shares the approach / definition of the three usage blocks and proposes that detailed studies regarding the compatibility / sharing scenarios of the shortlist as defined in section 3.6 (five potential harmonized uses in three usage blocks), should be accompanied by according socio-economic studies detailing the synergies of the three usage blocks (including proper consideration/compensation of existing licenses).</w:t>
            </w:r>
          </w:p>
          <w:p w:rsidR="00BA10D3" w:rsidRPr="002D04E3" w:rsidRDefault="00BA10D3" w:rsidP="00BA10D3">
            <w:pPr>
              <w:rPr>
                <w:bCs/>
                <w:sz w:val="20"/>
                <w:szCs w:val="20"/>
                <w:lang w:val="en-GB"/>
              </w:rPr>
            </w:pPr>
          </w:p>
          <w:p w:rsidR="00BA10D3" w:rsidRPr="002D04E3" w:rsidRDefault="00BA10D3" w:rsidP="00BA10D3">
            <w:pPr>
              <w:rPr>
                <w:bCs/>
                <w:sz w:val="20"/>
                <w:szCs w:val="20"/>
                <w:lang w:val="en-GB"/>
              </w:rPr>
            </w:pPr>
            <w:r w:rsidRPr="002D04E3">
              <w:rPr>
                <w:bCs/>
                <w:sz w:val="20"/>
                <w:szCs w:val="20"/>
                <w:lang w:val="en-GB"/>
              </w:rPr>
              <w:t>The licenses which are currently in force for the frequency bands 1900-1920 MHz and 2010-2025 MHz are either related to radio systems capable of providing Electronic Communications Service (ECS) or, if still related to specific technologies (such as UMTS TDD), can be liberalized to radio systems capable of providing ECS. The rights of the current licensees in those bands (more than 120 across the CEPT countries) and the according financial investments for that spectrum have to be protected, as current licenses run up to the year 2025 and beyond.</w:t>
            </w:r>
          </w:p>
          <w:p w:rsidR="00BA10D3" w:rsidRPr="002D04E3" w:rsidRDefault="00BA10D3" w:rsidP="00BA10D3">
            <w:pPr>
              <w:rPr>
                <w:bCs/>
                <w:sz w:val="20"/>
                <w:szCs w:val="20"/>
                <w:lang w:val="en-GB"/>
              </w:rPr>
            </w:pPr>
            <w:r w:rsidRPr="002D04E3">
              <w:rPr>
                <w:bCs/>
                <w:sz w:val="20"/>
                <w:szCs w:val="20"/>
                <w:lang w:val="en-GB"/>
              </w:rPr>
              <w:t>If the TDD-bands 1900-1920 / 2010-2025 MHz are identified for any other services (any option mentioned in section 3 of the draft CEPT report) prior to the end of the existing licenses, compensation mechanism and / or migration scenarios have to be considered appropriately in separate, additional pan-European considerations. These considerations should include economic and social aspects and the work should be undertaken on a pan-European basis.</w:t>
            </w:r>
          </w:p>
          <w:p w:rsidR="00BA10D3" w:rsidRPr="002D04E3" w:rsidRDefault="00BA10D3" w:rsidP="00BA10D3">
            <w:pPr>
              <w:rPr>
                <w:bCs/>
                <w:sz w:val="20"/>
                <w:szCs w:val="20"/>
                <w:lang w:val="en-GB"/>
              </w:rPr>
            </w:pPr>
          </w:p>
          <w:p w:rsidR="00BA10D3" w:rsidRPr="002D04E3" w:rsidRDefault="00BA10D3" w:rsidP="00BA10D3">
            <w:pPr>
              <w:rPr>
                <w:bCs/>
                <w:sz w:val="20"/>
                <w:szCs w:val="20"/>
                <w:lang w:val="en-GB"/>
              </w:rPr>
            </w:pPr>
            <w:r w:rsidRPr="002D04E3">
              <w:rPr>
                <w:bCs/>
                <w:sz w:val="20"/>
                <w:szCs w:val="20"/>
                <w:lang w:val="en-GB"/>
              </w:rPr>
              <w:t>Protection of the adjacent services (e.g. 1920-1980/2110-2170 MHz)</w:t>
            </w:r>
          </w:p>
          <w:p w:rsidR="00BA10D3" w:rsidRPr="002D04E3" w:rsidRDefault="00BA10D3" w:rsidP="00BA10D3">
            <w:pPr>
              <w:rPr>
                <w:bCs/>
                <w:sz w:val="20"/>
                <w:szCs w:val="20"/>
                <w:lang w:val="en-GB"/>
              </w:rPr>
            </w:pPr>
            <w:proofErr w:type="spellStart"/>
            <w:r w:rsidRPr="002D04E3">
              <w:rPr>
                <w:bCs/>
                <w:sz w:val="20"/>
                <w:szCs w:val="20"/>
                <w:lang w:val="en-GB"/>
              </w:rPr>
              <w:t>Telefónica</w:t>
            </w:r>
            <w:proofErr w:type="spellEnd"/>
            <w:r w:rsidRPr="002D04E3">
              <w:rPr>
                <w:bCs/>
                <w:sz w:val="20"/>
                <w:szCs w:val="20"/>
                <w:lang w:val="en-GB"/>
              </w:rPr>
              <w:t xml:space="preserve"> has various licenses in these bands and networks providing ECS across Europe with licenses running up to the year 2025 and beyond. These services have to be protected appropriately by any other services (any option mentioned in section 3 of the draft CEPT report) possibly deployed in the bands 1900-1920 / 2010-2025 MHz prior to the end of the existing licenses.</w:t>
            </w:r>
          </w:p>
        </w:tc>
        <w:tc>
          <w:tcPr>
            <w:tcW w:w="883" w:type="pct"/>
          </w:tcPr>
          <w:p w:rsidR="00BA10D3" w:rsidRDefault="000A51B6" w:rsidP="00901426">
            <w:pPr>
              <w:keepLines/>
              <w:spacing w:before="120"/>
              <w:jc w:val="both"/>
              <w:rPr>
                <w:sz w:val="16"/>
                <w:szCs w:val="16"/>
                <w:lang w:val="en-US"/>
              </w:rPr>
            </w:pPr>
            <w:r>
              <w:rPr>
                <w:sz w:val="16"/>
                <w:szCs w:val="16"/>
                <w:lang w:val="en-US"/>
              </w:rPr>
              <w:t xml:space="preserve">Support of the approach reflected in Annex 2 to document </w:t>
            </w:r>
            <w:proofErr w:type="gramStart"/>
            <w:r>
              <w:rPr>
                <w:sz w:val="16"/>
                <w:szCs w:val="16"/>
                <w:lang w:val="en-US"/>
              </w:rPr>
              <w:t>FM(</w:t>
            </w:r>
            <w:proofErr w:type="gramEnd"/>
            <w:r>
              <w:rPr>
                <w:sz w:val="16"/>
                <w:szCs w:val="16"/>
                <w:lang w:val="en-US"/>
              </w:rPr>
              <w:t xml:space="preserve">14)037 Annex1 (The outline of CEPT’s response), </w:t>
            </w:r>
            <w:r w:rsidR="00901426">
              <w:rPr>
                <w:sz w:val="16"/>
                <w:szCs w:val="16"/>
                <w:lang w:val="en-US"/>
              </w:rPr>
              <w:t xml:space="preserve">as well as requirement for </w:t>
            </w:r>
            <w:r>
              <w:rPr>
                <w:sz w:val="16"/>
                <w:szCs w:val="16"/>
                <w:lang w:val="en-US"/>
              </w:rPr>
              <w:t>additional socio-economic studies detailing the synergies</w:t>
            </w:r>
            <w:r w:rsidR="00901426">
              <w:rPr>
                <w:sz w:val="16"/>
                <w:szCs w:val="16"/>
                <w:lang w:val="en-US"/>
              </w:rPr>
              <w:t xml:space="preserve">, need to account for current licenses and need to protect adjacent services. </w:t>
            </w:r>
          </w:p>
        </w:tc>
      </w:tr>
      <w:tr w:rsidR="00BA10D3" w:rsidTr="00BA10D3">
        <w:tblPrEx>
          <w:tblCellMar>
            <w:top w:w="0" w:type="dxa"/>
            <w:bottom w:w="0" w:type="dxa"/>
          </w:tblCellMar>
        </w:tblPrEx>
        <w:trPr>
          <w:cantSplit/>
          <w:trHeight w:val="765"/>
          <w:tblHeader/>
        </w:trPr>
        <w:tc>
          <w:tcPr>
            <w:tcW w:w="438" w:type="pct"/>
          </w:tcPr>
          <w:p w:rsidR="00BA10D3" w:rsidRDefault="00BA10D3" w:rsidP="00BA10D3">
            <w:pPr>
              <w:keepLines/>
              <w:spacing w:before="120"/>
              <w:rPr>
                <w:sz w:val="16"/>
                <w:szCs w:val="16"/>
                <w:lang w:val="en-US"/>
              </w:rPr>
            </w:pPr>
            <w:r w:rsidRPr="005837FB">
              <w:rPr>
                <w:sz w:val="16"/>
                <w:szCs w:val="16"/>
                <w:lang w:val="en-US"/>
              </w:rPr>
              <w:t>Bouygues Telecom, Orange, SFR</w:t>
            </w:r>
            <w:r>
              <w:rPr>
                <w:sz w:val="16"/>
                <w:szCs w:val="16"/>
                <w:lang w:val="en-US"/>
              </w:rPr>
              <w:t>/2</w:t>
            </w:r>
          </w:p>
        </w:tc>
        <w:tc>
          <w:tcPr>
            <w:tcW w:w="654" w:type="pct"/>
          </w:tcPr>
          <w:p w:rsidR="00BA10D3" w:rsidRPr="002D04E3" w:rsidRDefault="00BA10D3" w:rsidP="00BA10D3">
            <w:pPr>
              <w:keepLines/>
              <w:spacing w:before="120"/>
              <w:rPr>
                <w:sz w:val="20"/>
                <w:szCs w:val="20"/>
                <w:lang w:val="en-US"/>
              </w:rPr>
            </w:pPr>
            <w:r w:rsidRPr="002D04E3">
              <w:rPr>
                <w:sz w:val="20"/>
                <w:szCs w:val="20"/>
                <w:lang w:val="en-US"/>
              </w:rPr>
              <w:t>Alternative usage should be assessed vs TDD-FDD aggregation on hotspots and for  M2M applications  as described answer Bouygues Telecom, Orange, SFR/1</w:t>
            </w:r>
          </w:p>
        </w:tc>
        <w:tc>
          <w:tcPr>
            <w:tcW w:w="3024" w:type="pct"/>
          </w:tcPr>
          <w:p w:rsidR="00BA10D3" w:rsidRPr="002D04E3" w:rsidRDefault="00BA10D3" w:rsidP="00BA10D3">
            <w:pPr>
              <w:rPr>
                <w:bCs/>
                <w:sz w:val="20"/>
                <w:szCs w:val="20"/>
                <w:lang w:val="en-GB"/>
              </w:rPr>
            </w:pPr>
            <w:r w:rsidRPr="002D04E3">
              <w:rPr>
                <w:bCs/>
                <w:sz w:val="20"/>
                <w:szCs w:val="20"/>
                <w:lang w:val="en-GB"/>
              </w:rPr>
              <w:t>Each potential harmonised use in the shortlist should be assessed against the use of the unpaired 2GHz bands for TDD-FDD aggregation on hotspots and for  M2M applications  as described in 1a</w:t>
            </w:r>
          </w:p>
        </w:tc>
        <w:tc>
          <w:tcPr>
            <w:tcW w:w="883" w:type="pct"/>
          </w:tcPr>
          <w:p w:rsidR="00BA10D3" w:rsidRDefault="008148C5" w:rsidP="008148C5">
            <w:pPr>
              <w:keepLines/>
              <w:spacing w:before="120"/>
              <w:jc w:val="both"/>
              <w:rPr>
                <w:sz w:val="16"/>
                <w:szCs w:val="16"/>
                <w:lang w:val="en-US"/>
              </w:rPr>
            </w:pPr>
            <w:r>
              <w:rPr>
                <w:sz w:val="16"/>
                <w:szCs w:val="16"/>
                <w:lang w:val="en-US"/>
              </w:rPr>
              <w:t>See the above proposal “</w:t>
            </w:r>
            <w:r w:rsidRPr="005837FB">
              <w:rPr>
                <w:sz w:val="16"/>
                <w:szCs w:val="16"/>
                <w:lang w:val="en-US"/>
              </w:rPr>
              <w:t>Bouygues Telecom, Orange, SFR</w:t>
            </w:r>
            <w:r>
              <w:rPr>
                <w:sz w:val="16"/>
                <w:szCs w:val="16"/>
                <w:lang w:val="en-US"/>
              </w:rPr>
              <w:t>/1”.</w:t>
            </w:r>
          </w:p>
        </w:tc>
      </w:tr>
      <w:tr w:rsidR="00BA10D3" w:rsidTr="00BA10D3">
        <w:tblPrEx>
          <w:tblCellMar>
            <w:top w:w="0" w:type="dxa"/>
            <w:bottom w:w="0" w:type="dxa"/>
          </w:tblCellMar>
        </w:tblPrEx>
        <w:trPr>
          <w:cantSplit/>
          <w:trHeight w:val="765"/>
          <w:tblHeader/>
        </w:trPr>
        <w:tc>
          <w:tcPr>
            <w:tcW w:w="438" w:type="pct"/>
          </w:tcPr>
          <w:p w:rsidR="00BA10D3" w:rsidRPr="005837FB" w:rsidRDefault="00BA10D3" w:rsidP="00BA10D3">
            <w:pPr>
              <w:keepLines/>
              <w:spacing w:before="120"/>
              <w:rPr>
                <w:sz w:val="16"/>
                <w:szCs w:val="16"/>
                <w:lang w:val="en-US"/>
              </w:rPr>
            </w:pPr>
            <w:r>
              <w:rPr>
                <w:sz w:val="16"/>
                <w:szCs w:val="16"/>
                <w:lang w:val="en-US"/>
              </w:rPr>
              <w:t>Germany/2</w:t>
            </w:r>
          </w:p>
        </w:tc>
        <w:tc>
          <w:tcPr>
            <w:tcW w:w="654" w:type="pct"/>
          </w:tcPr>
          <w:p w:rsidR="00BA10D3" w:rsidRPr="002D04E3" w:rsidRDefault="00BA10D3" w:rsidP="00BA10D3">
            <w:pPr>
              <w:keepLines/>
              <w:spacing w:before="120"/>
              <w:rPr>
                <w:sz w:val="20"/>
                <w:szCs w:val="20"/>
                <w:lang w:val="en-US"/>
              </w:rPr>
            </w:pPr>
            <w:r w:rsidRPr="002D04E3">
              <w:rPr>
                <w:sz w:val="20"/>
                <w:szCs w:val="20"/>
                <w:lang w:val="en-US"/>
              </w:rPr>
              <w:t xml:space="preserve">Support approach however, DECT usage should be further clarified </w:t>
            </w:r>
          </w:p>
        </w:tc>
        <w:tc>
          <w:tcPr>
            <w:tcW w:w="3024" w:type="pct"/>
          </w:tcPr>
          <w:p w:rsidR="00BA10D3" w:rsidRPr="002D04E3" w:rsidRDefault="00BA10D3" w:rsidP="00BA10D3">
            <w:pPr>
              <w:rPr>
                <w:bCs/>
                <w:sz w:val="20"/>
                <w:szCs w:val="20"/>
                <w:lang w:val="en-GB"/>
              </w:rPr>
            </w:pPr>
            <w:r w:rsidRPr="002D04E3">
              <w:rPr>
                <w:bCs/>
                <w:sz w:val="20"/>
                <w:szCs w:val="20"/>
                <w:lang w:val="en-GB"/>
              </w:rPr>
              <w:t>The grouping into the three different categories (Direct air to ground communications, Video links and cordless cameras (PMSE / ad-hoc PPDR), Applications under general authorisation (DECT / SRD)) is supported and they should be the basis for the on-going work. However, the industry interested in a spectrum extension for DECT should be invited to clarify the expected DECT usage. I.e. should DECT further be considered together with SRD (low power) applications and/or together with PMSE (video) applications?</w:t>
            </w:r>
          </w:p>
        </w:tc>
        <w:tc>
          <w:tcPr>
            <w:tcW w:w="883" w:type="pct"/>
          </w:tcPr>
          <w:p w:rsidR="00BA10D3" w:rsidRDefault="00205554" w:rsidP="00205554">
            <w:pPr>
              <w:keepLines/>
              <w:spacing w:before="120"/>
              <w:jc w:val="both"/>
              <w:rPr>
                <w:sz w:val="16"/>
                <w:szCs w:val="16"/>
                <w:lang w:val="en-US"/>
              </w:rPr>
            </w:pPr>
            <w:r>
              <w:rPr>
                <w:sz w:val="16"/>
                <w:szCs w:val="16"/>
                <w:lang w:val="en-US"/>
              </w:rPr>
              <w:t xml:space="preserve">Support of the approach reflected in Annex 2 to document </w:t>
            </w:r>
            <w:proofErr w:type="gramStart"/>
            <w:r>
              <w:rPr>
                <w:sz w:val="16"/>
                <w:szCs w:val="16"/>
                <w:lang w:val="en-US"/>
              </w:rPr>
              <w:t>FM(</w:t>
            </w:r>
            <w:proofErr w:type="gramEnd"/>
            <w:r>
              <w:rPr>
                <w:sz w:val="16"/>
                <w:szCs w:val="16"/>
                <w:lang w:val="en-US"/>
              </w:rPr>
              <w:t>14)037 Annex1 (The outline of CEPT’s response), albeit DECT usage should be clarified by industry.</w:t>
            </w:r>
          </w:p>
        </w:tc>
      </w:tr>
      <w:tr w:rsidR="00BA10D3" w:rsidTr="00BA10D3">
        <w:tblPrEx>
          <w:tblCellMar>
            <w:top w:w="0" w:type="dxa"/>
            <w:bottom w:w="0" w:type="dxa"/>
          </w:tblCellMar>
        </w:tblPrEx>
        <w:trPr>
          <w:cantSplit/>
          <w:trHeight w:val="765"/>
          <w:tblHeader/>
        </w:trPr>
        <w:tc>
          <w:tcPr>
            <w:tcW w:w="438" w:type="pct"/>
          </w:tcPr>
          <w:p w:rsidR="00BA10D3" w:rsidRDefault="00BA10D3" w:rsidP="00BA10D3">
            <w:pPr>
              <w:keepLines/>
              <w:spacing w:before="120"/>
              <w:rPr>
                <w:sz w:val="16"/>
                <w:szCs w:val="16"/>
                <w:lang w:val="en-US"/>
              </w:rPr>
            </w:pPr>
            <w:r>
              <w:rPr>
                <w:sz w:val="16"/>
                <w:szCs w:val="16"/>
                <w:lang w:val="en-US"/>
              </w:rPr>
              <w:t>British Telecom/2</w:t>
            </w:r>
          </w:p>
        </w:tc>
        <w:tc>
          <w:tcPr>
            <w:tcW w:w="654" w:type="pct"/>
          </w:tcPr>
          <w:p w:rsidR="00BA10D3" w:rsidRPr="002D04E3" w:rsidRDefault="00BA10D3" w:rsidP="00BA10D3">
            <w:pPr>
              <w:keepLines/>
              <w:spacing w:before="120"/>
              <w:rPr>
                <w:sz w:val="20"/>
                <w:szCs w:val="20"/>
                <w:lang w:val="en-US"/>
              </w:rPr>
            </w:pPr>
          </w:p>
        </w:tc>
        <w:tc>
          <w:tcPr>
            <w:tcW w:w="3024" w:type="pct"/>
          </w:tcPr>
          <w:p w:rsidR="00BA10D3" w:rsidRPr="002D04E3" w:rsidRDefault="00BA10D3" w:rsidP="00BA10D3">
            <w:pPr>
              <w:rPr>
                <w:bCs/>
                <w:sz w:val="20"/>
                <w:szCs w:val="20"/>
                <w:lang w:val="en-GB"/>
              </w:rPr>
            </w:pPr>
            <w:r w:rsidRPr="002D04E3">
              <w:rPr>
                <w:bCs/>
                <w:sz w:val="20"/>
                <w:szCs w:val="20"/>
                <w:lang w:val="en-GB"/>
              </w:rPr>
              <w:t>Yes, we agree with this approach.</w:t>
            </w:r>
          </w:p>
        </w:tc>
        <w:tc>
          <w:tcPr>
            <w:tcW w:w="883" w:type="pct"/>
          </w:tcPr>
          <w:p w:rsidR="00BA10D3" w:rsidRDefault="00205554" w:rsidP="00BA10D3">
            <w:pPr>
              <w:keepLines/>
              <w:spacing w:before="120"/>
              <w:jc w:val="both"/>
              <w:rPr>
                <w:sz w:val="16"/>
                <w:szCs w:val="16"/>
                <w:lang w:val="en-US"/>
              </w:rPr>
            </w:pPr>
            <w:r>
              <w:rPr>
                <w:sz w:val="16"/>
                <w:szCs w:val="16"/>
                <w:lang w:val="en-US"/>
              </w:rPr>
              <w:t xml:space="preserve">Support of the approach reflected in Annex 2 to document </w:t>
            </w:r>
            <w:proofErr w:type="gramStart"/>
            <w:r>
              <w:rPr>
                <w:sz w:val="16"/>
                <w:szCs w:val="16"/>
                <w:lang w:val="en-US"/>
              </w:rPr>
              <w:t>FM(</w:t>
            </w:r>
            <w:proofErr w:type="gramEnd"/>
            <w:r>
              <w:rPr>
                <w:sz w:val="16"/>
                <w:szCs w:val="16"/>
                <w:lang w:val="en-US"/>
              </w:rPr>
              <w:t>14)037 Annex1 (The outline of CEPT’s response).</w:t>
            </w:r>
          </w:p>
        </w:tc>
      </w:tr>
    </w:tbl>
    <w:p w:rsidR="00680DF5" w:rsidRPr="00680DF5" w:rsidRDefault="00680DF5" w:rsidP="00680DF5">
      <w:pPr>
        <w:spacing w:after="240"/>
        <w:jc w:val="both"/>
        <w:rPr>
          <w:rFonts w:ascii="Arial" w:hAnsi="Arial"/>
          <w:b/>
          <w:sz w:val="20"/>
          <w:lang w:val="en-GB" w:eastAsia="en-US"/>
        </w:rPr>
      </w:pPr>
    </w:p>
    <w:p w:rsidR="00680DF5" w:rsidRPr="00680DF5" w:rsidRDefault="00680DF5" w:rsidP="00680DF5">
      <w:pPr>
        <w:numPr>
          <w:ilvl w:val="0"/>
          <w:numId w:val="2"/>
        </w:numPr>
        <w:spacing w:after="240"/>
        <w:jc w:val="both"/>
        <w:rPr>
          <w:rFonts w:ascii="Arial" w:hAnsi="Arial"/>
          <w:sz w:val="20"/>
          <w:lang w:val="en-GB" w:eastAsia="en-US"/>
        </w:rPr>
      </w:pPr>
      <w:r w:rsidRPr="00680DF5">
        <w:rPr>
          <w:rFonts w:ascii="Arial" w:hAnsi="Arial"/>
          <w:sz w:val="20"/>
          <w:lang w:val="en-GB" w:eastAsia="en-US"/>
        </w:rPr>
        <w:t>DECT and SRD</w:t>
      </w:r>
    </w:p>
    <w:p w:rsidR="00680DF5" w:rsidRPr="00680DF5" w:rsidRDefault="00680DF5" w:rsidP="00680DF5">
      <w:pPr>
        <w:spacing w:after="240"/>
        <w:ind w:left="709"/>
        <w:jc w:val="both"/>
        <w:rPr>
          <w:rFonts w:ascii="Arial" w:hAnsi="Arial"/>
          <w:sz w:val="20"/>
          <w:lang w:val="en-GB" w:eastAsia="en-US"/>
        </w:rPr>
      </w:pPr>
      <w:r w:rsidRPr="00680DF5">
        <w:rPr>
          <w:rFonts w:ascii="Arial" w:hAnsi="Arial"/>
          <w:sz w:val="20"/>
          <w:lang w:val="en-GB" w:eastAsia="en-US"/>
        </w:rPr>
        <w:t>Two of the potential uses of the 1900-1920 MHz and 2010-2025 MHz frequency bands proposed for study in the EC Mandate are DECT (1900-1920 MHz) and SRDs. Both uses would normally employ adequate mechanisms to access the spectrum equitably and operate under a general authorisation framework. The approach is application-neutral and technology-neutral as much as possible and in line with the principles set out in CEPT Report 14 and CEPT Report 44.</w:t>
      </w:r>
    </w:p>
    <w:p w:rsidR="00680DF5" w:rsidRDefault="00680DF5" w:rsidP="00680DF5">
      <w:pPr>
        <w:spacing w:after="240"/>
        <w:ind w:left="709"/>
        <w:jc w:val="both"/>
        <w:rPr>
          <w:rFonts w:ascii="Arial" w:hAnsi="Arial"/>
          <w:b/>
          <w:sz w:val="20"/>
          <w:lang w:val="en-GB" w:eastAsia="en-US"/>
        </w:rPr>
      </w:pPr>
      <w:r w:rsidRPr="00680DF5">
        <w:rPr>
          <w:rFonts w:ascii="Arial" w:hAnsi="Arial"/>
          <w:b/>
          <w:sz w:val="20"/>
          <w:lang w:val="en-GB" w:eastAsia="en-US"/>
        </w:rPr>
        <w:t>Do you agree that SRD and DECT may be deployed and share the spectrum under a common technical and regulatory framework to foster a more efficient use of spectrum and future innovation? (Yes/No) If not, please indicate why.</w:t>
      </w:r>
    </w:p>
    <w:tbl>
      <w:tblPr>
        <w:tblW w:w="499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6" w:type="dxa"/>
          <w:right w:w="56" w:type="dxa"/>
        </w:tblCellMar>
        <w:tblLook w:val="0000" w:firstRow="0" w:lastRow="0" w:firstColumn="0" w:lastColumn="0" w:noHBand="0" w:noVBand="0"/>
      </w:tblPr>
      <w:tblGrid>
        <w:gridCol w:w="1051"/>
        <w:gridCol w:w="1905"/>
        <w:gridCol w:w="7732"/>
        <w:gridCol w:w="3401"/>
      </w:tblGrid>
      <w:tr w:rsidR="00E25D35" w:rsidRPr="00AA2F1C" w:rsidTr="00E25D35">
        <w:tblPrEx>
          <w:tblCellMar>
            <w:top w:w="0" w:type="dxa"/>
            <w:bottom w:w="0" w:type="dxa"/>
          </w:tblCellMar>
        </w:tblPrEx>
        <w:trPr>
          <w:cantSplit/>
          <w:trHeight w:val="765"/>
          <w:tblHeader/>
        </w:trPr>
        <w:tc>
          <w:tcPr>
            <w:tcW w:w="373" w:type="pct"/>
          </w:tcPr>
          <w:p w:rsidR="00E25D35" w:rsidRPr="00AA2F1C" w:rsidRDefault="00E25D35" w:rsidP="00A658BB">
            <w:pPr>
              <w:spacing w:before="120" w:line="180" w:lineRule="exact"/>
              <w:jc w:val="center"/>
              <w:rPr>
                <w:sz w:val="16"/>
                <w:szCs w:val="16"/>
                <w:lang w:val="en-US"/>
              </w:rPr>
            </w:pPr>
            <w:r w:rsidRPr="00AA2F1C">
              <w:rPr>
                <w:rFonts w:ascii="Arial" w:hAnsi="Arial"/>
                <w:b/>
                <w:sz w:val="16"/>
                <w:szCs w:val="16"/>
                <w:lang w:val="en-US"/>
              </w:rPr>
              <w:t>Comment number</w:t>
            </w:r>
          </w:p>
        </w:tc>
        <w:tc>
          <w:tcPr>
            <w:tcW w:w="676" w:type="pct"/>
          </w:tcPr>
          <w:p w:rsidR="00E25D35" w:rsidRPr="00AA2F1C" w:rsidRDefault="00E25D35" w:rsidP="00A658BB">
            <w:pPr>
              <w:spacing w:before="120" w:line="180" w:lineRule="exact"/>
              <w:jc w:val="center"/>
              <w:rPr>
                <w:b/>
                <w:sz w:val="16"/>
                <w:szCs w:val="16"/>
                <w:lang w:val="en-US"/>
              </w:rPr>
            </w:pPr>
            <w:r w:rsidRPr="00AA2F1C">
              <w:rPr>
                <w:rFonts w:ascii="Arial" w:hAnsi="Arial"/>
                <w:b/>
                <w:sz w:val="16"/>
                <w:szCs w:val="16"/>
                <w:lang w:val="en-US"/>
              </w:rPr>
              <w:t xml:space="preserve">Type of comment </w:t>
            </w:r>
          </w:p>
        </w:tc>
        <w:tc>
          <w:tcPr>
            <w:tcW w:w="2744" w:type="pct"/>
          </w:tcPr>
          <w:p w:rsidR="00E25D35" w:rsidRPr="00AA2F1C" w:rsidRDefault="00E25D35" w:rsidP="00A658BB">
            <w:pPr>
              <w:spacing w:before="120" w:line="180" w:lineRule="exact"/>
              <w:jc w:val="center"/>
              <w:rPr>
                <w:sz w:val="16"/>
                <w:szCs w:val="16"/>
                <w:lang w:val="en-US"/>
              </w:rPr>
            </w:pPr>
            <w:r w:rsidRPr="00AA2F1C">
              <w:rPr>
                <w:rFonts w:ascii="Arial" w:hAnsi="Arial"/>
                <w:b/>
                <w:sz w:val="16"/>
                <w:szCs w:val="16"/>
                <w:lang w:val="en-US"/>
              </w:rPr>
              <w:t>COMMENTS</w:t>
            </w:r>
          </w:p>
        </w:tc>
        <w:tc>
          <w:tcPr>
            <w:tcW w:w="1207" w:type="pct"/>
          </w:tcPr>
          <w:p w:rsidR="00E25D35" w:rsidRPr="00AA2F1C" w:rsidRDefault="00E25D35" w:rsidP="00A658BB">
            <w:pPr>
              <w:spacing w:before="120" w:line="180" w:lineRule="exact"/>
              <w:jc w:val="center"/>
              <w:rPr>
                <w:rFonts w:ascii="Arial" w:hAnsi="Arial"/>
                <w:b/>
                <w:sz w:val="16"/>
                <w:szCs w:val="16"/>
                <w:lang w:val="en-US"/>
              </w:rPr>
            </w:pPr>
            <w:r>
              <w:rPr>
                <w:rFonts w:ascii="Arial" w:hAnsi="Arial"/>
                <w:b/>
                <w:sz w:val="16"/>
                <w:szCs w:val="16"/>
                <w:lang w:val="en-US"/>
              </w:rPr>
              <w:t>Proposed resolution/handling/action by WGFM in response to the comment</w:t>
            </w:r>
          </w:p>
        </w:tc>
      </w:tr>
      <w:tr w:rsidR="00E25D35" w:rsidTr="00E25D35">
        <w:tblPrEx>
          <w:tblCellMar>
            <w:top w:w="0" w:type="dxa"/>
            <w:bottom w:w="0" w:type="dxa"/>
          </w:tblCellMar>
        </w:tblPrEx>
        <w:trPr>
          <w:cantSplit/>
          <w:trHeight w:val="765"/>
          <w:tblHeader/>
        </w:trPr>
        <w:tc>
          <w:tcPr>
            <w:tcW w:w="373" w:type="pct"/>
          </w:tcPr>
          <w:p w:rsidR="00E25D35" w:rsidRDefault="00E25D35" w:rsidP="00A658BB">
            <w:pPr>
              <w:keepLines/>
              <w:spacing w:before="120"/>
              <w:rPr>
                <w:sz w:val="16"/>
                <w:szCs w:val="16"/>
                <w:lang w:val="en-US"/>
              </w:rPr>
            </w:pPr>
            <w:r>
              <w:rPr>
                <w:sz w:val="16"/>
                <w:szCs w:val="16"/>
                <w:lang w:val="en-US"/>
              </w:rPr>
              <w:t>Riedel/3</w:t>
            </w:r>
          </w:p>
          <w:p w:rsidR="00E25D35" w:rsidRDefault="00E25D35" w:rsidP="00A658BB">
            <w:pPr>
              <w:keepLines/>
              <w:spacing w:before="120"/>
              <w:rPr>
                <w:sz w:val="16"/>
                <w:szCs w:val="16"/>
                <w:lang w:val="en-US"/>
              </w:rPr>
            </w:pPr>
          </w:p>
          <w:p w:rsidR="00E25D35" w:rsidRDefault="00E25D35" w:rsidP="00A658BB">
            <w:pPr>
              <w:keepLines/>
              <w:spacing w:before="120"/>
              <w:rPr>
                <w:sz w:val="16"/>
                <w:szCs w:val="16"/>
                <w:lang w:val="en-US"/>
              </w:rPr>
            </w:pPr>
          </w:p>
          <w:p w:rsidR="00E25D35" w:rsidRDefault="00E25D35" w:rsidP="00A658BB">
            <w:pPr>
              <w:keepLines/>
              <w:spacing w:before="120"/>
              <w:rPr>
                <w:sz w:val="16"/>
                <w:szCs w:val="16"/>
                <w:lang w:val="en-US"/>
              </w:rPr>
            </w:pPr>
          </w:p>
          <w:p w:rsidR="00E25D35" w:rsidRDefault="00E25D35" w:rsidP="00A658BB">
            <w:pPr>
              <w:keepLines/>
              <w:spacing w:before="120"/>
              <w:rPr>
                <w:sz w:val="16"/>
                <w:szCs w:val="16"/>
                <w:lang w:val="en-US"/>
              </w:rPr>
            </w:pPr>
          </w:p>
          <w:p w:rsidR="00E25D35" w:rsidRDefault="00E25D35" w:rsidP="00A658BB">
            <w:pPr>
              <w:keepLines/>
              <w:spacing w:before="120"/>
              <w:rPr>
                <w:sz w:val="16"/>
                <w:szCs w:val="16"/>
                <w:lang w:val="en-US"/>
              </w:rPr>
            </w:pPr>
          </w:p>
          <w:p w:rsidR="00E25D35" w:rsidRDefault="00E25D35" w:rsidP="00A658BB">
            <w:pPr>
              <w:keepLines/>
              <w:spacing w:before="120"/>
              <w:rPr>
                <w:sz w:val="16"/>
                <w:szCs w:val="16"/>
                <w:lang w:val="en-US"/>
              </w:rPr>
            </w:pPr>
          </w:p>
          <w:p w:rsidR="00E25D35" w:rsidRDefault="00E25D35" w:rsidP="00A658BB">
            <w:pPr>
              <w:keepLines/>
              <w:spacing w:before="120"/>
              <w:rPr>
                <w:sz w:val="16"/>
                <w:szCs w:val="16"/>
                <w:lang w:val="en-US"/>
              </w:rPr>
            </w:pPr>
            <w:r>
              <w:rPr>
                <w:sz w:val="16"/>
                <w:szCs w:val="16"/>
                <w:lang w:val="en-US"/>
              </w:rPr>
              <w:t>NPO/3</w:t>
            </w:r>
          </w:p>
        </w:tc>
        <w:tc>
          <w:tcPr>
            <w:tcW w:w="676" w:type="pct"/>
          </w:tcPr>
          <w:p w:rsidR="00E25D35" w:rsidRDefault="00E25D35" w:rsidP="00EF48C2">
            <w:pPr>
              <w:keepLines/>
              <w:spacing w:before="120"/>
              <w:rPr>
                <w:sz w:val="16"/>
                <w:szCs w:val="16"/>
                <w:lang w:val="en-US"/>
              </w:rPr>
            </w:pPr>
            <w:r>
              <w:rPr>
                <w:sz w:val="16"/>
                <w:szCs w:val="16"/>
                <w:lang w:val="en-US"/>
              </w:rPr>
              <w:t>No answer to the question but no support expressed for DECT/SRD sharing with PMSE/PPDR block</w:t>
            </w:r>
          </w:p>
        </w:tc>
        <w:tc>
          <w:tcPr>
            <w:tcW w:w="2744" w:type="pct"/>
          </w:tcPr>
          <w:p w:rsidR="00E25D35" w:rsidRPr="00077B6F" w:rsidRDefault="00E25D35" w:rsidP="00A658BB">
            <w:pPr>
              <w:rPr>
                <w:bCs/>
                <w:lang w:val="en-GB"/>
              </w:rPr>
            </w:pPr>
            <w:r w:rsidRPr="00077B6F">
              <w:rPr>
                <w:bCs/>
                <w:lang w:val="en-GB"/>
              </w:rPr>
              <w:t>No.</w:t>
            </w:r>
          </w:p>
          <w:p w:rsidR="00E25D35" w:rsidRPr="00077B6F" w:rsidRDefault="00E25D35" w:rsidP="00A658BB">
            <w:pPr>
              <w:rPr>
                <w:iCs/>
                <w:sz w:val="20"/>
                <w:szCs w:val="20"/>
                <w:lang w:val="en-US"/>
              </w:rPr>
            </w:pPr>
            <w:r w:rsidRPr="00077B6F">
              <w:rPr>
                <w:iCs/>
                <w:sz w:val="20"/>
                <w:szCs w:val="20"/>
                <w:lang w:val="en-US"/>
              </w:rPr>
              <w:t>Both – PMSE and PPDR applications share some technical similarities. Nevertheless it’s crucial for both applications to use a designated frequency spectrum free of interference and cross-usage.</w:t>
            </w:r>
          </w:p>
          <w:p w:rsidR="00E25D35" w:rsidRPr="00077B6F" w:rsidRDefault="00E25D35" w:rsidP="00A658BB">
            <w:pPr>
              <w:rPr>
                <w:iCs/>
                <w:sz w:val="20"/>
                <w:szCs w:val="20"/>
                <w:lang w:val="en-US"/>
              </w:rPr>
            </w:pPr>
          </w:p>
          <w:p w:rsidR="00E25D35" w:rsidRPr="00077B6F" w:rsidRDefault="00E25D35" w:rsidP="00A658BB">
            <w:pPr>
              <w:rPr>
                <w:iCs/>
                <w:sz w:val="20"/>
                <w:szCs w:val="20"/>
                <w:lang w:val="en-US"/>
              </w:rPr>
            </w:pPr>
          </w:p>
          <w:p w:rsidR="00E25D35" w:rsidRPr="00077B6F" w:rsidRDefault="00E25D35" w:rsidP="00A658BB">
            <w:pPr>
              <w:rPr>
                <w:iCs/>
                <w:sz w:val="20"/>
                <w:szCs w:val="20"/>
                <w:lang w:val="en-US"/>
              </w:rPr>
            </w:pPr>
            <w:r w:rsidRPr="00077B6F">
              <w:rPr>
                <w:iCs/>
                <w:sz w:val="20"/>
                <w:szCs w:val="20"/>
                <w:lang w:val="en-US"/>
              </w:rPr>
              <w:t>No</w:t>
            </w:r>
          </w:p>
          <w:p w:rsidR="00E25D35" w:rsidRPr="00C30791" w:rsidRDefault="00E25D35" w:rsidP="00077B6F">
            <w:pPr>
              <w:rPr>
                <w:bCs/>
                <w:lang w:val="en-US"/>
              </w:rPr>
            </w:pPr>
            <w:r w:rsidRPr="00077B6F">
              <w:rPr>
                <w:bCs/>
                <w:sz w:val="20"/>
                <w:szCs w:val="20"/>
                <w:lang w:val="en-US"/>
              </w:rPr>
              <w:t>Usage of these license free devices in the same band where essential professional services (PMSE/PPDR) are being deployed impairs the error free use of these essential professional services.</w:t>
            </w:r>
          </w:p>
        </w:tc>
        <w:tc>
          <w:tcPr>
            <w:tcW w:w="1207" w:type="pct"/>
          </w:tcPr>
          <w:p w:rsidR="00E25D35" w:rsidRDefault="00F15192" w:rsidP="00F15192">
            <w:pPr>
              <w:keepLines/>
              <w:spacing w:before="120"/>
              <w:jc w:val="both"/>
              <w:rPr>
                <w:sz w:val="16"/>
                <w:szCs w:val="16"/>
                <w:lang w:val="en-US"/>
              </w:rPr>
            </w:pPr>
            <w:r>
              <w:rPr>
                <w:sz w:val="16"/>
                <w:szCs w:val="16"/>
                <w:lang w:val="en-US"/>
              </w:rPr>
              <w:t>No support expressed for DECT/SRD sharing with PMSE/PPDR block reflected in Annex 2 to document FM(14)037 Annex1 (The outline of CEPT’s response).</w:t>
            </w:r>
          </w:p>
        </w:tc>
      </w:tr>
      <w:tr w:rsidR="00E25D35" w:rsidTr="00E25D35">
        <w:tblPrEx>
          <w:tblCellMar>
            <w:top w:w="0" w:type="dxa"/>
            <w:bottom w:w="0" w:type="dxa"/>
          </w:tblCellMar>
        </w:tblPrEx>
        <w:trPr>
          <w:cantSplit/>
          <w:trHeight w:val="765"/>
          <w:tblHeader/>
        </w:trPr>
        <w:tc>
          <w:tcPr>
            <w:tcW w:w="373" w:type="pct"/>
          </w:tcPr>
          <w:p w:rsidR="00E25D35" w:rsidRDefault="00E25D35" w:rsidP="00A658BB">
            <w:pPr>
              <w:keepLines/>
              <w:spacing w:before="120"/>
              <w:rPr>
                <w:sz w:val="16"/>
                <w:szCs w:val="16"/>
                <w:lang w:val="en-US"/>
              </w:rPr>
            </w:pPr>
            <w:r>
              <w:rPr>
                <w:sz w:val="16"/>
                <w:szCs w:val="16"/>
                <w:lang w:val="en-US"/>
              </w:rPr>
              <w:t>France/3</w:t>
            </w:r>
          </w:p>
        </w:tc>
        <w:tc>
          <w:tcPr>
            <w:tcW w:w="676" w:type="pct"/>
          </w:tcPr>
          <w:p w:rsidR="00E25D35" w:rsidRDefault="00E25D35" w:rsidP="00EF48C2">
            <w:pPr>
              <w:keepLines/>
              <w:spacing w:before="120"/>
              <w:rPr>
                <w:sz w:val="16"/>
                <w:szCs w:val="16"/>
                <w:lang w:val="en-US"/>
              </w:rPr>
            </w:pPr>
            <w:r w:rsidRPr="00794624">
              <w:rPr>
                <w:sz w:val="16"/>
                <w:szCs w:val="16"/>
                <w:lang w:val="en-US"/>
              </w:rPr>
              <w:t>DECT should operate under a generic SRD regulation on a shared basis with other technology on a non-protected non-interfered basis.</w:t>
            </w:r>
          </w:p>
        </w:tc>
        <w:tc>
          <w:tcPr>
            <w:tcW w:w="2744" w:type="pct"/>
          </w:tcPr>
          <w:p w:rsidR="00E25D35" w:rsidRPr="00794624" w:rsidRDefault="00E25D35" w:rsidP="00794624">
            <w:pPr>
              <w:rPr>
                <w:iCs/>
                <w:sz w:val="20"/>
                <w:szCs w:val="20"/>
                <w:lang w:val="en-US"/>
              </w:rPr>
            </w:pPr>
            <w:r w:rsidRPr="00794624">
              <w:rPr>
                <w:iCs/>
                <w:sz w:val="20"/>
                <w:szCs w:val="20"/>
                <w:lang w:val="en-US"/>
              </w:rPr>
              <w:t>Yes this is also our opinion noting that cautio</w:t>
            </w:r>
            <w:r>
              <w:rPr>
                <w:iCs/>
                <w:sz w:val="20"/>
                <w:szCs w:val="20"/>
                <w:lang w:val="en-US"/>
              </w:rPr>
              <w:t>n</w:t>
            </w:r>
            <w:r w:rsidRPr="00794624">
              <w:rPr>
                <w:iCs/>
                <w:sz w:val="20"/>
                <w:szCs w:val="20"/>
                <w:lang w:val="en-US"/>
              </w:rPr>
              <w:t xml:space="preserve"> has to be applied when referring to DECT. DECT is known to many as the </w:t>
            </w:r>
            <w:hyperlink r:id="rId8" w:tooltip="Cordless phone" w:history="1">
              <w:r w:rsidRPr="00794624">
                <w:rPr>
                  <w:iCs/>
                  <w:sz w:val="20"/>
                  <w:szCs w:val="20"/>
                  <w:lang w:val="en-US"/>
                </w:rPr>
                <w:t>cordless phone</w:t>
              </w:r>
            </w:hyperlink>
            <w:r w:rsidRPr="00794624">
              <w:rPr>
                <w:iCs/>
                <w:sz w:val="20"/>
                <w:szCs w:val="20"/>
                <w:lang w:val="en-US"/>
              </w:rPr>
              <w:t xml:space="preserve"> systems. However in this case, DECT is understood to be referring to the technology and not the application. This could impact the use cases for the compatibility studies affecting mainly the density of usage of these possible devices using DECT technology. DECT should operate under a generic SRD regulation on a shared basis with other technology on a non</w:t>
            </w:r>
            <w:r>
              <w:rPr>
                <w:iCs/>
                <w:sz w:val="20"/>
                <w:szCs w:val="20"/>
                <w:lang w:val="en-US"/>
              </w:rPr>
              <w:t>-</w:t>
            </w:r>
            <w:r w:rsidRPr="00794624">
              <w:rPr>
                <w:iCs/>
                <w:sz w:val="20"/>
                <w:szCs w:val="20"/>
                <w:lang w:val="en-US"/>
              </w:rPr>
              <w:t>protected non</w:t>
            </w:r>
            <w:r>
              <w:rPr>
                <w:iCs/>
                <w:sz w:val="20"/>
                <w:szCs w:val="20"/>
                <w:lang w:val="en-US"/>
              </w:rPr>
              <w:t>-</w:t>
            </w:r>
            <w:r w:rsidRPr="00794624">
              <w:rPr>
                <w:iCs/>
                <w:sz w:val="20"/>
                <w:szCs w:val="20"/>
                <w:lang w:val="en-US"/>
              </w:rPr>
              <w:t xml:space="preserve">interfered basis. </w:t>
            </w:r>
          </w:p>
          <w:p w:rsidR="00E25D35" w:rsidRPr="00077B6F" w:rsidRDefault="00E25D35" w:rsidP="00A658BB">
            <w:pPr>
              <w:rPr>
                <w:bCs/>
                <w:lang w:val="en-GB"/>
              </w:rPr>
            </w:pPr>
          </w:p>
        </w:tc>
        <w:tc>
          <w:tcPr>
            <w:tcW w:w="1207" w:type="pct"/>
          </w:tcPr>
          <w:p w:rsidR="00E25D35" w:rsidRDefault="00F15192" w:rsidP="00F15192">
            <w:pPr>
              <w:keepLines/>
              <w:spacing w:before="120"/>
              <w:jc w:val="both"/>
              <w:rPr>
                <w:sz w:val="16"/>
                <w:szCs w:val="16"/>
                <w:lang w:val="en-US"/>
              </w:rPr>
            </w:pPr>
            <w:r>
              <w:rPr>
                <w:sz w:val="16"/>
                <w:szCs w:val="16"/>
                <w:lang w:val="en-US"/>
              </w:rPr>
              <w:t xml:space="preserve">Support for DECT to operate under a generic SRD regulation </w:t>
            </w:r>
            <w:r w:rsidR="003437B1">
              <w:rPr>
                <w:sz w:val="16"/>
                <w:szCs w:val="16"/>
                <w:lang w:val="en-US"/>
              </w:rPr>
              <w:t xml:space="preserve">on a shared basis with other technologies, on a non-protection non-interference basis, </w:t>
            </w:r>
            <w:r>
              <w:rPr>
                <w:sz w:val="16"/>
                <w:szCs w:val="16"/>
                <w:lang w:val="en-US"/>
              </w:rPr>
              <w:t>reflected in Annex 2 to document FM(14)037 Annex1 (The outline of CEPT’s response).</w:t>
            </w:r>
          </w:p>
        </w:tc>
      </w:tr>
      <w:tr w:rsidR="00B921AE" w:rsidTr="00E25D35">
        <w:tblPrEx>
          <w:tblCellMar>
            <w:top w:w="0" w:type="dxa"/>
            <w:bottom w:w="0" w:type="dxa"/>
          </w:tblCellMar>
        </w:tblPrEx>
        <w:trPr>
          <w:cantSplit/>
          <w:trHeight w:val="765"/>
          <w:tblHeader/>
        </w:trPr>
        <w:tc>
          <w:tcPr>
            <w:tcW w:w="373" w:type="pct"/>
          </w:tcPr>
          <w:p w:rsidR="00B921AE" w:rsidRDefault="00B921AE" w:rsidP="00A658BB">
            <w:pPr>
              <w:keepLines/>
              <w:spacing w:before="120"/>
              <w:rPr>
                <w:sz w:val="16"/>
                <w:szCs w:val="16"/>
                <w:lang w:val="en-US"/>
              </w:rPr>
            </w:pPr>
            <w:r>
              <w:rPr>
                <w:sz w:val="16"/>
                <w:szCs w:val="16"/>
                <w:lang w:val="en-US"/>
              </w:rPr>
              <w:t>Netherlands/2</w:t>
            </w:r>
          </w:p>
        </w:tc>
        <w:tc>
          <w:tcPr>
            <w:tcW w:w="676" w:type="pct"/>
          </w:tcPr>
          <w:p w:rsidR="00B921AE" w:rsidRPr="00794624" w:rsidRDefault="00B921AE" w:rsidP="00B921AE">
            <w:pPr>
              <w:keepLines/>
              <w:spacing w:before="120"/>
              <w:rPr>
                <w:sz w:val="16"/>
                <w:szCs w:val="16"/>
                <w:lang w:val="en-US"/>
              </w:rPr>
            </w:pPr>
            <w:r>
              <w:rPr>
                <w:sz w:val="16"/>
                <w:szCs w:val="16"/>
                <w:lang w:val="en-US"/>
              </w:rPr>
              <w:t xml:space="preserve">NL does </w:t>
            </w:r>
            <w:r w:rsidRPr="00B921AE">
              <w:rPr>
                <w:sz w:val="16"/>
                <w:szCs w:val="16"/>
                <w:lang w:val="en-US"/>
              </w:rPr>
              <w:t>not support a full technology neutral use but rather propose a number of technologies and access techniques mutually compatible and compatible with the other services in order to use the spectrum efficiently</w:t>
            </w:r>
            <w:r>
              <w:rPr>
                <w:sz w:val="16"/>
                <w:szCs w:val="16"/>
                <w:lang w:val="en-US"/>
              </w:rPr>
              <w:t>. F</w:t>
            </w:r>
            <w:r w:rsidRPr="00B921AE">
              <w:rPr>
                <w:sz w:val="16"/>
                <w:szCs w:val="16"/>
                <w:lang w:val="en-US"/>
              </w:rPr>
              <w:t>requency segmentation and unintelligent SRD applications</w:t>
            </w:r>
            <w:r>
              <w:rPr>
                <w:sz w:val="16"/>
                <w:szCs w:val="16"/>
                <w:lang w:val="en-US"/>
              </w:rPr>
              <w:t xml:space="preserve"> should be avoided.</w:t>
            </w:r>
          </w:p>
        </w:tc>
        <w:tc>
          <w:tcPr>
            <w:tcW w:w="2744" w:type="pct"/>
          </w:tcPr>
          <w:p w:rsidR="00B921AE" w:rsidRPr="00B921AE" w:rsidRDefault="00B921AE" w:rsidP="00B921AE">
            <w:pPr>
              <w:rPr>
                <w:iCs/>
                <w:sz w:val="20"/>
                <w:szCs w:val="20"/>
                <w:lang w:val="en-US"/>
              </w:rPr>
            </w:pPr>
            <w:r w:rsidRPr="00B921AE">
              <w:rPr>
                <w:iCs/>
                <w:sz w:val="20"/>
                <w:szCs w:val="20"/>
                <w:lang w:val="en-US"/>
              </w:rPr>
              <w:t>For DECT and SRD we like to see full sharing possibilities between these applications and other users. We therefore do not support a full technology neutral use but rather propose a number of technologies and access techniques mutually compatible and compatible with the other services in order to use the spectrum efficiently as outlined in ECC Report 181.</w:t>
            </w:r>
          </w:p>
          <w:p w:rsidR="00B921AE" w:rsidRPr="00794624" w:rsidRDefault="00B921AE" w:rsidP="00B921AE">
            <w:pPr>
              <w:rPr>
                <w:iCs/>
                <w:sz w:val="20"/>
                <w:szCs w:val="20"/>
                <w:lang w:val="en-US"/>
              </w:rPr>
            </w:pPr>
            <w:r w:rsidRPr="00B921AE">
              <w:rPr>
                <w:iCs/>
                <w:sz w:val="20"/>
                <w:szCs w:val="20"/>
                <w:lang w:val="en-US"/>
              </w:rPr>
              <w:t>To be precise we do not support frequency segmentation and unintelligent SRD applications.</w:t>
            </w:r>
          </w:p>
        </w:tc>
        <w:tc>
          <w:tcPr>
            <w:tcW w:w="1207" w:type="pct"/>
          </w:tcPr>
          <w:p w:rsidR="00B921AE" w:rsidRDefault="003437B1" w:rsidP="003437B1">
            <w:pPr>
              <w:keepLines/>
              <w:spacing w:before="120"/>
              <w:jc w:val="both"/>
              <w:rPr>
                <w:sz w:val="16"/>
                <w:szCs w:val="16"/>
                <w:lang w:val="en-US"/>
              </w:rPr>
            </w:pPr>
            <w:r>
              <w:rPr>
                <w:sz w:val="16"/>
                <w:szCs w:val="16"/>
                <w:lang w:val="en-US"/>
              </w:rPr>
              <w:t xml:space="preserve">Support for DECT/SRD sharing with other uses reflected in Annex 2 to document </w:t>
            </w:r>
            <w:proofErr w:type="gramStart"/>
            <w:r>
              <w:rPr>
                <w:sz w:val="16"/>
                <w:szCs w:val="16"/>
                <w:lang w:val="en-US"/>
              </w:rPr>
              <w:t>FM(</w:t>
            </w:r>
            <w:proofErr w:type="gramEnd"/>
            <w:r>
              <w:rPr>
                <w:sz w:val="16"/>
                <w:szCs w:val="16"/>
                <w:lang w:val="en-US"/>
              </w:rPr>
              <w:t>14)037 Annex1 (The outline of CEPT’s response).</w:t>
            </w:r>
            <w:r w:rsidR="00DB6153">
              <w:rPr>
                <w:sz w:val="16"/>
                <w:szCs w:val="16"/>
                <w:lang w:val="en-US"/>
              </w:rPr>
              <w:t xml:space="preserve"> Frequency segmentation not supported.</w:t>
            </w:r>
          </w:p>
        </w:tc>
      </w:tr>
      <w:tr w:rsidR="00E25D35" w:rsidTr="00E25D35">
        <w:tblPrEx>
          <w:tblCellMar>
            <w:top w:w="0" w:type="dxa"/>
            <w:bottom w:w="0" w:type="dxa"/>
          </w:tblCellMar>
        </w:tblPrEx>
        <w:trPr>
          <w:cantSplit/>
          <w:trHeight w:val="765"/>
          <w:tblHeader/>
        </w:trPr>
        <w:tc>
          <w:tcPr>
            <w:tcW w:w="373" w:type="pct"/>
          </w:tcPr>
          <w:p w:rsidR="00E25D35" w:rsidRDefault="00E25D35" w:rsidP="00A658BB">
            <w:pPr>
              <w:keepLines/>
              <w:spacing w:before="120"/>
              <w:rPr>
                <w:sz w:val="16"/>
                <w:szCs w:val="16"/>
                <w:lang w:val="en-US"/>
              </w:rPr>
            </w:pPr>
            <w:r>
              <w:rPr>
                <w:sz w:val="16"/>
                <w:szCs w:val="16"/>
                <w:lang w:val="en-US"/>
              </w:rPr>
              <w:t>DECT/3</w:t>
            </w:r>
          </w:p>
        </w:tc>
        <w:tc>
          <w:tcPr>
            <w:tcW w:w="676" w:type="pct"/>
          </w:tcPr>
          <w:p w:rsidR="00E25D35" w:rsidRPr="00794624" w:rsidRDefault="00E25D35" w:rsidP="00EF48C2">
            <w:pPr>
              <w:keepLines/>
              <w:spacing w:before="120"/>
              <w:rPr>
                <w:sz w:val="16"/>
                <w:szCs w:val="16"/>
                <w:lang w:val="en-US"/>
              </w:rPr>
            </w:pPr>
            <w:r w:rsidRPr="00E25D35">
              <w:rPr>
                <w:sz w:val="16"/>
                <w:szCs w:val="16"/>
                <w:lang w:val="en-US"/>
              </w:rPr>
              <w:t>Lack of information about SRDs is a concern</w:t>
            </w:r>
          </w:p>
        </w:tc>
        <w:tc>
          <w:tcPr>
            <w:tcW w:w="2744" w:type="pct"/>
          </w:tcPr>
          <w:p w:rsidR="00E25D35" w:rsidRPr="00E25D35" w:rsidRDefault="00E25D35" w:rsidP="00E25D35">
            <w:pPr>
              <w:rPr>
                <w:iCs/>
                <w:sz w:val="20"/>
                <w:szCs w:val="20"/>
                <w:lang w:val="en-US"/>
              </w:rPr>
            </w:pPr>
            <w:r w:rsidRPr="00E25D35">
              <w:rPr>
                <w:iCs/>
                <w:sz w:val="20"/>
                <w:szCs w:val="20"/>
                <w:lang w:val="en-US"/>
              </w:rPr>
              <w:t xml:space="preserve">See also answer to question 1b and contribution </w:t>
            </w:r>
            <w:proofErr w:type="gramStart"/>
            <w:r w:rsidRPr="00E25D35">
              <w:rPr>
                <w:iCs/>
                <w:sz w:val="20"/>
                <w:szCs w:val="20"/>
                <w:lang w:val="en-US"/>
              </w:rPr>
              <w:t>SE7(</w:t>
            </w:r>
            <w:proofErr w:type="gramEnd"/>
            <w:r w:rsidRPr="00E25D35">
              <w:rPr>
                <w:iCs/>
                <w:sz w:val="20"/>
                <w:szCs w:val="20"/>
                <w:lang w:val="en-US"/>
              </w:rPr>
              <w:t>13)100r2 which was presented recently to CEPT ECC SE7.</w:t>
            </w:r>
          </w:p>
          <w:p w:rsidR="00E25D35" w:rsidRPr="00E25D35" w:rsidRDefault="00E25D35" w:rsidP="00E25D35">
            <w:pPr>
              <w:rPr>
                <w:iCs/>
                <w:sz w:val="20"/>
                <w:szCs w:val="20"/>
                <w:lang w:val="en-US"/>
              </w:rPr>
            </w:pPr>
            <w:r w:rsidRPr="00E25D35">
              <w:rPr>
                <w:iCs/>
                <w:sz w:val="20"/>
                <w:szCs w:val="20"/>
                <w:lang w:val="en-US"/>
              </w:rPr>
              <w:t>SRDs working in 1GHz up to 40GHz are described in EN 300 440-1 V1.6.1 (2010-08) and EN 300 440-2 V1.4.1 (2010-08). The main spectrum access mechanisms applied are LBT (Listen Before Talk) and DAA (Detect And Avoid) combined with AFA (Adaptive Frequency Agility). These mechanisms are comparable to RSSI (Receiver Signal Strength Indication) measurement, LIF (Least Interfered Frequency) use and DCS (Dynamic Channel Selection) of DECT equipment.</w:t>
            </w:r>
          </w:p>
          <w:p w:rsidR="00E25D35" w:rsidRPr="00E25D35" w:rsidRDefault="00E25D35" w:rsidP="00E25D35">
            <w:pPr>
              <w:rPr>
                <w:iCs/>
                <w:sz w:val="20"/>
                <w:szCs w:val="20"/>
                <w:lang w:val="en-US"/>
              </w:rPr>
            </w:pPr>
            <w:r w:rsidRPr="00E25D35">
              <w:rPr>
                <w:iCs/>
                <w:sz w:val="20"/>
                <w:szCs w:val="20"/>
                <w:lang w:val="en-US"/>
              </w:rPr>
              <w:t>The Harmonized SRD Radio Standards are prepared as generic ones, ready to be amended with technical parameters for new allocated frequency bands, totally different to the already existing parameters. With that the current published version of EN 300 440 is already a collection of very different numbers for radio parameters. E.g. it is understood the transmitted power can be a number in the range of 10mW to 4W.</w:t>
            </w:r>
          </w:p>
          <w:p w:rsidR="00E25D35" w:rsidRPr="00E25D35" w:rsidRDefault="00E25D35" w:rsidP="00E25D35">
            <w:pPr>
              <w:rPr>
                <w:iCs/>
                <w:sz w:val="20"/>
                <w:szCs w:val="20"/>
                <w:lang w:val="en-US"/>
              </w:rPr>
            </w:pPr>
            <w:r w:rsidRPr="00E25D35">
              <w:rPr>
                <w:iCs/>
                <w:sz w:val="20"/>
                <w:szCs w:val="20"/>
                <w:lang w:val="en-US"/>
              </w:rPr>
              <w:t>It is also understood from the Harmonized EMC Standard EN 301 489-3 that different types of receiver are foreseen. One of them offers a wide range of receiver bandwidth. The resulting exclusion band for immunity testing equals +- 75MHz! Furthermore very different services are supported by SRDs.</w:t>
            </w:r>
          </w:p>
          <w:p w:rsidR="00E25D35" w:rsidRPr="00E25D35" w:rsidRDefault="00E25D35" w:rsidP="00E25D35">
            <w:pPr>
              <w:rPr>
                <w:iCs/>
                <w:sz w:val="20"/>
                <w:szCs w:val="20"/>
                <w:lang w:val="en-US"/>
              </w:rPr>
            </w:pPr>
            <w:r w:rsidRPr="00E25D35">
              <w:rPr>
                <w:iCs/>
                <w:sz w:val="20"/>
                <w:szCs w:val="20"/>
                <w:lang w:val="en-US"/>
              </w:rPr>
              <w:t xml:space="preserve">Without having a clear definition about </w:t>
            </w:r>
            <w:proofErr w:type="spellStart"/>
            <w:r w:rsidRPr="00E25D35">
              <w:rPr>
                <w:iCs/>
                <w:sz w:val="20"/>
                <w:szCs w:val="20"/>
                <w:lang w:val="en-US"/>
              </w:rPr>
              <w:t>th</w:t>
            </w:r>
            <w:proofErr w:type="spellEnd"/>
            <w:r w:rsidRPr="00E25D35">
              <w:rPr>
                <w:iCs/>
                <w:sz w:val="20"/>
                <w:szCs w:val="20"/>
                <w:lang w:val="en-US"/>
              </w:rPr>
              <w:t xml:space="preserve"> SRD transmitter, antenna and receiver parameters and a clear description about the service using SRDs this question cannot be answered satisfactory.</w:t>
            </w:r>
          </w:p>
          <w:p w:rsidR="00E25D35" w:rsidRPr="00E25D35" w:rsidRDefault="00E25D35" w:rsidP="00E25D35">
            <w:pPr>
              <w:rPr>
                <w:iCs/>
                <w:sz w:val="20"/>
                <w:szCs w:val="20"/>
                <w:lang w:val="en-US"/>
              </w:rPr>
            </w:pPr>
            <w:r w:rsidRPr="00E25D35">
              <w:rPr>
                <w:iCs/>
                <w:sz w:val="20"/>
                <w:szCs w:val="20"/>
                <w:lang w:val="en-US"/>
              </w:rPr>
              <w:t>If it will be decided to introduce in the band 1900-1920 MHz a technology that is totally incompatible with DECT, then one rather simple solution is to modify the DECT channel selection rules as follows:</w:t>
            </w:r>
          </w:p>
          <w:p w:rsidR="00E25D35" w:rsidRPr="00E25D35" w:rsidRDefault="00E25D35" w:rsidP="00E25D35">
            <w:pPr>
              <w:rPr>
                <w:iCs/>
                <w:sz w:val="20"/>
                <w:szCs w:val="20"/>
                <w:lang w:val="en-US"/>
              </w:rPr>
            </w:pPr>
            <w:r w:rsidRPr="00E25D35">
              <w:rPr>
                <w:iCs/>
                <w:sz w:val="20"/>
                <w:szCs w:val="20"/>
                <w:lang w:val="en-US"/>
              </w:rPr>
              <w:t>A.</w:t>
            </w:r>
            <w:r w:rsidRPr="00E25D35">
              <w:rPr>
                <w:iCs/>
                <w:sz w:val="20"/>
                <w:szCs w:val="20"/>
                <w:lang w:val="en-US"/>
              </w:rPr>
              <w:tab/>
              <w:t>Only use the base band 1880-1900 MHz for RFP beacon transmissions.</w:t>
            </w:r>
          </w:p>
          <w:p w:rsidR="00E25D35" w:rsidRPr="00E25D35" w:rsidRDefault="00E25D35" w:rsidP="00E25D35">
            <w:pPr>
              <w:rPr>
                <w:iCs/>
                <w:sz w:val="20"/>
                <w:szCs w:val="20"/>
                <w:lang w:val="en-US"/>
              </w:rPr>
            </w:pPr>
          </w:p>
          <w:p w:rsidR="00E25D35" w:rsidRPr="00794624" w:rsidRDefault="00E25D35" w:rsidP="00E25D35">
            <w:pPr>
              <w:rPr>
                <w:iCs/>
                <w:sz w:val="20"/>
                <w:szCs w:val="20"/>
                <w:lang w:val="en-US"/>
              </w:rPr>
            </w:pPr>
            <w:r w:rsidRPr="00E25D35">
              <w:rPr>
                <w:iCs/>
                <w:sz w:val="20"/>
                <w:szCs w:val="20"/>
                <w:lang w:val="en-US"/>
              </w:rPr>
              <w:t>B.</w:t>
            </w:r>
            <w:r w:rsidRPr="00E25D35">
              <w:rPr>
                <w:iCs/>
                <w:sz w:val="20"/>
                <w:szCs w:val="20"/>
                <w:lang w:val="en-US"/>
              </w:rPr>
              <w:tab/>
              <w:t xml:space="preserve">Use the Least Interfered Channel within the entire 1880-1920 MHz for initial traffic bearer set up. If the setup is made on a channel within the extended band 1900-1920 MHz, and if the radio link is interfered, then the Least Interfered Channel selection for the intra-cell handover shall be limited to the DECT base band 1880-1900 </w:t>
            </w:r>
            <w:proofErr w:type="spellStart"/>
            <w:r w:rsidRPr="00E25D35">
              <w:rPr>
                <w:iCs/>
                <w:sz w:val="20"/>
                <w:szCs w:val="20"/>
                <w:lang w:val="en-US"/>
              </w:rPr>
              <w:t>MHz.</w:t>
            </w:r>
            <w:proofErr w:type="spellEnd"/>
          </w:p>
        </w:tc>
        <w:tc>
          <w:tcPr>
            <w:tcW w:w="1207" w:type="pct"/>
          </w:tcPr>
          <w:p w:rsidR="00E25D35" w:rsidRDefault="00DB6153" w:rsidP="00DB6153">
            <w:pPr>
              <w:keepLines/>
              <w:spacing w:before="120"/>
              <w:jc w:val="both"/>
              <w:rPr>
                <w:sz w:val="16"/>
                <w:szCs w:val="16"/>
                <w:lang w:val="en-US"/>
              </w:rPr>
            </w:pPr>
            <w:r>
              <w:rPr>
                <w:sz w:val="16"/>
                <w:szCs w:val="16"/>
                <w:lang w:val="en-US"/>
              </w:rPr>
              <w:t>See the above proposals “DECT/1” and “DECT/2”.</w:t>
            </w:r>
          </w:p>
          <w:p w:rsidR="000A6BCA" w:rsidRDefault="000A6BCA" w:rsidP="000A6BCA">
            <w:pPr>
              <w:keepLines/>
              <w:spacing w:before="120"/>
              <w:jc w:val="both"/>
              <w:rPr>
                <w:sz w:val="16"/>
                <w:szCs w:val="16"/>
                <w:lang w:val="en-US"/>
              </w:rPr>
            </w:pPr>
            <w:r>
              <w:rPr>
                <w:sz w:val="16"/>
                <w:szCs w:val="16"/>
                <w:lang w:val="en-US"/>
              </w:rPr>
              <w:t>Indicated solution to a) o</w:t>
            </w:r>
            <w:r w:rsidRPr="000A6BCA">
              <w:rPr>
                <w:sz w:val="16"/>
                <w:szCs w:val="16"/>
                <w:lang w:val="en-US"/>
              </w:rPr>
              <w:t>nly use the base band 1880-1900 MHz for RFP beacon transmissions</w:t>
            </w:r>
            <w:r>
              <w:rPr>
                <w:sz w:val="16"/>
                <w:szCs w:val="16"/>
                <w:lang w:val="en-US"/>
              </w:rPr>
              <w:t xml:space="preserve"> and b) </w:t>
            </w:r>
            <w:r w:rsidRPr="000A6BCA">
              <w:rPr>
                <w:sz w:val="16"/>
                <w:szCs w:val="16"/>
                <w:lang w:val="en-US"/>
              </w:rPr>
              <w:t>Use the Least Interfered Channel within the entire 1880-1920 MHz for initial traffic bearer set up. If the setup is made on a channel within the extended band 1900-1920 MHz, and if the radio link is interfered, then the Least Interfered Channel selection for the intra-cell handover shall be limited to the DECT base band 1880-1900 MHz</w:t>
            </w:r>
            <w:r>
              <w:rPr>
                <w:sz w:val="16"/>
                <w:szCs w:val="16"/>
                <w:lang w:val="en-US"/>
              </w:rPr>
              <w:t xml:space="preserve"> can be taken into account for sharing the spectrum with other applications such as SRD and  DA2GCS/ further discussions.</w:t>
            </w:r>
          </w:p>
        </w:tc>
      </w:tr>
      <w:tr w:rsidR="000C44C8" w:rsidTr="00E25D35">
        <w:tblPrEx>
          <w:tblCellMar>
            <w:top w:w="0" w:type="dxa"/>
            <w:bottom w:w="0" w:type="dxa"/>
          </w:tblCellMar>
        </w:tblPrEx>
        <w:trPr>
          <w:cantSplit/>
          <w:trHeight w:val="765"/>
          <w:tblHeader/>
        </w:trPr>
        <w:tc>
          <w:tcPr>
            <w:tcW w:w="373" w:type="pct"/>
          </w:tcPr>
          <w:p w:rsidR="000C44C8" w:rsidRDefault="000C44C8" w:rsidP="00A658BB">
            <w:pPr>
              <w:keepLines/>
              <w:spacing w:before="120"/>
              <w:rPr>
                <w:sz w:val="16"/>
                <w:szCs w:val="16"/>
                <w:lang w:val="en-US"/>
              </w:rPr>
            </w:pPr>
            <w:r>
              <w:rPr>
                <w:sz w:val="16"/>
                <w:szCs w:val="16"/>
                <w:lang w:val="en-US"/>
              </w:rPr>
              <w:t>Sweden/3</w:t>
            </w:r>
          </w:p>
        </w:tc>
        <w:tc>
          <w:tcPr>
            <w:tcW w:w="676" w:type="pct"/>
          </w:tcPr>
          <w:p w:rsidR="000C44C8" w:rsidRPr="00E25D35" w:rsidRDefault="000C44C8" w:rsidP="000C44C8">
            <w:pPr>
              <w:keepLines/>
              <w:spacing w:before="120"/>
              <w:rPr>
                <w:sz w:val="16"/>
                <w:szCs w:val="16"/>
                <w:lang w:val="en-US"/>
              </w:rPr>
            </w:pPr>
            <w:r>
              <w:rPr>
                <w:sz w:val="16"/>
                <w:szCs w:val="16"/>
                <w:lang w:val="en-US"/>
              </w:rPr>
              <w:t>Re</w:t>
            </w:r>
            <w:r w:rsidRPr="000C44C8">
              <w:rPr>
                <w:sz w:val="16"/>
                <w:szCs w:val="16"/>
                <w:lang w:val="en-US"/>
              </w:rPr>
              <w:t>gulation on a shared basis with other technology on a non-protected non-interfered basis.</w:t>
            </w:r>
          </w:p>
        </w:tc>
        <w:tc>
          <w:tcPr>
            <w:tcW w:w="2744" w:type="pct"/>
          </w:tcPr>
          <w:p w:rsidR="000C44C8" w:rsidRPr="000C44C8" w:rsidRDefault="000C44C8" w:rsidP="000C44C8">
            <w:pPr>
              <w:rPr>
                <w:iCs/>
                <w:sz w:val="20"/>
                <w:szCs w:val="20"/>
                <w:lang w:val="en-US"/>
              </w:rPr>
            </w:pPr>
            <w:r w:rsidRPr="000C44C8">
              <w:rPr>
                <w:iCs/>
                <w:sz w:val="20"/>
                <w:szCs w:val="20"/>
                <w:lang w:val="en-US"/>
              </w:rPr>
              <w:t xml:space="preserve">Yes. </w:t>
            </w:r>
          </w:p>
          <w:p w:rsidR="000C44C8" w:rsidRPr="00E25D35" w:rsidRDefault="000C44C8" w:rsidP="000C44C8">
            <w:pPr>
              <w:rPr>
                <w:iCs/>
                <w:sz w:val="20"/>
                <w:szCs w:val="20"/>
                <w:lang w:val="en-US"/>
              </w:rPr>
            </w:pPr>
            <w:r w:rsidRPr="000C44C8">
              <w:rPr>
                <w:iCs/>
                <w:sz w:val="20"/>
                <w:szCs w:val="20"/>
                <w:lang w:val="en-US"/>
              </w:rPr>
              <w:t xml:space="preserve">Comment: Even if a </w:t>
            </w:r>
            <w:proofErr w:type="spellStart"/>
            <w:r w:rsidRPr="000C44C8">
              <w:rPr>
                <w:iCs/>
                <w:sz w:val="20"/>
                <w:szCs w:val="20"/>
                <w:lang w:val="en-US"/>
              </w:rPr>
              <w:t>harmonisation</w:t>
            </w:r>
            <w:proofErr w:type="spellEnd"/>
            <w:r w:rsidRPr="000C44C8">
              <w:rPr>
                <w:iCs/>
                <w:sz w:val="20"/>
                <w:szCs w:val="20"/>
                <w:lang w:val="en-US"/>
              </w:rPr>
              <w:t xml:space="preserve"> enabling DECT services is </w:t>
            </w:r>
            <w:proofErr w:type="spellStart"/>
            <w:r w:rsidRPr="000C44C8">
              <w:rPr>
                <w:iCs/>
                <w:sz w:val="20"/>
                <w:szCs w:val="20"/>
                <w:lang w:val="en-US"/>
              </w:rPr>
              <w:t>realised</w:t>
            </w:r>
            <w:proofErr w:type="spellEnd"/>
            <w:r w:rsidRPr="000C44C8">
              <w:rPr>
                <w:iCs/>
                <w:sz w:val="20"/>
                <w:szCs w:val="20"/>
                <w:lang w:val="en-US"/>
              </w:rPr>
              <w:t xml:space="preserve"> under application-neutral and technology-neutral principles, Sweden believes that it is important that the regulation also in practice provide an opportunity for alternative technologies to use the spectrum so that a competitive market is created.</w:t>
            </w:r>
          </w:p>
        </w:tc>
        <w:tc>
          <w:tcPr>
            <w:tcW w:w="1207" w:type="pct"/>
          </w:tcPr>
          <w:p w:rsidR="000C44C8" w:rsidRDefault="003A4E07" w:rsidP="003A4E07">
            <w:pPr>
              <w:keepLines/>
              <w:spacing w:before="120"/>
              <w:jc w:val="both"/>
              <w:rPr>
                <w:sz w:val="16"/>
                <w:szCs w:val="16"/>
                <w:lang w:val="en-US"/>
              </w:rPr>
            </w:pPr>
            <w:r>
              <w:rPr>
                <w:sz w:val="16"/>
                <w:szCs w:val="16"/>
                <w:lang w:val="en-US"/>
              </w:rPr>
              <w:t xml:space="preserve">Support for DECT/SRD sharing with other technologies, on a non-protected non-interfered basis, reflected in Annex 2 to document </w:t>
            </w:r>
            <w:proofErr w:type="gramStart"/>
            <w:r>
              <w:rPr>
                <w:sz w:val="16"/>
                <w:szCs w:val="16"/>
                <w:lang w:val="en-US"/>
              </w:rPr>
              <w:t>FM(</w:t>
            </w:r>
            <w:proofErr w:type="gramEnd"/>
            <w:r>
              <w:rPr>
                <w:sz w:val="16"/>
                <w:szCs w:val="16"/>
                <w:lang w:val="en-US"/>
              </w:rPr>
              <w:t>14)037 Annex1 (The outline of CEPT’s response).</w:t>
            </w:r>
          </w:p>
        </w:tc>
      </w:tr>
      <w:tr w:rsidR="00A57D7C" w:rsidTr="00E25D35">
        <w:tblPrEx>
          <w:tblCellMar>
            <w:top w:w="0" w:type="dxa"/>
            <w:bottom w:w="0" w:type="dxa"/>
          </w:tblCellMar>
        </w:tblPrEx>
        <w:trPr>
          <w:cantSplit/>
          <w:trHeight w:val="765"/>
          <w:tblHeader/>
        </w:trPr>
        <w:tc>
          <w:tcPr>
            <w:tcW w:w="373" w:type="pct"/>
          </w:tcPr>
          <w:p w:rsidR="00A57D7C" w:rsidRDefault="00A57D7C" w:rsidP="00A658BB">
            <w:pPr>
              <w:keepLines/>
              <w:spacing w:before="120"/>
              <w:rPr>
                <w:sz w:val="16"/>
                <w:szCs w:val="16"/>
                <w:lang w:val="en-US"/>
              </w:rPr>
            </w:pPr>
            <w:proofErr w:type="spellStart"/>
            <w:r>
              <w:rPr>
                <w:sz w:val="16"/>
                <w:szCs w:val="16"/>
                <w:lang w:val="en-US"/>
              </w:rPr>
              <w:t>Selex</w:t>
            </w:r>
            <w:proofErr w:type="spellEnd"/>
            <w:r>
              <w:rPr>
                <w:sz w:val="16"/>
                <w:szCs w:val="16"/>
                <w:lang w:val="en-US"/>
              </w:rPr>
              <w:t>/3</w:t>
            </w:r>
          </w:p>
        </w:tc>
        <w:tc>
          <w:tcPr>
            <w:tcW w:w="676" w:type="pct"/>
          </w:tcPr>
          <w:p w:rsidR="00A57D7C" w:rsidRDefault="00A57D7C" w:rsidP="000C44C8">
            <w:pPr>
              <w:keepLines/>
              <w:spacing w:before="120"/>
              <w:rPr>
                <w:sz w:val="16"/>
                <w:szCs w:val="16"/>
                <w:lang w:val="en-US"/>
              </w:rPr>
            </w:pPr>
            <w:r>
              <w:rPr>
                <w:sz w:val="16"/>
                <w:szCs w:val="16"/>
                <w:lang w:val="en-US"/>
              </w:rPr>
              <w:t>No interest in DECT and SRD</w:t>
            </w:r>
          </w:p>
        </w:tc>
        <w:tc>
          <w:tcPr>
            <w:tcW w:w="2744" w:type="pct"/>
          </w:tcPr>
          <w:p w:rsidR="00A57D7C" w:rsidRPr="000C44C8" w:rsidRDefault="00A57D7C" w:rsidP="00A57D7C">
            <w:pPr>
              <w:rPr>
                <w:iCs/>
                <w:sz w:val="20"/>
                <w:szCs w:val="20"/>
                <w:lang w:val="en-US"/>
              </w:rPr>
            </w:pPr>
            <w:proofErr w:type="spellStart"/>
            <w:r w:rsidRPr="00A57D7C">
              <w:rPr>
                <w:iCs/>
                <w:sz w:val="20"/>
                <w:szCs w:val="20"/>
                <w:lang w:val="en-US"/>
              </w:rPr>
              <w:t>Selex</w:t>
            </w:r>
            <w:proofErr w:type="spellEnd"/>
            <w:r w:rsidRPr="00A57D7C">
              <w:rPr>
                <w:iCs/>
                <w:sz w:val="20"/>
                <w:szCs w:val="20"/>
                <w:lang w:val="en-US"/>
              </w:rPr>
              <w:t xml:space="preserve"> does</w:t>
            </w:r>
            <w:r>
              <w:rPr>
                <w:iCs/>
                <w:sz w:val="20"/>
                <w:szCs w:val="20"/>
                <w:lang w:val="en-US"/>
              </w:rPr>
              <w:t xml:space="preserve"> not</w:t>
            </w:r>
            <w:r w:rsidRPr="00A57D7C">
              <w:rPr>
                <w:iCs/>
                <w:sz w:val="20"/>
                <w:szCs w:val="20"/>
                <w:lang w:val="en-US"/>
              </w:rPr>
              <w:t xml:space="preserve"> support the potential uses of DECT and SRD </w:t>
            </w:r>
            <w:r>
              <w:rPr>
                <w:iCs/>
                <w:sz w:val="20"/>
                <w:szCs w:val="20"/>
                <w:lang w:val="en-US"/>
              </w:rPr>
              <w:t xml:space="preserve">in </w:t>
            </w:r>
            <w:r w:rsidRPr="00A57D7C">
              <w:rPr>
                <w:iCs/>
                <w:sz w:val="20"/>
                <w:szCs w:val="20"/>
                <w:lang w:val="en-US"/>
              </w:rPr>
              <w:t>the 1900-1920 MHz and 2010</w:t>
            </w:r>
            <w:r>
              <w:rPr>
                <w:iCs/>
                <w:sz w:val="20"/>
                <w:szCs w:val="20"/>
                <w:lang w:val="en-US"/>
              </w:rPr>
              <w:t>-</w:t>
            </w:r>
            <w:r w:rsidRPr="00A57D7C">
              <w:rPr>
                <w:iCs/>
                <w:sz w:val="20"/>
                <w:szCs w:val="20"/>
                <w:lang w:val="en-US"/>
              </w:rPr>
              <w:t>2025 MHz frequency bands.</w:t>
            </w:r>
          </w:p>
        </w:tc>
        <w:tc>
          <w:tcPr>
            <w:tcW w:w="1207" w:type="pct"/>
          </w:tcPr>
          <w:p w:rsidR="00A57D7C" w:rsidRDefault="00072ADF" w:rsidP="00FF7B22">
            <w:pPr>
              <w:keepLines/>
              <w:spacing w:before="120"/>
              <w:jc w:val="both"/>
              <w:rPr>
                <w:sz w:val="16"/>
                <w:szCs w:val="16"/>
                <w:lang w:val="en-US"/>
              </w:rPr>
            </w:pPr>
            <w:r>
              <w:rPr>
                <w:sz w:val="16"/>
                <w:szCs w:val="16"/>
                <w:lang w:val="en-US"/>
              </w:rPr>
              <w:t xml:space="preserve">No interest on DECT/SRD. </w:t>
            </w:r>
          </w:p>
        </w:tc>
      </w:tr>
      <w:tr w:rsidR="008A4488" w:rsidTr="00E25D35">
        <w:tblPrEx>
          <w:tblCellMar>
            <w:top w:w="0" w:type="dxa"/>
            <w:bottom w:w="0" w:type="dxa"/>
          </w:tblCellMar>
        </w:tblPrEx>
        <w:trPr>
          <w:cantSplit/>
          <w:trHeight w:val="765"/>
          <w:tblHeader/>
        </w:trPr>
        <w:tc>
          <w:tcPr>
            <w:tcW w:w="373" w:type="pct"/>
          </w:tcPr>
          <w:p w:rsidR="008A4488" w:rsidRDefault="008A4488" w:rsidP="00A658BB">
            <w:pPr>
              <w:keepLines/>
              <w:spacing w:before="120"/>
              <w:rPr>
                <w:sz w:val="16"/>
                <w:szCs w:val="16"/>
                <w:lang w:val="en-US"/>
              </w:rPr>
            </w:pPr>
            <w:r>
              <w:rPr>
                <w:sz w:val="16"/>
                <w:szCs w:val="16"/>
                <w:lang w:val="en-US"/>
              </w:rPr>
              <w:t>Germany/3</w:t>
            </w:r>
          </w:p>
        </w:tc>
        <w:tc>
          <w:tcPr>
            <w:tcW w:w="676" w:type="pct"/>
          </w:tcPr>
          <w:p w:rsidR="008A4488" w:rsidRDefault="008A4488" w:rsidP="000C44C8">
            <w:pPr>
              <w:keepLines/>
              <w:spacing w:before="120"/>
              <w:rPr>
                <w:sz w:val="16"/>
                <w:szCs w:val="16"/>
                <w:lang w:val="en-US"/>
              </w:rPr>
            </w:pPr>
            <w:r>
              <w:rPr>
                <w:sz w:val="16"/>
                <w:szCs w:val="16"/>
                <w:lang w:val="en-US"/>
              </w:rPr>
              <w:t>Support approach.</w:t>
            </w:r>
          </w:p>
          <w:p w:rsidR="008A4488" w:rsidRDefault="008A4488" w:rsidP="008A4488">
            <w:pPr>
              <w:keepLines/>
              <w:spacing w:before="120"/>
              <w:rPr>
                <w:sz w:val="16"/>
                <w:szCs w:val="16"/>
                <w:lang w:val="en-US"/>
              </w:rPr>
            </w:pPr>
            <w:r>
              <w:rPr>
                <w:sz w:val="16"/>
                <w:szCs w:val="16"/>
                <w:lang w:val="en-US"/>
              </w:rPr>
              <w:t>Need to clarify DECT usage.</w:t>
            </w:r>
          </w:p>
          <w:p w:rsidR="008A4488" w:rsidRDefault="008A4488" w:rsidP="008A4488">
            <w:pPr>
              <w:keepLines/>
              <w:spacing w:before="120"/>
              <w:rPr>
                <w:sz w:val="16"/>
                <w:szCs w:val="16"/>
                <w:lang w:val="en-US"/>
              </w:rPr>
            </w:pPr>
            <w:r>
              <w:rPr>
                <w:sz w:val="16"/>
                <w:szCs w:val="16"/>
                <w:lang w:val="en-US"/>
              </w:rPr>
              <w:t>Future regulation should not be DECT technology-specific.</w:t>
            </w:r>
          </w:p>
        </w:tc>
        <w:tc>
          <w:tcPr>
            <w:tcW w:w="2744" w:type="pct"/>
          </w:tcPr>
          <w:p w:rsidR="008A4488" w:rsidRPr="008A4488" w:rsidRDefault="008A4488" w:rsidP="008A4488">
            <w:pPr>
              <w:rPr>
                <w:iCs/>
                <w:sz w:val="20"/>
                <w:szCs w:val="20"/>
                <w:lang w:val="en-US"/>
              </w:rPr>
            </w:pPr>
            <w:r w:rsidRPr="008A4488">
              <w:rPr>
                <w:iCs/>
                <w:sz w:val="20"/>
                <w:szCs w:val="20"/>
                <w:lang w:val="en-US"/>
              </w:rPr>
              <w:t>To consider SRD applications and DECT applications within the scope of one single category is supported in principle. However, ETSI TR 103 149 (System Reference Document on DECT operating in the 1900 - 1 920 MHz band) also refers to video applications. Clarification is needed with that regard (see answer to Q 1.b above).</w:t>
            </w:r>
          </w:p>
          <w:p w:rsidR="008A4488" w:rsidRPr="00A57D7C" w:rsidRDefault="008A4488" w:rsidP="008A4488">
            <w:pPr>
              <w:rPr>
                <w:iCs/>
                <w:sz w:val="20"/>
                <w:szCs w:val="20"/>
                <w:lang w:val="en-US"/>
              </w:rPr>
            </w:pPr>
            <w:r w:rsidRPr="008A4488">
              <w:rPr>
                <w:iCs/>
                <w:sz w:val="20"/>
                <w:szCs w:val="20"/>
                <w:lang w:val="en-US"/>
              </w:rPr>
              <w:t>A future regulation should not exclude technologies other than DECT.</w:t>
            </w:r>
          </w:p>
        </w:tc>
        <w:tc>
          <w:tcPr>
            <w:tcW w:w="1207" w:type="pct"/>
          </w:tcPr>
          <w:p w:rsidR="008A4488" w:rsidRDefault="00FF7B22" w:rsidP="00FF7B22">
            <w:pPr>
              <w:keepLines/>
              <w:spacing w:before="120"/>
              <w:jc w:val="both"/>
              <w:rPr>
                <w:sz w:val="16"/>
                <w:szCs w:val="16"/>
                <w:lang w:val="en-US"/>
              </w:rPr>
            </w:pPr>
            <w:r>
              <w:rPr>
                <w:sz w:val="16"/>
                <w:szCs w:val="16"/>
                <w:lang w:val="en-US"/>
              </w:rPr>
              <w:t>See the above proposal “Germany/2”.</w:t>
            </w:r>
          </w:p>
        </w:tc>
      </w:tr>
      <w:tr w:rsidR="0097366E" w:rsidTr="00E25D35">
        <w:tblPrEx>
          <w:tblCellMar>
            <w:top w:w="0" w:type="dxa"/>
            <w:bottom w:w="0" w:type="dxa"/>
          </w:tblCellMar>
        </w:tblPrEx>
        <w:trPr>
          <w:cantSplit/>
          <w:trHeight w:val="765"/>
          <w:tblHeader/>
        </w:trPr>
        <w:tc>
          <w:tcPr>
            <w:tcW w:w="373" w:type="pct"/>
          </w:tcPr>
          <w:p w:rsidR="0097366E" w:rsidRDefault="0097366E" w:rsidP="00A658BB">
            <w:pPr>
              <w:keepLines/>
              <w:spacing w:before="120"/>
              <w:rPr>
                <w:sz w:val="16"/>
                <w:szCs w:val="16"/>
                <w:lang w:val="en-US"/>
              </w:rPr>
            </w:pPr>
            <w:r>
              <w:rPr>
                <w:sz w:val="16"/>
                <w:szCs w:val="16"/>
                <w:lang w:val="en-US"/>
              </w:rPr>
              <w:t>British Telecom/3</w:t>
            </w:r>
          </w:p>
        </w:tc>
        <w:tc>
          <w:tcPr>
            <w:tcW w:w="676" w:type="pct"/>
          </w:tcPr>
          <w:p w:rsidR="0097366E" w:rsidRDefault="0097366E" w:rsidP="000C44C8">
            <w:pPr>
              <w:keepLines/>
              <w:spacing w:before="120"/>
              <w:rPr>
                <w:sz w:val="16"/>
                <w:szCs w:val="16"/>
                <w:lang w:val="en-US"/>
              </w:rPr>
            </w:pPr>
            <w:r>
              <w:rPr>
                <w:sz w:val="16"/>
                <w:szCs w:val="16"/>
                <w:lang w:val="en-US"/>
              </w:rPr>
              <w:t>Support approach</w:t>
            </w:r>
          </w:p>
        </w:tc>
        <w:tc>
          <w:tcPr>
            <w:tcW w:w="2744" w:type="pct"/>
          </w:tcPr>
          <w:p w:rsidR="0097366E" w:rsidRPr="0097366E" w:rsidRDefault="0097366E" w:rsidP="0097366E">
            <w:pPr>
              <w:rPr>
                <w:iCs/>
                <w:sz w:val="20"/>
                <w:szCs w:val="20"/>
                <w:lang w:val="en-US"/>
              </w:rPr>
            </w:pPr>
          </w:p>
          <w:p w:rsidR="0097366E" w:rsidRPr="0097366E" w:rsidRDefault="0097366E" w:rsidP="0097366E">
            <w:pPr>
              <w:rPr>
                <w:iCs/>
                <w:sz w:val="20"/>
                <w:szCs w:val="20"/>
                <w:lang w:val="en-US"/>
              </w:rPr>
            </w:pPr>
            <w:r w:rsidRPr="0097366E">
              <w:rPr>
                <w:iCs/>
                <w:sz w:val="20"/>
                <w:szCs w:val="20"/>
                <w:lang w:val="en-US"/>
              </w:rPr>
              <w:t>Yes, we agree</w:t>
            </w:r>
          </w:p>
          <w:p w:rsidR="0097366E" w:rsidRPr="008A4488" w:rsidRDefault="0097366E" w:rsidP="008A4488">
            <w:pPr>
              <w:rPr>
                <w:iCs/>
                <w:sz w:val="20"/>
                <w:szCs w:val="20"/>
                <w:lang w:val="en-US"/>
              </w:rPr>
            </w:pPr>
          </w:p>
        </w:tc>
        <w:tc>
          <w:tcPr>
            <w:tcW w:w="1207" w:type="pct"/>
          </w:tcPr>
          <w:p w:rsidR="0097366E" w:rsidRDefault="00FF7B22" w:rsidP="00A658BB">
            <w:pPr>
              <w:keepLines/>
              <w:spacing w:before="120"/>
              <w:jc w:val="both"/>
              <w:rPr>
                <w:sz w:val="16"/>
                <w:szCs w:val="16"/>
                <w:lang w:val="en-US"/>
              </w:rPr>
            </w:pPr>
            <w:r>
              <w:rPr>
                <w:sz w:val="16"/>
                <w:szCs w:val="16"/>
                <w:lang w:val="en-US"/>
              </w:rPr>
              <w:t xml:space="preserve">Support for DECT/SRD approach reflected in Annex 2 to document </w:t>
            </w:r>
            <w:proofErr w:type="gramStart"/>
            <w:r>
              <w:rPr>
                <w:sz w:val="16"/>
                <w:szCs w:val="16"/>
                <w:lang w:val="en-US"/>
              </w:rPr>
              <w:t>FM(</w:t>
            </w:r>
            <w:proofErr w:type="gramEnd"/>
            <w:r>
              <w:rPr>
                <w:sz w:val="16"/>
                <w:szCs w:val="16"/>
                <w:lang w:val="en-US"/>
              </w:rPr>
              <w:t>14)037 Annex1 (The outline of CEPT’s response).</w:t>
            </w:r>
          </w:p>
          <w:p w:rsidR="00FF7B22" w:rsidRDefault="00FF7B22" w:rsidP="00A658BB">
            <w:pPr>
              <w:keepLines/>
              <w:spacing w:before="120"/>
              <w:jc w:val="both"/>
              <w:rPr>
                <w:sz w:val="16"/>
                <w:szCs w:val="16"/>
                <w:lang w:val="en-US"/>
              </w:rPr>
            </w:pPr>
          </w:p>
        </w:tc>
      </w:tr>
    </w:tbl>
    <w:p w:rsidR="00680DF5" w:rsidRPr="00680DF5" w:rsidRDefault="00680DF5" w:rsidP="00680DF5">
      <w:pPr>
        <w:spacing w:after="240"/>
        <w:ind w:left="709"/>
        <w:jc w:val="both"/>
        <w:rPr>
          <w:rFonts w:ascii="Arial" w:hAnsi="Arial"/>
          <w:b/>
          <w:sz w:val="20"/>
          <w:lang w:val="en-US" w:eastAsia="en-US"/>
        </w:rPr>
      </w:pPr>
    </w:p>
    <w:p w:rsidR="00680DF5" w:rsidRPr="00680DF5" w:rsidRDefault="00680DF5" w:rsidP="00680DF5">
      <w:pPr>
        <w:spacing w:after="240"/>
        <w:ind w:left="709"/>
        <w:jc w:val="both"/>
        <w:rPr>
          <w:rFonts w:ascii="Arial" w:hAnsi="Arial"/>
          <w:b/>
          <w:sz w:val="20"/>
          <w:lang w:val="en-GB" w:eastAsia="en-US"/>
        </w:rPr>
      </w:pPr>
    </w:p>
    <w:p w:rsidR="00680DF5" w:rsidRPr="00680DF5" w:rsidRDefault="00680DF5" w:rsidP="00680DF5">
      <w:pPr>
        <w:numPr>
          <w:ilvl w:val="0"/>
          <w:numId w:val="2"/>
        </w:numPr>
        <w:spacing w:after="240"/>
        <w:jc w:val="both"/>
        <w:rPr>
          <w:rFonts w:ascii="Arial" w:hAnsi="Arial"/>
          <w:sz w:val="20"/>
          <w:lang w:val="en-GB" w:eastAsia="en-US"/>
        </w:rPr>
      </w:pPr>
      <w:r w:rsidRPr="00680DF5">
        <w:rPr>
          <w:rFonts w:ascii="Arial" w:hAnsi="Arial"/>
          <w:sz w:val="20"/>
          <w:lang w:val="en-GB" w:eastAsia="en-US"/>
        </w:rPr>
        <w:t>PMSE and ad-hoc PPDR</w:t>
      </w:r>
    </w:p>
    <w:p w:rsidR="00680DF5" w:rsidRPr="00680DF5" w:rsidRDefault="00680DF5" w:rsidP="00680DF5">
      <w:pPr>
        <w:spacing w:after="240"/>
        <w:ind w:left="709"/>
        <w:jc w:val="both"/>
        <w:rPr>
          <w:rFonts w:ascii="Arial" w:hAnsi="Arial"/>
          <w:sz w:val="20"/>
          <w:lang w:val="en-GB" w:eastAsia="en-US"/>
        </w:rPr>
      </w:pPr>
      <w:r w:rsidRPr="00680DF5">
        <w:rPr>
          <w:rFonts w:ascii="Arial" w:hAnsi="Arial"/>
          <w:sz w:val="20"/>
          <w:lang w:val="en-GB" w:eastAsia="en-US"/>
        </w:rPr>
        <w:t xml:space="preserve">Two of the potential uses of the 1900-1920 MHz and 2010-2025 MHz frequency bands proposed for study in the EC Mandate are PMSE and ad-hoc PPDR. Both proposed uses of the band are to provide temporary links both fixed and mobile (incl. airborne such as video links from/to helicopters or unmanned air vehicles), where these frequency bands would be included in an extended harmonised tuning range for video cameras and video links. The proposal in the outline of the response to the Commission is that the same technical framework and same equipment can be used to meet the operational needs of both PMSE and PPDR users. </w:t>
      </w:r>
    </w:p>
    <w:p w:rsidR="00680DF5" w:rsidRPr="00680DF5" w:rsidRDefault="00680DF5" w:rsidP="00680DF5">
      <w:pPr>
        <w:spacing w:after="240"/>
        <w:ind w:left="709"/>
        <w:jc w:val="both"/>
        <w:rPr>
          <w:rFonts w:ascii="Arial" w:hAnsi="Arial"/>
          <w:b/>
          <w:sz w:val="20"/>
          <w:lang w:val="en-GB" w:eastAsia="en-US"/>
        </w:rPr>
      </w:pPr>
      <w:r w:rsidRPr="00680DF5">
        <w:rPr>
          <w:rFonts w:ascii="Arial" w:hAnsi="Arial"/>
          <w:b/>
          <w:sz w:val="20"/>
          <w:lang w:val="en-GB" w:eastAsia="en-US"/>
        </w:rPr>
        <w:t xml:space="preserve">Do you agree that PMSE and ad-hoc PPDR show sufficient similarities to share the same technical framework to foster a more efficient use of spectrum and future innovation? </w:t>
      </w:r>
      <w:proofErr w:type="gramStart"/>
      <w:r w:rsidRPr="00680DF5">
        <w:rPr>
          <w:rFonts w:ascii="Arial" w:hAnsi="Arial"/>
          <w:b/>
          <w:sz w:val="20"/>
          <w:lang w:val="en-GB" w:eastAsia="en-US"/>
        </w:rPr>
        <w:t>(Yes/No).</w:t>
      </w:r>
      <w:proofErr w:type="gramEnd"/>
      <w:r w:rsidRPr="00680DF5">
        <w:rPr>
          <w:rFonts w:ascii="Arial" w:hAnsi="Arial"/>
          <w:b/>
          <w:sz w:val="20"/>
          <w:lang w:val="en-GB" w:eastAsia="en-US"/>
        </w:rPr>
        <w:t xml:space="preserve"> If not, please indicate why.</w:t>
      </w:r>
    </w:p>
    <w:p w:rsidR="00680DF5" w:rsidRDefault="00680DF5" w:rsidP="009309B1">
      <w:pPr>
        <w:rPr>
          <w:lang w:val="en-GB"/>
        </w:rPr>
      </w:pPr>
    </w:p>
    <w:p w:rsidR="00680DF5" w:rsidRDefault="00BE4997" w:rsidP="009309B1">
      <w:pPr>
        <w:rPr>
          <w:lang w:val="en-GB"/>
        </w:rPr>
      </w:pPr>
      <w:r>
        <w:rPr>
          <w:lang w:val="en-GB"/>
        </w:rPr>
        <w:br w:type="page"/>
      </w:r>
    </w:p>
    <w:p w:rsidR="00680DF5" w:rsidRPr="000B7C07" w:rsidRDefault="00680DF5" w:rsidP="009309B1">
      <w:pPr>
        <w:rPr>
          <w:lang w:val="en-GB"/>
        </w:rPr>
      </w:pPr>
    </w:p>
    <w:tbl>
      <w:tblPr>
        <w:tblW w:w="489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6" w:type="dxa"/>
          <w:right w:w="56" w:type="dxa"/>
        </w:tblCellMar>
        <w:tblLook w:val="0000" w:firstRow="0" w:lastRow="0" w:firstColumn="0" w:lastColumn="0" w:noHBand="0" w:noVBand="0"/>
      </w:tblPr>
      <w:tblGrid>
        <w:gridCol w:w="972"/>
        <w:gridCol w:w="77"/>
        <w:gridCol w:w="1825"/>
        <w:gridCol w:w="7389"/>
        <w:gridCol w:w="3543"/>
      </w:tblGrid>
      <w:tr w:rsidR="000C44C8" w:rsidRPr="005A2D79" w:rsidTr="00BE4997">
        <w:tblPrEx>
          <w:tblCellMar>
            <w:top w:w="0" w:type="dxa"/>
            <w:bottom w:w="0" w:type="dxa"/>
          </w:tblCellMar>
        </w:tblPrEx>
        <w:trPr>
          <w:cantSplit/>
          <w:trHeight w:val="765"/>
          <w:tblHeader/>
        </w:trPr>
        <w:tc>
          <w:tcPr>
            <w:tcW w:w="380" w:type="pct"/>
            <w:gridSpan w:val="2"/>
          </w:tcPr>
          <w:p w:rsidR="000C44C8" w:rsidRPr="00AA2F1C" w:rsidRDefault="000C44C8" w:rsidP="000C44C8">
            <w:pPr>
              <w:spacing w:before="120" w:line="180" w:lineRule="exact"/>
              <w:jc w:val="center"/>
              <w:rPr>
                <w:sz w:val="16"/>
                <w:szCs w:val="16"/>
                <w:lang w:val="en-US"/>
              </w:rPr>
            </w:pPr>
            <w:r w:rsidRPr="00AA2F1C">
              <w:rPr>
                <w:rFonts w:ascii="Arial" w:hAnsi="Arial"/>
                <w:b/>
                <w:sz w:val="16"/>
                <w:szCs w:val="16"/>
                <w:lang w:val="en-US"/>
              </w:rPr>
              <w:t>Comment number</w:t>
            </w:r>
          </w:p>
        </w:tc>
        <w:tc>
          <w:tcPr>
            <w:tcW w:w="661" w:type="pct"/>
          </w:tcPr>
          <w:p w:rsidR="000C44C8" w:rsidRPr="00AA2F1C" w:rsidRDefault="000C44C8" w:rsidP="00FA2D20">
            <w:pPr>
              <w:spacing w:before="120" w:line="180" w:lineRule="exact"/>
              <w:jc w:val="center"/>
              <w:rPr>
                <w:b/>
                <w:sz w:val="16"/>
                <w:szCs w:val="16"/>
                <w:lang w:val="en-US"/>
              </w:rPr>
            </w:pPr>
            <w:r w:rsidRPr="00AA2F1C">
              <w:rPr>
                <w:rFonts w:ascii="Arial" w:hAnsi="Arial"/>
                <w:b/>
                <w:sz w:val="16"/>
                <w:szCs w:val="16"/>
                <w:lang w:val="en-US"/>
              </w:rPr>
              <w:t xml:space="preserve">Type of comment </w:t>
            </w:r>
          </w:p>
        </w:tc>
        <w:tc>
          <w:tcPr>
            <w:tcW w:w="2676" w:type="pct"/>
          </w:tcPr>
          <w:p w:rsidR="000C44C8" w:rsidRPr="00AA2F1C" w:rsidRDefault="000C44C8" w:rsidP="00AA2F1C">
            <w:pPr>
              <w:spacing w:before="120" w:line="180" w:lineRule="exact"/>
              <w:jc w:val="center"/>
              <w:rPr>
                <w:sz w:val="16"/>
                <w:szCs w:val="16"/>
                <w:lang w:val="en-US"/>
              </w:rPr>
            </w:pPr>
            <w:r w:rsidRPr="00AA2F1C">
              <w:rPr>
                <w:rFonts w:ascii="Arial" w:hAnsi="Arial"/>
                <w:b/>
                <w:sz w:val="16"/>
                <w:szCs w:val="16"/>
                <w:lang w:val="en-US"/>
              </w:rPr>
              <w:t>COMMENTS</w:t>
            </w:r>
          </w:p>
        </w:tc>
        <w:tc>
          <w:tcPr>
            <w:tcW w:w="1283" w:type="pct"/>
          </w:tcPr>
          <w:p w:rsidR="000C44C8" w:rsidRPr="00AA2F1C" w:rsidRDefault="000C44C8" w:rsidP="00AA2F1C">
            <w:pPr>
              <w:spacing w:before="120" w:line="180" w:lineRule="exact"/>
              <w:jc w:val="center"/>
              <w:rPr>
                <w:b/>
                <w:sz w:val="16"/>
                <w:szCs w:val="16"/>
                <w:lang w:val="en-US"/>
              </w:rPr>
            </w:pPr>
            <w:r w:rsidRPr="000C44C8">
              <w:rPr>
                <w:rFonts w:ascii="Arial" w:hAnsi="Arial"/>
                <w:b/>
                <w:sz w:val="16"/>
                <w:szCs w:val="16"/>
                <w:lang w:val="en-US"/>
              </w:rPr>
              <w:t>Proposed resolution/handling/action by WGFM in response to the comment</w:t>
            </w:r>
          </w:p>
        </w:tc>
      </w:tr>
      <w:tr w:rsidR="000C44C8" w:rsidRPr="00871AD3" w:rsidTr="00BE4997">
        <w:tblPrEx>
          <w:tblCellMar>
            <w:top w:w="0" w:type="dxa"/>
            <w:bottom w:w="0" w:type="dxa"/>
          </w:tblCellMar>
        </w:tblPrEx>
        <w:trPr>
          <w:cantSplit/>
          <w:trHeight w:val="765"/>
          <w:tblHeader/>
        </w:trPr>
        <w:tc>
          <w:tcPr>
            <w:tcW w:w="352" w:type="pct"/>
          </w:tcPr>
          <w:p w:rsidR="000C44C8" w:rsidRDefault="000C44C8" w:rsidP="00077B6F">
            <w:pPr>
              <w:keepLines/>
              <w:spacing w:before="120"/>
              <w:rPr>
                <w:sz w:val="16"/>
                <w:szCs w:val="16"/>
                <w:lang w:val="en-US"/>
              </w:rPr>
            </w:pPr>
            <w:r>
              <w:rPr>
                <w:sz w:val="16"/>
                <w:szCs w:val="16"/>
                <w:lang w:val="en-US"/>
              </w:rPr>
              <w:t>Riedel/4</w:t>
            </w:r>
          </w:p>
          <w:p w:rsidR="000C44C8" w:rsidRDefault="000C44C8" w:rsidP="00077B6F">
            <w:pPr>
              <w:keepLines/>
              <w:spacing w:before="120"/>
              <w:rPr>
                <w:sz w:val="16"/>
                <w:szCs w:val="16"/>
                <w:lang w:val="en-US"/>
              </w:rPr>
            </w:pPr>
          </w:p>
          <w:p w:rsidR="000C44C8" w:rsidRDefault="000C44C8" w:rsidP="00077B6F">
            <w:pPr>
              <w:keepLines/>
              <w:spacing w:before="120"/>
              <w:rPr>
                <w:sz w:val="16"/>
                <w:szCs w:val="16"/>
                <w:lang w:val="en-US"/>
              </w:rPr>
            </w:pPr>
          </w:p>
          <w:p w:rsidR="000C44C8" w:rsidRDefault="000C44C8" w:rsidP="00077B6F">
            <w:pPr>
              <w:keepLines/>
              <w:spacing w:before="120"/>
              <w:rPr>
                <w:sz w:val="16"/>
                <w:szCs w:val="16"/>
                <w:lang w:val="en-US"/>
              </w:rPr>
            </w:pPr>
          </w:p>
          <w:p w:rsidR="000C44C8" w:rsidRDefault="000C44C8" w:rsidP="00077B6F">
            <w:pPr>
              <w:keepLines/>
              <w:spacing w:before="120"/>
              <w:rPr>
                <w:sz w:val="16"/>
                <w:szCs w:val="16"/>
                <w:lang w:val="en-US"/>
              </w:rPr>
            </w:pPr>
          </w:p>
          <w:p w:rsidR="000C44C8" w:rsidRDefault="000C44C8" w:rsidP="00077B6F">
            <w:pPr>
              <w:keepLines/>
              <w:spacing w:before="120"/>
              <w:rPr>
                <w:sz w:val="16"/>
                <w:szCs w:val="16"/>
                <w:lang w:val="en-US"/>
              </w:rPr>
            </w:pPr>
          </w:p>
          <w:p w:rsidR="000C44C8" w:rsidRDefault="000C44C8" w:rsidP="00077B6F">
            <w:pPr>
              <w:keepLines/>
              <w:spacing w:before="120"/>
              <w:rPr>
                <w:sz w:val="16"/>
                <w:szCs w:val="16"/>
                <w:lang w:val="en-US"/>
              </w:rPr>
            </w:pPr>
          </w:p>
          <w:p w:rsidR="000C44C8" w:rsidRDefault="000C44C8" w:rsidP="00077B6F">
            <w:pPr>
              <w:keepLines/>
              <w:spacing w:before="120"/>
              <w:rPr>
                <w:sz w:val="16"/>
                <w:szCs w:val="16"/>
                <w:lang w:val="en-US"/>
              </w:rPr>
            </w:pPr>
          </w:p>
          <w:p w:rsidR="000C44C8" w:rsidRDefault="000C44C8" w:rsidP="00077B6F">
            <w:pPr>
              <w:keepLines/>
              <w:spacing w:before="120"/>
              <w:rPr>
                <w:sz w:val="16"/>
                <w:szCs w:val="16"/>
                <w:lang w:val="en-US"/>
              </w:rPr>
            </w:pPr>
          </w:p>
          <w:p w:rsidR="000C44C8" w:rsidRDefault="000C44C8" w:rsidP="00077B6F">
            <w:pPr>
              <w:keepLines/>
              <w:spacing w:before="120"/>
              <w:rPr>
                <w:sz w:val="16"/>
                <w:szCs w:val="16"/>
                <w:lang w:val="en-US"/>
              </w:rPr>
            </w:pPr>
          </w:p>
          <w:p w:rsidR="000C44C8" w:rsidRDefault="000C44C8" w:rsidP="00077B6F">
            <w:pPr>
              <w:keepLines/>
              <w:spacing w:before="120"/>
              <w:rPr>
                <w:sz w:val="16"/>
                <w:szCs w:val="16"/>
                <w:lang w:val="en-US"/>
              </w:rPr>
            </w:pPr>
          </w:p>
          <w:p w:rsidR="000C44C8" w:rsidRDefault="000C44C8" w:rsidP="00077B6F">
            <w:pPr>
              <w:keepLines/>
              <w:spacing w:before="120"/>
              <w:rPr>
                <w:sz w:val="16"/>
                <w:szCs w:val="16"/>
                <w:lang w:val="en-US"/>
              </w:rPr>
            </w:pPr>
            <w:r>
              <w:rPr>
                <w:sz w:val="16"/>
                <w:szCs w:val="16"/>
                <w:lang w:val="en-US"/>
              </w:rPr>
              <w:t>IRT/3</w:t>
            </w:r>
          </w:p>
          <w:p w:rsidR="000C44C8" w:rsidRDefault="000C44C8" w:rsidP="00077B6F">
            <w:pPr>
              <w:keepLines/>
              <w:spacing w:before="120"/>
              <w:rPr>
                <w:sz w:val="16"/>
                <w:szCs w:val="16"/>
                <w:lang w:val="en-US"/>
              </w:rPr>
            </w:pPr>
          </w:p>
          <w:p w:rsidR="000C44C8" w:rsidRDefault="000C44C8" w:rsidP="00077B6F">
            <w:pPr>
              <w:keepLines/>
              <w:spacing w:before="120"/>
              <w:rPr>
                <w:sz w:val="16"/>
                <w:szCs w:val="16"/>
                <w:lang w:val="en-US"/>
              </w:rPr>
            </w:pPr>
          </w:p>
          <w:p w:rsidR="000C44C8" w:rsidRDefault="000C44C8" w:rsidP="00077B6F">
            <w:pPr>
              <w:keepLines/>
              <w:spacing w:before="120"/>
              <w:rPr>
                <w:sz w:val="16"/>
                <w:szCs w:val="16"/>
                <w:lang w:val="en-US"/>
              </w:rPr>
            </w:pPr>
          </w:p>
          <w:p w:rsidR="000C44C8" w:rsidRDefault="000C44C8" w:rsidP="00077B6F">
            <w:pPr>
              <w:keepLines/>
              <w:spacing w:before="120"/>
              <w:rPr>
                <w:sz w:val="16"/>
                <w:szCs w:val="16"/>
                <w:lang w:val="en-US"/>
              </w:rPr>
            </w:pPr>
          </w:p>
          <w:p w:rsidR="000C44C8" w:rsidRDefault="000C44C8" w:rsidP="00077B6F">
            <w:pPr>
              <w:keepLines/>
              <w:spacing w:before="120"/>
              <w:rPr>
                <w:sz w:val="16"/>
                <w:szCs w:val="16"/>
                <w:lang w:val="en-US"/>
              </w:rPr>
            </w:pPr>
            <w:proofErr w:type="spellStart"/>
            <w:r>
              <w:rPr>
                <w:sz w:val="16"/>
                <w:szCs w:val="16"/>
                <w:lang w:val="en-US"/>
              </w:rPr>
              <w:t>Vislink</w:t>
            </w:r>
            <w:proofErr w:type="spellEnd"/>
            <w:r>
              <w:rPr>
                <w:sz w:val="16"/>
                <w:szCs w:val="16"/>
                <w:lang w:val="en-US"/>
              </w:rPr>
              <w:t>/3</w:t>
            </w:r>
          </w:p>
          <w:p w:rsidR="000C44C8" w:rsidRDefault="000C44C8" w:rsidP="00077B6F">
            <w:pPr>
              <w:keepLines/>
              <w:spacing w:before="120"/>
              <w:rPr>
                <w:sz w:val="16"/>
                <w:szCs w:val="16"/>
                <w:lang w:val="en-US"/>
              </w:rPr>
            </w:pPr>
          </w:p>
        </w:tc>
        <w:tc>
          <w:tcPr>
            <w:tcW w:w="689" w:type="pct"/>
            <w:gridSpan w:val="2"/>
          </w:tcPr>
          <w:p w:rsidR="000C44C8" w:rsidRDefault="000C44C8" w:rsidP="00673124">
            <w:pPr>
              <w:keepLines/>
              <w:spacing w:before="120"/>
              <w:rPr>
                <w:sz w:val="16"/>
                <w:szCs w:val="16"/>
                <w:lang w:val="en-US"/>
              </w:rPr>
            </w:pPr>
            <w:r>
              <w:rPr>
                <w:sz w:val="16"/>
                <w:szCs w:val="16"/>
                <w:lang w:val="en-US"/>
              </w:rPr>
              <w:t>Support the categories but PMSE/PPDR actual sharing might be difficult to achieve</w:t>
            </w:r>
          </w:p>
        </w:tc>
        <w:tc>
          <w:tcPr>
            <w:tcW w:w="2676" w:type="pct"/>
          </w:tcPr>
          <w:p w:rsidR="000C44C8" w:rsidRPr="00CB6E08" w:rsidRDefault="000C44C8" w:rsidP="00871AD3">
            <w:pPr>
              <w:pStyle w:val="Default"/>
              <w:rPr>
                <w:i/>
                <w:iCs/>
                <w:sz w:val="20"/>
                <w:szCs w:val="20"/>
              </w:rPr>
            </w:pPr>
            <w:r w:rsidRPr="00CB6E08">
              <w:rPr>
                <w:i/>
                <w:iCs/>
                <w:sz w:val="20"/>
                <w:szCs w:val="20"/>
              </w:rPr>
              <w:t>But for the actual sharing it should be noted that especially for the PMSE, PPDR pool</w:t>
            </w:r>
            <w:r>
              <w:rPr>
                <w:i/>
                <w:iCs/>
                <w:sz w:val="20"/>
                <w:szCs w:val="20"/>
              </w:rPr>
              <w:t xml:space="preserve"> </w:t>
            </w:r>
            <w:r w:rsidRPr="00CB6E08">
              <w:rPr>
                <w:i/>
                <w:iCs/>
                <w:sz w:val="20"/>
                <w:szCs w:val="20"/>
              </w:rPr>
              <w:t>the same tech characteristic but the usage by different stakeholders makes a sharing difficult.</w:t>
            </w:r>
          </w:p>
          <w:p w:rsidR="000C44C8" w:rsidRPr="00CB6E08" w:rsidRDefault="000C44C8" w:rsidP="00CB6E08">
            <w:pPr>
              <w:pStyle w:val="Default"/>
              <w:rPr>
                <w:i/>
                <w:iCs/>
                <w:sz w:val="20"/>
                <w:szCs w:val="20"/>
              </w:rPr>
            </w:pPr>
            <w:r w:rsidRPr="00CB6E08">
              <w:rPr>
                <w:i/>
                <w:iCs/>
                <w:sz w:val="20"/>
                <w:szCs w:val="20"/>
              </w:rPr>
              <w:t>Both – PMSE and PPDR applications share some technical similarities. Nevertheless</w:t>
            </w:r>
          </w:p>
          <w:p w:rsidR="000C44C8" w:rsidRPr="00CB6E08" w:rsidRDefault="000C44C8" w:rsidP="00CB6E08">
            <w:pPr>
              <w:pStyle w:val="Default"/>
              <w:rPr>
                <w:i/>
                <w:iCs/>
                <w:sz w:val="20"/>
                <w:szCs w:val="20"/>
              </w:rPr>
            </w:pPr>
            <w:r w:rsidRPr="00CB6E08">
              <w:rPr>
                <w:i/>
                <w:iCs/>
                <w:sz w:val="20"/>
                <w:szCs w:val="20"/>
              </w:rPr>
              <w:t>it’s crucial for both applications to use a designated frequency spectrum free of interference</w:t>
            </w:r>
          </w:p>
          <w:p w:rsidR="000C44C8" w:rsidRPr="00CB6E08" w:rsidRDefault="000C44C8" w:rsidP="00CB6E08">
            <w:pPr>
              <w:pStyle w:val="Default"/>
              <w:rPr>
                <w:i/>
                <w:iCs/>
                <w:sz w:val="20"/>
                <w:szCs w:val="20"/>
              </w:rPr>
            </w:pPr>
            <w:proofErr w:type="gramStart"/>
            <w:r w:rsidRPr="00CB6E08">
              <w:rPr>
                <w:i/>
                <w:iCs/>
                <w:sz w:val="20"/>
                <w:szCs w:val="20"/>
              </w:rPr>
              <w:t>and</w:t>
            </w:r>
            <w:proofErr w:type="gramEnd"/>
            <w:r w:rsidRPr="00CB6E08">
              <w:rPr>
                <w:i/>
                <w:iCs/>
                <w:sz w:val="20"/>
                <w:szCs w:val="20"/>
              </w:rPr>
              <w:t xml:space="preserve"> cross-usage.</w:t>
            </w:r>
          </w:p>
          <w:p w:rsidR="000C44C8" w:rsidRPr="00CB6E08" w:rsidRDefault="000C44C8" w:rsidP="00CB6E08">
            <w:pPr>
              <w:pStyle w:val="Default"/>
              <w:rPr>
                <w:i/>
                <w:iCs/>
                <w:sz w:val="20"/>
                <w:szCs w:val="20"/>
              </w:rPr>
            </w:pPr>
            <w:r w:rsidRPr="00CB6E08">
              <w:rPr>
                <w:i/>
                <w:iCs/>
                <w:sz w:val="20"/>
                <w:szCs w:val="20"/>
              </w:rPr>
              <w:t>Most likely PMSE and PPDR applications will take place at the same time and location.</w:t>
            </w:r>
          </w:p>
          <w:p w:rsidR="000C44C8" w:rsidRPr="00CB6E08" w:rsidRDefault="000C44C8" w:rsidP="00CB6E08">
            <w:pPr>
              <w:pStyle w:val="Default"/>
              <w:rPr>
                <w:i/>
                <w:iCs/>
                <w:sz w:val="20"/>
                <w:szCs w:val="20"/>
              </w:rPr>
            </w:pPr>
            <w:r w:rsidRPr="00CB6E08">
              <w:rPr>
                <w:i/>
                <w:iCs/>
                <w:sz w:val="20"/>
                <w:szCs w:val="20"/>
              </w:rPr>
              <w:t>Nearly all major events (regardless if sport events, elections …) will surely require</w:t>
            </w:r>
          </w:p>
          <w:p w:rsidR="000C44C8" w:rsidRDefault="000C44C8" w:rsidP="00CB6E08">
            <w:pPr>
              <w:pStyle w:val="Default"/>
              <w:rPr>
                <w:i/>
                <w:iCs/>
                <w:sz w:val="20"/>
                <w:szCs w:val="20"/>
              </w:rPr>
            </w:pPr>
            <w:proofErr w:type="gramStart"/>
            <w:r w:rsidRPr="00CB6E08">
              <w:rPr>
                <w:i/>
                <w:iCs/>
                <w:sz w:val="20"/>
                <w:szCs w:val="20"/>
              </w:rPr>
              <w:t>the</w:t>
            </w:r>
            <w:proofErr w:type="gramEnd"/>
            <w:r w:rsidRPr="00CB6E08">
              <w:rPr>
                <w:i/>
                <w:iCs/>
                <w:sz w:val="20"/>
                <w:szCs w:val="20"/>
              </w:rPr>
              <w:t xml:space="preserve"> usage of frequencies for public protection as well as for TV broadcast purposes.</w:t>
            </w:r>
          </w:p>
          <w:p w:rsidR="000C44C8" w:rsidRPr="00CB6E08" w:rsidRDefault="000C44C8" w:rsidP="00CB6E08">
            <w:pPr>
              <w:pStyle w:val="Default"/>
              <w:rPr>
                <w:i/>
                <w:iCs/>
                <w:sz w:val="20"/>
                <w:szCs w:val="20"/>
              </w:rPr>
            </w:pPr>
          </w:p>
          <w:p w:rsidR="000C44C8" w:rsidRPr="00CB6E08" w:rsidRDefault="000C44C8" w:rsidP="00CB6E08">
            <w:pPr>
              <w:pStyle w:val="Default"/>
              <w:rPr>
                <w:i/>
                <w:iCs/>
                <w:sz w:val="20"/>
                <w:szCs w:val="20"/>
              </w:rPr>
            </w:pPr>
            <w:r w:rsidRPr="00CB6E08">
              <w:rPr>
                <w:i/>
                <w:iCs/>
                <w:sz w:val="20"/>
                <w:szCs w:val="20"/>
              </w:rPr>
              <w:t>Especially in the event of disaster relief a quick coordination of both services is not</w:t>
            </w:r>
            <w:r>
              <w:rPr>
                <w:i/>
                <w:iCs/>
                <w:sz w:val="20"/>
                <w:szCs w:val="20"/>
              </w:rPr>
              <w:t xml:space="preserve"> </w:t>
            </w:r>
            <w:r w:rsidRPr="00CB6E08">
              <w:rPr>
                <w:i/>
                <w:iCs/>
                <w:sz w:val="20"/>
                <w:szCs w:val="20"/>
              </w:rPr>
              <w:t>practical. Therefore both applications should be allocated to different frequency domains</w:t>
            </w:r>
          </w:p>
          <w:p w:rsidR="000C44C8" w:rsidRDefault="000C44C8" w:rsidP="00CB6E08">
            <w:pPr>
              <w:pStyle w:val="Default"/>
              <w:rPr>
                <w:i/>
                <w:iCs/>
                <w:sz w:val="20"/>
                <w:szCs w:val="20"/>
              </w:rPr>
            </w:pPr>
            <w:proofErr w:type="gramStart"/>
            <w:r w:rsidRPr="00CB6E08">
              <w:rPr>
                <w:i/>
                <w:iCs/>
                <w:sz w:val="20"/>
                <w:szCs w:val="20"/>
              </w:rPr>
              <w:t>in</w:t>
            </w:r>
            <w:proofErr w:type="gramEnd"/>
            <w:r w:rsidRPr="00CB6E08">
              <w:rPr>
                <w:i/>
                <w:iCs/>
                <w:sz w:val="20"/>
                <w:szCs w:val="20"/>
              </w:rPr>
              <w:t xml:space="preserve"> advance.</w:t>
            </w:r>
          </w:p>
          <w:p w:rsidR="000C44C8" w:rsidRDefault="000C44C8" w:rsidP="00CB6E08">
            <w:pPr>
              <w:pStyle w:val="Default"/>
              <w:rPr>
                <w:i/>
                <w:iCs/>
                <w:sz w:val="20"/>
                <w:szCs w:val="20"/>
              </w:rPr>
            </w:pPr>
          </w:p>
          <w:p w:rsidR="000C44C8" w:rsidRPr="00EF48C2" w:rsidRDefault="000C44C8" w:rsidP="00CB6E08">
            <w:pPr>
              <w:pStyle w:val="Default"/>
              <w:rPr>
                <w:sz w:val="20"/>
                <w:szCs w:val="20"/>
              </w:rPr>
            </w:pPr>
            <w:r w:rsidRPr="00EF48C2">
              <w:rPr>
                <w:sz w:val="20"/>
                <w:szCs w:val="20"/>
              </w:rPr>
              <w:t>Addressing Section 3, PMSE and PPDR do share some technical and operational commonality; they are also very likely to be called into action at the same event, a breaking news story or a disaster site.  Such situations by their very nature are unplanned, happen at short notice and therefore don’t offer any opportunity for pre-planning or coordination.</w:t>
            </w:r>
          </w:p>
        </w:tc>
        <w:tc>
          <w:tcPr>
            <w:tcW w:w="1283" w:type="pct"/>
          </w:tcPr>
          <w:p w:rsidR="000C44C8" w:rsidRDefault="002B3744" w:rsidP="002B3744">
            <w:pPr>
              <w:keepLines/>
              <w:spacing w:before="120"/>
              <w:jc w:val="both"/>
              <w:rPr>
                <w:sz w:val="16"/>
                <w:szCs w:val="16"/>
                <w:lang w:val="en-US"/>
              </w:rPr>
            </w:pPr>
            <w:r>
              <w:rPr>
                <w:sz w:val="16"/>
                <w:szCs w:val="16"/>
                <w:lang w:val="en-US"/>
              </w:rPr>
              <w:t xml:space="preserve">Support for PMSE/PPDR category reflected in Annex 2 to document </w:t>
            </w:r>
            <w:proofErr w:type="gramStart"/>
            <w:r>
              <w:rPr>
                <w:sz w:val="16"/>
                <w:szCs w:val="16"/>
                <w:lang w:val="en-US"/>
              </w:rPr>
              <w:t>FM(</w:t>
            </w:r>
            <w:proofErr w:type="gramEnd"/>
            <w:r>
              <w:rPr>
                <w:sz w:val="16"/>
                <w:szCs w:val="16"/>
                <w:lang w:val="en-US"/>
              </w:rPr>
              <w:t>14)037 Annex1 (The outline of CEPT’s response).</w:t>
            </w:r>
          </w:p>
          <w:p w:rsidR="002B3744" w:rsidRDefault="002B3744" w:rsidP="002B3744">
            <w:pPr>
              <w:keepLines/>
              <w:spacing w:before="120"/>
              <w:jc w:val="both"/>
              <w:rPr>
                <w:sz w:val="16"/>
                <w:szCs w:val="16"/>
                <w:lang w:val="en-US"/>
              </w:rPr>
            </w:pPr>
            <w:r>
              <w:rPr>
                <w:sz w:val="16"/>
                <w:szCs w:val="16"/>
                <w:lang w:val="en-US"/>
              </w:rPr>
              <w:t>A coordination example between PMSE and PPDR reflected in section 3.6 of The outline of CEPT’s response.</w:t>
            </w:r>
          </w:p>
        </w:tc>
      </w:tr>
      <w:tr w:rsidR="000C44C8" w:rsidRPr="00871AD3" w:rsidTr="00BE4997">
        <w:tblPrEx>
          <w:tblCellMar>
            <w:top w:w="0" w:type="dxa"/>
            <w:bottom w:w="0" w:type="dxa"/>
          </w:tblCellMar>
        </w:tblPrEx>
        <w:trPr>
          <w:cantSplit/>
          <w:trHeight w:val="765"/>
          <w:tblHeader/>
        </w:trPr>
        <w:tc>
          <w:tcPr>
            <w:tcW w:w="352" w:type="pct"/>
          </w:tcPr>
          <w:p w:rsidR="000C44C8" w:rsidRDefault="000C44C8" w:rsidP="00077B6F">
            <w:pPr>
              <w:keepLines/>
              <w:spacing w:before="120"/>
              <w:rPr>
                <w:sz w:val="16"/>
                <w:szCs w:val="16"/>
                <w:lang w:val="en-US"/>
              </w:rPr>
            </w:pPr>
            <w:r>
              <w:rPr>
                <w:sz w:val="16"/>
                <w:szCs w:val="16"/>
                <w:lang w:val="en-US"/>
              </w:rPr>
              <w:t>NPO/4</w:t>
            </w:r>
          </w:p>
        </w:tc>
        <w:tc>
          <w:tcPr>
            <w:tcW w:w="689" w:type="pct"/>
            <w:gridSpan w:val="2"/>
          </w:tcPr>
          <w:p w:rsidR="000C44C8" w:rsidRDefault="000C44C8" w:rsidP="00077B6F">
            <w:pPr>
              <w:keepLines/>
              <w:spacing w:before="120"/>
              <w:rPr>
                <w:sz w:val="16"/>
                <w:szCs w:val="16"/>
                <w:lang w:val="en-US"/>
              </w:rPr>
            </w:pPr>
            <w:r>
              <w:rPr>
                <w:sz w:val="16"/>
                <w:szCs w:val="16"/>
                <w:lang w:val="en-US"/>
              </w:rPr>
              <w:t>PMSE/PPDR require c</w:t>
            </w:r>
            <w:r w:rsidRPr="00077B6F">
              <w:rPr>
                <w:sz w:val="16"/>
                <w:szCs w:val="16"/>
                <w:lang w:val="en-US"/>
              </w:rPr>
              <w:t>oordination</w:t>
            </w:r>
            <w:r>
              <w:rPr>
                <w:sz w:val="16"/>
                <w:szCs w:val="16"/>
                <w:lang w:val="en-US"/>
              </w:rPr>
              <w:t xml:space="preserve">; </w:t>
            </w:r>
            <w:r w:rsidRPr="00077B6F">
              <w:rPr>
                <w:sz w:val="16"/>
                <w:szCs w:val="16"/>
                <w:lang w:val="en-US"/>
              </w:rPr>
              <w:t>should be done on a national level</w:t>
            </w:r>
          </w:p>
        </w:tc>
        <w:tc>
          <w:tcPr>
            <w:tcW w:w="2676" w:type="pct"/>
          </w:tcPr>
          <w:p w:rsidR="000C44C8" w:rsidRPr="00077B6F" w:rsidRDefault="000C44C8" w:rsidP="00077B6F">
            <w:pPr>
              <w:pStyle w:val="Default"/>
              <w:rPr>
                <w:i/>
                <w:iCs/>
                <w:sz w:val="20"/>
                <w:szCs w:val="20"/>
              </w:rPr>
            </w:pPr>
            <w:r w:rsidRPr="00077B6F">
              <w:rPr>
                <w:i/>
                <w:iCs/>
                <w:sz w:val="20"/>
                <w:szCs w:val="20"/>
              </w:rPr>
              <w:t>Yes.</w:t>
            </w:r>
          </w:p>
          <w:p w:rsidR="000C44C8" w:rsidRPr="00CB6E08" w:rsidRDefault="000C44C8" w:rsidP="00077B6F">
            <w:pPr>
              <w:pStyle w:val="Default"/>
              <w:rPr>
                <w:i/>
                <w:iCs/>
                <w:sz w:val="20"/>
                <w:szCs w:val="20"/>
              </w:rPr>
            </w:pPr>
            <w:r w:rsidRPr="00077B6F">
              <w:rPr>
                <w:i/>
                <w:iCs/>
                <w:sz w:val="20"/>
                <w:szCs w:val="20"/>
              </w:rPr>
              <w:t xml:space="preserve">PMSE and PPDR do share technical similarities and characteristics. Actual usage might conflict in case of large scale disasters. In such cases PPDR needs spectrum for their relief actions and the broadcaster (especially the Public Service broadcaster with an obligation of informing the public in case of a disaster) requires the same spectrum for their activities. Coordination is of vital importance. When both </w:t>
            </w:r>
            <w:proofErr w:type="spellStart"/>
            <w:proofErr w:type="gramStart"/>
            <w:r w:rsidRPr="00077B6F">
              <w:rPr>
                <w:i/>
                <w:iCs/>
                <w:sz w:val="20"/>
                <w:szCs w:val="20"/>
              </w:rPr>
              <w:t>organisation</w:t>
            </w:r>
            <w:proofErr w:type="spellEnd"/>
            <w:proofErr w:type="gramEnd"/>
            <w:r w:rsidRPr="00077B6F">
              <w:rPr>
                <w:i/>
                <w:iCs/>
                <w:sz w:val="20"/>
                <w:szCs w:val="20"/>
              </w:rPr>
              <w:t xml:space="preserve"> use the same technology and infrastructure sharing of that technology and infrastructure is possible and advised. Coordination should be done on a national level where minimal capacity to both </w:t>
            </w:r>
            <w:proofErr w:type="gramStart"/>
            <w:r w:rsidRPr="00077B6F">
              <w:rPr>
                <w:i/>
                <w:iCs/>
                <w:sz w:val="20"/>
                <w:szCs w:val="20"/>
              </w:rPr>
              <w:t>application</w:t>
            </w:r>
            <w:proofErr w:type="gramEnd"/>
            <w:r w:rsidRPr="00077B6F">
              <w:rPr>
                <w:i/>
                <w:iCs/>
                <w:sz w:val="20"/>
                <w:szCs w:val="20"/>
              </w:rPr>
              <w:t xml:space="preserve"> should be guaranteed.</w:t>
            </w:r>
          </w:p>
        </w:tc>
        <w:tc>
          <w:tcPr>
            <w:tcW w:w="1283" w:type="pct"/>
          </w:tcPr>
          <w:p w:rsidR="002B3744" w:rsidRDefault="002B3744" w:rsidP="002B3744">
            <w:pPr>
              <w:keepLines/>
              <w:spacing w:before="120"/>
              <w:jc w:val="both"/>
              <w:rPr>
                <w:sz w:val="16"/>
                <w:szCs w:val="16"/>
                <w:lang w:val="en-US"/>
              </w:rPr>
            </w:pPr>
            <w:r>
              <w:rPr>
                <w:sz w:val="16"/>
                <w:szCs w:val="16"/>
                <w:lang w:val="en-US"/>
              </w:rPr>
              <w:t xml:space="preserve">Support for PMSE/PPDR category reflected in Annex 2 to document </w:t>
            </w:r>
            <w:proofErr w:type="gramStart"/>
            <w:r>
              <w:rPr>
                <w:sz w:val="16"/>
                <w:szCs w:val="16"/>
                <w:lang w:val="en-US"/>
              </w:rPr>
              <w:t>FM(</w:t>
            </w:r>
            <w:proofErr w:type="gramEnd"/>
            <w:r>
              <w:rPr>
                <w:sz w:val="16"/>
                <w:szCs w:val="16"/>
                <w:lang w:val="en-US"/>
              </w:rPr>
              <w:t>14)037 Annex1 (The outline of CEPT’s response).</w:t>
            </w:r>
          </w:p>
          <w:p w:rsidR="000C44C8" w:rsidRDefault="002B3744" w:rsidP="002B3744">
            <w:pPr>
              <w:keepLines/>
              <w:spacing w:before="120"/>
              <w:jc w:val="both"/>
              <w:rPr>
                <w:sz w:val="16"/>
                <w:szCs w:val="16"/>
                <w:lang w:val="en-US"/>
              </w:rPr>
            </w:pPr>
            <w:r>
              <w:rPr>
                <w:sz w:val="16"/>
                <w:szCs w:val="16"/>
                <w:lang w:val="en-US"/>
              </w:rPr>
              <w:t>A coordination example between PMSE and PPDR reflected in section 3.6 of The outline of CEPT’s response.</w:t>
            </w:r>
          </w:p>
        </w:tc>
      </w:tr>
      <w:tr w:rsidR="000C44C8" w:rsidRPr="00871AD3" w:rsidTr="00BE4997">
        <w:tblPrEx>
          <w:tblCellMar>
            <w:top w:w="0" w:type="dxa"/>
            <w:bottom w:w="0" w:type="dxa"/>
          </w:tblCellMar>
        </w:tblPrEx>
        <w:trPr>
          <w:cantSplit/>
          <w:trHeight w:val="765"/>
          <w:tblHeader/>
        </w:trPr>
        <w:tc>
          <w:tcPr>
            <w:tcW w:w="352" w:type="pct"/>
          </w:tcPr>
          <w:p w:rsidR="000C44C8" w:rsidRDefault="000C44C8" w:rsidP="00B921AE">
            <w:pPr>
              <w:keepLines/>
              <w:spacing w:before="120"/>
              <w:rPr>
                <w:sz w:val="16"/>
                <w:szCs w:val="16"/>
                <w:lang w:val="en-US"/>
              </w:rPr>
            </w:pPr>
            <w:r>
              <w:rPr>
                <w:sz w:val="16"/>
                <w:szCs w:val="16"/>
                <w:lang w:val="en-US"/>
              </w:rPr>
              <w:t>France/4</w:t>
            </w:r>
          </w:p>
        </w:tc>
        <w:tc>
          <w:tcPr>
            <w:tcW w:w="689" w:type="pct"/>
            <w:gridSpan w:val="2"/>
          </w:tcPr>
          <w:p w:rsidR="000C44C8" w:rsidRDefault="000C44C8" w:rsidP="00DE038B">
            <w:pPr>
              <w:keepLines/>
              <w:spacing w:before="120"/>
              <w:rPr>
                <w:sz w:val="16"/>
                <w:szCs w:val="16"/>
                <w:lang w:val="en-US"/>
              </w:rPr>
            </w:pPr>
            <w:r>
              <w:rPr>
                <w:sz w:val="16"/>
                <w:szCs w:val="16"/>
                <w:lang w:val="en-US"/>
              </w:rPr>
              <w:t>Clarify synergies between PPDR and PMSE</w:t>
            </w:r>
          </w:p>
          <w:p w:rsidR="000C44C8" w:rsidRDefault="000C44C8" w:rsidP="00DE038B">
            <w:pPr>
              <w:keepLines/>
              <w:spacing w:before="120"/>
              <w:rPr>
                <w:sz w:val="16"/>
                <w:szCs w:val="16"/>
                <w:lang w:val="en-US"/>
              </w:rPr>
            </w:pPr>
            <w:r>
              <w:rPr>
                <w:sz w:val="16"/>
                <w:szCs w:val="16"/>
                <w:lang w:val="en-US"/>
              </w:rPr>
              <w:t>DVB-T vs LTE</w:t>
            </w:r>
          </w:p>
          <w:p w:rsidR="000C44C8" w:rsidRDefault="000C44C8" w:rsidP="00DE038B">
            <w:pPr>
              <w:keepLines/>
              <w:spacing w:before="120"/>
              <w:rPr>
                <w:sz w:val="16"/>
                <w:szCs w:val="16"/>
                <w:lang w:val="en-US"/>
              </w:rPr>
            </w:pPr>
            <w:r>
              <w:rPr>
                <w:sz w:val="16"/>
                <w:szCs w:val="16"/>
                <w:lang w:val="en-US"/>
              </w:rPr>
              <w:t>1-way/2-way</w:t>
            </w:r>
          </w:p>
          <w:p w:rsidR="000C44C8" w:rsidRDefault="000C44C8" w:rsidP="00DE038B">
            <w:pPr>
              <w:keepLines/>
              <w:spacing w:before="120"/>
              <w:rPr>
                <w:sz w:val="16"/>
                <w:szCs w:val="16"/>
                <w:lang w:val="en-US"/>
              </w:rPr>
            </w:pPr>
            <w:r>
              <w:rPr>
                <w:sz w:val="16"/>
                <w:szCs w:val="16"/>
                <w:lang w:val="en-US"/>
              </w:rPr>
              <w:t>PPDR: not only video</w:t>
            </w:r>
          </w:p>
        </w:tc>
        <w:tc>
          <w:tcPr>
            <w:tcW w:w="2676" w:type="pct"/>
          </w:tcPr>
          <w:p w:rsidR="000C44C8" w:rsidRPr="003632E4" w:rsidRDefault="000C44C8" w:rsidP="003632E4">
            <w:pPr>
              <w:pStyle w:val="Default"/>
              <w:rPr>
                <w:i/>
                <w:iCs/>
                <w:sz w:val="20"/>
                <w:szCs w:val="20"/>
              </w:rPr>
            </w:pPr>
            <w:r w:rsidRPr="003632E4">
              <w:rPr>
                <w:i/>
                <w:iCs/>
                <w:sz w:val="20"/>
                <w:szCs w:val="20"/>
              </w:rPr>
              <w:t xml:space="preserve">It is believed that there is some synergy between PMSE video and PPDR video application. However, it should be noted that PMSE video use DVB-T technology (COFDM) while PPDR could use other technology such as LTE which may create compatibility issues. </w:t>
            </w:r>
          </w:p>
          <w:p w:rsidR="000C44C8" w:rsidRPr="003632E4" w:rsidRDefault="000C44C8" w:rsidP="003632E4">
            <w:pPr>
              <w:pStyle w:val="Default"/>
              <w:rPr>
                <w:i/>
                <w:iCs/>
                <w:sz w:val="20"/>
                <w:szCs w:val="20"/>
              </w:rPr>
            </w:pPr>
            <w:r w:rsidRPr="003632E4">
              <w:rPr>
                <w:i/>
                <w:iCs/>
                <w:sz w:val="20"/>
                <w:szCs w:val="20"/>
              </w:rPr>
              <w:t xml:space="preserve">Additionally, ECC </w:t>
            </w:r>
            <w:r>
              <w:rPr>
                <w:i/>
                <w:iCs/>
                <w:sz w:val="20"/>
                <w:szCs w:val="20"/>
              </w:rPr>
              <w:t>R</w:t>
            </w:r>
            <w:r w:rsidRPr="003632E4">
              <w:rPr>
                <w:i/>
                <w:iCs/>
                <w:sz w:val="20"/>
                <w:szCs w:val="20"/>
              </w:rPr>
              <w:t xml:space="preserve">eport 199 on User requirements and spectrum needs for future European broadband PPDR systems (Wide Area Networks) defines ad-hoc networks as : </w:t>
            </w:r>
          </w:p>
          <w:p w:rsidR="000C44C8" w:rsidRPr="003632E4" w:rsidRDefault="000C44C8" w:rsidP="003632E4">
            <w:pPr>
              <w:pStyle w:val="Default"/>
              <w:rPr>
                <w:i/>
                <w:iCs/>
                <w:sz w:val="20"/>
                <w:szCs w:val="20"/>
              </w:rPr>
            </w:pPr>
            <w:r w:rsidRPr="003632E4">
              <w:rPr>
                <w:i/>
                <w:iCs/>
                <w:sz w:val="20"/>
                <w:szCs w:val="20"/>
              </w:rPr>
              <w:t>“A temporary local network for extra capacity to support the additional traffic caused by mass events or disasters and to avoid local overload of the wide area networks. It can also be used for temporary provision of network services in an area where there is no coverage”.</w:t>
            </w:r>
          </w:p>
          <w:p w:rsidR="000C44C8" w:rsidRPr="003632E4" w:rsidRDefault="000C44C8" w:rsidP="003632E4">
            <w:pPr>
              <w:pStyle w:val="Default"/>
              <w:rPr>
                <w:i/>
                <w:iCs/>
                <w:sz w:val="20"/>
                <w:szCs w:val="20"/>
              </w:rPr>
            </w:pPr>
            <w:r w:rsidRPr="003632E4">
              <w:rPr>
                <w:i/>
                <w:iCs/>
                <w:sz w:val="20"/>
                <w:szCs w:val="20"/>
              </w:rPr>
              <w:t xml:space="preserve">Therefore, PPDR services may not be limited to video. Some other PPDR use cases are describing Voice communications, situation awareness (enabler of emergency forces’ own security) </w:t>
            </w:r>
            <w:proofErr w:type="gramStart"/>
            <w:r w:rsidRPr="003632E4">
              <w:rPr>
                <w:i/>
                <w:iCs/>
                <w:sz w:val="20"/>
                <w:szCs w:val="20"/>
              </w:rPr>
              <w:t>and  wireless</w:t>
            </w:r>
            <w:proofErr w:type="gramEnd"/>
            <w:r w:rsidRPr="003632E4">
              <w:rPr>
                <w:i/>
                <w:iCs/>
                <w:sz w:val="20"/>
                <w:szCs w:val="20"/>
              </w:rPr>
              <w:t xml:space="preserve"> broadband intranet and internet access for examples.</w:t>
            </w:r>
          </w:p>
          <w:p w:rsidR="000C44C8" w:rsidRPr="00077B6F" w:rsidRDefault="000C44C8" w:rsidP="003632E4">
            <w:pPr>
              <w:pStyle w:val="Default"/>
              <w:rPr>
                <w:i/>
                <w:iCs/>
                <w:sz w:val="20"/>
                <w:szCs w:val="20"/>
              </w:rPr>
            </w:pPr>
            <w:r w:rsidRPr="003632E4">
              <w:rPr>
                <w:i/>
                <w:iCs/>
                <w:sz w:val="20"/>
                <w:szCs w:val="20"/>
              </w:rPr>
              <w:t>To conclude, the principle of the synergy should be clarified accordingly.</w:t>
            </w:r>
          </w:p>
        </w:tc>
        <w:tc>
          <w:tcPr>
            <w:tcW w:w="1283" w:type="pct"/>
          </w:tcPr>
          <w:p w:rsidR="002B3744" w:rsidRDefault="002B3744" w:rsidP="002B3744">
            <w:pPr>
              <w:keepLines/>
              <w:spacing w:before="120"/>
              <w:jc w:val="both"/>
              <w:rPr>
                <w:sz w:val="16"/>
                <w:szCs w:val="16"/>
                <w:lang w:val="en-US"/>
              </w:rPr>
            </w:pPr>
            <w:r>
              <w:rPr>
                <w:sz w:val="16"/>
                <w:szCs w:val="16"/>
                <w:lang w:val="en-US"/>
              </w:rPr>
              <w:t xml:space="preserve">Support for PMSE/PPDR category reflected in Annex 2 to document </w:t>
            </w:r>
            <w:proofErr w:type="gramStart"/>
            <w:r>
              <w:rPr>
                <w:sz w:val="16"/>
                <w:szCs w:val="16"/>
                <w:lang w:val="en-US"/>
              </w:rPr>
              <w:t>FM(</w:t>
            </w:r>
            <w:proofErr w:type="gramEnd"/>
            <w:r>
              <w:rPr>
                <w:sz w:val="16"/>
                <w:szCs w:val="16"/>
                <w:lang w:val="en-US"/>
              </w:rPr>
              <w:t>14)037 Annex1 (The outline of CEPT’s response)</w:t>
            </w:r>
            <w:r w:rsidR="00CB5F44">
              <w:rPr>
                <w:sz w:val="16"/>
                <w:szCs w:val="16"/>
                <w:lang w:val="en-US"/>
              </w:rPr>
              <w:t>; principle of synergy should be clarified. It is noted that PPDR services may not be limited to video.</w:t>
            </w:r>
          </w:p>
          <w:p w:rsidR="000C44C8" w:rsidRDefault="000C44C8" w:rsidP="002B3744">
            <w:pPr>
              <w:keepLines/>
              <w:spacing w:before="120"/>
              <w:jc w:val="both"/>
              <w:rPr>
                <w:sz w:val="16"/>
                <w:szCs w:val="16"/>
                <w:lang w:val="en-US"/>
              </w:rPr>
            </w:pPr>
          </w:p>
        </w:tc>
      </w:tr>
      <w:tr w:rsidR="000C44C8" w:rsidRPr="00871AD3" w:rsidTr="00BE4997">
        <w:tblPrEx>
          <w:tblCellMar>
            <w:top w:w="0" w:type="dxa"/>
            <w:bottom w:w="0" w:type="dxa"/>
          </w:tblCellMar>
        </w:tblPrEx>
        <w:trPr>
          <w:cantSplit/>
          <w:trHeight w:val="765"/>
          <w:tblHeader/>
        </w:trPr>
        <w:tc>
          <w:tcPr>
            <w:tcW w:w="352" w:type="pct"/>
          </w:tcPr>
          <w:p w:rsidR="000C44C8" w:rsidRDefault="000C44C8" w:rsidP="00077B6F">
            <w:pPr>
              <w:keepLines/>
              <w:spacing w:before="120"/>
              <w:rPr>
                <w:sz w:val="16"/>
                <w:szCs w:val="16"/>
                <w:lang w:val="en-US"/>
              </w:rPr>
            </w:pPr>
            <w:r>
              <w:rPr>
                <w:sz w:val="16"/>
                <w:szCs w:val="16"/>
                <w:lang w:val="en-US"/>
              </w:rPr>
              <w:t>Sweden/4</w:t>
            </w:r>
          </w:p>
        </w:tc>
        <w:tc>
          <w:tcPr>
            <w:tcW w:w="689" w:type="pct"/>
            <w:gridSpan w:val="2"/>
          </w:tcPr>
          <w:p w:rsidR="000C44C8" w:rsidRDefault="00BE4997" w:rsidP="00DE038B">
            <w:pPr>
              <w:keepLines/>
              <w:spacing w:before="120"/>
              <w:rPr>
                <w:sz w:val="16"/>
                <w:szCs w:val="16"/>
                <w:lang w:val="en-US"/>
              </w:rPr>
            </w:pPr>
            <w:r>
              <w:rPr>
                <w:sz w:val="16"/>
                <w:szCs w:val="16"/>
                <w:lang w:val="en-US"/>
              </w:rPr>
              <w:t xml:space="preserve">Support. </w:t>
            </w:r>
            <w:r w:rsidR="000C44C8" w:rsidRPr="000C44C8">
              <w:rPr>
                <w:sz w:val="16"/>
                <w:szCs w:val="16"/>
                <w:lang w:val="en-US"/>
              </w:rPr>
              <w:t>National use and licensing should be decided on national level.</w:t>
            </w:r>
          </w:p>
        </w:tc>
        <w:tc>
          <w:tcPr>
            <w:tcW w:w="2676" w:type="pct"/>
          </w:tcPr>
          <w:p w:rsidR="000C44C8" w:rsidRPr="000C44C8" w:rsidRDefault="000C44C8" w:rsidP="000C44C8">
            <w:pPr>
              <w:pStyle w:val="Default"/>
              <w:rPr>
                <w:i/>
                <w:iCs/>
                <w:sz w:val="20"/>
                <w:szCs w:val="20"/>
              </w:rPr>
            </w:pPr>
            <w:r w:rsidRPr="000C44C8">
              <w:rPr>
                <w:i/>
                <w:iCs/>
                <w:sz w:val="20"/>
                <w:szCs w:val="20"/>
              </w:rPr>
              <w:t xml:space="preserve">Yes. </w:t>
            </w:r>
          </w:p>
          <w:p w:rsidR="000C44C8" w:rsidRPr="003632E4" w:rsidRDefault="000C44C8" w:rsidP="000C44C8">
            <w:pPr>
              <w:pStyle w:val="Default"/>
              <w:rPr>
                <w:i/>
                <w:iCs/>
                <w:sz w:val="20"/>
                <w:szCs w:val="20"/>
              </w:rPr>
            </w:pPr>
            <w:r w:rsidRPr="000C44C8">
              <w:rPr>
                <w:i/>
                <w:iCs/>
                <w:sz w:val="20"/>
                <w:szCs w:val="20"/>
              </w:rPr>
              <w:t xml:space="preserve">Comment: Given that spectrum is </w:t>
            </w:r>
            <w:proofErr w:type="spellStart"/>
            <w:r w:rsidRPr="000C44C8">
              <w:rPr>
                <w:i/>
                <w:iCs/>
                <w:sz w:val="20"/>
                <w:szCs w:val="20"/>
              </w:rPr>
              <w:t>harmonised</w:t>
            </w:r>
            <w:proofErr w:type="spellEnd"/>
            <w:r w:rsidRPr="000C44C8">
              <w:rPr>
                <w:i/>
                <w:iCs/>
                <w:sz w:val="20"/>
                <w:szCs w:val="20"/>
              </w:rPr>
              <w:t xml:space="preserve"> for PMSE use, there is no reason not to also include PPDR as another possible application if same or similar equipment is used. National use and licensing should be decided on national level.</w:t>
            </w:r>
          </w:p>
        </w:tc>
        <w:tc>
          <w:tcPr>
            <w:tcW w:w="1283" w:type="pct"/>
          </w:tcPr>
          <w:p w:rsidR="000C44C8" w:rsidRDefault="00CB5F44" w:rsidP="003C220A">
            <w:pPr>
              <w:keepLines/>
              <w:spacing w:before="120"/>
              <w:jc w:val="both"/>
              <w:rPr>
                <w:sz w:val="16"/>
                <w:szCs w:val="16"/>
                <w:lang w:val="en-US"/>
              </w:rPr>
            </w:pPr>
            <w:r>
              <w:rPr>
                <w:sz w:val="16"/>
                <w:szCs w:val="16"/>
                <w:lang w:val="en-US"/>
              </w:rPr>
              <w:t xml:space="preserve">Support for PMSE/PPDR category reflected in Annex 2 to document </w:t>
            </w:r>
            <w:proofErr w:type="gramStart"/>
            <w:r>
              <w:rPr>
                <w:sz w:val="16"/>
                <w:szCs w:val="16"/>
                <w:lang w:val="en-US"/>
              </w:rPr>
              <w:t>FM(</w:t>
            </w:r>
            <w:proofErr w:type="gramEnd"/>
            <w:r>
              <w:rPr>
                <w:sz w:val="16"/>
                <w:szCs w:val="16"/>
                <w:lang w:val="en-US"/>
              </w:rPr>
              <w:t>14)037 Annex1 (The outline of CEPT’s response), but considered that national use and licensing should be decided on a national level.</w:t>
            </w:r>
          </w:p>
        </w:tc>
      </w:tr>
      <w:tr w:rsidR="000C44C8" w:rsidRPr="00871AD3" w:rsidTr="00BE4997">
        <w:tblPrEx>
          <w:tblCellMar>
            <w:top w:w="0" w:type="dxa"/>
            <w:bottom w:w="0" w:type="dxa"/>
          </w:tblCellMar>
        </w:tblPrEx>
        <w:trPr>
          <w:cantSplit/>
          <w:trHeight w:val="765"/>
          <w:tblHeader/>
        </w:trPr>
        <w:tc>
          <w:tcPr>
            <w:tcW w:w="352" w:type="pct"/>
          </w:tcPr>
          <w:p w:rsidR="000C44C8" w:rsidRDefault="00A57D7C" w:rsidP="00077B6F">
            <w:pPr>
              <w:keepLines/>
              <w:spacing w:before="120"/>
              <w:rPr>
                <w:sz w:val="16"/>
                <w:szCs w:val="16"/>
                <w:lang w:val="en-US"/>
              </w:rPr>
            </w:pPr>
            <w:proofErr w:type="spellStart"/>
            <w:r>
              <w:rPr>
                <w:sz w:val="16"/>
                <w:szCs w:val="16"/>
                <w:lang w:val="en-US"/>
              </w:rPr>
              <w:t>Selex</w:t>
            </w:r>
            <w:proofErr w:type="spellEnd"/>
            <w:r>
              <w:rPr>
                <w:sz w:val="16"/>
                <w:szCs w:val="16"/>
                <w:lang w:val="en-US"/>
              </w:rPr>
              <w:t>/4</w:t>
            </w:r>
          </w:p>
        </w:tc>
        <w:tc>
          <w:tcPr>
            <w:tcW w:w="689" w:type="pct"/>
            <w:gridSpan w:val="2"/>
          </w:tcPr>
          <w:p w:rsidR="000C44C8" w:rsidRPr="000C44C8" w:rsidRDefault="00A57D7C" w:rsidP="00A57D7C">
            <w:pPr>
              <w:keepLines/>
              <w:spacing w:before="120"/>
              <w:rPr>
                <w:sz w:val="16"/>
                <w:szCs w:val="16"/>
                <w:lang w:val="en-US"/>
              </w:rPr>
            </w:pPr>
            <w:r>
              <w:rPr>
                <w:sz w:val="16"/>
                <w:szCs w:val="16"/>
                <w:lang w:val="en-US"/>
              </w:rPr>
              <w:t>Support approach</w:t>
            </w:r>
          </w:p>
        </w:tc>
        <w:tc>
          <w:tcPr>
            <w:tcW w:w="2676" w:type="pct"/>
          </w:tcPr>
          <w:p w:rsidR="000C44C8" w:rsidRPr="000C44C8" w:rsidRDefault="00A57D7C" w:rsidP="00A57D7C">
            <w:pPr>
              <w:pStyle w:val="Default"/>
              <w:rPr>
                <w:i/>
                <w:iCs/>
                <w:sz w:val="20"/>
                <w:szCs w:val="20"/>
              </w:rPr>
            </w:pPr>
            <w:r w:rsidRPr="00A57D7C">
              <w:rPr>
                <w:i/>
                <w:iCs/>
                <w:sz w:val="20"/>
                <w:szCs w:val="20"/>
              </w:rPr>
              <w:t>Yes. The sharing between P</w:t>
            </w:r>
            <w:r>
              <w:rPr>
                <w:i/>
                <w:iCs/>
                <w:sz w:val="20"/>
                <w:szCs w:val="20"/>
              </w:rPr>
              <w:t>P</w:t>
            </w:r>
            <w:r w:rsidRPr="00A57D7C">
              <w:rPr>
                <w:i/>
                <w:iCs/>
                <w:sz w:val="20"/>
                <w:szCs w:val="20"/>
              </w:rPr>
              <w:t xml:space="preserve">DR ad-hoc networks in the unpaired 2 GHz bands and PMSE applications is acceptable. </w:t>
            </w:r>
            <w:proofErr w:type="spellStart"/>
            <w:r w:rsidRPr="00A57D7C">
              <w:rPr>
                <w:i/>
                <w:iCs/>
                <w:sz w:val="20"/>
                <w:szCs w:val="20"/>
              </w:rPr>
              <w:t>Selex</w:t>
            </w:r>
            <w:proofErr w:type="spellEnd"/>
            <w:r w:rsidRPr="00A57D7C">
              <w:rPr>
                <w:i/>
                <w:iCs/>
                <w:sz w:val="20"/>
                <w:szCs w:val="20"/>
              </w:rPr>
              <w:t xml:space="preserve"> agrees that PMSE and ad-hoc PPPDR show sufficient similarities to share the same technical framework to foster a more efficient use of spectrum and future innovation.</w:t>
            </w:r>
          </w:p>
        </w:tc>
        <w:tc>
          <w:tcPr>
            <w:tcW w:w="1283" w:type="pct"/>
          </w:tcPr>
          <w:p w:rsidR="000C44C8" w:rsidRDefault="00CB5F44" w:rsidP="003C220A">
            <w:pPr>
              <w:keepLines/>
              <w:spacing w:before="120"/>
              <w:jc w:val="both"/>
              <w:rPr>
                <w:sz w:val="16"/>
                <w:szCs w:val="16"/>
                <w:lang w:val="en-US"/>
              </w:rPr>
            </w:pPr>
            <w:r>
              <w:rPr>
                <w:sz w:val="16"/>
                <w:szCs w:val="16"/>
                <w:lang w:val="en-US"/>
              </w:rPr>
              <w:t xml:space="preserve">Support for PMSE/PPDR category reflected in Annex 2 to document </w:t>
            </w:r>
            <w:proofErr w:type="gramStart"/>
            <w:r>
              <w:rPr>
                <w:sz w:val="16"/>
                <w:szCs w:val="16"/>
                <w:lang w:val="en-US"/>
              </w:rPr>
              <w:t>FM(</w:t>
            </w:r>
            <w:proofErr w:type="gramEnd"/>
            <w:r>
              <w:rPr>
                <w:sz w:val="16"/>
                <w:szCs w:val="16"/>
                <w:lang w:val="en-US"/>
              </w:rPr>
              <w:t>14)037 Annex1 (The outline of CEPT’s response).</w:t>
            </w:r>
          </w:p>
        </w:tc>
      </w:tr>
      <w:tr w:rsidR="008A4488" w:rsidRPr="00871AD3" w:rsidTr="00BE4997">
        <w:tblPrEx>
          <w:tblCellMar>
            <w:top w:w="0" w:type="dxa"/>
            <w:bottom w:w="0" w:type="dxa"/>
          </w:tblCellMar>
        </w:tblPrEx>
        <w:trPr>
          <w:cantSplit/>
          <w:trHeight w:val="765"/>
          <w:tblHeader/>
        </w:trPr>
        <w:tc>
          <w:tcPr>
            <w:tcW w:w="352" w:type="pct"/>
          </w:tcPr>
          <w:p w:rsidR="008A4488" w:rsidRDefault="008A4488" w:rsidP="00077B6F">
            <w:pPr>
              <w:keepLines/>
              <w:spacing w:before="120"/>
              <w:rPr>
                <w:sz w:val="16"/>
                <w:szCs w:val="16"/>
                <w:lang w:val="en-US"/>
              </w:rPr>
            </w:pPr>
            <w:r>
              <w:rPr>
                <w:sz w:val="16"/>
                <w:szCs w:val="16"/>
                <w:lang w:val="en-US"/>
              </w:rPr>
              <w:t>Germany/4</w:t>
            </w:r>
          </w:p>
        </w:tc>
        <w:tc>
          <w:tcPr>
            <w:tcW w:w="689" w:type="pct"/>
            <w:gridSpan w:val="2"/>
          </w:tcPr>
          <w:p w:rsidR="008A4488" w:rsidRDefault="008A4488" w:rsidP="00A57D7C">
            <w:pPr>
              <w:keepLines/>
              <w:spacing w:before="120"/>
              <w:rPr>
                <w:sz w:val="16"/>
                <w:szCs w:val="16"/>
                <w:lang w:val="en-US"/>
              </w:rPr>
            </w:pPr>
            <w:r>
              <w:rPr>
                <w:sz w:val="16"/>
                <w:szCs w:val="16"/>
                <w:lang w:val="en-US"/>
              </w:rPr>
              <w:t>Support approach, however additional technical information is considered to be needed for the on-going studies</w:t>
            </w:r>
          </w:p>
        </w:tc>
        <w:tc>
          <w:tcPr>
            <w:tcW w:w="2676" w:type="pct"/>
          </w:tcPr>
          <w:p w:rsidR="008A4488" w:rsidRPr="00A57D7C" w:rsidRDefault="008A4488" w:rsidP="00A57D7C">
            <w:pPr>
              <w:pStyle w:val="Default"/>
              <w:rPr>
                <w:i/>
                <w:iCs/>
                <w:sz w:val="20"/>
                <w:szCs w:val="20"/>
              </w:rPr>
            </w:pPr>
            <w:r w:rsidRPr="008A4488">
              <w:rPr>
                <w:i/>
                <w:iCs/>
                <w:sz w:val="20"/>
                <w:szCs w:val="20"/>
              </w:rPr>
              <w:t>To consider PMSE (cordless cameras and video links) and ad-hoc PPDR within the scope of one single category is supported. The interested parties (user, industry) should be invited to provide additional information especially for the on-going compatibility and sharing studies.</w:t>
            </w:r>
          </w:p>
        </w:tc>
        <w:tc>
          <w:tcPr>
            <w:tcW w:w="1283" w:type="pct"/>
          </w:tcPr>
          <w:p w:rsidR="008A4488" w:rsidRDefault="00CB5F44" w:rsidP="003C220A">
            <w:pPr>
              <w:keepLines/>
              <w:spacing w:before="120"/>
              <w:jc w:val="both"/>
              <w:rPr>
                <w:sz w:val="16"/>
                <w:szCs w:val="16"/>
                <w:lang w:val="en-US"/>
              </w:rPr>
            </w:pPr>
            <w:r>
              <w:rPr>
                <w:sz w:val="16"/>
                <w:szCs w:val="16"/>
                <w:lang w:val="en-US"/>
              </w:rPr>
              <w:t xml:space="preserve">Support for PMSE/PPDR category reflected in Annex 2 to document </w:t>
            </w:r>
            <w:proofErr w:type="gramStart"/>
            <w:r>
              <w:rPr>
                <w:sz w:val="16"/>
                <w:szCs w:val="16"/>
                <w:lang w:val="en-US"/>
              </w:rPr>
              <w:t>FM(</w:t>
            </w:r>
            <w:proofErr w:type="gramEnd"/>
            <w:r>
              <w:rPr>
                <w:sz w:val="16"/>
                <w:szCs w:val="16"/>
                <w:lang w:val="en-US"/>
              </w:rPr>
              <w:t>14)037 Annex1 (The outline of CEPT’s response), although additional technical information is considered to be needed for the on-going studies.</w:t>
            </w:r>
          </w:p>
          <w:p w:rsidR="00CB5F44" w:rsidRDefault="00CB5F44" w:rsidP="003C220A">
            <w:pPr>
              <w:keepLines/>
              <w:spacing w:before="120"/>
              <w:jc w:val="both"/>
              <w:rPr>
                <w:sz w:val="16"/>
                <w:szCs w:val="16"/>
                <w:lang w:val="en-US"/>
              </w:rPr>
            </w:pPr>
          </w:p>
        </w:tc>
      </w:tr>
      <w:tr w:rsidR="0097366E" w:rsidRPr="00871AD3" w:rsidTr="00BE4997">
        <w:tblPrEx>
          <w:tblCellMar>
            <w:top w:w="0" w:type="dxa"/>
            <w:bottom w:w="0" w:type="dxa"/>
          </w:tblCellMar>
        </w:tblPrEx>
        <w:trPr>
          <w:cantSplit/>
          <w:trHeight w:val="765"/>
          <w:tblHeader/>
        </w:trPr>
        <w:tc>
          <w:tcPr>
            <w:tcW w:w="352" w:type="pct"/>
          </w:tcPr>
          <w:p w:rsidR="0097366E" w:rsidRDefault="0097366E" w:rsidP="00077B6F">
            <w:pPr>
              <w:keepLines/>
              <w:spacing w:before="120"/>
              <w:rPr>
                <w:sz w:val="16"/>
                <w:szCs w:val="16"/>
                <w:lang w:val="en-US"/>
              </w:rPr>
            </w:pPr>
            <w:r>
              <w:rPr>
                <w:sz w:val="16"/>
                <w:szCs w:val="16"/>
                <w:lang w:val="en-US"/>
              </w:rPr>
              <w:t>British Telecom/4</w:t>
            </w:r>
          </w:p>
        </w:tc>
        <w:tc>
          <w:tcPr>
            <w:tcW w:w="689" w:type="pct"/>
            <w:gridSpan w:val="2"/>
          </w:tcPr>
          <w:p w:rsidR="0097366E" w:rsidRDefault="0097366E" w:rsidP="00A57D7C">
            <w:pPr>
              <w:keepLines/>
              <w:spacing w:before="120"/>
              <w:rPr>
                <w:sz w:val="16"/>
                <w:szCs w:val="16"/>
                <w:lang w:val="en-US"/>
              </w:rPr>
            </w:pPr>
            <w:r>
              <w:rPr>
                <w:sz w:val="16"/>
                <w:szCs w:val="16"/>
                <w:lang w:val="en-US"/>
              </w:rPr>
              <w:t>Support approach</w:t>
            </w:r>
          </w:p>
        </w:tc>
        <w:tc>
          <w:tcPr>
            <w:tcW w:w="2676" w:type="pct"/>
          </w:tcPr>
          <w:p w:rsidR="0097366E" w:rsidRPr="0097366E" w:rsidRDefault="0097366E" w:rsidP="0097366E">
            <w:pPr>
              <w:pStyle w:val="Default"/>
              <w:rPr>
                <w:i/>
                <w:iCs/>
                <w:sz w:val="20"/>
                <w:szCs w:val="20"/>
              </w:rPr>
            </w:pPr>
          </w:p>
          <w:p w:rsidR="0097366E" w:rsidRPr="0097366E" w:rsidRDefault="0097366E" w:rsidP="0097366E">
            <w:pPr>
              <w:pStyle w:val="Default"/>
              <w:rPr>
                <w:i/>
                <w:iCs/>
                <w:sz w:val="20"/>
                <w:szCs w:val="20"/>
              </w:rPr>
            </w:pPr>
            <w:r w:rsidRPr="0097366E">
              <w:rPr>
                <w:i/>
                <w:iCs/>
                <w:sz w:val="20"/>
                <w:szCs w:val="20"/>
              </w:rPr>
              <w:t>Yes, we agree</w:t>
            </w:r>
          </w:p>
          <w:p w:rsidR="0097366E" w:rsidRPr="008A4488" w:rsidRDefault="0097366E" w:rsidP="00A57D7C">
            <w:pPr>
              <w:pStyle w:val="Default"/>
              <w:rPr>
                <w:i/>
                <w:iCs/>
                <w:sz w:val="20"/>
                <w:szCs w:val="20"/>
              </w:rPr>
            </w:pPr>
          </w:p>
        </w:tc>
        <w:tc>
          <w:tcPr>
            <w:tcW w:w="1283" w:type="pct"/>
          </w:tcPr>
          <w:p w:rsidR="0097366E" w:rsidRDefault="00CB5F44" w:rsidP="003C220A">
            <w:pPr>
              <w:keepLines/>
              <w:spacing w:before="120"/>
              <w:jc w:val="both"/>
              <w:rPr>
                <w:sz w:val="16"/>
                <w:szCs w:val="16"/>
                <w:lang w:val="en-US"/>
              </w:rPr>
            </w:pPr>
            <w:r>
              <w:rPr>
                <w:sz w:val="16"/>
                <w:szCs w:val="16"/>
                <w:lang w:val="en-US"/>
              </w:rPr>
              <w:t xml:space="preserve">Support for PMSE/PPDR category reflected in Annex 2 to document </w:t>
            </w:r>
            <w:proofErr w:type="gramStart"/>
            <w:r>
              <w:rPr>
                <w:sz w:val="16"/>
                <w:szCs w:val="16"/>
                <w:lang w:val="en-US"/>
              </w:rPr>
              <w:t>FM(</w:t>
            </w:r>
            <w:proofErr w:type="gramEnd"/>
            <w:r>
              <w:rPr>
                <w:sz w:val="16"/>
                <w:szCs w:val="16"/>
                <w:lang w:val="en-US"/>
              </w:rPr>
              <w:t>14)037 Annex1 (The outline of CEPT’s response).</w:t>
            </w:r>
          </w:p>
        </w:tc>
      </w:tr>
    </w:tbl>
    <w:p w:rsidR="00AD21A8" w:rsidRPr="009309B1" w:rsidRDefault="00AD21A8" w:rsidP="009309B1">
      <w:pPr>
        <w:rPr>
          <w:b/>
          <w:lang w:val="en-GB"/>
        </w:rPr>
      </w:pPr>
    </w:p>
    <w:sectPr w:rsidR="00AD21A8" w:rsidRPr="009309B1" w:rsidSect="001C0B2C">
      <w:footerReference w:type="even" r:id="rId9"/>
      <w:footerReference w:type="default" r:id="rId10"/>
      <w:pgSz w:w="16838" w:h="11906"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A4" w:rsidRDefault="00342CA4">
      <w:r>
        <w:separator/>
      </w:r>
    </w:p>
  </w:endnote>
  <w:endnote w:type="continuationSeparator" w:id="0">
    <w:p w:rsidR="00342CA4" w:rsidRDefault="0034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B7" w:rsidRDefault="000D10B7" w:rsidP="00D36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D10B7" w:rsidRDefault="000D10B7" w:rsidP="00A66DA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B7" w:rsidRDefault="000D10B7" w:rsidP="00D368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E1231">
      <w:rPr>
        <w:rStyle w:val="Numrodepage"/>
        <w:noProof/>
      </w:rPr>
      <w:t>1</w:t>
    </w:r>
    <w:r>
      <w:rPr>
        <w:rStyle w:val="Numrodepage"/>
      </w:rPr>
      <w:fldChar w:fldCharType="end"/>
    </w:r>
  </w:p>
  <w:p w:rsidR="000D10B7" w:rsidRDefault="000D10B7" w:rsidP="00A66DA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A4" w:rsidRDefault="00342CA4">
      <w:r>
        <w:separator/>
      </w:r>
    </w:p>
  </w:footnote>
  <w:footnote w:type="continuationSeparator" w:id="0">
    <w:p w:rsidR="00342CA4" w:rsidRDefault="00342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6E55"/>
    <w:multiLevelType w:val="hybridMultilevel"/>
    <w:tmpl w:val="90745F6A"/>
    <w:lvl w:ilvl="0" w:tplc="7AAC90EE">
      <w:start w:val="17"/>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B9E3789"/>
    <w:multiLevelType w:val="hybridMultilevel"/>
    <w:tmpl w:val="8C1A6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25586"/>
    <w:multiLevelType w:val="hybridMultilevel"/>
    <w:tmpl w:val="94CA9E86"/>
    <w:lvl w:ilvl="0" w:tplc="C928A84A">
      <w:start w:val="1"/>
      <w:numFmt w:val="decimal"/>
      <w:lvlText w:val="%1."/>
      <w:lvlJc w:val="left"/>
      <w:pPr>
        <w:ind w:left="720" w:hanging="360"/>
      </w:pPr>
      <w:rPr>
        <w:rFonts w:hint="default"/>
        <w:color w:val="C0000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4A463BA"/>
    <w:multiLevelType w:val="hybridMultilevel"/>
    <w:tmpl w:val="AB56A980"/>
    <w:lvl w:ilvl="0" w:tplc="22B875CC">
      <w:start w:val="17"/>
      <w:numFmt w:val="bullet"/>
      <w:lvlText w:val="-"/>
      <w:lvlJc w:val="left"/>
      <w:pPr>
        <w:ind w:left="720" w:hanging="360"/>
      </w:pPr>
      <w:rPr>
        <w:rFonts w:ascii="Times New Roman" w:eastAsia="Times New Roman"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C8F1580"/>
    <w:multiLevelType w:val="hybridMultilevel"/>
    <w:tmpl w:val="06CAD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F3209E"/>
    <w:multiLevelType w:val="hybridMultilevel"/>
    <w:tmpl w:val="72E88A60"/>
    <w:lvl w:ilvl="0" w:tplc="379A6B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04336"/>
    <w:multiLevelType w:val="hybridMultilevel"/>
    <w:tmpl w:val="5B8C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59"/>
    <w:rsid w:val="00007F7D"/>
    <w:rsid w:val="0003180C"/>
    <w:rsid w:val="00031BA0"/>
    <w:rsid w:val="00061488"/>
    <w:rsid w:val="00072ADF"/>
    <w:rsid w:val="00077B6F"/>
    <w:rsid w:val="00095D99"/>
    <w:rsid w:val="00096FD3"/>
    <w:rsid w:val="000A51B6"/>
    <w:rsid w:val="000A6BCA"/>
    <w:rsid w:val="000B6A69"/>
    <w:rsid w:val="000B6E34"/>
    <w:rsid w:val="000B7C07"/>
    <w:rsid w:val="000C44C8"/>
    <w:rsid w:val="000C5553"/>
    <w:rsid w:val="000C6103"/>
    <w:rsid w:val="000D10B7"/>
    <w:rsid w:val="000D664E"/>
    <w:rsid w:val="000F14CE"/>
    <w:rsid w:val="000F1E81"/>
    <w:rsid w:val="00105434"/>
    <w:rsid w:val="0010608A"/>
    <w:rsid w:val="001100C1"/>
    <w:rsid w:val="001208AF"/>
    <w:rsid w:val="00140020"/>
    <w:rsid w:val="00145ADB"/>
    <w:rsid w:val="0016008A"/>
    <w:rsid w:val="00175345"/>
    <w:rsid w:val="001B759C"/>
    <w:rsid w:val="001C0B2C"/>
    <w:rsid w:val="001D23F4"/>
    <w:rsid w:val="001D480C"/>
    <w:rsid w:val="001D771F"/>
    <w:rsid w:val="001E4B18"/>
    <w:rsid w:val="00205554"/>
    <w:rsid w:val="00215963"/>
    <w:rsid w:val="0023605D"/>
    <w:rsid w:val="0024559C"/>
    <w:rsid w:val="00282AD3"/>
    <w:rsid w:val="00286550"/>
    <w:rsid w:val="002A0544"/>
    <w:rsid w:val="002A2311"/>
    <w:rsid w:val="002A27B7"/>
    <w:rsid w:val="002B2AC1"/>
    <w:rsid w:val="002B3744"/>
    <w:rsid w:val="002B4519"/>
    <w:rsid w:val="002B46A0"/>
    <w:rsid w:val="002D04E3"/>
    <w:rsid w:val="002F0739"/>
    <w:rsid w:val="00302F7F"/>
    <w:rsid w:val="00334029"/>
    <w:rsid w:val="00342CA4"/>
    <w:rsid w:val="003437B1"/>
    <w:rsid w:val="003632E4"/>
    <w:rsid w:val="00367260"/>
    <w:rsid w:val="00395F25"/>
    <w:rsid w:val="003A189A"/>
    <w:rsid w:val="003A4E07"/>
    <w:rsid w:val="003A7A89"/>
    <w:rsid w:val="003C220A"/>
    <w:rsid w:val="003C704C"/>
    <w:rsid w:val="003D1889"/>
    <w:rsid w:val="003F24F7"/>
    <w:rsid w:val="00402FF2"/>
    <w:rsid w:val="00406AE0"/>
    <w:rsid w:val="00421C37"/>
    <w:rsid w:val="004257D8"/>
    <w:rsid w:val="00457152"/>
    <w:rsid w:val="004650C7"/>
    <w:rsid w:val="00484D12"/>
    <w:rsid w:val="004949A5"/>
    <w:rsid w:val="004D5864"/>
    <w:rsid w:val="004E62CA"/>
    <w:rsid w:val="004F6E27"/>
    <w:rsid w:val="00507168"/>
    <w:rsid w:val="00546F2A"/>
    <w:rsid w:val="005837FB"/>
    <w:rsid w:val="005A2D79"/>
    <w:rsid w:val="005B4CA2"/>
    <w:rsid w:val="005D22B3"/>
    <w:rsid w:val="005D5F66"/>
    <w:rsid w:val="005F281B"/>
    <w:rsid w:val="0064153C"/>
    <w:rsid w:val="00647D64"/>
    <w:rsid w:val="00666262"/>
    <w:rsid w:val="00673124"/>
    <w:rsid w:val="006774B7"/>
    <w:rsid w:val="00680DF5"/>
    <w:rsid w:val="00686F27"/>
    <w:rsid w:val="006B327E"/>
    <w:rsid w:val="006E5419"/>
    <w:rsid w:val="007438AC"/>
    <w:rsid w:val="007606E3"/>
    <w:rsid w:val="00794624"/>
    <w:rsid w:val="00794EFD"/>
    <w:rsid w:val="007C3D7E"/>
    <w:rsid w:val="007D2B6B"/>
    <w:rsid w:val="007E0641"/>
    <w:rsid w:val="007F50C8"/>
    <w:rsid w:val="007F6C16"/>
    <w:rsid w:val="00801C83"/>
    <w:rsid w:val="008148C5"/>
    <w:rsid w:val="00815217"/>
    <w:rsid w:val="00832E1F"/>
    <w:rsid w:val="00847E96"/>
    <w:rsid w:val="008564CA"/>
    <w:rsid w:val="00870EF9"/>
    <w:rsid w:val="00871AD3"/>
    <w:rsid w:val="00895C31"/>
    <w:rsid w:val="0089635F"/>
    <w:rsid w:val="008A4488"/>
    <w:rsid w:val="008B065F"/>
    <w:rsid w:val="008C53DF"/>
    <w:rsid w:val="008E15DE"/>
    <w:rsid w:val="008E3061"/>
    <w:rsid w:val="008E5B53"/>
    <w:rsid w:val="00901426"/>
    <w:rsid w:val="00902546"/>
    <w:rsid w:val="0090652F"/>
    <w:rsid w:val="00925EB3"/>
    <w:rsid w:val="009309B1"/>
    <w:rsid w:val="009326D3"/>
    <w:rsid w:val="00937A82"/>
    <w:rsid w:val="00937CEB"/>
    <w:rsid w:val="00964FBE"/>
    <w:rsid w:val="0097366E"/>
    <w:rsid w:val="00987882"/>
    <w:rsid w:val="009A0785"/>
    <w:rsid w:val="009A4991"/>
    <w:rsid w:val="009C063F"/>
    <w:rsid w:val="009C55B8"/>
    <w:rsid w:val="009F7ED0"/>
    <w:rsid w:val="00A05FE4"/>
    <w:rsid w:val="00A541F7"/>
    <w:rsid w:val="00A57D7C"/>
    <w:rsid w:val="00A6550A"/>
    <w:rsid w:val="00A658BB"/>
    <w:rsid w:val="00A66DA2"/>
    <w:rsid w:val="00A67CE1"/>
    <w:rsid w:val="00A71089"/>
    <w:rsid w:val="00A77EC9"/>
    <w:rsid w:val="00A86D8A"/>
    <w:rsid w:val="00AA2F1C"/>
    <w:rsid w:val="00AD21A8"/>
    <w:rsid w:val="00AE5D0C"/>
    <w:rsid w:val="00AE6146"/>
    <w:rsid w:val="00AE6FE8"/>
    <w:rsid w:val="00B021A6"/>
    <w:rsid w:val="00B249C9"/>
    <w:rsid w:val="00B34B30"/>
    <w:rsid w:val="00B37E15"/>
    <w:rsid w:val="00B56FB8"/>
    <w:rsid w:val="00B82844"/>
    <w:rsid w:val="00B921AE"/>
    <w:rsid w:val="00B958B7"/>
    <w:rsid w:val="00B95E43"/>
    <w:rsid w:val="00BA10D3"/>
    <w:rsid w:val="00BB0959"/>
    <w:rsid w:val="00BD2920"/>
    <w:rsid w:val="00BD7334"/>
    <w:rsid w:val="00BE4554"/>
    <w:rsid w:val="00BE4997"/>
    <w:rsid w:val="00BE58B8"/>
    <w:rsid w:val="00C003CB"/>
    <w:rsid w:val="00C109E3"/>
    <w:rsid w:val="00C30791"/>
    <w:rsid w:val="00C345F2"/>
    <w:rsid w:val="00C35EBE"/>
    <w:rsid w:val="00C97548"/>
    <w:rsid w:val="00CB5F44"/>
    <w:rsid w:val="00CB6E08"/>
    <w:rsid w:val="00CC1597"/>
    <w:rsid w:val="00D10251"/>
    <w:rsid w:val="00D132BF"/>
    <w:rsid w:val="00D133B5"/>
    <w:rsid w:val="00D20F05"/>
    <w:rsid w:val="00D3683A"/>
    <w:rsid w:val="00D4209E"/>
    <w:rsid w:val="00D72E3D"/>
    <w:rsid w:val="00D95388"/>
    <w:rsid w:val="00DA6FBD"/>
    <w:rsid w:val="00DB6153"/>
    <w:rsid w:val="00DC48F7"/>
    <w:rsid w:val="00DE038B"/>
    <w:rsid w:val="00DE1231"/>
    <w:rsid w:val="00E23AAA"/>
    <w:rsid w:val="00E25D35"/>
    <w:rsid w:val="00E71443"/>
    <w:rsid w:val="00E74ED5"/>
    <w:rsid w:val="00E810B4"/>
    <w:rsid w:val="00E977A1"/>
    <w:rsid w:val="00EA1A9D"/>
    <w:rsid w:val="00EF48C2"/>
    <w:rsid w:val="00F15192"/>
    <w:rsid w:val="00F160F3"/>
    <w:rsid w:val="00F23197"/>
    <w:rsid w:val="00F2643C"/>
    <w:rsid w:val="00F43294"/>
    <w:rsid w:val="00F91B1B"/>
    <w:rsid w:val="00FA2D20"/>
    <w:rsid w:val="00FD3B54"/>
    <w:rsid w:val="00FE557A"/>
    <w:rsid w:val="00FE5C2C"/>
    <w:rsid w:val="00FF7B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A66DA2"/>
    <w:pPr>
      <w:tabs>
        <w:tab w:val="center" w:pos="4536"/>
        <w:tab w:val="right" w:pos="9072"/>
      </w:tabs>
    </w:pPr>
  </w:style>
  <w:style w:type="character" w:styleId="Numrodepage">
    <w:name w:val="page number"/>
    <w:basedOn w:val="Policepardfaut"/>
    <w:rsid w:val="00A66DA2"/>
  </w:style>
  <w:style w:type="paragraph" w:styleId="Commentaire">
    <w:name w:val="annotation text"/>
    <w:basedOn w:val="Normal"/>
    <w:link w:val="CommentaireCar"/>
    <w:semiHidden/>
    <w:unhideWhenUsed/>
    <w:rsid w:val="003A7A89"/>
    <w:rPr>
      <w:rFonts w:ascii="Arial" w:hAnsi="Arial"/>
      <w:sz w:val="20"/>
      <w:szCs w:val="20"/>
      <w:lang w:val="en-US" w:eastAsia="en-US"/>
    </w:rPr>
  </w:style>
  <w:style w:type="character" w:customStyle="1" w:styleId="CommentaireCar">
    <w:name w:val="Commentaire Car"/>
    <w:link w:val="Commentaire"/>
    <w:semiHidden/>
    <w:rsid w:val="000C6103"/>
    <w:rPr>
      <w:rFonts w:ascii="Arial" w:hAnsi="Arial"/>
      <w:lang w:val="en-US" w:eastAsia="en-US" w:bidi="ar-SA"/>
    </w:rPr>
  </w:style>
  <w:style w:type="paragraph" w:styleId="Lgende">
    <w:name w:val="caption"/>
    <w:aliases w:val="Ca"/>
    <w:basedOn w:val="Normal"/>
    <w:next w:val="Normal"/>
    <w:link w:val="LgendeCar"/>
    <w:uiPriority w:val="35"/>
    <w:qFormat/>
    <w:rsid w:val="00096FD3"/>
    <w:pPr>
      <w:spacing w:before="240" w:after="240"/>
      <w:jc w:val="center"/>
    </w:pPr>
    <w:rPr>
      <w:rFonts w:ascii="Arial" w:hAnsi="Arial"/>
      <w:b/>
      <w:bCs/>
      <w:color w:val="D2232A"/>
      <w:sz w:val="20"/>
      <w:szCs w:val="20"/>
      <w:lang w:val="x-none" w:eastAsia="x-none"/>
    </w:rPr>
  </w:style>
  <w:style w:type="character" w:customStyle="1" w:styleId="LgendeCar">
    <w:name w:val="Légende Car"/>
    <w:aliases w:val="Ca Car"/>
    <w:link w:val="Lgende"/>
    <w:uiPriority w:val="35"/>
    <w:locked/>
    <w:rsid w:val="00096FD3"/>
    <w:rPr>
      <w:rFonts w:ascii="Arial" w:hAnsi="Arial"/>
      <w:b/>
      <w:bCs/>
      <w:color w:val="D2232A"/>
    </w:rPr>
  </w:style>
  <w:style w:type="paragraph" w:customStyle="1" w:styleId="Default">
    <w:name w:val="Default"/>
    <w:rsid w:val="00871AD3"/>
    <w:pPr>
      <w:autoSpaceDE w:val="0"/>
      <w:autoSpaceDN w:val="0"/>
      <w:adjustRightInd w:val="0"/>
    </w:pPr>
    <w:rPr>
      <w:rFonts w:ascii="Arial" w:hAnsi="Arial" w:cs="Arial"/>
      <w:color w:val="000000"/>
      <w:sz w:val="24"/>
      <w:szCs w:val="24"/>
      <w:lang w:val="en-US" w:eastAsia="en-US"/>
    </w:rPr>
  </w:style>
  <w:style w:type="paragraph" w:styleId="Textedebulles">
    <w:name w:val="Balloon Text"/>
    <w:basedOn w:val="Normal"/>
    <w:link w:val="TextedebullesCar"/>
    <w:rsid w:val="0024559C"/>
    <w:rPr>
      <w:rFonts w:ascii="Segoe UI" w:hAnsi="Segoe UI" w:cs="Segoe UI"/>
      <w:sz w:val="18"/>
      <w:szCs w:val="18"/>
    </w:rPr>
  </w:style>
  <w:style w:type="character" w:customStyle="1" w:styleId="TextedebullesCar">
    <w:name w:val="Texte de bulles Car"/>
    <w:link w:val="Textedebulles"/>
    <w:rsid w:val="0024559C"/>
    <w:rPr>
      <w:rFonts w:ascii="Segoe UI" w:hAnsi="Segoe UI" w:cs="Segoe UI"/>
      <w:sz w:val="18"/>
      <w:szCs w:val="18"/>
      <w:lang w:val="fr-FR" w:eastAsia="fr-FR"/>
    </w:rPr>
  </w:style>
  <w:style w:type="paragraph" w:styleId="Paragraphedeliste">
    <w:name w:val="List Paragraph"/>
    <w:basedOn w:val="Normal"/>
    <w:uiPriority w:val="34"/>
    <w:qFormat/>
    <w:rsid w:val="003C704C"/>
    <w:pPr>
      <w:ind w:left="720"/>
      <w:contextualSpacing/>
    </w:pPr>
    <w:rPr>
      <w:rFonts w:ascii="Arial" w:hAnsi="Arial"/>
      <w:sz w:val="20"/>
      <w:lang w:val="en-US" w:eastAsia="en-US"/>
    </w:rPr>
  </w:style>
  <w:style w:type="paragraph" w:customStyle="1" w:styleId="ECCParagraph">
    <w:name w:val="ECC Paragraph"/>
    <w:basedOn w:val="Normal"/>
    <w:uiPriority w:val="99"/>
    <w:rsid w:val="00D72E3D"/>
    <w:pPr>
      <w:spacing w:after="240"/>
      <w:jc w:val="both"/>
    </w:pPr>
    <w:rPr>
      <w:rFonts w:ascii="Arial" w:hAnsi="Arial"/>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rsid w:val="00A66DA2"/>
    <w:pPr>
      <w:tabs>
        <w:tab w:val="center" w:pos="4536"/>
        <w:tab w:val="right" w:pos="9072"/>
      </w:tabs>
    </w:pPr>
  </w:style>
  <w:style w:type="character" w:styleId="Numrodepage">
    <w:name w:val="page number"/>
    <w:basedOn w:val="Policepardfaut"/>
    <w:rsid w:val="00A66DA2"/>
  </w:style>
  <w:style w:type="paragraph" w:styleId="Commentaire">
    <w:name w:val="annotation text"/>
    <w:basedOn w:val="Normal"/>
    <w:link w:val="CommentaireCar"/>
    <w:semiHidden/>
    <w:unhideWhenUsed/>
    <w:rsid w:val="003A7A89"/>
    <w:rPr>
      <w:rFonts w:ascii="Arial" w:hAnsi="Arial"/>
      <w:sz w:val="20"/>
      <w:szCs w:val="20"/>
      <w:lang w:val="en-US" w:eastAsia="en-US"/>
    </w:rPr>
  </w:style>
  <w:style w:type="character" w:customStyle="1" w:styleId="CommentaireCar">
    <w:name w:val="Commentaire Car"/>
    <w:link w:val="Commentaire"/>
    <w:semiHidden/>
    <w:rsid w:val="000C6103"/>
    <w:rPr>
      <w:rFonts w:ascii="Arial" w:hAnsi="Arial"/>
      <w:lang w:val="en-US" w:eastAsia="en-US" w:bidi="ar-SA"/>
    </w:rPr>
  </w:style>
  <w:style w:type="paragraph" w:styleId="Lgende">
    <w:name w:val="caption"/>
    <w:aliases w:val="Ca"/>
    <w:basedOn w:val="Normal"/>
    <w:next w:val="Normal"/>
    <w:link w:val="LgendeCar"/>
    <w:uiPriority w:val="35"/>
    <w:qFormat/>
    <w:rsid w:val="00096FD3"/>
    <w:pPr>
      <w:spacing w:before="240" w:after="240"/>
      <w:jc w:val="center"/>
    </w:pPr>
    <w:rPr>
      <w:rFonts w:ascii="Arial" w:hAnsi="Arial"/>
      <w:b/>
      <w:bCs/>
      <w:color w:val="D2232A"/>
      <w:sz w:val="20"/>
      <w:szCs w:val="20"/>
      <w:lang w:val="x-none" w:eastAsia="x-none"/>
    </w:rPr>
  </w:style>
  <w:style w:type="character" w:customStyle="1" w:styleId="LgendeCar">
    <w:name w:val="Légende Car"/>
    <w:aliases w:val="Ca Car"/>
    <w:link w:val="Lgende"/>
    <w:uiPriority w:val="35"/>
    <w:locked/>
    <w:rsid w:val="00096FD3"/>
    <w:rPr>
      <w:rFonts w:ascii="Arial" w:hAnsi="Arial"/>
      <w:b/>
      <w:bCs/>
      <w:color w:val="D2232A"/>
    </w:rPr>
  </w:style>
  <w:style w:type="paragraph" w:customStyle="1" w:styleId="Default">
    <w:name w:val="Default"/>
    <w:rsid w:val="00871AD3"/>
    <w:pPr>
      <w:autoSpaceDE w:val="0"/>
      <w:autoSpaceDN w:val="0"/>
      <w:adjustRightInd w:val="0"/>
    </w:pPr>
    <w:rPr>
      <w:rFonts w:ascii="Arial" w:hAnsi="Arial" w:cs="Arial"/>
      <w:color w:val="000000"/>
      <w:sz w:val="24"/>
      <w:szCs w:val="24"/>
      <w:lang w:val="en-US" w:eastAsia="en-US"/>
    </w:rPr>
  </w:style>
  <w:style w:type="paragraph" w:styleId="Textedebulles">
    <w:name w:val="Balloon Text"/>
    <w:basedOn w:val="Normal"/>
    <w:link w:val="TextedebullesCar"/>
    <w:rsid w:val="0024559C"/>
    <w:rPr>
      <w:rFonts w:ascii="Segoe UI" w:hAnsi="Segoe UI" w:cs="Segoe UI"/>
      <w:sz w:val="18"/>
      <w:szCs w:val="18"/>
    </w:rPr>
  </w:style>
  <w:style w:type="character" w:customStyle="1" w:styleId="TextedebullesCar">
    <w:name w:val="Texte de bulles Car"/>
    <w:link w:val="Textedebulles"/>
    <w:rsid w:val="0024559C"/>
    <w:rPr>
      <w:rFonts w:ascii="Segoe UI" w:hAnsi="Segoe UI" w:cs="Segoe UI"/>
      <w:sz w:val="18"/>
      <w:szCs w:val="18"/>
      <w:lang w:val="fr-FR" w:eastAsia="fr-FR"/>
    </w:rPr>
  </w:style>
  <w:style w:type="paragraph" w:styleId="Paragraphedeliste">
    <w:name w:val="List Paragraph"/>
    <w:basedOn w:val="Normal"/>
    <w:uiPriority w:val="34"/>
    <w:qFormat/>
    <w:rsid w:val="003C704C"/>
    <w:pPr>
      <w:ind w:left="720"/>
      <w:contextualSpacing/>
    </w:pPr>
    <w:rPr>
      <w:rFonts w:ascii="Arial" w:hAnsi="Arial"/>
      <w:sz w:val="20"/>
      <w:lang w:val="en-US" w:eastAsia="en-US"/>
    </w:rPr>
  </w:style>
  <w:style w:type="paragraph" w:customStyle="1" w:styleId="ECCParagraph">
    <w:name w:val="ECC Paragraph"/>
    <w:basedOn w:val="Normal"/>
    <w:uiPriority w:val="99"/>
    <w:rsid w:val="00D72E3D"/>
    <w:pPr>
      <w:spacing w:after="240"/>
      <w:jc w:val="both"/>
    </w:pPr>
    <w:rPr>
      <w:rFonts w:ascii="Arial" w:hAnsi="Arial"/>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6075">
      <w:bodyDiv w:val="1"/>
      <w:marLeft w:val="0"/>
      <w:marRight w:val="0"/>
      <w:marTop w:val="0"/>
      <w:marBottom w:val="0"/>
      <w:divBdr>
        <w:top w:val="none" w:sz="0" w:space="0" w:color="auto"/>
        <w:left w:val="none" w:sz="0" w:space="0" w:color="auto"/>
        <w:bottom w:val="none" w:sz="0" w:space="0" w:color="auto"/>
        <w:right w:val="none" w:sz="0" w:space="0" w:color="auto"/>
      </w:divBdr>
      <w:divsChild>
        <w:div w:id="1443921135">
          <w:marLeft w:val="0"/>
          <w:marRight w:val="0"/>
          <w:marTop w:val="0"/>
          <w:marBottom w:val="0"/>
          <w:divBdr>
            <w:top w:val="none" w:sz="0" w:space="0" w:color="auto"/>
            <w:left w:val="none" w:sz="0" w:space="0" w:color="auto"/>
            <w:bottom w:val="none" w:sz="0" w:space="0" w:color="auto"/>
            <w:right w:val="none" w:sz="0" w:space="0" w:color="auto"/>
          </w:divBdr>
          <w:divsChild>
            <w:div w:id="1108432264">
              <w:marLeft w:val="0"/>
              <w:marRight w:val="0"/>
              <w:marTop w:val="0"/>
              <w:marBottom w:val="0"/>
              <w:divBdr>
                <w:top w:val="none" w:sz="0" w:space="0" w:color="auto"/>
                <w:left w:val="none" w:sz="0" w:space="0" w:color="auto"/>
                <w:bottom w:val="none" w:sz="0" w:space="0" w:color="auto"/>
                <w:right w:val="none" w:sz="0" w:space="0" w:color="auto"/>
              </w:divBdr>
              <w:divsChild>
                <w:div w:id="820271886">
                  <w:marLeft w:val="0"/>
                  <w:marRight w:val="0"/>
                  <w:marTop w:val="0"/>
                  <w:marBottom w:val="0"/>
                  <w:divBdr>
                    <w:top w:val="none" w:sz="0" w:space="0" w:color="auto"/>
                    <w:left w:val="none" w:sz="0" w:space="0" w:color="auto"/>
                    <w:bottom w:val="none" w:sz="0" w:space="0" w:color="auto"/>
                    <w:right w:val="none" w:sz="0" w:space="0" w:color="auto"/>
                  </w:divBdr>
                  <w:divsChild>
                    <w:div w:id="697702002">
                      <w:marLeft w:val="0"/>
                      <w:marRight w:val="0"/>
                      <w:marTop w:val="0"/>
                      <w:marBottom w:val="0"/>
                      <w:divBdr>
                        <w:top w:val="none" w:sz="0" w:space="0" w:color="auto"/>
                        <w:left w:val="none" w:sz="0" w:space="0" w:color="auto"/>
                        <w:bottom w:val="none" w:sz="0" w:space="0" w:color="auto"/>
                        <w:right w:val="none" w:sz="0" w:space="0" w:color="auto"/>
                      </w:divBdr>
                      <w:divsChild>
                        <w:div w:id="1266427911">
                          <w:marLeft w:val="0"/>
                          <w:marRight w:val="0"/>
                          <w:marTop w:val="0"/>
                          <w:marBottom w:val="0"/>
                          <w:divBdr>
                            <w:top w:val="none" w:sz="0" w:space="0" w:color="auto"/>
                            <w:left w:val="none" w:sz="0" w:space="0" w:color="auto"/>
                            <w:bottom w:val="none" w:sz="0" w:space="0" w:color="auto"/>
                            <w:right w:val="none" w:sz="0" w:space="0" w:color="auto"/>
                          </w:divBdr>
                          <w:divsChild>
                            <w:div w:id="471216197">
                              <w:marLeft w:val="0"/>
                              <w:marRight w:val="0"/>
                              <w:marTop w:val="0"/>
                              <w:marBottom w:val="0"/>
                              <w:divBdr>
                                <w:top w:val="none" w:sz="0" w:space="0" w:color="auto"/>
                                <w:left w:val="none" w:sz="0" w:space="0" w:color="auto"/>
                                <w:bottom w:val="none" w:sz="0" w:space="0" w:color="auto"/>
                                <w:right w:val="none" w:sz="0" w:space="0" w:color="auto"/>
                              </w:divBdr>
                              <w:divsChild>
                                <w:div w:id="244538972">
                                  <w:marLeft w:val="0"/>
                                  <w:marRight w:val="0"/>
                                  <w:marTop w:val="0"/>
                                  <w:marBottom w:val="0"/>
                                  <w:divBdr>
                                    <w:top w:val="none" w:sz="0" w:space="0" w:color="auto"/>
                                    <w:left w:val="none" w:sz="0" w:space="0" w:color="auto"/>
                                    <w:bottom w:val="none" w:sz="0" w:space="0" w:color="auto"/>
                                    <w:right w:val="none" w:sz="0" w:space="0" w:color="auto"/>
                                  </w:divBdr>
                                  <w:divsChild>
                                    <w:div w:id="329673689">
                                      <w:marLeft w:val="60"/>
                                      <w:marRight w:val="0"/>
                                      <w:marTop w:val="0"/>
                                      <w:marBottom w:val="0"/>
                                      <w:divBdr>
                                        <w:top w:val="none" w:sz="0" w:space="0" w:color="auto"/>
                                        <w:left w:val="none" w:sz="0" w:space="0" w:color="auto"/>
                                        <w:bottom w:val="none" w:sz="0" w:space="0" w:color="auto"/>
                                        <w:right w:val="none" w:sz="0" w:space="0" w:color="auto"/>
                                      </w:divBdr>
                                      <w:divsChild>
                                        <w:div w:id="1213074086">
                                          <w:marLeft w:val="0"/>
                                          <w:marRight w:val="0"/>
                                          <w:marTop w:val="0"/>
                                          <w:marBottom w:val="0"/>
                                          <w:divBdr>
                                            <w:top w:val="none" w:sz="0" w:space="0" w:color="auto"/>
                                            <w:left w:val="none" w:sz="0" w:space="0" w:color="auto"/>
                                            <w:bottom w:val="none" w:sz="0" w:space="0" w:color="auto"/>
                                            <w:right w:val="none" w:sz="0" w:space="0" w:color="auto"/>
                                          </w:divBdr>
                                          <w:divsChild>
                                            <w:div w:id="1709455212">
                                              <w:marLeft w:val="0"/>
                                              <w:marRight w:val="0"/>
                                              <w:marTop w:val="0"/>
                                              <w:marBottom w:val="120"/>
                                              <w:divBdr>
                                                <w:top w:val="single" w:sz="6" w:space="0" w:color="F5F5F5"/>
                                                <w:left w:val="single" w:sz="6" w:space="0" w:color="F5F5F5"/>
                                                <w:bottom w:val="single" w:sz="6" w:space="0" w:color="F5F5F5"/>
                                                <w:right w:val="single" w:sz="6" w:space="0" w:color="F5F5F5"/>
                                              </w:divBdr>
                                              <w:divsChild>
                                                <w:div w:id="1272780107">
                                                  <w:marLeft w:val="0"/>
                                                  <w:marRight w:val="0"/>
                                                  <w:marTop w:val="0"/>
                                                  <w:marBottom w:val="0"/>
                                                  <w:divBdr>
                                                    <w:top w:val="none" w:sz="0" w:space="0" w:color="auto"/>
                                                    <w:left w:val="none" w:sz="0" w:space="0" w:color="auto"/>
                                                    <w:bottom w:val="none" w:sz="0" w:space="0" w:color="auto"/>
                                                    <w:right w:val="none" w:sz="0" w:space="0" w:color="auto"/>
                                                  </w:divBdr>
                                                  <w:divsChild>
                                                    <w:div w:id="9959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6499134">
      <w:bodyDiv w:val="1"/>
      <w:marLeft w:val="0"/>
      <w:marRight w:val="0"/>
      <w:marTop w:val="0"/>
      <w:marBottom w:val="0"/>
      <w:divBdr>
        <w:top w:val="none" w:sz="0" w:space="0" w:color="auto"/>
        <w:left w:val="none" w:sz="0" w:space="0" w:color="auto"/>
        <w:bottom w:val="none" w:sz="0" w:space="0" w:color="auto"/>
        <w:right w:val="none" w:sz="0" w:space="0" w:color="auto"/>
      </w:divBdr>
      <w:divsChild>
        <w:div w:id="803235291">
          <w:marLeft w:val="0"/>
          <w:marRight w:val="0"/>
          <w:marTop w:val="0"/>
          <w:marBottom w:val="0"/>
          <w:divBdr>
            <w:top w:val="none" w:sz="0" w:space="0" w:color="auto"/>
            <w:left w:val="none" w:sz="0" w:space="0" w:color="auto"/>
            <w:bottom w:val="none" w:sz="0" w:space="0" w:color="auto"/>
            <w:right w:val="none" w:sz="0" w:space="0" w:color="auto"/>
          </w:divBdr>
          <w:divsChild>
            <w:div w:id="545608644">
              <w:marLeft w:val="0"/>
              <w:marRight w:val="0"/>
              <w:marTop w:val="0"/>
              <w:marBottom w:val="0"/>
              <w:divBdr>
                <w:top w:val="none" w:sz="0" w:space="0" w:color="auto"/>
                <w:left w:val="none" w:sz="0" w:space="0" w:color="auto"/>
                <w:bottom w:val="none" w:sz="0" w:space="0" w:color="auto"/>
                <w:right w:val="none" w:sz="0" w:space="0" w:color="auto"/>
              </w:divBdr>
              <w:divsChild>
                <w:div w:id="1286306198">
                  <w:marLeft w:val="0"/>
                  <w:marRight w:val="0"/>
                  <w:marTop w:val="0"/>
                  <w:marBottom w:val="0"/>
                  <w:divBdr>
                    <w:top w:val="none" w:sz="0" w:space="0" w:color="auto"/>
                    <w:left w:val="none" w:sz="0" w:space="0" w:color="auto"/>
                    <w:bottom w:val="none" w:sz="0" w:space="0" w:color="auto"/>
                    <w:right w:val="none" w:sz="0" w:space="0" w:color="auto"/>
                  </w:divBdr>
                  <w:divsChild>
                    <w:div w:id="1770546055">
                      <w:marLeft w:val="0"/>
                      <w:marRight w:val="0"/>
                      <w:marTop w:val="0"/>
                      <w:marBottom w:val="0"/>
                      <w:divBdr>
                        <w:top w:val="none" w:sz="0" w:space="0" w:color="auto"/>
                        <w:left w:val="none" w:sz="0" w:space="0" w:color="auto"/>
                        <w:bottom w:val="none" w:sz="0" w:space="0" w:color="auto"/>
                        <w:right w:val="none" w:sz="0" w:space="0" w:color="auto"/>
                      </w:divBdr>
                      <w:divsChild>
                        <w:div w:id="111755635">
                          <w:marLeft w:val="0"/>
                          <w:marRight w:val="0"/>
                          <w:marTop w:val="0"/>
                          <w:marBottom w:val="0"/>
                          <w:divBdr>
                            <w:top w:val="none" w:sz="0" w:space="0" w:color="auto"/>
                            <w:left w:val="none" w:sz="0" w:space="0" w:color="auto"/>
                            <w:bottom w:val="none" w:sz="0" w:space="0" w:color="auto"/>
                            <w:right w:val="none" w:sz="0" w:space="0" w:color="auto"/>
                          </w:divBdr>
                          <w:divsChild>
                            <w:div w:id="874393947">
                              <w:marLeft w:val="0"/>
                              <w:marRight w:val="0"/>
                              <w:marTop w:val="0"/>
                              <w:marBottom w:val="0"/>
                              <w:divBdr>
                                <w:top w:val="none" w:sz="0" w:space="0" w:color="auto"/>
                                <w:left w:val="none" w:sz="0" w:space="0" w:color="auto"/>
                                <w:bottom w:val="none" w:sz="0" w:space="0" w:color="auto"/>
                                <w:right w:val="none" w:sz="0" w:space="0" w:color="auto"/>
                              </w:divBdr>
                              <w:divsChild>
                                <w:div w:id="1747337936">
                                  <w:marLeft w:val="0"/>
                                  <w:marRight w:val="0"/>
                                  <w:marTop w:val="0"/>
                                  <w:marBottom w:val="0"/>
                                  <w:divBdr>
                                    <w:top w:val="none" w:sz="0" w:space="0" w:color="auto"/>
                                    <w:left w:val="none" w:sz="0" w:space="0" w:color="auto"/>
                                    <w:bottom w:val="none" w:sz="0" w:space="0" w:color="auto"/>
                                    <w:right w:val="none" w:sz="0" w:space="0" w:color="auto"/>
                                  </w:divBdr>
                                  <w:divsChild>
                                    <w:div w:id="505444546">
                                      <w:marLeft w:val="60"/>
                                      <w:marRight w:val="0"/>
                                      <w:marTop w:val="0"/>
                                      <w:marBottom w:val="0"/>
                                      <w:divBdr>
                                        <w:top w:val="none" w:sz="0" w:space="0" w:color="auto"/>
                                        <w:left w:val="none" w:sz="0" w:space="0" w:color="auto"/>
                                        <w:bottom w:val="none" w:sz="0" w:space="0" w:color="auto"/>
                                        <w:right w:val="none" w:sz="0" w:space="0" w:color="auto"/>
                                      </w:divBdr>
                                      <w:divsChild>
                                        <w:div w:id="1467821200">
                                          <w:marLeft w:val="0"/>
                                          <w:marRight w:val="0"/>
                                          <w:marTop w:val="0"/>
                                          <w:marBottom w:val="0"/>
                                          <w:divBdr>
                                            <w:top w:val="none" w:sz="0" w:space="0" w:color="auto"/>
                                            <w:left w:val="none" w:sz="0" w:space="0" w:color="auto"/>
                                            <w:bottom w:val="none" w:sz="0" w:space="0" w:color="auto"/>
                                            <w:right w:val="none" w:sz="0" w:space="0" w:color="auto"/>
                                          </w:divBdr>
                                          <w:divsChild>
                                            <w:div w:id="1293243403">
                                              <w:marLeft w:val="0"/>
                                              <w:marRight w:val="0"/>
                                              <w:marTop w:val="0"/>
                                              <w:marBottom w:val="120"/>
                                              <w:divBdr>
                                                <w:top w:val="single" w:sz="6" w:space="0" w:color="F5F5F5"/>
                                                <w:left w:val="single" w:sz="6" w:space="0" w:color="F5F5F5"/>
                                                <w:bottom w:val="single" w:sz="6" w:space="0" w:color="F5F5F5"/>
                                                <w:right w:val="single" w:sz="6" w:space="0" w:color="F5F5F5"/>
                                              </w:divBdr>
                                              <w:divsChild>
                                                <w:div w:id="97063315">
                                                  <w:marLeft w:val="0"/>
                                                  <w:marRight w:val="0"/>
                                                  <w:marTop w:val="0"/>
                                                  <w:marBottom w:val="0"/>
                                                  <w:divBdr>
                                                    <w:top w:val="none" w:sz="0" w:space="0" w:color="auto"/>
                                                    <w:left w:val="none" w:sz="0" w:space="0" w:color="auto"/>
                                                    <w:bottom w:val="none" w:sz="0" w:space="0" w:color="auto"/>
                                                    <w:right w:val="none" w:sz="0" w:space="0" w:color="auto"/>
                                                  </w:divBdr>
                                                  <w:divsChild>
                                                    <w:div w:id="3518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277796">
      <w:bodyDiv w:val="1"/>
      <w:marLeft w:val="0"/>
      <w:marRight w:val="0"/>
      <w:marTop w:val="0"/>
      <w:marBottom w:val="0"/>
      <w:divBdr>
        <w:top w:val="none" w:sz="0" w:space="0" w:color="auto"/>
        <w:left w:val="none" w:sz="0" w:space="0" w:color="auto"/>
        <w:bottom w:val="none" w:sz="0" w:space="0" w:color="auto"/>
        <w:right w:val="none" w:sz="0" w:space="0" w:color="auto"/>
      </w:divBdr>
      <w:divsChild>
        <w:div w:id="1864973005">
          <w:marLeft w:val="0"/>
          <w:marRight w:val="0"/>
          <w:marTop w:val="0"/>
          <w:marBottom w:val="0"/>
          <w:divBdr>
            <w:top w:val="none" w:sz="0" w:space="0" w:color="auto"/>
            <w:left w:val="none" w:sz="0" w:space="0" w:color="auto"/>
            <w:bottom w:val="none" w:sz="0" w:space="0" w:color="auto"/>
            <w:right w:val="none" w:sz="0" w:space="0" w:color="auto"/>
          </w:divBdr>
          <w:divsChild>
            <w:div w:id="1229614541">
              <w:marLeft w:val="0"/>
              <w:marRight w:val="0"/>
              <w:marTop w:val="0"/>
              <w:marBottom w:val="0"/>
              <w:divBdr>
                <w:top w:val="none" w:sz="0" w:space="0" w:color="auto"/>
                <w:left w:val="none" w:sz="0" w:space="0" w:color="auto"/>
                <w:bottom w:val="none" w:sz="0" w:space="0" w:color="auto"/>
                <w:right w:val="none" w:sz="0" w:space="0" w:color="auto"/>
              </w:divBdr>
              <w:divsChild>
                <w:div w:id="1289706824">
                  <w:marLeft w:val="0"/>
                  <w:marRight w:val="0"/>
                  <w:marTop w:val="0"/>
                  <w:marBottom w:val="0"/>
                  <w:divBdr>
                    <w:top w:val="none" w:sz="0" w:space="0" w:color="auto"/>
                    <w:left w:val="none" w:sz="0" w:space="0" w:color="auto"/>
                    <w:bottom w:val="none" w:sz="0" w:space="0" w:color="auto"/>
                    <w:right w:val="none" w:sz="0" w:space="0" w:color="auto"/>
                  </w:divBdr>
                  <w:divsChild>
                    <w:div w:id="2094466220">
                      <w:marLeft w:val="0"/>
                      <w:marRight w:val="0"/>
                      <w:marTop w:val="0"/>
                      <w:marBottom w:val="0"/>
                      <w:divBdr>
                        <w:top w:val="none" w:sz="0" w:space="0" w:color="auto"/>
                        <w:left w:val="none" w:sz="0" w:space="0" w:color="auto"/>
                        <w:bottom w:val="none" w:sz="0" w:space="0" w:color="auto"/>
                        <w:right w:val="none" w:sz="0" w:space="0" w:color="auto"/>
                      </w:divBdr>
                      <w:divsChild>
                        <w:div w:id="1409302659">
                          <w:marLeft w:val="0"/>
                          <w:marRight w:val="0"/>
                          <w:marTop w:val="0"/>
                          <w:marBottom w:val="0"/>
                          <w:divBdr>
                            <w:top w:val="none" w:sz="0" w:space="0" w:color="auto"/>
                            <w:left w:val="none" w:sz="0" w:space="0" w:color="auto"/>
                            <w:bottom w:val="none" w:sz="0" w:space="0" w:color="auto"/>
                            <w:right w:val="none" w:sz="0" w:space="0" w:color="auto"/>
                          </w:divBdr>
                          <w:divsChild>
                            <w:div w:id="1589458429">
                              <w:marLeft w:val="0"/>
                              <w:marRight w:val="0"/>
                              <w:marTop w:val="0"/>
                              <w:marBottom w:val="0"/>
                              <w:divBdr>
                                <w:top w:val="none" w:sz="0" w:space="0" w:color="auto"/>
                                <w:left w:val="none" w:sz="0" w:space="0" w:color="auto"/>
                                <w:bottom w:val="none" w:sz="0" w:space="0" w:color="auto"/>
                                <w:right w:val="none" w:sz="0" w:space="0" w:color="auto"/>
                              </w:divBdr>
                              <w:divsChild>
                                <w:div w:id="1388649897">
                                  <w:marLeft w:val="0"/>
                                  <w:marRight w:val="0"/>
                                  <w:marTop w:val="0"/>
                                  <w:marBottom w:val="0"/>
                                  <w:divBdr>
                                    <w:top w:val="none" w:sz="0" w:space="0" w:color="auto"/>
                                    <w:left w:val="none" w:sz="0" w:space="0" w:color="auto"/>
                                    <w:bottom w:val="none" w:sz="0" w:space="0" w:color="auto"/>
                                    <w:right w:val="none" w:sz="0" w:space="0" w:color="auto"/>
                                  </w:divBdr>
                                  <w:divsChild>
                                    <w:div w:id="617877314">
                                      <w:marLeft w:val="60"/>
                                      <w:marRight w:val="0"/>
                                      <w:marTop w:val="0"/>
                                      <w:marBottom w:val="0"/>
                                      <w:divBdr>
                                        <w:top w:val="none" w:sz="0" w:space="0" w:color="auto"/>
                                        <w:left w:val="none" w:sz="0" w:space="0" w:color="auto"/>
                                        <w:bottom w:val="none" w:sz="0" w:space="0" w:color="auto"/>
                                        <w:right w:val="none" w:sz="0" w:space="0" w:color="auto"/>
                                      </w:divBdr>
                                      <w:divsChild>
                                        <w:div w:id="421069648">
                                          <w:marLeft w:val="0"/>
                                          <w:marRight w:val="0"/>
                                          <w:marTop w:val="0"/>
                                          <w:marBottom w:val="0"/>
                                          <w:divBdr>
                                            <w:top w:val="none" w:sz="0" w:space="0" w:color="auto"/>
                                            <w:left w:val="none" w:sz="0" w:space="0" w:color="auto"/>
                                            <w:bottom w:val="none" w:sz="0" w:space="0" w:color="auto"/>
                                            <w:right w:val="none" w:sz="0" w:space="0" w:color="auto"/>
                                          </w:divBdr>
                                          <w:divsChild>
                                            <w:div w:id="1179199007">
                                              <w:marLeft w:val="0"/>
                                              <w:marRight w:val="0"/>
                                              <w:marTop w:val="0"/>
                                              <w:marBottom w:val="120"/>
                                              <w:divBdr>
                                                <w:top w:val="single" w:sz="6" w:space="0" w:color="F5F5F5"/>
                                                <w:left w:val="single" w:sz="6" w:space="0" w:color="F5F5F5"/>
                                                <w:bottom w:val="single" w:sz="6" w:space="0" w:color="F5F5F5"/>
                                                <w:right w:val="single" w:sz="6" w:space="0" w:color="F5F5F5"/>
                                              </w:divBdr>
                                              <w:divsChild>
                                                <w:div w:id="1776049674">
                                                  <w:marLeft w:val="0"/>
                                                  <w:marRight w:val="0"/>
                                                  <w:marTop w:val="0"/>
                                                  <w:marBottom w:val="0"/>
                                                  <w:divBdr>
                                                    <w:top w:val="none" w:sz="0" w:space="0" w:color="auto"/>
                                                    <w:left w:val="none" w:sz="0" w:space="0" w:color="auto"/>
                                                    <w:bottom w:val="none" w:sz="0" w:space="0" w:color="auto"/>
                                                    <w:right w:val="none" w:sz="0" w:space="0" w:color="auto"/>
                                                  </w:divBdr>
                                                  <w:divsChild>
                                                    <w:div w:id="20026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rdless_pho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8736</Words>
  <Characters>46996</Characters>
  <Application>Microsoft Office Word</Application>
  <DocSecurity>0</DocSecurity>
  <Lines>391</Lines>
  <Paragraphs>111</Paragraphs>
  <ScaleCrop>false</ScaleCrop>
  <HeadingPairs>
    <vt:vector size="8" baseType="variant">
      <vt:variant>
        <vt:lpstr>Titre</vt:lpstr>
      </vt:variant>
      <vt:variant>
        <vt:i4>1</vt:i4>
      </vt:variant>
      <vt:variant>
        <vt:lpstr>Title</vt:lpstr>
      </vt:variant>
      <vt:variant>
        <vt:i4>1</vt:i4>
      </vt:variant>
      <vt:variant>
        <vt:lpstr>Название</vt:lpstr>
      </vt:variant>
      <vt:variant>
        <vt:i4>1</vt:i4>
      </vt:variant>
      <vt:variant>
        <vt:lpstr>Titel</vt:lpstr>
      </vt:variant>
      <vt:variant>
        <vt:i4>1</vt:i4>
      </vt:variant>
    </vt:vector>
  </HeadingPairs>
  <TitlesOfParts>
    <vt:vector size="4" baseType="lpstr">
      <vt:lpstr>Template for the development of comments during public consultation on ECC deliverables</vt:lpstr>
      <vt:lpstr>Template for the development of comments during public consultation on ECC deliverables</vt:lpstr>
      <vt:lpstr>Template for the development of comments during public consultation on ECC deliverables</vt:lpstr>
      <vt:lpstr>Template for the development of comments during public consultation on ECC deliverables</vt:lpstr>
    </vt:vector>
  </TitlesOfParts>
  <Company/>
  <LinksUpToDate>false</LinksUpToDate>
  <CharactersWithSpaces>55621</CharactersWithSpaces>
  <SharedDoc>false</SharedDoc>
  <HLinks>
    <vt:vector size="6" baseType="variant">
      <vt:variant>
        <vt:i4>4718647</vt:i4>
      </vt:variant>
      <vt:variant>
        <vt:i4>9</vt:i4>
      </vt:variant>
      <vt:variant>
        <vt:i4>0</vt:i4>
      </vt:variant>
      <vt:variant>
        <vt:i4>5</vt:i4>
      </vt:variant>
      <vt:variant>
        <vt:lpwstr>http://en.wikipedia.org/wiki/Cordless_phone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development of comments during public consultation on ECC deliverables</dc:title>
  <dc:subject/>
  <dc:creator>BNetzA</dc:creator>
  <cp:keywords/>
  <cp:lastModifiedBy>RISSONE Christian</cp:lastModifiedBy>
  <cp:revision>2</cp:revision>
  <dcterms:created xsi:type="dcterms:W3CDTF">2014-03-04T11:22:00Z</dcterms:created>
  <dcterms:modified xsi:type="dcterms:W3CDTF">2014-03-04T11:22:00Z</dcterms:modified>
</cp:coreProperties>
</file>