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346C62" w:rsidRPr="0098621D">
        <w:trPr>
          <w:cantSplit/>
        </w:trPr>
        <w:tc>
          <w:tcPr>
            <w:tcW w:w="6071" w:type="dxa"/>
            <w:gridSpan w:val="3"/>
            <w:tcBorders>
              <w:top w:val="nil"/>
              <w:left w:val="nil"/>
              <w:bottom w:val="nil"/>
              <w:right w:val="nil"/>
            </w:tcBorders>
          </w:tcPr>
          <w:p w:rsidR="00346C62" w:rsidRPr="0098621D" w:rsidRDefault="00B528B6" w:rsidP="00215746">
            <w:pPr>
              <w:pStyle w:val="Kopfzeile1"/>
            </w:pPr>
            <w:r>
              <w:rPr>
                <w:noProof/>
                <w:lang w:val="fr-FR" w:eastAsia="fr-FR"/>
              </w:rPr>
              <w:drawing>
                <wp:inline distT="0" distB="0" distL="0" distR="0">
                  <wp:extent cx="1622425" cy="8299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srcRect/>
                          <a:stretch>
                            <a:fillRect/>
                          </a:stretch>
                        </pic:blipFill>
                        <pic:spPr bwMode="auto">
                          <a:xfrm>
                            <a:off x="0" y="0"/>
                            <a:ext cx="1622425" cy="829945"/>
                          </a:xfrm>
                          <a:prstGeom prst="rect">
                            <a:avLst/>
                          </a:prstGeom>
                          <a:noFill/>
                          <a:ln w="9525">
                            <a:noFill/>
                            <a:miter lim="800000"/>
                            <a:headEnd/>
                            <a:tailEnd/>
                          </a:ln>
                        </pic:spPr>
                      </pic:pic>
                    </a:graphicData>
                  </a:graphic>
                </wp:inline>
              </w:drawing>
            </w:r>
            <w:r w:rsidR="00ED7AEC">
              <w:t>Plenary</w:t>
            </w:r>
          </w:p>
          <w:p w:rsidR="00346C62" w:rsidRPr="0098621D" w:rsidRDefault="00346C62" w:rsidP="00215746">
            <w:pPr>
              <w:pStyle w:val="Kopfzeile1"/>
              <w:rPr>
                <w:rFonts w:cs="Arial"/>
                <w:color w:val="000000"/>
                <w:lang w:val="en-GB"/>
              </w:rPr>
            </w:pPr>
          </w:p>
        </w:tc>
        <w:tc>
          <w:tcPr>
            <w:tcW w:w="3569" w:type="dxa"/>
            <w:tcBorders>
              <w:top w:val="nil"/>
              <w:left w:val="nil"/>
              <w:bottom w:val="nil"/>
              <w:right w:val="nil"/>
            </w:tcBorders>
          </w:tcPr>
          <w:p w:rsidR="00346C62" w:rsidRPr="00346C62" w:rsidRDefault="0098621D" w:rsidP="0045263C">
            <w:pPr>
              <w:pStyle w:val="Kopfzeile1"/>
              <w:tabs>
                <w:tab w:val="clear" w:pos="4536"/>
                <w:tab w:val="right" w:pos="3357"/>
              </w:tabs>
            </w:pPr>
            <w:r>
              <w:tab/>
            </w:r>
            <w:r w:rsidR="00533846">
              <w:t>Doc</w:t>
            </w:r>
            <w:r w:rsidR="00ED7AEC">
              <w:t>. ECC(1</w:t>
            </w:r>
            <w:r w:rsidR="00C76C32">
              <w:t>4</w:t>
            </w:r>
            <w:r w:rsidR="00ED7AEC">
              <w:t>)</w:t>
            </w:r>
            <w:r w:rsidR="0045263C">
              <w:t>021</w:t>
            </w:r>
            <w:bookmarkStart w:id="0" w:name="_GoBack"/>
            <w:bookmarkEnd w:id="0"/>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D149DA" w:rsidP="00A235AB">
            <w:pPr>
              <w:pStyle w:val="Kopfzeile1"/>
              <w:rPr>
                <w:lang w:val="en-GB"/>
              </w:rPr>
            </w:pPr>
            <w:r>
              <w:rPr>
                <w:lang w:val="en-GB"/>
              </w:rPr>
              <w:t>3</w:t>
            </w:r>
            <w:r w:rsidR="00A235AB">
              <w:rPr>
                <w:lang w:val="en-GB"/>
              </w:rPr>
              <w:t>6</w:t>
            </w:r>
            <w:r w:rsidR="00A235AB" w:rsidRPr="00A235AB">
              <w:rPr>
                <w:vertAlign w:val="superscript"/>
                <w:lang w:val="en-GB"/>
              </w:rPr>
              <w:t>th</w:t>
            </w:r>
            <w:r w:rsidR="00A235AB">
              <w:rPr>
                <w:lang w:val="en-GB"/>
              </w:rPr>
              <w:t xml:space="preserve"> </w:t>
            </w:r>
            <w:r w:rsidR="001E0E49" w:rsidRPr="00D149DA">
              <w:rPr>
                <w:lang w:val="en-GB"/>
              </w:rPr>
              <w:t>Meeting</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A235AB" w:rsidP="00A235AB">
            <w:pPr>
              <w:pStyle w:val="Kopfzeile1"/>
              <w:rPr>
                <w:lang w:val="en-GB"/>
              </w:rPr>
            </w:pPr>
            <w:r>
              <w:rPr>
                <w:lang w:val="en-GB"/>
              </w:rPr>
              <w:t>Cluj-Napoca, 11</w:t>
            </w:r>
            <w:r w:rsidR="00D149DA" w:rsidRPr="00D149DA">
              <w:rPr>
                <w:vertAlign w:val="superscript"/>
                <w:lang w:val="en-GB"/>
              </w:rPr>
              <w:t>th</w:t>
            </w:r>
            <w:r w:rsidR="00D149DA">
              <w:rPr>
                <w:lang w:val="en-GB"/>
              </w:rPr>
              <w:t xml:space="preserve"> </w:t>
            </w:r>
            <w:r w:rsidR="00A64930" w:rsidRPr="00D149DA">
              <w:rPr>
                <w:lang w:val="en-GB"/>
              </w:rPr>
              <w:t>–</w:t>
            </w:r>
            <w:r>
              <w:rPr>
                <w:lang w:val="en-GB"/>
              </w:rPr>
              <w:t xml:space="preserve"> 14</w:t>
            </w:r>
            <w:r w:rsidR="00D149DA" w:rsidRPr="00D149DA">
              <w:rPr>
                <w:vertAlign w:val="superscript"/>
                <w:lang w:val="en-GB"/>
              </w:rPr>
              <w:t>th</w:t>
            </w:r>
            <w:r w:rsidR="00D149DA">
              <w:rPr>
                <w:lang w:val="en-GB"/>
              </w:rPr>
              <w:t xml:space="preserve"> </w:t>
            </w:r>
            <w:r w:rsidR="00500553" w:rsidRPr="00D149DA">
              <w:rPr>
                <w:lang w:val="en-GB"/>
              </w:rPr>
              <w:t>March 201</w:t>
            </w:r>
            <w:r>
              <w:rPr>
                <w:lang w:val="en-GB"/>
              </w:rPr>
              <w:t>4</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F05B26" w:rsidRPr="0098621D">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05B26" w:rsidRPr="00D149DA" w:rsidRDefault="00F05B26" w:rsidP="00215746">
            <w:pPr>
              <w:pStyle w:val="Kopfzeile1"/>
              <w:rPr>
                <w:sz w:val="8"/>
                <w:lang w:val="en-GB"/>
              </w:rPr>
            </w:pPr>
          </w:p>
        </w:tc>
        <w:tc>
          <w:tcPr>
            <w:tcW w:w="5300" w:type="dxa"/>
            <w:gridSpan w:val="2"/>
            <w:tcBorders>
              <w:top w:val="nil"/>
              <w:left w:val="nil"/>
              <w:bottom w:val="nil"/>
              <w:right w:val="nil"/>
            </w:tcBorders>
            <w:vAlign w:val="center"/>
          </w:tcPr>
          <w:p w:rsidR="00F05B26" w:rsidRPr="0098621D" w:rsidRDefault="00F05B26" w:rsidP="00215746">
            <w:pPr>
              <w:pStyle w:val="Kopfzeile1"/>
              <w:rPr>
                <w:sz w:val="8"/>
                <w:lang w:val="en-GB"/>
              </w:rPr>
            </w:pP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Date issued:</w:t>
            </w:r>
            <w:r w:rsidR="005269EA" w:rsidRPr="00D149DA">
              <w:rPr>
                <w:lang w:val="en-GB"/>
              </w:rPr>
              <w:t xml:space="preserve"> </w:t>
            </w:r>
          </w:p>
        </w:tc>
        <w:tc>
          <w:tcPr>
            <w:tcW w:w="7797" w:type="dxa"/>
            <w:gridSpan w:val="3"/>
            <w:tcBorders>
              <w:top w:val="nil"/>
              <w:left w:val="nil"/>
              <w:bottom w:val="nil"/>
              <w:right w:val="nil"/>
            </w:tcBorders>
            <w:vAlign w:val="center"/>
          </w:tcPr>
          <w:p w:rsidR="00F05B26" w:rsidRPr="0098621D" w:rsidRDefault="00A953F7" w:rsidP="00215746">
            <w:pPr>
              <w:pStyle w:val="Kopfzeile1"/>
              <w:rPr>
                <w:lang w:val="en-GB"/>
              </w:rPr>
            </w:pPr>
            <w:r>
              <w:rPr>
                <w:lang w:val="en-GB"/>
              </w:rPr>
              <w:t>06</w:t>
            </w:r>
            <w:r w:rsidR="005348EA">
              <w:rPr>
                <w:lang w:val="en-GB"/>
              </w:rPr>
              <w:t xml:space="preserve"> March 2014</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Source:</w:t>
            </w:r>
            <w:r w:rsidR="00ED7AEC" w:rsidRPr="00D149DA">
              <w:rPr>
                <w:lang w:val="en-GB"/>
              </w:rPr>
              <w:t xml:space="preserve"> </w:t>
            </w:r>
          </w:p>
        </w:tc>
        <w:tc>
          <w:tcPr>
            <w:tcW w:w="7797" w:type="dxa"/>
            <w:gridSpan w:val="3"/>
            <w:tcBorders>
              <w:top w:val="nil"/>
              <w:left w:val="nil"/>
              <w:bottom w:val="nil"/>
              <w:right w:val="nil"/>
            </w:tcBorders>
            <w:vAlign w:val="center"/>
          </w:tcPr>
          <w:p w:rsidR="00F05B26" w:rsidRPr="0098621D" w:rsidRDefault="005348EA" w:rsidP="00215746">
            <w:pPr>
              <w:pStyle w:val="Kopfzeile1"/>
              <w:rPr>
                <w:lang w:val="en-GB"/>
              </w:rPr>
            </w:pPr>
            <w:r>
              <w:rPr>
                <w:lang w:val="en-GB"/>
              </w:rPr>
              <w:t>TG6 Chairman</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Subject:</w:t>
            </w:r>
            <w:r w:rsidR="005269EA" w:rsidRPr="00D149DA">
              <w:rPr>
                <w:lang w:val="en-GB"/>
              </w:rPr>
              <w:t xml:space="preserve"> </w:t>
            </w:r>
          </w:p>
        </w:tc>
        <w:tc>
          <w:tcPr>
            <w:tcW w:w="7797" w:type="dxa"/>
            <w:gridSpan w:val="3"/>
            <w:tcBorders>
              <w:top w:val="nil"/>
              <w:left w:val="nil"/>
              <w:bottom w:val="nil"/>
              <w:right w:val="nil"/>
            </w:tcBorders>
            <w:vAlign w:val="center"/>
          </w:tcPr>
          <w:p w:rsidR="00F05B26" w:rsidRPr="001E0E49" w:rsidRDefault="005348EA" w:rsidP="001E0E49">
            <w:pPr>
              <w:pStyle w:val="Kopfzeile1"/>
              <w:rPr>
                <w:lang w:val="en-GB"/>
              </w:rPr>
            </w:pPr>
            <w:r>
              <w:rPr>
                <w:lang w:val="en-GB"/>
              </w:rPr>
              <w:t>TG6</w:t>
            </w:r>
            <w:r w:rsidRPr="00CC536F">
              <w:rPr>
                <w:lang w:val="en-GB"/>
              </w:rPr>
              <w:t xml:space="preserve"> Progress Report</w:t>
            </w:r>
          </w:p>
        </w:tc>
      </w:tr>
      <w:tr w:rsidR="00493F86" w:rsidRPr="0098621D" w:rsidTr="00FF320E">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493F86" w:rsidRPr="006D7413" w:rsidRDefault="003E2B72" w:rsidP="00FF320E">
            <w:pPr>
              <w:rPr>
                <w:rFonts w:cs="Arial"/>
                <w:szCs w:val="24"/>
                <w:lang w:val="en-GB"/>
              </w:rPr>
            </w:pPr>
            <w:r>
              <w:rPr>
                <w:noProof/>
                <w:lang w:val="pt-PT" w:eastAsia="pt-PT"/>
              </w:rPr>
              <w:pict>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position-horizontal-relative:text;mso-position-vertical-relative:text" wrapcoords="-450 -771 -450 20829 22050 20829 22050 -771 -45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dq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X/JmYGO&#10;JHqQQ2CvcWD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oTonaicCAABPBAAADgAAAAAAAAAAAAAAAAAuAgAAZHJzL2Uy&#10;b0RvYy54bWxQSwECLQAUAAYACAAAACEAn6Da/eAAAAAJAQAADwAAAAAAAAAAAAAAAACBBAAAZHJz&#10;L2Rvd25yZXYueG1sUEsFBgAAAAAEAAQA8wAAAI4FAAAAAA==&#10;">
                  <v:textbox>
                    <w:txbxContent>
                      <w:p w:rsidR="005269EA" w:rsidRPr="00254FD9" w:rsidRDefault="005269EA" w:rsidP="005348B2">
                        <w:pPr>
                          <w:spacing w:after="0"/>
                          <w:jc w:val="center"/>
                          <w:rPr>
                            <w:rFonts w:cs="Arial"/>
                            <w:szCs w:val="24"/>
                            <w:lang w:val="de-DE"/>
                          </w:rPr>
                        </w:pPr>
                        <w:r>
                          <w:rPr>
                            <w:rFonts w:cs="Arial"/>
                            <w:szCs w:val="24"/>
                            <w:lang w:val="de-DE"/>
                          </w:rPr>
                          <w:t>N</w:t>
                        </w:r>
                      </w:p>
                    </w:txbxContent>
                  </v:textbox>
                  <w10:wrap type="tight"/>
                </v:shape>
              </w:pict>
            </w:r>
          </w:p>
          <w:p w:rsidR="00493F86" w:rsidRDefault="001D181E" w:rsidP="00FF320E">
            <w:pPr>
              <w:rPr>
                <w:lang w:val="en-GB"/>
              </w:rPr>
            </w:pPr>
            <w:r>
              <w:rPr>
                <w:lang w:val="en-GB"/>
              </w:rPr>
              <w:t>Group membership</w:t>
            </w:r>
            <w:r w:rsidR="00493F86" w:rsidRPr="0016435A">
              <w:rPr>
                <w:lang w:val="en-GB"/>
              </w:rPr>
              <w:t xml:space="preserve"> required</w:t>
            </w:r>
            <w:r>
              <w:rPr>
                <w:lang w:val="en-GB"/>
              </w:rPr>
              <w:t xml:space="preserve"> </w:t>
            </w:r>
            <w:proofErr w:type="gramStart"/>
            <w:r>
              <w:rPr>
                <w:lang w:val="en-GB"/>
              </w:rPr>
              <w:t>to read</w:t>
            </w:r>
            <w:proofErr w:type="gramEnd"/>
            <w:r>
              <w:rPr>
                <w:lang w:val="en-GB"/>
              </w:rPr>
              <w:t>? (Y/N)</w:t>
            </w:r>
          </w:p>
          <w:p w:rsidR="00493F86" w:rsidRPr="00DD103C" w:rsidRDefault="00493F86" w:rsidP="00FF320E">
            <w:pPr>
              <w:pStyle w:val="Header1"/>
              <w:rPr>
                <w:lang w:val="en-GB"/>
              </w:rPr>
            </w:pPr>
          </w:p>
        </w:tc>
      </w:tr>
      <w:tr w:rsidR="00493F86" w:rsidRPr="0098621D" w:rsidTr="00FF320E">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493F86" w:rsidRPr="003D778B" w:rsidRDefault="00493F86" w:rsidP="00FF320E">
            <w:pPr>
              <w:pStyle w:val="Header1"/>
            </w:pPr>
          </w:p>
          <w:p w:rsidR="00493F86" w:rsidRPr="0098621D" w:rsidRDefault="00493F86" w:rsidP="00FF320E">
            <w:pPr>
              <w:pStyle w:val="Header1"/>
              <w:rPr>
                <w:sz w:val="8"/>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1E0E49" w:rsidRDefault="001E0E49" w:rsidP="001E0E49">
            <w:pPr>
              <w:pStyle w:val="Kopfzeile1"/>
              <w:rPr>
                <w:lang w:val="en-US"/>
              </w:rPr>
            </w:pPr>
            <w:r w:rsidRPr="001E0E49">
              <w:rPr>
                <w:lang w:val="en-US"/>
              </w:rPr>
              <w:t>Summary:</w:t>
            </w:r>
            <w:r>
              <w:rPr>
                <w:lang w:val="en-US"/>
              </w:rPr>
              <w:t xml:space="preserve"> </w:t>
            </w:r>
          </w:p>
        </w:tc>
      </w:tr>
      <w:tr w:rsidR="001E0E49" w:rsidRPr="00D44060"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640" w:type="dxa"/>
            <w:gridSpan w:val="4"/>
            <w:tcBorders>
              <w:top w:val="nil"/>
              <w:bottom w:val="single" w:sz="4" w:space="0" w:color="auto"/>
            </w:tcBorders>
          </w:tcPr>
          <w:p w:rsidR="00EB65D4" w:rsidRDefault="005348EA" w:rsidP="001E0E49">
            <w:pPr>
              <w:rPr>
                <w:rFonts w:cs="Arial"/>
                <w:szCs w:val="22"/>
              </w:rPr>
            </w:pPr>
            <w:r w:rsidRPr="00546E87">
              <w:rPr>
                <w:rFonts w:cs="Arial"/>
                <w:szCs w:val="22"/>
              </w:rPr>
              <w:t>This report summarises the activities of the ECC Task Group 6 (TG6) - "Long term vision for the UHF broadcasting band"</w:t>
            </w:r>
            <w:r w:rsidR="00EB65D4">
              <w:rPr>
                <w:rFonts w:cs="Arial"/>
                <w:szCs w:val="22"/>
              </w:rPr>
              <w:t>.</w:t>
            </w:r>
          </w:p>
          <w:p w:rsidR="00836F92" w:rsidRDefault="00CB7CF7" w:rsidP="00EB65D4">
            <w:pPr>
              <w:rPr>
                <w:rFonts w:cs="Arial"/>
                <w:szCs w:val="22"/>
                <w:lang w:val="en-GB"/>
              </w:rPr>
            </w:pPr>
            <w:r>
              <w:rPr>
                <w:rFonts w:cs="Arial"/>
                <w:szCs w:val="22"/>
              </w:rPr>
              <w:t>Since the last ECC meeting</w:t>
            </w:r>
            <w:r w:rsidR="00844066">
              <w:rPr>
                <w:rFonts w:cs="Arial"/>
                <w:szCs w:val="22"/>
              </w:rPr>
              <w:t xml:space="preserve"> in N</w:t>
            </w:r>
            <w:r w:rsidR="009A397F">
              <w:rPr>
                <w:rFonts w:cs="Arial"/>
                <w:szCs w:val="22"/>
              </w:rPr>
              <w:t>ovember</w:t>
            </w:r>
            <w:r>
              <w:rPr>
                <w:rFonts w:cs="Arial"/>
                <w:szCs w:val="22"/>
              </w:rPr>
              <w:t>, two TG6 meetings</w:t>
            </w:r>
            <w:r w:rsidR="001A6CD7">
              <w:rPr>
                <w:rFonts w:cs="Arial"/>
                <w:szCs w:val="22"/>
              </w:rPr>
              <w:t xml:space="preserve"> took place. </w:t>
            </w:r>
            <w:r w:rsidR="005348EA" w:rsidRPr="00546E87">
              <w:rPr>
                <w:rFonts w:cs="Arial"/>
                <w:szCs w:val="22"/>
                <w:lang w:val="en-GB"/>
              </w:rPr>
              <w:t>The 2</w:t>
            </w:r>
            <w:r w:rsidR="005348EA" w:rsidRPr="00546E87">
              <w:rPr>
                <w:rFonts w:cs="Arial"/>
                <w:szCs w:val="22"/>
                <w:vertAlign w:val="superscript"/>
                <w:lang w:val="en-GB"/>
              </w:rPr>
              <w:t>nd</w:t>
            </w:r>
            <w:r w:rsidR="005348EA" w:rsidRPr="00546E87">
              <w:rPr>
                <w:rFonts w:cs="Arial"/>
                <w:szCs w:val="22"/>
                <w:lang w:val="en-GB"/>
              </w:rPr>
              <w:t xml:space="preserve"> meeting of ECC TG6 was held in </w:t>
            </w:r>
            <w:proofErr w:type="spellStart"/>
            <w:r w:rsidR="005348EA" w:rsidRPr="00546E87">
              <w:rPr>
                <w:rFonts w:cs="Arial"/>
                <w:szCs w:val="22"/>
                <w:lang w:val="en-GB"/>
              </w:rPr>
              <w:t>Lisboa</w:t>
            </w:r>
            <w:proofErr w:type="spellEnd"/>
            <w:r w:rsidR="005348EA" w:rsidRPr="00546E87">
              <w:rPr>
                <w:rFonts w:cs="Arial"/>
                <w:szCs w:val="22"/>
                <w:lang w:val="en-GB"/>
              </w:rPr>
              <w:t xml:space="preserve"> </w:t>
            </w:r>
            <w:r w:rsidR="00CB4B34">
              <w:rPr>
                <w:rFonts w:cs="Arial"/>
                <w:szCs w:val="22"/>
                <w:lang w:val="en-GB"/>
              </w:rPr>
              <w:t xml:space="preserve">(Portugal) </w:t>
            </w:r>
            <w:r w:rsidR="005348EA" w:rsidRPr="00546E87">
              <w:rPr>
                <w:rFonts w:cs="Arial"/>
                <w:szCs w:val="22"/>
                <w:lang w:val="en-GB"/>
              </w:rPr>
              <w:t>from 3 to 5 December 2013, and was attended by 66 participants including 21 Administrations</w:t>
            </w:r>
            <w:r w:rsidR="00836F92">
              <w:rPr>
                <w:rFonts w:cs="Arial"/>
                <w:szCs w:val="22"/>
                <w:lang w:val="en-GB"/>
              </w:rPr>
              <w:t>.</w:t>
            </w:r>
          </w:p>
          <w:p w:rsidR="005348EA" w:rsidRPr="00546E87" w:rsidRDefault="00836F92" w:rsidP="00EB65D4">
            <w:pPr>
              <w:rPr>
                <w:rFonts w:cs="Arial"/>
                <w:szCs w:val="22"/>
              </w:rPr>
            </w:pPr>
            <w:r>
              <w:rPr>
                <w:rFonts w:cs="Arial"/>
                <w:szCs w:val="22"/>
                <w:lang w:val="en-GB"/>
              </w:rPr>
              <w:t>T</w:t>
            </w:r>
            <w:r w:rsidR="005348EA" w:rsidRPr="00546E87">
              <w:rPr>
                <w:rFonts w:cs="Arial"/>
                <w:szCs w:val="22"/>
                <w:lang w:val="en-GB"/>
              </w:rPr>
              <w:t>he 3</w:t>
            </w:r>
            <w:r w:rsidR="005348EA" w:rsidRPr="00546E87">
              <w:rPr>
                <w:rFonts w:cs="Arial"/>
                <w:szCs w:val="22"/>
                <w:vertAlign w:val="superscript"/>
                <w:lang w:val="en-GB"/>
              </w:rPr>
              <w:t>rd</w:t>
            </w:r>
            <w:r w:rsidR="005348EA" w:rsidRPr="00546E87">
              <w:rPr>
                <w:rFonts w:cs="Arial"/>
                <w:szCs w:val="22"/>
                <w:lang w:val="en-GB"/>
              </w:rPr>
              <w:t xml:space="preserve"> meeting of ECC TG6 was held in Copenhagen (Denmark) from 11 to 13 February 2014, and was attended by 67 participants including 21 Administrations</w:t>
            </w:r>
            <w:r w:rsidR="00546E87" w:rsidRPr="00546E87">
              <w:rPr>
                <w:rFonts w:cs="Arial"/>
                <w:szCs w:val="22"/>
                <w:lang w:val="en-GB"/>
              </w:rPr>
              <w:t>.</w:t>
            </w:r>
          </w:p>
          <w:p w:rsidR="00DD1AB1" w:rsidRPr="00771B1A" w:rsidRDefault="00DD1AB1" w:rsidP="00DD1AB1">
            <w:r w:rsidRPr="00771B1A">
              <w:t>The minutes of the meeting</w:t>
            </w:r>
            <w:r>
              <w:t>s</w:t>
            </w:r>
            <w:r w:rsidRPr="00771B1A">
              <w:t xml:space="preserve"> a</w:t>
            </w:r>
            <w:r>
              <w:t xml:space="preserve">re available in TG6 web folder </w:t>
            </w:r>
            <w:r w:rsidRPr="00771B1A">
              <w:t>as TG</w:t>
            </w:r>
            <w:r>
              <w:t>6</w:t>
            </w:r>
            <w:r w:rsidRPr="00771B1A">
              <w:t>(13)0</w:t>
            </w:r>
            <w:r>
              <w:t xml:space="preserve">49 and </w:t>
            </w:r>
            <w:r w:rsidRPr="00771B1A">
              <w:t>TG</w:t>
            </w:r>
            <w:r>
              <w:t>6(14</w:t>
            </w:r>
            <w:r w:rsidRPr="00771B1A">
              <w:t>)0</w:t>
            </w:r>
            <w:r>
              <w:t>26, respectively.</w:t>
            </w:r>
          </w:p>
          <w:p w:rsidR="00826A61" w:rsidRPr="00390005" w:rsidRDefault="00DD1AB1" w:rsidP="00DD1AB1">
            <w:r w:rsidRPr="00771B1A">
              <w:t>This report identifies the main discussions as well as the results of the meeting</w:t>
            </w:r>
            <w:r>
              <w:t>s</w:t>
            </w:r>
            <w:r w:rsidRPr="00771B1A">
              <w:t>.</w:t>
            </w:r>
            <w:r w:rsidR="00826A61">
              <w:t xml:space="preserve"> The wo</w:t>
            </w:r>
            <w:proofErr w:type="spellStart"/>
            <w:r w:rsidR="00826A61" w:rsidRPr="00826A61">
              <w:rPr>
                <w:lang w:val="en-GB"/>
              </w:rPr>
              <w:t>rking</w:t>
            </w:r>
            <w:proofErr w:type="spellEnd"/>
            <w:r w:rsidR="00826A61" w:rsidRPr="00826A61">
              <w:rPr>
                <w:lang w:val="en-GB"/>
              </w:rPr>
              <w:t xml:space="preserve"> document towards ECC Report on Long Term Vision for the UHF broadcasting band</w:t>
            </w:r>
            <w:r w:rsidR="00826A61">
              <w:rPr>
                <w:lang w:val="en-GB"/>
              </w:rPr>
              <w:t xml:space="preserve"> is attached in</w:t>
            </w:r>
            <w:r w:rsidR="00826A61" w:rsidRPr="00826A61">
              <w:rPr>
                <w:b/>
                <w:lang w:val="en-GB"/>
              </w:rPr>
              <w:t xml:space="preserve"> Annex 1</w:t>
            </w:r>
            <w:r w:rsidR="00826A61">
              <w:rPr>
                <w:b/>
                <w:lang w:val="en-GB"/>
              </w:rPr>
              <w:t>.</w:t>
            </w:r>
          </w:p>
          <w:p w:rsidR="005348EA" w:rsidRPr="001E0E49" w:rsidRDefault="005348EA" w:rsidP="001E0E49"/>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640" w:type="dxa"/>
            <w:gridSpan w:val="4"/>
            <w:tcBorders>
              <w:bottom w:val="nil"/>
            </w:tcBorders>
          </w:tcPr>
          <w:p w:rsidR="001E0E49" w:rsidRDefault="001E0E49" w:rsidP="001E0E49">
            <w:pPr>
              <w:pStyle w:val="Kopfzeile1"/>
              <w:rPr>
                <w:lang w:val="en-US"/>
              </w:rPr>
            </w:pPr>
            <w:r>
              <w:rPr>
                <w:lang w:val="en-US"/>
              </w:rPr>
              <w:t xml:space="preserve">Proposal: </w:t>
            </w: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640" w:type="dxa"/>
            <w:gridSpan w:val="4"/>
            <w:tcBorders>
              <w:top w:val="nil"/>
              <w:bottom w:val="single" w:sz="4" w:space="0" w:color="auto"/>
            </w:tcBorders>
          </w:tcPr>
          <w:p w:rsidR="00121F1B" w:rsidRPr="00121F1B" w:rsidRDefault="00DD1AB1" w:rsidP="00121F1B">
            <w:pPr>
              <w:rPr>
                <w:bCs/>
                <w:lang w:val="en-GB"/>
              </w:rPr>
            </w:pPr>
            <w:r w:rsidRPr="00121F1B">
              <w:rPr>
                <w:lang w:val="en-US"/>
              </w:rPr>
              <w:t>ECC is invited to consider and endorse the activities of TG6.</w:t>
            </w:r>
            <w:r w:rsidR="00121F1B" w:rsidRPr="00121F1B">
              <w:rPr>
                <w:rFonts w:ascii="Calibri" w:hAnsi="Calibri"/>
                <w:bCs/>
                <w:sz w:val="24"/>
                <w:szCs w:val="24"/>
                <w:lang w:val="en-GB"/>
              </w:rPr>
              <w:t xml:space="preserve"> </w:t>
            </w:r>
            <w:r w:rsidR="00121F1B" w:rsidRPr="00121F1B">
              <w:rPr>
                <w:bCs/>
                <w:lang w:val="en-GB"/>
              </w:rPr>
              <w:t xml:space="preserve">ECC is </w:t>
            </w:r>
            <w:r w:rsidR="00121F1B">
              <w:rPr>
                <w:bCs/>
                <w:lang w:val="en-GB"/>
              </w:rPr>
              <w:t xml:space="preserve">also </w:t>
            </w:r>
            <w:r w:rsidR="00121F1B" w:rsidRPr="00121F1B">
              <w:rPr>
                <w:bCs/>
                <w:lang w:val="en-GB"/>
              </w:rPr>
              <w:t xml:space="preserve">invited to give guidance </w:t>
            </w:r>
            <w:r w:rsidR="00121F1B">
              <w:rPr>
                <w:bCs/>
                <w:lang w:val="en-GB"/>
              </w:rPr>
              <w:t xml:space="preserve">on </w:t>
            </w:r>
            <w:r w:rsidR="008B078B">
              <w:rPr>
                <w:bCs/>
                <w:lang w:val="en-GB"/>
              </w:rPr>
              <w:t xml:space="preserve">a possible </w:t>
            </w:r>
            <w:r w:rsidR="00121F1B">
              <w:rPr>
                <w:bCs/>
                <w:lang w:val="en-GB"/>
              </w:rPr>
              <w:t xml:space="preserve">coordination with </w:t>
            </w:r>
            <w:r w:rsidR="001D1114">
              <w:rPr>
                <w:bCs/>
                <w:lang w:val="en-GB"/>
              </w:rPr>
              <w:t>the related activities in the European</w:t>
            </w:r>
            <w:r w:rsidR="00A50D11">
              <w:rPr>
                <w:bCs/>
                <w:lang w:val="en-GB"/>
              </w:rPr>
              <w:t xml:space="preserve"> </w:t>
            </w:r>
            <w:r w:rsidR="005B7F3A">
              <w:rPr>
                <w:bCs/>
                <w:lang w:val="en-GB"/>
              </w:rPr>
              <w:t>Union</w:t>
            </w:r>
            <w:r w:rsidR="00A50D11">
              <w:rPr>
                <w:bCs/>
                <w:lang w:val="en-GB"/>
              </w:rPr>
              <w:t>.</w:t>
            </w:r>
            <w:r w:rsidR="001D1114">
              <w:rPr>
                <w:bCs/>
                <w:lang w:val="en-GB"/>
              </w:rPr>
              <w:t xml:space="preserve"> </w:t>
            </w:r>
          </w:p>
          <w:p w:rsidR="001E0E49" w:rsidRPr="00121F1B" w:rsidRDefault="001E0E49" w:rsidP="00377AC7">
            <w:pPr>
              <w:rPr>
                <w:lang w:val="en-GB"/>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640" w:type="dxa"/>
            <w:gridSpan w:val="4"/>
            <w:tcBorders>
              <w:bottom w:val="nil"/>
            </w:tcBorders>
          </w:tcPr>
          <w:p w:rsidR="001E0E49" w:rsidRDefault="001E0E49" w:rsidP="001E0E49">
            <w:pPr>
              <w:pStyle w:val="Kopfzeile1"/>
              <w:rPr>
                <w:lang w:val="en-US"/>
              </w:rPr>
            </w:pPr>
            <w:r>
              <w:rPr>
                <w:lang w:val="en-US"/>
              </w:rPr>
              <w:t>Background:</w:t>
            </w:r>
            <w:r w:rsidR="00ED7AEC">
              <w:rPr>
                <w:lang w:val="en-US"/>
              </w:rPr>
              <w:t xml:space="preserve"> </w:t>
            </w:r>
          </w:p>
        </w:tc>
      </w:tr>
      <w:tr w:rsidR="001E0E49" w:rsidRPr="00E305FF"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4"/>
            <w:tcBorders>
              <w:top w:val="nil"/>
              <w:bottom w:val="single" w:sz="4" w:space="0" w:color="auto"/>
            </w:tcBorders>
          </w:tcPr>
          <w:p w:rsidR="001E0E49" w:rsidRPr="002A3C7C" w:rsidRDefault="00DD1AB1" w:rsidP="004002F7">
            <w:pPr>
              <w:rPr>
                <w:rFonts w:cs="Arial"/>
                <w:bCs/>
                <w:szCs w:val="22"/>
                <w:lang w:val="en-GB"/>
              </w:rPr>
            </w:pPr>
            <w:r w:rsidRPr="002A3C7C">
              <w:rPr>
                <w:rFonts w:cs="Arial"/>
                <w:bCs/>
                <w:szCs w:val="22"/>
                <w:lang w:val="en-GB"/>
              </w:rPr>
              <w:t>The 34</w:t>
            </w:r>
            <w:r w:rsidRPr="002A3C7C">
              <w:rPr>
                <w:rFonts w:cs="Arial"/>
                <w:bCs/>
                <w:szCs w:val="22"/>
                <w:vertAlign w:val="superscript"/>
                <w:lang w:val="en-GB"/>
              </w:rPr>
              <w:t>th</w:t>
            </w:r>
            <w:r w:rsidRPr="002A3C7C">
              <w:rPr>
                <w:rFonts w:cs="Arial"/>
                <w:bCs/>
                <w:szCs w:val="22"/>
                <w:lang w:val="en-GB"/>
              </w:rPr>
              <w:t xml:space="preserve"> ECC meeting approved the creation of a new Task Group on the long term vision for the UHF broadcasting band – ECC TG6. The Terms </w:t>
            </w:r>
            <w:r w:rsidRPr="002A3C7C">
              <w:rPr>
                <w:rFonts w:cs="Arial"/>
                <w:szCs w:val="22"/>
                <w:lang w:val="en-GB"/>
              </w:rPr>
              <w:t xml:space="preserve">of Reference of the task group are described in </w:t>
            </w:r>
            <w:proofErr w:type="gramStart"/>
            <w:r w:rsidRPr="002A3C7C">
              <w:rPr>
                <w:rFonts w:cs="Arial"/>
                <w:bCs/>
                <w:szCs w:val="22"/>
                <w:lang w:val="en-GB"/>
              </w:rPr>
              <w:t>ECC(</w:t>
            </w:r>
            <w:proofErr w:type="gramEnd"/>
            <w:r w:rsidRPr="002A3C7C">
              <w:rPr>
                <w:rFonts w:cs="Arial"/>
                <w:bCs/>
                <w:szCs w:val="22"/>
                <w:lang w:val="en-GB"/>
              </w:rPr>
              <w:t>13)048 Annex 15.</w:t>
            </w:r>
          </w:p>
          <w:p w:rsidR="002A3C7C" w:rsidRPr="00DD1AB1" w:rsidRDefault="002A3C7C" w:rsidP="007F392D">
            <w:pPr>
              <w:rPr>
                <w:rFonts w:cs="Arial"/>
                <w:bCs/>
                <w:szCs w:val="22"/>
                <w:lang w:val="en-GB"/>
              </w:rPr>
            </w:pPr>
            <w:r w:rsidRPr="002A3C7C">
              <w:rPr>
                <w:rFonts w:cs="Arial"/>
                <w:szCs w:val="22"/>
                <w:lang w:val="en-GB"/>
              </w:rPr>
              <w:t>The main objective of TG6 is to conduct studies aiming at the development of a long term vision for the UHF broadcasting band (focusing on the band 470-694 MHz) in Europe, and to prepare a draft ECC Report.</w:t>
            </w:r>
          </w:p>
        </w:tc>
      </w:tr>
    </w:tbl>
    <w:p w:rsidR="00DE5E01" w:rsidRDefault="00DE5E01" w:rsidP="00DE5E01">
      <w:pPr>
        <w:rPr>
          <w:lang w:val="en-GB"/>
        </w:rPr>
      </w:pPr>
    </w:p>
    <w:p w:rsidR="00DD1AB1" w:rsidRDefault="00DD1AB1" w:rsidP="00DE5E01">
      <w:pPr>
        <w:rPr>
          <w:lang w:val="en-GB"/>
        </w:rPr>
      </w:pPr>
    </w:p>
    <w:p w:rsidR="00E66755" w:rsidRPr="005B6DE9" w:rsidRDefault="00377AC7" w:rsidP="00F43639">
      <w:pPr>
        <w:rPr>
          <w:rFonts w:ascii="Calibri" w:hAnsi="Calibri"/>
          <w:b/>
          <w:sz w:val="28"/>
          <w:szCs w:val="28"/>
          <w:lang w:val="en-GB"/>
        </w:rPr>
      </w:pPr>
      <w:r>
        <w:rPr>
          <w:lang w:val="en-GB"/>
        </w:rPr>
        <w:br w:type="page"/>
      </w:r>
      <w:r w:rsidR="00E66755" w:rsidRPr="005B6DE9">
        <w:rPr>
          <w:rFonts w:ascii="Calibri" w:hAnsi="Calibri"/>
          <w:b/>
          <w:sz w:val="28"/>
          <w:szCs w:val="28"/>
          <w:lang w:val="en-GB"/>
        </w:rPr>
        <w:lastRenderedPageBreak/>
        <w:t>1. Introduction</w:t>
      </w:r>
    </w:p>
    <w:p w:rsidR="00DD1AB1" w:rsidRPr="005B6DE9" w:rsidRDefault="00C3761A" w:rsidP="00DE5E01">
      <w:pPr>
        <w:rPr>
          <w:rFonts w:ascii="Calibri" w:hAnsi="Calibri"/>
          <w:lang w:val="en-GB"/>
        </w:rPr>
      </w:pPr>
      <w:r w:rsidRPr="00C3761A">
        <w:rPr>
          <w:rFonts w:ascii="Calibri" w:hAnsi="Calibri"/>
          <w:sz w:val="24"/>
          <w:szCs w:val="24"/>
          <w:lang w:val="en-GB"/>
        </w:rPr>
        <w:t>Two TG6 meetings took place since the last ECC</w:t>
      </w:r>
      <w:r w:rsidR="00DF620E">
        <w:rPr>
          <w:rFonts w:ascii="Calibri" w:hAnsi="Calibri"/>
          <w:sz w:val="24"/>
          <w:szCs w:val="24"/>
          <w:lang w:val="en-GB"/>
        </w:rPr>
        <w:t xml:space="preserve"> meeting</w:t>
      </w:r>
      <w:r w:rsidRPr="00C3761A">
        <w:rPr>
          <w:rFonts w:ascii="Calibri" w:hAnsi="Calibri"/>
          <w:sz w:val="24"/>
          <w:szCs w:val="24"/>
          <w:lang w:val="en-GB"/>
        </w:rPr>
        <w:t xml:space="preserve"> (35th meeting in November 2013).</w:t>
      </w:r>
      <w:r>
        <w:rPr>
          <w:rFonts w:cs="Arial"/>
          <w:szCs w:val="22"/>
        </w:rPr>
        <w:t xml:space="preserve"> </w:t>
      </w:r>
      <w:r w:rsidR="00E66755" w:rsidRPr="005B6DE9">
        <w:rPr>
          <w:rFonts w:ascii="Calibri" w:hAnsi="Calibri"/>
          <w:sz w:val="24"/>
          <w:szCs w:val="24"/>
          <w:lang w:val="en-GB"/>
        </w:rPr>
        <w:t>The 2</w:t>
      </w:r>
      <w:r w:rsidR="00E66755" w:rsidRPr="005B6DE9">
        <w:rPr>
          <w:rFonts w:ascii="Calibri" w:hAnsi="Calibri"/>
          <w:sz w:val="24"/>
          <w:szCs w:val="24"/>
          <w:vertAlign w:val="superscript"/>
          <w:lang w:val="en-GB"/>
        </w:rPr>
        <w:t>nd</w:t>
      </w:r>
      <w:r w:rsidR="00E66755" w:rsidRPr="005B6DE9">
        <w:rPr>
          <w:rFonts w:ascii="Calibri" w:hAnsi="Calibri"/>
          <w:sz w:val="24"/>
          <w:szCs w:val="24"/>
          <w:lang w:val="en-GB"/>
        </w:rPr>
        <w:t xml:space="preserve"> meeting of ECC Task Group 6 (TG6) was held in </w:t>
      </w:r>
      <w:proofErr w:type="spellStart"/>
      <w:r w:rsidR="00E66755" w:rsidRPr="005B6DE9">
        <w:rPr>
          <w:rFonts w:ascii="Calibri" w:hAnsi="Calibri"/>
          <w:sz w:val="24"/>
          <w:szCs w:val="24"/>
          <w:lang w:val="en-GB"/>
        </w:rPr>
        <w:t>Lisboa</w:t>
      </w:r>
      <w:proofErr w:type="spellEnd"/>
      <w:r w:rsidR="00E66755" w:rsidRPr="005B6DE9">
        <w:rPr>
          <w:rFonts w:ascii="Calibri" w:hAnsi="Calibri"/>
          <w:sz w:val="24"/>
          <w:szCs w:val="24"/>
          <w:lang w:val="en-GB"/>
        </w:rPr>
        <w:t xml:space="preserve"> from 3 to 5 December 2013, and was attended by 66 participants including 21 Administrations (Austria, Belgium, Croatia, Czech Republic, Denmark, Finland, France, Germany, Hungary, Ireland, Italy, Netherlands, Norway, Poland, Portugal, Romania, Slovak Republic, Spain, Sweden, Switzerland and United Kingdom), ECO and various organizations/companies.</w:t>
      </w:r>
    </w:p>
    <w:p w:rsidR="008F7690" w:rsidRDefault="008F7690" w:rsidP="00DE5E01">
      <w:pPr>
        <w:rPr>
          <w:rFonts w:ascii="Calibri" w:hAnsi="Calibri"/>
          <w:sz w:val="24"/>
          <w:szCs w:val="24"/>
          <w:lang w:val="en-GB"/>
        </w:rPr>
      </w:pPr>
    </w:p>
    <w:p w:rsidR="00DD1AB1" w:rsidRPr="005B6DE9" w:rsidRDefault="00E66755" w:rsidP="00DE5E01">
      <w:pPr>
        <w:rPr>
          <w:rFonts w:ascii="Calibri" w:hAnsi="Calibri"/>
          <w:lang w:val="en-GB"/>
        </w:rPr>
      </w:pPr>
      <w:r w:rsidRPr="005B6DE9">
        <w:rPr>
          <w:rFonts w:ascii="Calibri" w:hAnsi="Calibri"/>
          <w:sz w:val="24"/>
          <w:szCs w:val="24"/>
          <w:lang w:val="en-GB"/>
        </w:rPr>
        <w:t>The 3</w:t>
      </w:r>
      <w:r w:rsidRPr="005B6DE9">
        <w:rPr>
          <w:rFonts w:ascii="Calibri" w:hAnsi="Calibri"/>
          <w:sz w:val="24"/>
          <w:szCs w:val="24"/>
          <w:vertAlign w:val="superscript"/>
          <w:lang w:val="en-GB"/>
        </w:rPr>
        <w:t>rd</w:t>
      </w:r>
      <w:r w:rsidRPr="005B6DE9">
        <w:rPr>
          <w:rFonts w:ascii="Calibri" w:hAnsi="Calibri"/>
          <w:sz w:val="24"/>
          <w:szCs w:val="24"/>
          <w:lang w:val="en-GB"/>
        </w:rPr>
        <w:t xml:space="preserve"> meeting of ECC Task Group 6 (TG6) was held in Copenhagen (Denmark) from 11 to 13 February 2014, and was attended by 67 participants including 21 Administrations (Austria, Belgium, Croatia, Finland, France, Germany, Hungary, Ireland, Lithuania, Montenegro, Netherlands, Norway, Poland, Portugal, Romania, Russian Federation, Slovak Republic, Spain, Sweden, Switzerland and United Kingdom), ECO and various organizations/companies.</w:t>
      </w:r>
    </w:p>
    <w:p w:rsidR="00BE302D" w:rsidRPr="005B6DE9" w:rsidRDefault="00BE302D" w:rsidP="00DE5E01">
      <w:pPr>
        <w:rPr>
          <w:rFonts w:ascii="Calibri" w:hAnsi="Calibri"/>
          <w:sz w:val="24"/>
          <w:szCs w:val="24"/>
          <w:lang w:val="en-GB"/>
        </w:rPr>
      </w:pPr>
    </w:p>
    <w:p w:rsidR="00425AF4" w:rsidRPr="005B6DE9" w:rsidRDefault="00425AF4" w:rsidP="00425AF4">
      <w:pPr>
        <w:spacing w:after="0"/>
        <w:rPr>
          <w:rFonts w:ascii="Calibri" w:hAnsi="Calibri"/>
          <w:b/>
          <w:sz w:val="28"/>
          <w:szCs w:val="28"/>
          <w:lang w:val="en-GB"/>
        </w:rPr>
      </w:pPr>
      <w:r w:rsidRPr="005B6DE9">
        <w:rPr>
          <w:rFonts w:ascii="Calibri" w:hAnsi="Calibri"/>
          <w:b/>
          <w:sz w:val="28"/>
          <w:szCs w:val="28"/>
          <w:lang w:val="en-GB"/>
        </w:rPr>
        <w:t>2. Development of the draft ECC Report</w:t>
      </w:r>
    </w:p>
    <w:p w:rsidR="00DD1AB1" w:rsidRPr="005B6DE9" w:rsidRDefault="00DD1AB1" w:rsidP="00DE5E01">
      <w:pPr>
        <w:rPr>
          <w:rFonts w:ascii="Calibri" w:hAnsi="Calibri"/>
          <w:sz w:val="24"/>
          <w:szCs w:val="24"/>
          <w:lang w:val="en-GB"/>
        </w:rPr>
      </w:pPr>
    </w:p>
    <w:p w:rsidR="00C3761A" w:rsidRDefault="00425AF4" w:rsidP="00425AF4">
      <w:pPr>
        <w:spacing w:after="0"/>
        <w:rPr>
          <w:rFonts w:ascii="Calibri" w:hAnsi="Calibri"/>
          <w:sz w:val="24"/>
          <w:szCs w:val="24"/>
          <w:lang w:val="en-GB"/>
        </w:rPr>
      </w:pPr>
      <w:r w:rsidRPr="005B6DE9">
        <w:rPr>
          <w:rFonts w:ascii="Calibri" w:hAnsi="Calibri"/>
          <w:sz w:val="24"/>
          <w:szCs w:val="24"/>
          <w:lang w:val="en-GB"/>
        </w:rPr>
        <w:t>The main objective of TG6 is to conduct studies aiming at the development of a long term vision for the UHF broadcasting band (focusing on the band 470-694 MHz) in Europe, and to prepare a draft ECC Report.</w:t>
      </w:r>
    </w:p>
    <w:p w:rsidR="00C3761A" w:rsidRDefault="00C3761A" w:rsidP="00425AF4">
      <w:pPr>
        <w:spacing w:after="0"/>
        <w:rPr>
          <w:rFonts w:ascii="Calibri" w:hAnsi="Calibri"/>
          <w:sz w:val="24"/>
          <w:szCs w:val="24"/>
          <w:lang w:val="en-GB"/>
        </w:rPr>
      </w:pPr>
    </w:p>
    <w:p w:rsidR="00425AF4" w:rsidRPr="005B6DE9" w:rsidRDefault="00425AF4" w:rsidP="00425AF4">
      <w:pPr>
        <w:spacing w:after="0"/>
        <w:rPr>
          <w:rFonts w:ascii="Calibri" w:hAnsi="Calibri"/>
          <w:sz w:val="24"/>
          <w:szCs w:val="24"/>
          <w:lang w:val="en-GB"/>
        </w:rPr>
      </w:pPr>
      <w:r w:rsidRPr="005B6DE9">
        <w:rPr>
          <w:rFonts w:ascii="Calibri" w:hAnsi="Calibri"/>
          <w:sz w:val="24"/>
          <w:szCs w:val="24"/>
          <w:lang w:val="en-GB"/>
        </w:rPr>
        <w:t xml:space="preserve">Based </w:t>
      </w:r>
      <w:r w:rsidR="001853B0">
        <w:rPr>
          <w:rFonts w:ascii="Calibri" w:hAnsi="Calibri"/>
          <w:sz w:val="24"/>
          <w:szCs w:val="24"/>
          <w:lang w:val="en-GB"/>
        </w:rPr>
        <w:t>o</w:t>
      </w:r>
      <w:r w:rsidRPr="005B6DE9">
        <w:rPr>
          <w:rFonts w:ascii="Calibri" w:hAnsi="Calibri"/>
          <w:sz w:val="24"/>
          <w:szCs w:val="24"/>
          <w:lang w:val="en-GB"/>
        </w:rPr>
        <w:t xml:space="preserve">n the </w:t>
      </w:r>
      <w:r w:rsidR="005A2FFF">
        <w:rPr>
          <w:rFonts w:ascii="Calibri" w:hAnsi="Calibri"/>
          <w:sz w:val="24"/>
          <w:szCs w:val="24"/>
          <w:lang w:val="en-GB"/>
        </w:rPr>
        <w:t xml:space="preserve">layout </w:t>
      </w:r>
      <w:r w:rsidRPr="005B6DE9">
        <w:rPr>
          <w:rFonts w:ascii="Calibri" w:hAnsi="Calibri"/>
          <w:sz w:val="24"/>
          <w:szCs w:val="24"/>
          <w:lang w:val="en-GB"/>
        </w:rPr>
        <w:t>agreed in the 1</w:t>
      </w:r>
      <w:r w:rsidRPr="005B6DE9">
        <w:rPr>
          <w:rFonts w:ascii="Calibri" w:hAnsi="Calibri"/>
          <w:sz w:val="24"/>
          <w:szCs w:val="24"/>
          <w:vertAlign w:val="superscript"/>
          <w:lang w:val="en-GB"/>
        </w:rPr>
        <w:t>st</w:t>
      </w:r>
      <w:r w:rsidRPr="005B6DE9">
        <w:rPr>
          <w:rFonts w:ascii="Calibri" w:hAnsi="Calibri"/>
          <w:sz w:val="24"/>
          <w:szCs w:val="24"/>
          <w:lang w:val="en-GB"/>
        </w:rPr>
        <w:t xml:space="preserve"> TG6 m</w:t>
      </w:r>
      <w:r w:rsidR="005A2FFF">
        <w:rPr>
          <w:rFonts w:ascii="Calibri" w:hAnsi="Calibri"/>
          <w:sz w:val="24"/>
          <w:szCs w:val="24"/>
          <w:lang w:val="en-GB"/>
        </w:rPr>
        <w:t>eeting</w:t>
      </w:r>
      <w:r w:rsidR="001853B0">
        <w:rPr>
          <w:rFonts w:ascii="Calibri" w:hAnsi="Calibri"/>
          <w:sz w:val="24"/>
          <w:szCs w:val="24"/>
          <w:lang w:val="en-GB"/>
        </w:rPr>
        <w:t>,</w:t>
      </w:r>
      <w:r w:rsidR="005A2FFF">
        <w:rPr>
          <w:rFonts w:ascii="Calibri" w:hAnsi="Calibri"/>
          <w:sz w:val="24"/>
          <w:szCs w:val="24"/>
          <w:lang w:val="en-GB"/>
        </w:rPr>
        <w:t xml:space="preserve"> several contributions have</w:t>
      </w:r>
      <w:r w:rsidRPr="005B6DE9">
        <w:rPr>
          <w:rFonts w:ascii="Calibri" w:hAnsi="Calibri"/>
          <w:sz w:val="24"/>
          <w:szCs w:val="24"/>
          <w:lang w:val="en-GB"/>
        </w:rPr>
        <w:t xml:space="preserve"> been received </w:t>
      </w:r>
      <w:r w:rsidR="001853B0">
        <w:rPr>
          <w:rFonts w:ascii="Calibri" w:hAnsi="Calibri"/>
          <w:sz w:val="24"/>
          <w:szCs w:val="24"/>
          <w:lang w:val="en-GB"/>
        </w:rPr>
        <w:t>dealing with the different</w:t>
      </w:r>
      <w:r w:rsidRPr="005B6DE9">
        <w:rPr>
          <w:rFonts w:ascii="Calibri" w:hAnsi="Calibri"/>
          <w:sz w:val="24"/>
          <w:szCs w:val="24"/>
          <w:lang w:val="en-GB"/>
        </w:rPr>
        <w:t xml:space="preserve"> sections of the Report.</w:t>
      </w:r>
      <w:r w:rsidR="00002D4F">
        <w:rPr>
          <w:rFonts w:ascii="Calibri" w:hAnsi="Calibri"/>
          <w:sz w:val="24"/>
          <w:szCs w:val="24"/>
          <w:lang w:val="en-GB"/>
        </w:rPr>
        <w:t xml:space="preserve"> The Working Document towards the ECC Report i</w:t>
      </w:r>
      <w:r w:rsidR="00335535">
        <w:rPr>
          <w:rFonts w:ascii="Calibri" w:hAnsi="Calibri"/>
          <w:sz w:val="24"/>
          <w:szCs w:val="24"/>
          <w:lang w:val="en-GB"/>
        </w:rPr>
        <w:t>s</w:t>
      </w:r>
      <w:r w:rsidR="00002D4F">
        <w:rPr>
          <w:rFonts w:ascii="Calibri" w:hAnsi="Calibri"/>
          <w:sz w:val="24"/>
          <w:szCs w:val="24"/>
          <w:lang w:val="en-GB"/>
        </w:rPr>
        <w:t xml:space="preserve"> contained in annex 1. The following </w:t>
      </w:r>
      <w:r w:rsidR="007C742D">
        <w:rPr>
          <w:rFonts w:ascii="Calibri" w:hAnsi="Calibri"/>
          <w:sz w:val="24"/>
          <w:szCs w:val="24"/>
          <w:lang w:val="en-GB"/>
        </w:rPr>
        <w:t>sections highlight</w:t>
      </w:r>
      <w:r w:rsidR="00002D4F">
        <w:rPr>
          <w:rFonts w:ascii="Calibri" w:hAnsi="Calibri"/>
          <w:sz w:val="24"/>
          <w:szCs w:val="24"/>
          <w:lang w:val="en-GB"/>
        </w:rPr>
        <w:t xml:space="preserve"> the main areas of work in the</w:t>
      </w:r>
      <w:r w:rsidR="00845D9F">
        <w:rPr>
          <w:rFonts w:ascii="Calibri" w:hAnsi="Calibri"/>
          <w:sz w:val="24"/>
          <w:szCs w:val="24"/>
          <w:lang w:val="en-GB"/>
        </w:rPr>
        <w:t xml:space="preserve"> </w:t>
      </w:r>
      <w:r w:rsidR="00A567C1">
        <w:rPr>
          <w:rFonts w:ascii="Calibri" w:hAnsi="Calibri"/>
          <w:sz w:val="24"/>
          <w:szCs w:val="24"/>
          <w:lang w:val="en-GB"/>
        </w:rPr>
        <w:t xml:space="preserve">draft ECC </w:t>
      </w:r>
      <w:r w:rsidR="00002D4F">
        <w:rPr>
          <w:rFonts w:ascii="Calibri" w:hAnsi="Calibri"/>
          <w:sz w:val="24"/>
          <w:szCs w:val="24"/>
          <w:lang w:val="en-GB"/>
        </w:rPr>
        <w:t>Report.</w:t>
      </w:r>
    </w:p>
    <w:p w:rsidR="00E66755" w:rsidRPr="005B6DE9" w:rsidRDefault="00E66755" w:rsidP="00DE5E01">
      <w:pPr>
        <w:rPr>
          <w:rFonts w:ascii="Calibri" w:hAnsi="Calibri"/>
          <w:sz w:val="24"/>
          <w:szCs w:val="24"/>
          <w:lang w:val="en-GB"/>
        </w:rPr>
      </w:pPr>
    </w:p>
    <w:p w:rsidR="0056607F" w:rsidRPr="005B6DE9" w:rsidRDefault="0056607F" w:rsidP="00DE5E01">
      <w:pPr>
        <w:rPr>
          <w:rFonts w:ascii="Calibri" w:hAnsi="Calibri"/>
          <w:b/>
          <w:sz w:val="26"/>
          <w:szCs w:val="26"/>
          <w:lang w:val="en-GB"/>
        </w:rPr>
      </w:pPr>
      <w:r w:rsidRPr="005B6DE9">
        <w:rPr>
          <w:rFonts w:ascii="Calibri" w:hAnsi="Calibri"/>
          <w:b/>
          <w:sz w:val="26"/>
          <w:szCs w:val="26"/>
          <w:lang w:val="en-GB"/>
        </w:rPr>
        <w:t>2.1 Introduction and Background</w:t>
      </w:r>
    </w:p>
    <w:p w:rsidR="003F6F23" w:rsidRDefault="00425AF4" w:rsidP="0056607F">
      <w:pPr>
        <w:spacing w:after="0"/>
        <w:rPr>
          <w:rFonts w:ascii="Calibri" w:hAnsi="Calibri"/>
          <w:sz w:val="24"/>
          <w:szCs w:val="24"/>
          <w:lang w:val="en-GB"/>
        </w:rPr>
      </w:pPr>
      <w:r w:rsidRPr="005B6DE9">
        <w:rPr>
          <w:rFonts w:ascii="Calibri" w:hAnsi="Calibri"/>
          <w:sz w:val="24"/>
          <w:szCs w:val="24"/>
          <w:lang w:val="en-GB"/>
        </w:rPr>
        <w:t>The introduction and background chapter</w:t>
      </w:r>
      <w:r w:rsidR="009108BD" w:rsidRPr="005B6DE9">
        <w:rPr>
          <w:rFonts w:ascii="Calibri" w:hAnsi="Calibri"/>
          <w:sz w:val="24"/>
          <w:szCs w:val="24"/>
          <w:lang w:val="en-GB"/>
        </w:rPr>
        <w:t>s</w:t>
      </w:r>
      <w:r w:rsidRPr="005B6DE9">
        <w:rPr>
          <w:rFonts w:ascii="Calibri" w:hAnsi="Calibri"/>
          <w:sz w:val="24"/>
          <w:szCs w:val="24"/>
          <w:lang w:val="en-GB"/>
        </w:rPr>
        <w:t xml:space="preserve"> </w:t>
      </w:r>
      <w:r w:rsidR="00BE064F" w:rsidRPr="005B6DE9">
        <w:rPr>
          <w:rFonts w:ascii="Calibri" w:hAnsi="Calibri"/>
          <w:sz w:val="24"/>
          <w:szCs w:val="24"/>
          <w:lang w:val="en-GB"/>
        </w:rPr>
        <w:t xml:space="preserve">of the draft ECC Report </w:t>
      </w:r>
      <w:r w:rsidRPr="005B6DE9">
        <w:rPr>
          <w:rFonts w:ascii="Calibri" w:hAnsi="Calibri"/>
          <w:sz w:val="24"/>
          <w:szCs w:val="24"/>
          <w:lang w:val="en-GB"/>
        </w:rPr>
        <w:t>were developed in both TG6 meetings</w:t>
      </w:r>
      <w:r w:rsidR="00D73AF9" w:rsidRPr="005B6DE9">
        <w:rPr>
          <w:rFonts w:ascii="Calibri" w:hAnsi="Calibri"/>
          <w:sz w:val="24"/>
          <w:szCs w:val="24"/>
          <w:lang w:val="en-GB"/>
        </w:rPr>
        <w:t>.</w:t>
      </w:r>
      <w:r w:rsidR="0002774B">
        <w:rPr>
          <w:rFonts w:ascii="Calibri" w:hAnsi="Calibri"/>
          <w:sz w:val="24"/>
          <w:szCs w:val="24"/>
          <w:lang w:val="en-GB"/>
        </w:rPr>
        <w:t xml:space="preserve"> </w:t>
      </w:r>
      <w:r w:rsidR="00D73AF9" w:rsidRPr="005B6DE9">
        <w:rPr>
          <w:rFonts w:ascii="Calibri" w:hAnsi="Calibri"/>
          <w:sz w:val="24"/>
          <w:szCs w:val="24"/>
          <w:lang w:val="en-GB"/>
        </w:rPr>
        <w:t>In particular</w:t>
      </w:r>
      <w:r w:rsidR="0002774B">
        <w:rPr>
          <w:rFonts w:ascii="Calibri" w:hAnsi="Calibri"/>
          <w:sz w:val="24"/>
          <w:szCs w:val="24"/>
          <w:lang w:val="en-GB"/>
        </w:rPr>
        <w:t>,</w:t>
      </w:r>
      <w:r w:rsidR="00D73AF9" w:rsidRPr="005B6DE9">
        <w:rPr>
          <w:rFonts w:ascii="Calibri" w:hAnsi="Calibri"/>
          <w:sz w:val="24"/>
          <w:szCs w:val="24"/>
          <w:lang w:val="en-GB"/>
        </w:rPr>
        <w:t xml:space="preserve"> concerning the introduction section, some material was included to reflect the motivation for the s</w:t>
      </w:r>
      <w:r w:rsidR="0002774B">
        <w:rPr>
          <w:rFonts w:ascii="Calibri" w:hAnsi="Calibri"/>
          <w:sz w:val="24"/>
          <w:szCs w:val="24"/>
          <w:lang w:val="en-GB"/>
        </w:rPr>
        <w:t>tudies and the creation of TG6.</w:t>
      </w:r>
      <w:r w:rsidR="00D73AF9" w:rsidRPr="005B6DE9">
        <w:rPr>
          <w:rFonts w:ascii="Calibri" w:hAnsi="Calibri"/>
          <w:sz w:val="24"/>
          <w:szCs w:val="24"/>
          <w:lang w:val="en-GB"/>
        </w:rPr>
        <w:t xml:space="preserve"> Two new annexes were introduced in the </w:t>
      </w:r>
      <w:r w:rsidR="0069633C" w:rsidRPr="005B6DE9">
        <w:rPr>
          <w:rFonts w:ascii="Calibri" w:hAnsi="Calibri"/>
          <w:sz w:val="24"/>
          <w:szCs w:val="24"/>
          <w:lang w:val="en-GB"/>
        </w:rPr>
        <w:t>draft ECC R</w:t>
      </w:r>
      <w:r w:rsidR="00D73AF9" w:rsidRPr="005B6DE9">
        <w:rPr>
          <w:rFonts w:ascii="Calibri" w:hAnsi="Calibri"/>
          <w:sz w:val="24"/>
          <w:szCs w:val="24"/>
          <w:lang w:val="en-GB"/>
        </w:rPr>
        <w:t xml:space="preserve">eport, one with the </w:t>
      </w:r>
      <w:proofErr w:type="spellStart"/>
      <w:r w:rsidR="00D73AF9" w:rsidRPr="005B6DE9">
        <w:rPr>
          <w:rFonts w:ascii="Calibri" w:hAnsi="Calibri"/>
          <w:sz w:val="24"/>
          <w:szCs w:val="24"/>
          <w:lang w:val="en-GB"/>
        </w:rPr>
        <w:t>ToR</w:t>
      </w:r>
      <w:proofErr w:type="spellEnd"/>
      <w:r w:rsidR="009108BD" w:rsidRPr="005B6DE9">
        <w:rPr>
          <w:rFonts w:ascii="Calibri" w:hAnsi="Calibri"/>
          <w:sz w:val="24"/>
          <w:szCs w:val="24"/>
          <w:lang w:val="en-GB"/>
        </w:rPr>
        <w:t xml:space="preserve"> </w:t>
      </w:r>
      <w:r w:rsidR="00D73AF9" w:rsidRPr="005B6DE9">
        <w:rPr>
          <w:rFonts w:ascii="Calibri" w:hAnsi="Calibri"/>
          <w:sz w:val="24"/>
          <w:szCs w:val="24"/>
          <w:lang w:val="en-GB"/>
        </w:rPr>
        <w:t>of TG6 and the other with information about the regulatory framework for the provision of audiovisual media services.</w:t>
      </w:r>
    </w:p>
    <w:p w:rsidR="003F6F23" w:rsidRDefault="003F6F23" w:rsidP="0056607F">
      <w:pPr>
        <w:spacing w:after="0"/>
        <w:rPr>
          <w:rFonts w:ascii="Calibri" w:hAnsi="Calibri"/>
          <w:sz w:val="24"/>
          <w:szCs w:val="24"/>
          <w:lang w:val="en-GB"/>
        </w:rPr>
      </w:pPr>
    </w:p>
    <w:p w:rsidR="003F6F23" w:rsidRDefault="003F6F23" w:rsidP="003F6F23">
      <w:pPr>
        <w:spacing w:after="0"/>
        <w:rPr>
          <w:rFonts w:ascii="Calibri" w:hAnsi="Calibri"/>
          <w:sz w:val="24"/>
          <w:szCs w:val="24"/>
          <w:lang w:val="en-GB"/>
        </w:rPr>
      </w:pPr>
      <w:r w:rsidRPr="00AF46A8">
        <w:rPr>
          <w:rFonts w:ascii="Calibri" w:hAnsi="Calibri"/>
          <w:sz w:val="24"/>
          <w:szCs w:val="24"/>
          <w:lang w:val="en-GB"/>
        </w:rPr>
        <w:t xml:space="preserve">In the course of the discussions </w:t>
      </w:r>
      <w:r>
        <w:rPr>
          <w:rFonts w:ascii="Calibri" w:hAnsi="Calibri"/>
          <w:sz w:val="24"/>
          <w:szCs w:val="24"/>
          <w:lang w:val="en-GB"/>
        </w:rPr>
        <w:t>it was</w:t>
      </w:r>
      <w:r w:rsidRPr="00AF46A8">
        <w:rPr>
          <w:rFonts w:ascii="Calibri" w:hAnsi="Calibri"/>
          <w:sz w:val="24"/>
          <w:szCs w:val="24"/>
          <w:lang w:val="en-GB"/>
        </w:rPr>
        <w:t xml:space="preserve"> emphasized</w:t>
      </w:r>
      <w:r w:rsidR="005C1758">
        <w:rPr>
          <w:rFonts w:ascii="Calibri" w:hAnsi="Calibri"/>
          <w:sz w:val="24"/>
          <w:szCs w:val="24"/>
          <w:lang w:val="en-GB"/>
        </w:rPr>
        <w:t xml:space="preserve"> </w:t>
      </w:r>
      <w:r w:rsidRPr="00AF46A8">
        <w:rPr>
          <w:rFonts w:ascii="Calibri" w:hAnsi="Calibri"/>
          <w:sz w:val="24"/>
          <w:szCs w:val="24"/>
          <w:lang w:val="en-GB"/>
        </w:rPr>
        <w:t>that</w:t>
      </w:r>
      <w:r w:rsidR="005C1758">
        <w:rPr>
          <w:rFonts w:ascii="Calibri" w:hAnsi="Calibri"/>
          <w:sz w:val="24"/>
          <w:szCs w:val="24"/>
          <w:lang w:val="en-GB"/>
        </w:rPr>
        <w:t>,</w:t>
      </w:r>
      <w:r w:rsidRPr="00AF46A8">
        <w:rPr>
          <w:rFonts w:ascii="Calibri" w:hAnsi="Calibri"/>
          <w:sz w:val="24"/>
          <w:szCs w:val="24"/>
          <w:lang w:val="en-GB"/>
        </w:rPr>
        <w:t xml:space="preserve"> taking into account the </w:t>
      </w:r>
      <w:proofErr w:type="spellStart"/>
      <w:r w:rsidRPr="00AF46A8">
        <w:rPr>
          <w:rFonts w:ascii="Calibri" w:hAnsi="Calibri"/>
          <w:sz w:val="24"/>
          <w:szCs w:val="24"/>
          <w:lang w:val="en-GB"/>
        </w:rPr>
        <w:t>ToR</w:t>
      </w:r>
      <w:proofErr w:type="spellEnd"/>
      <w:r w:rsidRPr="00AF46A8">
        <w:rPr>
          <w:rFonts w:ascii="Calibri" w:hAnsi="Calibri"/>
          <w:sz w:val="24"/>
          <w:szCs w:val="24"/>
          <w:lang w:val="en-GB"/>
        </w:rPr>
        <w:t xml:space="preserve"> of TG6, there is a need to define which kind of statistics/indicators are needed as well those </w:t>
      </w:r>
      <w:r w:rsidR="005C1758">
        <w:rPr>
          <w:rFonts w:ascii="Calibri" w:hAnsi="Calibri"/>
          <w:sz w:val="24"/>
          <w:szCs w:val="24"/>
          <w:lang w:val="en-GB"/>
        </w:rPr>
        <w:t>indicators</w:t>
      </w:r>
      <w:r w:rsidRPr="00AF46A8">
        <w:rPr>
          <w:rFonts w:ascii="Calibri" w:hAnsi="Calibri"/>
          <w:sz w:val="24"/>
          <w:szCs w:val="24"/>
          <w:lang w:val="en-GB"/>
        </w:rPr>
        <w:t xml:space="preserve"> </w:t>
      </w:r>
      <w:r w:rsidR="005C1758">
        <w:rPr>
          <w:rFonts w:ascii="Calibri" w:hAnsi="Calibri"/>
          <w:sz w:val="24"/>
          <w:szCs w:val="24"/>
          <w:lang w:val="en-GB"/>
        </w:rPr>
        <w:t>are</w:t>
      </w:r>
      <w:r w:rsidR="005C1758" w:rsidRPr="00AF46A8">
        <w:rPr>
          <w:rFonts w:ascii="Calibri" w:hAnsi="Calibri"/>
          <w:sz w:val="24"/>
          <w:szCs w:val="24"/>
          <w:lang w:val="en-GB"/>
        </w:rPr>
        <w:t xml:space="preserve"> </w:t>
      </w:r>
      <w:r w:rsidR="005C1758">
        <w:rPr>
          <w:rFonts w:ascii="Calibri" w:hAnsi="Calibri"/>
          <w:sz w:val="24"/>
          <w:szCs w:val="24"/>
          <w:lang w:val="en-GB"/>
        </w:rPr>
        <w:t>important</w:t>
      </w:r>
      <w:r w:rsidR="005C1758" w:rsidRPr="00AF46A8">
        <w:rPr>
          <w:rFonts w:ascii="Calibri" w:hAnsi="Calibri"/>
          <w:sz w:val="24"/>
          <w:szCs w:val="24"/>
          <w:lang w:val="en-GB"/>
        </w:rPr>
        <w:t xml:space="preserve"> </w:t>
      </w:r>
      <w:r w:rsidR="005C1758">
        <w:rPr>
          <w:rFonts w:ascii="Calibri" w:hAnsi="Calibri"/>
          <w:sz w:val="24"/>
          <w:szCs w:val="24"/>
          <w:lang w:val="en-GB"/>
        </w:rPr>
        <w:t>to monitor</w:t>
      </w:r>
      <w:r w:rsidR="005C1758" w:rsidRPr="00AF46A8">
        <w:rPr>
          <w:rFonts w:ascii="Calibri" w:hAnsi="Calibri"/>
          <w:sz w:val="24"/>
          <w:szCs w:val="24"/>
          <w:lang w:val="en-GB"/>
        </w:rPr>
        <w:t xml:space="preserve"> </w:t>
      </w:r>
      <w:r w:rsidR="005C1758">
        <w:rPr>
          <w:rFonts w:ascii="Calibri" w:hAnsi="Calibri"/>
          <w:sz w:val="24"/>
          <w:szCs w:val="24"/>
          <w:lang w:val="en-GB"/>
        </w:rPr>
        <w:t>and</w:t>
      </w:r>
      <w:r w:rsidRPr="00AF46A8">
        <w:rPr>
          <w:rFonts w:ascii="Calibri" w:hAnsi="Calibri"/>
          <w:sz w:val="24"/>
          <w:szCs w:val="24"/>
          <w:lang w:val="en-GB"/>
        </w:rPr>
        <w:t xml:space="preserve"> check the assumptions on expected developments</w:t>
      </w:r>
      <w:r>
        <w:rPr>
          <w:rFonts w:ascii="Calibri" w:hAnsi="Calibri"/>
          <w:sz w:val="24"/>
          <w:szCs w:val="24"/>
          <w:lang w:val="en-GB"/>
        </w:rPr>
        <w:t>.</w:t>
      </w:r>
      <w:r w:rsidRPr="003F6F23">
        <w:rPr>
          <w:rFonts w:ascii="Calibri" w:hAnsi="Calibri"/>
          <w:sz w:val="24"/>
          <w:szCs w:val="24"/>
          <w:lang w:val="en-GB"/>
        </w:rPr>
        <w:t xml:space="preserve"> </w:t>
      </w:r>
      <w:r>
        <w:rPr>
          <w:rFonts w:ascii="Calibri" w:hAnsi="Calibri"/>
          <w:sz w:val="24"/>
          <w:szCs w:val="24"/>
          <w:lang w:val="en-GB"/>
        </w:rPr>
        <w:t xml:space="preserve">For this purpose </w:t>
      </w:r>
      <w:r w:rsidRPr="005B6DE9">
        <w:rPr>
          <w:rFonts w:ascii="Calibri" w:hAnsi="Calibri"/>
          <w:sz w:val="24"/>
          <w:szCs w:val="24"/>
          <w:lang w:val="en-GB"/>
        </w:rPr>
        <w:t xml:space="preserve">a new section </w:t>
      </w:r>
      <w:r>
        <w:rPr>
          <w:rFonts w:ascii="Calibri" w:hAnsi="Calibri"/>
          <w:sz w:val="24"/>
          <w:szCs w:val="24"/>
          <w:lang w:val="en-GB"/>
        </w:rPr>
        <w:t>addressing</w:t>
      </w:r>
      <w:r w:rsidRPr="005B6DE9">
        <w:rPr>
          <w:rFonts w:ascii="Calibri" w:hAnsi="Calibri"/>
          <w:sz w:val="24"/>
          <w:szCs w:val="24"/>
          <w:lang w:val="en-GB"/>
        </w:rPr>
        <w:t xml:space="preserve"> “indicators” </w:t>
      </w:r>
      <w:r>
        <w:rPr>
          <w:rFonts w:ascii="Calibri" w:hAnsi="Calibri"/>
          <w:sz w:val="24"/>
          <w:szCs w:val="24"/>
          <w:lang w:val="en-GB"/>
        </w:rPr>
        <w:t>was also agreed</w:t>
      </w:r>
      <w:r w:rsidR="005C1758">
        <w:rPr>
          <w:rFonts w:ascii="Calibri" w:hAnsi="Calibri"/>
          <w:sz w:val="24"/>
          <w:szCs w:val="24"/>
          <w:lang w:val="en-GB"/>
        </w:rPr>
        <w:t>.</w:t>
      </w:r>
    </w:p>
    <w:p w:rsidR="003F6F23" w:rsidRDefault="003F6F23" w:rsidP="0056607F">
      <w:pPr>
        <w:spacing w:after="0"/>
        <w:rPr>
          <w:rFonts w:ascii="Calibri" w:hAnsi="Calibri"/>
          <w:sz w:val="24"/>
          <w:szCs w:val="24"/>
          <w:lang w:val="en-GB"/>
        </w:rPr>
      </w:pPr>
    </w:p>
    <w:p w:rsidR="008D7814" w:rsidRDefault="0056607F" w:rsidP="0056607F">
      <w:pPr>
        <w:spacing w:after="0"/>
        <w:rPr>
          <w:rFonts w:ascii="Calibri" w:hAnsi="Calibri"/>
          <w:sz w:val="24"/>
          <w:szCs w:val="24"/>
          <w:lang w:val="en-GB"/>
        </w:rPr>
      </w:pPr>
      <w:r w:rsidRPr="005B6DE9">
        <w:rPr>
          <w:rFonts w:ascii="Calibri" w:hAnsi="Calibri"/>
          <w:sz w:val="24"/>
          <w:szCs w:val="24"/>
          <w:lang w:val="en-GB"/>
        </w:rPr>
        <w:t xml:space="preserve">Other modifications </w:t>
      </w:r>
      <w:r w:rsidR="008D7814">
        <w:rPr>
          <w:rFonts w:ascii="Calibri" w:hAnsi="Calibri"/>
          <w:sz w:val="24"/>
          <w:szCs w:val="24"/>
          <w:lang w:val="en-GB"/>
        </w:rPr>
        <w:t xml:space="preserve">in the background section </w:t>
      </w:r>
      <w:r w:rsidRPr="005B6DE9">
        <w:rPr>
          <w:rFonts w:ascii="Calibri" w:hAnsi="Calibri"/>
          <w:sz w:val="24"/>
          <w:szCs w:val="24"/>
          <w:lang w:val="en-GB"/>
        </w:rPr>
        <w:t xml:space="preserve">were also discussed and agreed, </w:t>
      </w:r>
      <w:r w:rsidR="008D7814">
        <w:rPr>
          <w:rFonts w:ascii="Calibri" w:hAnsi="Calibri"/>
          <w:sz w:val="24"/>
          <w:szCs w:val="24"/>
          <w:lang w:val="en-GB"/>
        </w:rPr>
        <w:t xml:space="preserve">taking specific examples provided by some administrations. </w:t>
      </w:r>
    </w:p>
    <w:p w:rsidR="00EE6979" w:rsidRDefault="00EE6979" w:rsidP="0056607F">
      <w:pPr>
        <w:spacing w:after="0"/>
        <w:rPr>
          <w:rFonts w:ascii="Calibri" w:hAnsi="Calibri"/>
          <w:sz w:val="24"/>
          <w:szCs w:val="24"/>
          <w:lang w:val="en-GB"/>
        </w:rPr>
      </w:pPr>
    </w:p>
    <w:p w:rsidR="00BE302D" w:rsidRPr="005B6DE9" w:rsidRDefault="00BE302D" w:rsidP="0056607F">
      <w:pPr>
        <w:spacing w:after="0"/>
        <w:rPr>
          <w:rFonts w:ascii="Calibri" w:hAnsi="Calibri"/>
          <w:sz w:val="24"/>
          <w:szCs w:val="24"/>
          <w:lang w:val="en-GB"/>
        </w:rPr>
      </w:pPr>
    </w:p>
    <w:p w:rsidR="00630F70" w:rsidRPr="005B6DE9" w:rsidRDefault="00630F70" w:rsidP="00630F70">
      <w:pPr>
        <w:rPr>
          <w:rFonts w:ascii="Calibri" w:hAnsi="Calibri" w:cs="Arial"/>
          <w:b/>
          <w:sz w:val="26"/>
          <w:szCs w:val="26"/>
          <w:lang w:val="en-GB"/>
        </w:rPr>
      </w:pPr>
      <w:r w:rsidRPr="005B6DE9">
        <w:rPr>
          <w:rFonts w:ascii="Calibri" w:hAnsi="Calibri" w:cs="Arial"/>
          <w:b/>
          <w:sz w:val="26"/>
          <w:szCs w:val="26"/>
          <w:lang w:val="en-GB"/>
        </w:rPr>
        <w:t>2.2 Technology, Service and Network Evolution</w:t>
      </w:r>
    </w:p>
    <w:p w:rsidR="00630F70" w:rsidRPr="005B6DE9" w:rsidRDefault="003533F1" w:rsidP="00630F70">
      <w:pPr>
        <w:spacing w:after="0"/>
        <w:rPr>
          <w:rFonts w:ascii="Calibri" w:hAnsi="Calibri"/>
          <w:sz w:val="24"/>
          <w:szCs w:val="24"/>
          <w:lang w:val="en-GB"/>
        </w:rPr>
      </w:pPr>
      <w:r>
        <w:rPr>
          <w:rFonts w:ascii="Calibri" w:hAnsi="Calibri"/>
          <w:sz w:val="24"/>
          <w:szCs w:val="24"/>
          <w:lang w:val="en-GB"/>
        </w:rPr>
        <w:t>T</w:t>
      </w:r>
      <w:r w:rsidR="00630F70" w:rsidRPr="005B6DE9">
        <w:rPr>
          <w:rFonts w:ascii="Calibri" w:hAnsi="Calibri"/>
          <w:sz w:val="24"/>
          <w:szCs w:val="24"/>
          <w:lang w:val="en-GB"/>
        </w:rPr>
        <w:t>he grou</w:t>
      </w:r>
      <w:r>
        <w:rPr>
          <w:rFonts w:ascii="Calibri" w:hAnsi="Calibri"/>
          <w:sz w:val="24"/>
          <w:szCs w:val="24"/>
          <w:lang w:val="en-GB"/>
        </w:rPr>
        <w:t>p considered several documents for this Chapter</w:t>
      </w:r>
      <w:r w:rsidR="00630F70" w:rsidRPr="005B6DE9">
        <w:rPr>
          <w:rFonts w:ascii="Calibri" w:hAnsi="Calibri"/>
          <w:sz w:val="24"/>
          <w:szCs w:val="24"/>
          <w:lang w:val="en-GB"/>
        </w:rPr>
        <w:t>.</w:t>
      </w:r>
      <w:r w:rsidR="005750EB" w:rsidRPr="005B6DE9">
        <w:rPr>
          <w:rFonts w:ascii="Calibri" w:hAnsi="Calibri"/>
          <w:sz w:val="24"/>
          <w:szCs w:val="24"/>
          <w:lang w:val="en-GB"/>
        </w:rPr>
        <w:t xml:space="preserve"> </w:t>
      </w:r>
      <w:r w:rsidR="005750EB" w:rsidRPr="005750EB">
        <w:rPr>
          <w:rFonts w:ascii="Calibri" w:hAnsi="Calibri"/>
          <w:sz w:val="24"/>
          <w:szCs w:val="24"/>
          <w:lang w:val="en-GB"/>
        </w:rPr>
        <w:t xml:space="preserve">The group did not have time </w:t>
      </w:r>
      <w:r w:rsidR="00CF1E8D">
        <w:rPr>
          <w:rFonts w:ascii="Calibri" w:hAnsi="Calibri"/>
          <w:sz w:val="24"/>
          <w:szCs w:val="24"/>
          <w:lang w:val="en-GB"/>
        </w:rPr>
        <w:t xml:space="preserve">enough </w:t>
      </w:r>
      <w:r w:rsidR="005750EB" w:rsidRPr="005750EB">
        <w:rPr>
          <w:rFonts w:ascii="Calibri" w:hAnsi="Calibri"/>
          <w:sz w:val="24"/>
          <w:szCs w:val="24"/>
          <w:lang w:val="en-GB"/>
        </w:rPr>
        <w:t xml:space="preserve">to review </w:t>
      </w:r>
      <w:r w:rsidR="00CF1E8D">
        <w:rPr>
          <w:rFonts w:ascii="Calibri" w:hAnsi="Calibri"/>
          <w:sz w:val="24"/>
          <w:szCs w:val="24"/>
          <w:lang w:val="en-GB"/>
        </w:rPr>
        <w:t xml:space="preserve">thoroughly </w:t>
      </w:r>
      <w:r w:rsidR="005750EB" w:rsidRPr="005750EB">
        <w:rPr>
          <w:rFonts w:ascii="Calibri" w:hAnsi="Calibri"/>
          <w:sz w:val="24"/>
          <w:szCs w:val="24"/>
          <w:lang w:val="en-GB"/>
        </w:rPr>
        <w:t xml:space="preserve">the whole </w:t>
      </w:r>
      <w:r w:rsidR="00CF1E8D">
        <w:rPr>
          <w:rFonts w:ascii="Calibri" w:hAnsi="Calibri"/>
          <w:sz w:val="24"/>
          <w:szCs w:val="24"/>
          <w:lang w:val="en-GB"/>
        </w:rPr>
        <w:t>chapter</w:t>
      </w:r>
      <w:r w:rsidR="005750EB" w:rsidRPr="005750EB">
        <w:rPr>
          <w:rFonts w:ascii="Calibri" w:hAnsi="Calibri"/>
          <w:sz w:val="24"/>
          <w:szCs w:val="24"/>
          <w:lang w:val="en-GB"/>
        </w:rPr>
        <w:t>.</w:t>
      </w:r>
      <w:r w:rsidR="005750EB">
        <w:rPr>
          <w:rFonts w:ascii="Calibri" w:hAnsi="Calibri"/>
          <w:sz w:val="24"/>
          <w:szCs w:val="24"/>
          <w:lang w:val="en-GB"/>
        </w:rPr>
        <w:t xml:space="preserve"> </w:t>
      </w:r>
      <w:r w:rsidR="00630F70" w:rsidRPr="005B6DE9">
        <w:rPr>
          <w:rFonts w:ascii="Calibri" w:hAnsi="Calibri"/>
          <w:sz w:val="24"/>
          <w:szCs w:val="24"/>
          <w:lang w:val="en-GB"/>
        </w:rPr>
        <w:t xml:space="preserve">The </w:t>
      </w:r>
      <w:r w:rsidR="00665965">
        <w:rPr>
          <w:rFonts w:ascii="Calibri" w:hAnsi="Calibri"/>
          <w:sz w:val="24"/>
          <w:szCs w:val="24"/>
          <w:lang w:val="en-GB"/>
        </w:rPr>
        <w:t xml:space="preserve">meeting </w:t>
      </w:r>
      <w:r w:rsidR="00630F70" w:rsidRPr="005B6DE9">
        <w:rPr>
          <w:rFonts w:ascii="Calibri" w:hAnsi="Calibri"/>
          <w:sz w:val="24"/>
          <w:szCs w:val="24"/>
          <w:lang w:val="en-GB"/>
        </w:rPr>
        <w:t xml:space="preserve">agreed that a more coherent structure </w:t>
      </w:r>
      <w:r w:rsidR="00630F70" w:rsidRPr="005B6DE9">
        <w:rPr>
          <w:rFonts w:ascii="Calibri" w:hAnsi="Calibri"/>
          <w:sz w:val="24"/>
          <w:szCs w:val="24"/>
          <w:lang w:val="en-GB"/>
        </w:rPr>
        <w:lastRenderedPageBreak/>
        <w:t>wa</w:t>
      </w:r>
      <w:r w:rsidR="007C5378" w:rsidRPr="005B6DE9">
        <w:rPr>
          <w:rFonts w:ascii="Calibri" w:hAnsi="Calibri"/>
          <w:sz w:val="24"/>
          <w:szCs w:val="24"/>
          <w:lang w:val="en-GB"/>
        </w:rPr>
        <w:t>s needed for the</w:t>
      </w:r>
      <w:r w:rsidR="00A5050A">
        <w:rPr>
          <w:rFonts w:ascii="Calibri" w:hAnsi="Calibri"/>
          <w:sz w:val="24"/>
          <w:szCs w:val="24"/>
          <w:lang w:val="en-GB"/>
        </w:rPr>
        <w:t xml:space="preserve"> current</w:t>
      </w:r>
      <w:r w:rsidR="007C5378" w:rsidRPr="005B6DE9">
        <w:rPr>
          <w:rFonts w:ascii="Calibri" w:hAnsi="Calibri"/>
          <w:sz w:val="24"/>
          <w:szCs w:val="24"/>
          <w:lang w:val="en-GB"/>
        </w:rPr>
        <w:t xml:space="preserve"> chapter</w:t>
      </w:r>
      <w:r w:rsidR="00630F70" w:rsidRPr="005B6DE9">
        <w:rPr>
          <w:rFonts w:ascii="Calibri" w:hAnsi="Calibri"/>
          <w:sz w:val="24"/>
          <w:szCs w:val="24"/>
          <w:lang w:val="en-GB"/>
        </w:rPr>
        <w:t xml:space="preserve"> </w:t>
      </w:r>
      <w:r w:rsidR="00A5050A">
        <w:rPr>
          <w:rFonts w:ascii="Calibri" w:hAnsi="Calibri"/>
          <w:sz w:val="24"/>
          <w:szCs w:val="24"/>
          <w:lang w:val="en-GB"/>
        </w:rPr>
        <w:t>as contained in the draft report</w:t>
      </w:r>
      <w:r w:rsidR="009F3603">
        <w:rPr>
          <w:rFonts w:ascii="Calibri" w:hAnsi="Calibri"/>
          <w:sz w:val="24"/>
          <w:szCs w:val="24"/>
          <w:lang w:val="en-GB"/>
        </w:rPr>
        <w:t>. Consequently</w:t>
      </w:r>
      <w:r w:rsidR="006C22C9">
        <w:rPr>
          <w:rFonts w:ascii="Calibri" w:hAnsi="Calibri"/>
          <w:sz w:val="24"/>
          <w:szCs w:val="24"/>
          <w:lang w:val="en-GB"/>
        </w:rPr>
        <w:t>, it was agreed that</w:t>
      </w:r>
      <w:r w:rsidR="009F3603">
        <w:rPr>
          <w:rFonts w:ascii="Calibri" w:hAnsi="Calibri"/>
          <w:sz w:val="24"/>
          <w:szCs w:val="24"/>
          <w:lang w:val="en-GB"/>
        </w:rPr>
        <w:t xml:space="preserve"> </w:t>
      </w:r>
      <w:r w:rsidR="00475A81">
        <w:rPr>
          <w:rFonts w:ascii="Calibri" w:hAnsi="Calibri"/>
          <w:sz w:val="24"/>
          <w:szCs w:val="24"/>
          <w:lang w:val="en-GB"/>
        </w:rPr>
        <w:t>this Chapter</w:t>
      </w:r>
      <w:r w:rsidR="00630F70" w:rsidRPr="005B6DE9">
        <w:rPr>
          <w:rFonts w:ascii="Calibri" w:hAnsi="Calibri"/>
          <w:sz w:val="24"/>
          <w:szCs w:val="24"/>
          <w:lang w:val="en-GB"/>
        </w:rPr>
        <w:t xml:space="preserve"> w</w:t>
      </w:r>
      <w:r w:rsidR="001D0B21">
        <w:rPr>
          <w:rFonts w:ascii="Calibri" w:hAnsi="Calibri"/>
          <w:sz w:val="24"/>
          <w:szCs w:val="24"/>
          <w:lang w:val="en-GB"/>
        </w:rPr>
        <w:t>ill</w:t>
      </w:r>
      <w:r w:rsidR="00630F70" w:rsidRPr="005B6DE9">
        <w:rPr>
          <w:rFonts w:ascii="Calibri" w:hAnsi="Calibri"/>
          <w:sz w:val="24"/>
          <w:szCs w:val="24"/>
          <w:lang w:val="en-GB"/>
        </w:rPr>
        <w:t xml:space="preserve"> be developed further via the ECO Forum before the next </w:t>
      </w:r>
      <w:r w:rsidR="00332CC2" w:rsidRPr="005B6DE9">
        <w:rPr>
          <w:rFonts w:ascii="Calibri" w:hAnsi="Calibri"/>
          <w:sz w:val="24"/>
          <w:szCs w:val="24"/>
          <w:lang w:val="en-GB"/>
        </w:rPr>
        <w:t>TG6</w:t>
      </w:r>
      <w:r w:rsidR="00630F70" w:rsidRPr="005B6DE9">
        <w:rPr>
          <w:rFonts w:ascii="Calibri" w:hAnsi="Calibri"/>
          <w:sz w:val="24"/>
          <w:szCs w:val="24"/>
          <w:lang w:val="en-GB"/>
        </w:rPr>
        <w:t>.</w:t>
      </w:r>
    </w:p>
    <w:p w:rsidR="005750EB" w:rsidRDefault="005750EB" w:rsidP="00630F70">
      <w:pPr>
        <w:spacing w:after="0"/>
        <w:rPr>
          <w:rFonts w:ascii="Calibri" w:hAnsi="Calibri"/>
          <w:sz w:val="24"/>
          <w:szCs w:val="24"/>
          <w:lang w:val="en-GB"/>
        </w:rPr>
      </w:pPr>
    </w:p>
    <w:p w:rsidR="00332CC2" w:rsidRPr="005B6DE9" w:rsidRDefault="00332CC2" w:rsidP="00630F70">
      <w:pPr>
        <w:spacing w:after="0"/>
        <w:rPr>
          <w:rFonts w:ascii="Calibri" w:hAnsi="Calibri"/>
          <w:sz w:val="24"/>
          <w:szCs w:val="24"/>
          <w:lang w:val="en-GB"/>
        </w:rPr>
      </w:pPr>
    </w:p>
    <w:p w:rsidR="00630F70" w:rsidRPr="005B6DE9" w:rsidRDefault="00630F70" w:rsidP="00630F70">
      <w:pPr>
        <w:rPr>
          <w:rFonts w:ascii="Calibri" w:hAnsi="Calibri" w:cs="Arial"/>
          <w:b/>
          <w:sz w:val="26"/>
          <w:szCs w:val="26"/>
          <w:lang w:val="en-GB"/>
        </w:rPr>
      </w:pPr>
      <w:r w:rsidRPr="005B6DE9">
        <w:rPr>
          <w:rFonts w:ascii="Calibri" w:hAnsi="Calibri" w:cs="Arial"/>
          <w:b/>
          <w:sz w:val="26"/>
          <w:szCs w:val="26"/>
          <w:lang w:val="en-GB"/>
        </w:rPr>
        <w:t>2.3 Scenarios and Assessment</w:t>
      </w:r>
    </w:p>
    <w:p w:rsidR="002D1F6A" w:rsidRPr="005B6DE9" w:rsidRDefault="00B35885" w:rsidP="002D1F6A">
      <w:pPr>
        <w:spacing w:after="0"/>
        <w:rPr>
          <w:rFonts w:ascii="Calibri" w:hAnsi="Calibri"/>
          <w:sz w:val="24"/>
          <w:szCs w:val="24"/>
          <w:lang w:val="en-GB"/>
        </w:rPr>
      </w:pPr>
      <w:r>
        <w:rPr>
          <w:rFonts w:ascii="Calibri" w:hAnsi="Calibri"/>
          <w:sz w:val="24"/>
          <w:szCs w:val="24"/>
          <w:lang w:val="en-GB"/>
        </w:rPr>
        <w:t xml:space="preserve">The core of the discussions in the TG6 </w:t>
      </w:r>
      <w:r w:rsidR="00630F70" w:rsidRPr="005B6DE9">
        <w:rPr>
          <w:rFonts w:ascii="Calibri" w:hAnsi="Calibri"/>
          <w:sz w:val="24"/>
          <w:szCs w:val="24"/>
          <w:lang w:val="en-GB"/>
        </w:rPr>
        <w:t>meeting</w:t>
      </w:r>
      <w:r>
        <w:rPr>
          <w:rFonts w:ascii="Calibri" w:hAnsi="Calibri"/>
          <w:sz w:val="24"/>
          <w:szCs w:val="24"/>
          <w:lang w:val="en-GB"/>
        </w:rPr>
        <w:t>s has been focused in the Scenarios and Assessment sections. S</w:t>
      </w:r>
      <w:r w:rsidR="00630F70" w:rsidRPr="005B6DE9">
        <w:rPr>
          <w:rFonts w:ascii="Calibri" w:hAnsi="Calibri"/>
          <w:sz w:val="24"/>
          <w:szCs w:val="24"/>
          <w:lang w:val="en-GB"/>
        </w:rPr>
        <w:t>everal input documents</w:t>
      </w:r>
      <w:r>
        <w:rPr>
          <w:rFonts w:ascii="Calibri" w:hAnsi="Calibri"/>
          <w:sz w:val="24"/>
          <w:szCs w:val="24"/>
          <w:lang w:val="en-GB"/>
        </w:rPr>
        <w:t xml:space="preserve"> </w:t>
      </w:r>
      <w:r w:rsidR="00630F70" w:rsidRPr="005B6DE9">
        <w:rPr>
          <w:rFonts w:ascii="Calibri" w:hAnsi="Calibri"/>
          <w:sz w:val="24"/>
          <w:szCs w:val="24"/>
          <w:lang w:val="en-GB"/>
        </w:rPr>
        <w:t xml:space="preserve">related </w:t>
      </w:r>
      <w:r>
        <w:rPr>
          <w:rFonts w:ascii="Calibri" w:hAnsi="Calibri"/>
          <w:sz w:val="24"/>
          <w:szCs w:val="24"/>
          <w:lang w:val="en-GB"/>
        </w:rPr>
        <w:t xml:space="preserve">to these sections have been received. </w:t>
      </w:r>
      <w:r w:rsidR="002D1F6A" w:rsidRPr="005B6DE9">
        <w:rPr>
          <w:rFonts w:ascii="Calibri" w:hAnsi="Calibri"/>
          <w:sz w:val="24"/>
          <w:szCs w:val="24"/>
          <w:lang w:val="en-GB"/>
        </w:rPr>
        <w:t>Most of the input documents related to items falling into the following categories</w:t>
      </w:r>
      <w:r w:rsidR="00F25518" w:rsidRPr="005B6DE9">
        <w:rPr>
          <w:rFonts w:ascii="Calibri" w:hAnsi="Calibri"/>
          <w:sz w:val="24"/>
          <w:szCs w:val="24"/>
          <w:lang w:val="en-GB"/>
        </w:rPr>
        <w:t xml:space="preserve">: </w:t>
      </w:r>
      <w:r w:rsidR="006E2FCC" w:rsidRPr="005B6DE9">
        <w:rPr>
          <w:rFonts w:ascii="Calibri" w:hAnsi="Calibri"/>
          <w:sz w:val="24"/>
          <w:szCs w:val="24"/>
          <w:lang w:val="en-GB"/>
        </w:rPr>
        <w:t>d</w:t>
      </w:r>
      <w:r w:rsidR="002D1F6A" w:rsidRPr="005B6DE9">
        <w:rPr>
          <w:rFonts w:ascii="Calibri" w:hAnsi="Calibri"/>
          <w:sz w:val="24"/>
          <w:szCs w:val="24"/>
          <w:lang w:val="en-GB"/>
        </w:rPr>
        <w:t>efinitions and classification of scenarios</w:t>
      </w:r>
      <w:r w:rsidR="00F25518" w:rsidRPr="005B6DE9">
        <w:rPr>
          <w:rFonts w:ascii="Calibri" w:hAnsi="Calibri"/>
          <w:sz w:val="24"/>
          <w:szCs w:val="24"/>
          <w:lang w:val="en-GB"/>
        </w:rPr>
        <w:t>, s</w:t>
      </w:r>
      <w:r w:rsidR="002D1F6A" w:rsidRPr="005B6DE9">
        <w:rPr>
          <w:rFonts w:ascii="Calibri" w:hAnsi="Calibri"/>
          <w:sz w:val="24"/>
          <w:szCs w:val="24"/>
          <w:lang w:val="en-GB"/>
        </w:rPr>
        <w:t>cenarios and their assessment</w:t>
      </w:r>
      <w:r w:rsidR="00F25518" w:rsidRPr="005B6DE9">
        <w:rPr>
          <w:rFonts w:ascii="Calibri" w:hAnsi="Calibri"/>
          <w:sz w:val="24"/>
          <w:szCs w:val="24"/>
          <w:lang w:val="en-GB"/>
        </w:rPr>
        <w:t>, and s</w:t>
      </w:r>
      <w:r w:rsidR="002D1F6A" w:rsidRPr="005B6DE9">
        <w:rPr>
          <w:rFonts w:ascii="Calibri" w:hAnsi="Calibri"/>
          <w:sz w:val="24"/>
          <w:szCs w:val="24"/>
          <w:lang w:val="en-GB"/>
        </w:rPr>
        <w:t>tudies</w:t>
      </w:r>
      <w:r w:rsidR="00F25518" w:rsidRPr="005B6DE9">
        <w:rPr>
          <w:rFonts w:ascii="Calibri" w:hAnsi="Calibri"/>
          <w:sz w:val="24"/>
          <w:szCs w:val="24"/>
          <w:lang w:val="en-GB"/>
        </w:rPr>
        <w:t xml:space="preserve">. </w:t>
      </w:r>
      <w:r w:rsidR="002D1F6A" w:rsidRPr="005B6DE9">
        <w:rPr>
          <w:rFonts w:ascii="Calibri" w:hAnsi="Calibri"/>
          <w:sz w:val="24"/>
          <w:szCs w:val="24"/>
          <w:lang w:val="en-GB"/>
        </w:rPr>
        <w:t>The working document towards the ECC report on the TG6 studies was further updated on the basis of input contributions and related discussion</w:t>
      </w:r>
      <w:r w:rsidR="006E2FCC" w:rsidRPr="005B6DE9">
        <w:rPr>
          <w:rFonts w:ascii="Calibri" w:hAnsi="Calibri"/>
          <w:sz w:val="24"/>
          <w:szCs w:val="24"/>
          <w:lang w:val="en-GB"/>
        </w:rPr>
        <w:t>s</w:t>
      </w:r>
      <w:r w:rsidR="002D1F6A" w:rsidRPr="005B6DE9">
        <w:rPr>
          <w:rFonts w:ascii="Calibri" w:hAnsi="Calibri"/>
          <w:sz w:val="24"/>
          <w:szCs w:val="24"/>
          <w:lang w:val="en-GB"/>
        </w:rPr>
        <w:t>. The meeting succeeded to consider the descriptive part of each scenario listed in the working document. However, the assessment part was considered for few scenarios only. This work will continue at the next meeting. The parts of the working document that could not be considered at this meeting are marked with corresponding editorial notes.</w:t>
      </w:r>
    </w:p>
    <w:p w:rsidR="00630F70" w:rsidRPr="005B6DE9" w:rsidRDefault="00630F70" w:rsidP="00DE5E01">
      <w:pPr>
        <w:rPr>
          <w:rFonts w:ascii="Calibri" w:hAnsi="Calibri"/>
          <w:sz w:val="24"/>
          <w:szCs w:val="24"/>
          <w:lang w:val="en-GB"/>
        </w:rPr>
      </w:pPr>
    </w:p>
    <w:p w:rsidR="00A46169" w:rsidRPr="005B6DE9" w:rsidRDefault="00A46169" w:rsidP="00DE5E01">
      <w:pPr>
        <w:rPr>
          <w:rFonts w:ascii="Calibri" w:hAnsi="Calibri" w:cs="Arial"/>
          <w:b/>
          <w:sz w:val="26"/>
          <w:szCs w:val="26"/>
          <w:lang w:val="en-GB"/>
        </w:rPr>
      </w:pPr>
      <w:r w:rsidRPr="005B6DE9">
        <w:rPr>
          <w:rFonts w:ascii="Calibri" w:hAnsi="Calibri" w:cs="Arial"/>
          <w:b/>
          <w:sz w:val="26"/>
          <w:szCs w:val="26"/>
          <w:lang w:val="en-GB"/>
        </w:rPr>
        <w:t xml:space="preserve">2.4. </w:t>
      </w:r>
      <w:r w:rsidR="0096455B">
        <w:rPr>
          <w:rFonts w:ascii="Calibri" w:hAnsi="Calibri" w:cs="Arial"/>
          <w:b/>
          <w:sz w:val="26"/>
          <w:szCs w:val="26"/>
          <w:lang w:val="en-GB"/>
        </w:rPr>
        <w:t xml:space="preserve">The </w:t>
      </w:r>
      <w:r w:rsidRPr="005B6DE9">
        <w:rPr>
          <w:rFonts w:ascii="Calibri" w:hAnsi="Calibri" w:cs="Arial"/>
          <w:b/>
          <w:sz w:val="26"/>
          <w:szCs w:val="26"/>
          <w:lang w:val="en-GB"/>
        </w:rPr>
        <w:t>Draft ECC Report</w:t>
      </w:r>
    </w:p>
    <w:p w:rsidR="00A46169" w:rsidRPr="00A46169" w:rsidRDefault="00F25518" w:rsidP="00A46169">
      <w:pPr>
        <w:spacing w:after="0"/>
        <w:rPr>
          <w:rFonts w:ascii="Calibri" w:hAnsi="Calibri"/>
          <w:sz w:val="24"/>
          <w:szCs w:val="24"/>
          <w:lang w:val="en-GB"/>
        </w:rPr>
      </w:pPr>
      <w:r>
        <w:rPr>
          <w:rFonts w:ascii="Calibri" w:hAnsi="Calibri"/>
          <w:sz w:val="24"/>
          <w:szCs w:val="24"/>
          <w:lang w:val="en-GB"/>
        </w:rPr>
        <w:t>W</w:t>
      </w:r>
      <w:r w:rsidR="00A46169" w:rsidRPr="00A46169">
        <w:rPr>
          <w:rFonts w:ascii="Calibri" w:hAnsi="Calibri"/>
          <w:sz w:val="24"/>
          <w:szCs w:val="24"/>
          <w:lang w:val="en-GB"/>
        </w:rPr>
        <w:t>ith the inclusion of the new chapter “indicators for the monitoring of expected developments” in the 3</w:t>
      </w:r>
      <w:r w:rsidR="00A46169" w:rsidRPr="00A46169">
        <w:rPr>
          <w:rFonts w:ascii="Calibri" w:hAnsi="Calibri"/>
          <w:sz w:val="24"/>
          <w:szCs w:val="24"/>
          <w:vertAlign w:val="superscript"/>
          <w:lang w:val="en-GB"/>
        </w:rPr>
        <w:t>rd</w:t>
      </w:r>
      <w:r w:rsidR="00A46169" w:rsidRPr="00A46169">
        <w:rPr>
          <w:rFonts w:ascii="Calibri" w:hAnsi="Calibri"/>
          <w:sz w:val="24"/>
          <w:szCs w:val="24"/>
          <w:lang w:val="en-GB"/>
        </w:rPr>
        <w:t xml:space="preserve"> meeting of TG6 the draft ECC Report has now a new renumbering, namely:</w:t>
      </w:r>
    </w:p>
    <w:p w:rsidR="00A46169" w:rsidRPr="00A46169" w:rsidRDefault="00A46169" w:rsidP="00A46169">
      <w:pPr>
        <w:pStyle w:val="Paragraphedeliste"/>
        <w:numPr>
          <w:ilvl w:val="0"/>
          <w:numId w:val="16"/>
        </w:numPr>
        <w:spacing w:after="0"/>
        <w:rPr>
          <w:rFonts w:ascii="Calibri" w:hAnsi="Calibri"/>
          <w:sz w:val="24"/>
          <w:szCs w:val="24"/>
          <w:lang w:val="en-GB"/>
        </w:rPr>
      </w:pPr>
      <w:r w:rsidRPr="00A46169">
        <w:rPr>
          <w:rFonts w:ascii="Calibri" w:hAnsi="Calibri"/>
          <w:sz w:val="24"/>
          <w:szCs w:val="24"/>
          <w:lang w:val="en-GB"/>
        </w:rPr>
        <w:t>Introduction;</w:t>
      </w:r>
    </w:p>
    <w:p w:rsidR="00A46169" w:rsidRPr="00A46169" w:rsidRDefault="00A46169" w:rsidP="00A46169">
      <w:pPr>
        <w:pStyle w:val="Paragraphedeliste"/>
        <w:numPr>
          <w:ilvl w:val="0"/>
          <w:numId w:val="16"/>
        </w:numPr>
        <w:spacing w:after="0"/>
        <w:rPr>
          <w:rFonts w:ascii="Calibri" w:hAnsi="Calibri"/>
          <w:sz w:val="24"/>
          <w:szCs w:val="24"/>
          <w:lang w:val="en-GB"/>
        </w:rPr>
      </w:pPr>
      <w:r w:rsidRPr="00A46169">
        <w:rPr>
          <w:rFonts w:ascii="Calibri" w:hAnsi="Calibri"/>
          <w:sz w:val="24"/>
          <w:szCs w:val="24"/>
          <w:lang w:val="en-GB"/>
        </w:rPr>
        <w:t>Definitions;</w:t>
      </w:r>
    </w:p>
    <w:p w:rsidR="00A46169" w:rsidRPr="00A46169" w:rsidRDefault="00A46169" w:rsidP="00A46169">
      <w:pPr>
        <w:pStyle w:val="Paragraphedeliste"/>
        <w:numPr>
          <w:ilvl w:val="0"/>
          <w:numId w:val="16"/>
        </w:numPr>
        <w:spacing w:after="0"/>
        <w:rPr>
          <w:rFonts w:ascii="Calibri" w:hAnsi="Calibri"/>
          <w:sz w:val="24"/>
          <w:szCs w:val="24"/>
          <w:lang w:val="en-GB"/>
        </w:rPr>
      </w:pPr>
      <w:r w:rsidRPr="00A46169">
        <w:rPr>
          <w:rFonts w:ascii="Calibri" w:hAnsi="Calibri"/>
          <w:sz w:val="24"/>
          <w:szCs w:val="24"/>
          <w:lang w:val="en-GB"/>
        </w:rPr>
        <w:t>Background;</w:t>
      </w:r>
    </w:p>
    <w:p w:rsidR="00A46169" w:rsidRPr="00A46169" w:rsidRDefault="00A46169" w:rsidP="00A46169">
      <w:pPr>
        <w:pStyle w:val="Paragraphedeliste"/>
        <w:numPr>
          <w:ilvl w:val="0"/>
          <w:numId w:val="16"/>
        </w:numPr>
        <w:spacing w:after="0"/>
        <w:rPr>
          <w:rFonts w:ascii="Calibri" w:hAnsi="Calibri"/>
          <w:sz w:val="24"/>
          <w:szCs w:val="24"/>
          <w:lang w:val="en-GB"/>
        </w:rPr>
      </w:pPr>
      <w:r w:rsidRPr="00A46169">
        <w:rPr>
          <w:rFonts w:ascii="Calibri" w:hAnsi="Calibri"/>
          <w:sz w:val="24"/>
          <w:szCs w:val="24"/>
          <w:lang w:val="en-GB"/>
        </w:rPr>
        <w:t>Technology, service and network evolution;</w:t>
      </w:r>
    </w:p>
    <w:p w:rsidR="00A46169" w:rsidRPr="00A46169" w:rsidRDefault="00A46169" w:rsidP="00A46169">
      <w:pPr>
        <w:pStyle w:val="Paragraphedeliste"/>
        <w:numPr>
          <w:ilvl w:val="0"/>
          <w:numId w:val="16"/>
        </w:numPr>
        <w:spacing w:after="0"/>
        <w:rPr>
          <w:rFonts w:ascii="Calibri" w:hAnsi="Calibri"/>
          <w:sz w:val="24"/>
          <w:szCs w:val="24"/>
          <w:lang w:val="en-GB"/>
        </w:rPr>
      </w:pPr>
      <w:r w:rsidRPr="00A46169">
        <w:rPr>
          <w:rFonts w:ascii="Calibri" w:hAnsi="Calibri"/>
          <w:sz w:val="24"/>
          <w:szCs w:val="24"/>
          <w:lang w:val="en-GB"/>
        </w:rPr>
        <w:t>Indicators for the monitoring of expected developments;</w:t>
      </w:r>
    </w:p>
    <w:p w:rsidR="00A46169" w:rsidRPr="00A46169" w:rsidRDefault="00A46169" w:rsidP="00A46169">
      <w:pPr>
        <w:pStyle w:val="Paragraphedeliste"/>
        <w:numPr>
          <w:ilvl w:val="0"/>
          <w:numId w:val="16"/>
        </w:numPr>
        <w:spacing w:after="0"/>
        <w:rPr>
          <w:rFonts w:ascii="Calibri" w:hAnsi="Calibri"/>
          <w:sz w:val="24"/>
          <w:szCs w:val="24"/>
          <w:lang w:val="en-GB"/>
        </w:rPr>
      </w:pPr>
      <w:r w:rsidRPr="00A46169">
        <w:rPr>
          <w:rFonts w:ascii="Calibri" w:hAnsi="Calibri"/>
          <w:sz w:val="24"/>
          <w:szCs w:val="24"/>
          <w:lang w:val="en-GB"/>
        </w:rPr>
        <w:t>Long term vision issues;</w:t>
      </w:r>
    </w:p>
    <w:p w:rsidR="00A46169" w:rsidRPr="00A46169" w:rsidRDefault="00A46169" w:rsidP="00A46169">
      <w:pPr>
        <w:pStyle w:val="Paragraphedeliste"/>
        <w:numPr>
          <w:ilvl w:val="0"/>
          <w:numId w:val="16"/>
        </w:numPr>
        <w:spacing w:after="0"/>
        <w:rPr>
          <w:rFonts w:ascii="Calibri" w:hAnsi="Calibri"/>
          <w:sz w:val="24"/>
          <w:szCs w:val="24"/>
          <w:lang w:val="en-GB"/>
        </w:rPr>
      </w:pPr>
      <w:r w:rsidRPr="00A46169">
        <w:rPr>
          <w:rFonts w:ascii="Calibri" w:hAnsi="Calibri"/>
          <w:sz w:val="24"/>
          <w:szCs w:val="24"/>
          <w:lang w:val="en-GB"/>
        </w:rPr>
        <w:t>Recommendations;</w:t>
      </w:r>
    </w:p>
    <w:p w:rsidR="00A46169" w:rsidRPr="00A46169" w:rsidRDefault="00A46169" w:rsidP="00A46169">
      <w:pPr>
        <w:pStyle w:val="Paragraphedeliste"/>
        <w:numPr>
          <w:ilvl w:val="0"/>
          <w:numId w:val="16"/>
        </w:numPr>
        <w:spacing w:after="0"/>
        <w:rPr>
          <w:rFonts w:ascii="Calibri" w:hAnsi="Calibri"/>
          <w:sz w:val="24"/>
          <w:szCs w:val="24"/>
          <w:lang w:val="en-GB"/>
        </w:rPr>
      </w:pPr>
      <w:r w:rsidRPr="00A46169">
        <w:rPr>
          <w:rFonts w:ascii="Calibri" w:hAnsi="Calibri"/>
          <w:sz w:val="24"/>
          <w:szCs w:val="24"/>
          <w:lang w:val="en-GB"/>
        </w:rPr>
        <w:t>Conclusions.</w:t>
      </w:r>
    </w:p>
    <w:p w:rsidR="00A46169" w:rsidRPr="005B6DE9" w:rsidRDefault="00A46169" w:rsidP="00DE5E01">
      <w:pPr>
        <w:rPr>
          <w:rFonts w:ascii="Calibri" w:hAnsi="Calibri"/>
          <w:sz w:val="24"/>
          <w:szCs w:val="24"/>
          <w:lang w:val="en-GB"/>
        </w:rPr>
      </w:pPr>
    </w:p>
    <w:p w:rsidR="002D1F6A" w:rsidRPr="005B6DE9" w:rsidRDefault="00F25518" w:rsidP="002D1F6A">
      <w:pPr>
        <w:spacing w:after="0"/>
        <w:rPr>
          <w:rFonts w:ascii="Calibri" w:hAnsi="Calibri"/>
          <w:sz w:val="24"/>
          <w:szCs w:val="24"/>
          <w:lang w:val="en-GB"/>
        </w:rPr>
      </w:pPr>
      <w:r w:rsidRPr="005B6DE9">
        <w:rPr>
          <w:rFonts w:ascii="Calibri" w:hAnsi="Calibri"/>
          <w:sz w:val="24"/>
          <w:szCs w:val="24"/>
          <w:lang w:val="en-GB"/>
        </w:rPr>
        <w:t>T</w:t>
      </w:r>
      <w:r w:rsidR="002D1F6A" w:rsidRPr="005B6DE9">
        <w:rPr>
          <w:rFonts w:ascii="Calibri" w:hAnsi="Calibri"/>
          <w:sz w:val="24"/>
          <w:szCs w:val="24"/>
          <w:lang w:val="en-GB"/>
        </w:rPr>
        <w:t>he group has successfully achieved the target, as agreed in the 1</w:t>
      </w:r>
      <w:r w:rsidR="002D1F6A" w:rsidRPr="005B6DE9">
        <w:rPr>
          <w:rFonts w:ascii="Calibri" w:hAnsi="Calibri"/>
          <w:sz w:val="24"/>
          <w:szCs w:val="24"/>
          <w:vertAlign w:val="superscript"/>
          <w:lang w:val="en-GB"/>
        </w:rPr>
        <w:t>st</w:t>
      </w:r>
      <w:r w:rsidR="002D1F6A" w:rsidRPr="005B6DE9">
        <w:rPr>
          <w:rFonts w:ascii="Calibri" w:hAnsi="Calibri"/>
          <w:sz w:val="24"/>
          <w:szCs w:val="24"/>
          <w:lang w:val="en-GB"/>
        </w:rPr>
        <w:t xml:space="preserve"> TG6, to finalize in th</w:t>
      </w:r>
      <w:r w:rsidRPr="005B6DE9">
        <w:rPr>
          <w:rFonts w:ascii="Calibri" w:hAnsi="Calibri"/>
          <w:sz w:val="24"/>
          <w:szCs w:val="24"/>
          <w:lang w:val="en-GB"/>
        </w:rPr>
        <w:t>e 3</w:t>
      </w:r>
      <w:r w:rsidRPr="005B6DE9">
        <w:rPr>
          <w:rFonts w:ascii="Calibri" w:hAnsi="Calibri"/>
          <w:sz w:val="24"/>
          <w:szCs w:val="24"/>
          <w:vertAlign w:val="superscript"/>
          <w:lang w:val="en-GB"/>
        </w:rPr>
        <w:t>rd</w:t>
      </w:r>
      <w:r w:rsidRPr="005B6DE9">
        <w:rPr>
          <w:rFonts w:ascii="Calibri" w:hAnsi="Calibri"/>
          <w:sz w:val="24"/>
          <w:szCs w:val="24"/>
          <w:lang w:val="en-GB"/>
        </w:rPr>
        <w:t xml:space="preserve"> </w:t>
      </w:r>
      <w:r w:rsidR="002D1F6A" w:rsidRPr="005B6DE9">
        <w:rPr>
          <w:rFonts w:ascii="Calibri" w:hAnsi="Calibri"/>
          <w:sz w:val="24"/>
          <w:szCs w:val="24"/>
          <w:lang w:val="en-GB"/>
        </w:rPr>
        <w:t xml:space="preserve">meeting the scenarios </w:t>
      </w:r>
      <w:r w:rsidRPr="005B6DE9">
        <w:rPr>
          <w:rFonts w:ascii="Calibri" w:hAnsi="Calibri"/>
          <w:sz w:val="24"/>
          <w:szCs w:val="24"/>
          <w:lang w:val="en-GB"/>
        </w:rPr>
        <w:t xml:space="preserve">that will </w:t>
      </w:r>
      <w:r w:rsidR="002D1F6A" w:rsidRPr="005B6DE9">
        <w:rPr>
          <w:rFonts w:ascii="Calibri" w:hAnsi="Calibri"/>
          <w:sz w:val="24"/>
          <w:szCs w:val="24"/>
          <w:lang w:val="en-GB"/>
        </w:rPr>
        <w:t>be further assessed. TG6 identified the following scenarios for the development of the 470 – 694 MHz band in the long term:</w:t>
      </w:r>
    </w:p>
    <w:p w:rsidR="002D1F6A" w:rsidRPr="005B6DE9" w:rsidRDefault="002D1F6A" w:rsidP="002D1F6A">
      <w:pPr>
        <w:spacing w:after="0"/>
        <w:rPr>
          <w:rFonts w:ascii="Calibri" w:hAnsi="Calibri"/>
          <w:sz w:val="24"/>
          <w:szCs w:val="24"/>
          <w:lang w:val="en-GB"/>
        </w:rPr>
      </w:pP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675"/>
        <w:gridCol w:w="1134"/>
        <w:gridCol w:w="1500"/>
        <w:gridCol w:w="1761"/>
        <w:gridCol w:w="1541"/>
        <w:gridCol w:w="1018"/>
      </w:tblGrid>
      <w:tr w:rsidR="002D1F6A" w:rsidRPr="005B6DE9" w:rsidTr="002D1F6A">
        <w:trPr>
          <w:tblHeader/>
          <w:jc w:val="center"/>
        </w:trPr>
        <w:tc>
          <w:tcPr>
            <w:tcW w:w="675" w:type="dxa"/>
            <w:vMerge w:val="restart"/>
            <w:tcBorders>
              <w:right w:val="single" w:sz="8"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r w:rsidRPr="005B6DE9">
              <w:rPr>
                <w:rFonts w:ascii="Calibri" w:hAnsi="Calibri"/>
                <w:b/>
                <w:color w:val="FFFFFF"/>
                <w:sz w:val="20"/>
                <w:lang w:val="en-GB"/>
              </w:rPr>
              <w:t>No</w:t>
            </w:r>
          </w:p>
        </w:tc>
        <w:tc>
          <w:tcPr>
            <w:tcW w:w="1134" w:type="dxa"/>
            <w:vMerge w:val="restart"/>
            <w:tcBorders>
              <w:left w:val="single" w:sz="8" w:space="0" w:color="FFFFFF"/>
              <w:right w:val="single" w:sz="8"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r w:rsidRPr="005B6DE9">
              <w:rPr>
                <w:rFonts w:ascii="Calibri" w:hAnsi="Calibri"/>
                <w:b/>
                <w:color w:val="FFFFFF"/>
                <w:sz w:val="20"/>
                <w:lang w:val="en-GB"/>
              </w:rPr>
              <w:t>Service</w:t>
            </w:r>
          </w:p>
        </w:tc>
        <w:tc>
          <w:tcPr>
            <w:tcW w:w="1500" w:type="dxa"/>
            <w:vMerge w:val="restart"/>
            <w:tcBorders>
              <w:left w:val="single" w:sz="8" w:space="0" w:color="FFFFFF"/>
              <w:right w:val="single" w:sz="8"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r w:rsidRPr="005B6DE9">
              <w:rPr>
                <w:rFonts w:ascii="Calibri" w:hAnsi="Calibri"/>
                <w:b/>
                <w:color w:val="FFFFFF"/>
                <w:sz w:val="20"/>
                <w:lang w:val="en-GB"/>
              </w:rPr>
              <w:t>Terminal/</w:t>
            </w:r>
            <w:r w:rsidRPr="005B6DE9">
              <w:rPr>
                <w:rFonts w:ascii="Calibri" w:hAnsi="Calibri"/>
                <w:b/>
                <w:color w:val="FFFFFF"/>
                <w:sz w:val="20"/>
                <w:lang w:val="en-GB"/>
              </w:rPr>
              <w:br/>
              <w:t>user device</w:t>
            </w:r>
          </w:p>
        </w:tc>
        <w:tc>
          <w:tcPr>
            <w:tcW w:w="1761" w:type="dxa"/>
            <w:vMerge w:val="restart"/>
            <w:tcBorders>
              <w:left w:val="single" w:sz="8" w:space="0" w:color="FFFFFF"/>
              <w:right w:val="single" w:sz="4"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r w:rsidRPr="005B6DE9">
              <w:rPr>
                <w:rFonts w:ascii="Calibri" w:hAnsi="Calibri"/>
                <w:b/>
                <w:color w:val="FFFFFF"/>
                <w:sz w:val="20"/>
                <w:lang w:val="en-GB"/>
              </w:rPr>
              <w:t>Usage environment</w:t>
            </w:r>
          </w:p>
        </w:tc>
        <w:tc>
          <w:tcPr>
            <w:tcW w:w="2559" w:type="dxa"/>
            <w:gridSpan w:val="2"/>
            <w:tcBorders>
              <w:left w:val="single" w:sz="4" w:space="0" w:color="FFFFFF"/>
              <w:bottom w:val="single" w:sz="4" w:space="0" w:color="FFFFFF"/>
              <w:right w:val="single" w:sz="4"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r w:rsidRPr="005B6DE9">
              <w:rPr>
                <w:rFonts w:ascii="Calibri" w:hAnsi="Calibri"/>
                <w:b/>
                <w:color w:val="FFFFFF"/>
                <w:sz w:val="20"/>
                <w:lang w:val="en-GB"/>
              </w:rPr>
              <w:t>Delivery</w:t>
            </w:r>
          </w:p>
        </w:tc>
      </w:tr>
      <w:tr w:rsidR="002D1F6A" w:rsidRPr="005B6DE9" w:rsidTr="002D1F6A">
        <w:trPr>
          <w:tblHeader/>
          <w:jc w:val="center"/>
        </w:trPr>
        <w:tc>
          <w:tcPr>
            <w:tcW w:w="675" w:type="dxa"/>
            <w:vMerge/>
            <w:tcBorders>
              <w:right w:val="single" w:sz="8"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p>
        </w:tc>
        <w:tc>
          <w:tcPr>
            <w:tcW w:w="1134" w:type="dxa"/>
            <w:vMerge/>
            <w:tcBorders>
              <w:left w:val="single" w:sz="8" w:space="0" w:color="FFFFFF"/>
              <w:right w:val="single" w:sz="8"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p>
        </w:tc>
        <w:tc>
          <w:tcPr>
            <w:tcW w:w="1500" w:type="dxa"/>
            <w:vMerge/>
            <w:tcBorders>
              <w:left w:val="single" w:sz="8" w:space="0" w:color="FFFFFF"/>
              <w:right w:val="single" w:sz="8"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p>
        </w:tc>
        <w:tc>
          <w:tcPr>
            <w:tcW w:w="1761" w:type="dxa"/>
            <w:vMerge/>
            <w:tcBorders>
              <w:left w:val="single" w:sz="8" w:space="0" w:color="FFFFFF"/>
              <w:right w:val="single" w:sz="8"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p>
        </w:tc>
        <w:tc>
          <w:tcPr>
            <w:tcW w:w="1541" w:type="dxa"/>
            <w:tcBorders>
              <w:top w:val="single" w:sz="4" w:space="0" w:color="FFFFFF"/>
              <w:left w:val="single" w:sz="8" w:space="0" w:color="FFFFFF"/>
              <w:right w:val="single" w:sz="8"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r w:rsidRPr="005B6DE9">
              <w:rPr>
                <w:rFonts w:ascii="Calibri" w:hAnsi="Calibri"/>
                <w:b/>
                <w:color w:val="FFFFFF"/>
                <w:sz w:val="20"/>
                <w:lang w:val="en-GB"/>
              </w:rPr>
              <w:t>Technology</w:t>
            </w:r>
          </w:p>
        </w:tc>
        <w:tc>
          <w:tcPr>
            <w:tcW w:w="1018" w:type="dxa"/>
            <w:tcBorders>
              <w:top w:val="single" w:sz="4" w:space="0" w:color="FFFFFF"/>
              <w:left w:val="single" w:sz="8" w:space="0" w:color="FFFFFF"/>
              <w:right w:val="single" w:sz="8" w:space="0" w:color="FFFFFF"/>
            </w:tcBorders>
            <w:shd w:val="clear" w:color="auto" w:fill="D2232A"/>
            <w:vAlign w:val="center"/>
          </w:tcPr>
          <w:p w:rsidR="002D1F6A" w:rsidRPr="005B6DE9" w:rsidRDefault="002D1F6A" w:rsidP="005B6DE9">
            <w:pPr>
              <w:spacing w:after="0"/>
              <w:rPr>
                <w:rFonts w:ascii="Calibri" w:hAnsi="Calibri"/>
                <w:b/>
                <w:color w:val="FFFFFF"/>
                <w:sz w:val="20"/>
                <w:lang w:val="en-GB"/>
              </w:rPr>
            </w:pPr>
            <w:r w:rsidRPr="005B6DE9">
              <w:rPr>
                <w:rFonts w:ascii="Calibri" w:hAnsi="Calibri"/>
                <w:b/>
                <w:color w:val="FFFFFF"/>
                <w:sz w:val="20"/>
                <w:lang w:val="en-GB"/>
              </w:rPr>
              <w:t>Network</w:t>
            </w:r>
          </w:p>
        </w:tc>
      </w:tr>
      <w:tr w:rsidR="002D1F6A" w:rsidRPr="005B6DE9" w:rsidTr="005B6DE9">
        <w:trPr>
          <w:jc w:val="center"/>
        </w:trPr>
        <w:tc>
          <w:tcPr>
            <w:tcW w:w="675" w:type="dxa"/>
          </w:tcPr>
          <w:p w:rsidR="002D1F6A" w:rsidRPr="005B6DE9" w:rsidRDefault="002D1F6A" w:rsidP="005B6DE9">
            <w:pPr>
              <w:spacing w:after="0"/>
              <w:rPr>
                <w:rFonts w:ascii="Calibri" w:hAnsi="Calibri"/>
                <w:sz w:val="20"/>
                <w:lang w:val="en-GB"/>
              </w:rPr>
            </w:pPr>
          </w:p>
        </w:tc>
        <w:tc>
          <w:tcPr>
            <w:tcW w:w="6954" w:type="dxa"/>
            <w:gridSpan w:val="5"/>
          </w:tcPr>
          <w:p w:rsidR="002D1F6A" w:rsidRPr="005B6DE9" w:rsidRDefault="002D1F6A" w:rsidP="005B6DE9">
            <w:pPr>
              <w:spacing w:after="0"/>
              <w:rPr>
                <w:rFonts w:ascii="Calibri" w:hAnsi="Calibri"/>
                <w:sz w:val="20"/>
                <w:lang w:val="en-GB"/>
              </w:rPr>
            </w:pPr>
            <w:r w:rsidRPr="005B6DE9">
              <w:rPr>
                <w:rFonts w:ascii="Calibri" w:hAnsi="Calibri"/>
                <w:sz w:val="20"/>
                <w:lang w:val="en-GB"/>
              </w:rPr>
              <w:t>Standalone scenarios</w:t>
            </w:r>
          </w:p>
        </w:tc>
      </w:tr>
      <w:tr w:rsidR="002D1F6A" w:rsidRPr="005B6DE9" w:rsidTr="005B6DE9">
        <w:trPr>
          <w:jc w:val="center"/>
        </w:trPr>
        <w:tc>
          <w:tcPr>
            <w:tcW w:w="675"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1</w:t>
            </w:r>
          </w:p>
        </w:tc>
        <w:tc>
          <w:tcPr>
            <w:tcW w:w="1134"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 xml:space="preserve">AV linear, </w:t>
            </w:r>
            <w:r w:rsidRPr="005B6DE9">
              <w:rPr>
                <w:rFonts w:ascii="Calibri" w:hAnsi="Calibri"/>
                <w:sz w:val="20"/>
                <w:lang w:val="en-GB"/>
              </w:rPr>
              <w:br/>
              <w:t>AV non-linear</w:t>
            </w:r>
          </w:p>
        </w:tc>
        <w:tc>
          <w:tcPr>
            <w:tcW w:w="1500"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Large screen, small screen/tablet</w:t>
            </w:r>
          </w:p>
        </w:tc>
        <w:tc>
          <w:tcPr>
            <w:tcW w:w="1761"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w:t>
            </w:r>
          </w:p>
        </w:tc>
        <w:tc>
          <w:tcPr>
            <w:tcW w:w="1541"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DTT</w:t>
            </w:r>
          </w:p>
        </w:tc>
        <w:tc>
          <w:tcPr>
            <w:tcW w:w="1018"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HPHT</w:t>
            </w:r>
          </w:p>
        </w:tc>
      </w:tr>
      <w:tr w:rsidR="002D1F6A" w:rsidRPr="005B6DE9" w:rsidTr="005B6DE9">
        <w:trPr>
          <w:jc w:val="center"/>
        </w:trPr>
        <w:tc>
          <w:tcPr>
            <w:tcW w:w="675"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2</w:t>
            </w:r>
          </w:p>
        </w:tc>
        <w:tc>
          <w:tcPr>
            <w:tcW w:w="1134"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AV linear,</w:t>
            </w:r>
            <w:r w:rsidRPr="005B6DE9">
              <w:rPr>
                <w:rFonts w:ascii="Calibri" w:hAnsi="Calibri"/>
                <w:sz w:val="20"/>
                <w:lang w:val="en-GB"/>
              </w:rPr>
              <w:br/>
              <w:t>AV non-linear</w:t>
            </w:r>
          </w:p>
        </w:tc>
        <w:tc>
          <w:tcPr>
            <w:tcW w:w="1500"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Large screen, small screen/tablet</w:t>
            </w:r>
          </w:p>
        </w:tc>
        <w:tc>
          <w:tcPr>
            <w:tcW w:w="1761"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w:t>
            </w:r>
          </w:p>
        </w:tc>
        <w:tc>
          <w:tcPr>
            <w:tcW w:w="1541"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DTT</w:t>
            </w:r>
          </w:p>
        </w:tc>
        <w:tc>
          <w:tcPr>
            <w:tcW w:w="1018"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LPLT</w:t>
            </w:r>
          </w:p>
        </w:tc>
      </w:tr>
      <w:tr w:rsidR="002D1F6A" w:rsidRPr="005B6DE9" w:rsidTr="005B6DE9">
        <w:trPr>
          <w:jc w:val="center"/>
        </w:trPr>
        <w:tc>
          <w:tcPr>
            <w:tcW w:w="675"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3</w:t>
            </w:r>
          </w:p>
        </w:tc>
        <w:tc>
          <w:tcPr>
            <w:tcW w:w="1134"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AV linear,</w:t>
            </w:r>
            <w:r w:rsidRPr="005B6DE9">
              <w:rPr>
                <w:rFonts w:ascii="Calibri" w:hAnsi="Calibri"/>
                <w:sz w:val="20"/>
                <w:lang w:val="en-GB"/>
              </w:rPr>
              <w:br/>
              <w:t>AV non-linear</w:t>
            </w:r>
          </w:p>
        </w:tc>
        <w:tc>
          <w:tcPr>
            <w:tcW w:w="1500"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Large screen, small screen/tablet</w:t>
            </w:r>
          </w:p>
        </w:tc>
        <w:tc>
          <w:tcPr>
            <w:tcW w:w="1761"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w:t>
            </w:r>
          </w:p>
        </w:tc>
        <w:tc>
          <w:tcPr>
            <w:tcW w:w="1541"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 xml:space="preserve">DTT (outdoor), </w:t>
            </w:r>
            <w:r w:rsidRPr="005B6DE9">
              <w:rPr>
                <w:rFonts w:ascii="Calibri" w:hAnsi="Calibri"/>
                <w:sz w:val="20"/>
                <w:lang w:val="en-GB"/>
              </w:rPr>
              <w:br/>
            </w:r>
            <w:proofErr w:type="spellStart"/>
            <w:r w:rsidRPr="005B6DE9">
              <w:rPr>
                <w:rFonts w:ascii="Calibri" w:hAnsi="Calibri"/>
                <w:sz w:val="20"/>
                <w:lang w:val="en-GB"/>
              </w:rPr>
              <w:t>WiFi</w:t>
            </w:r>
            <w:proofErr w:type="spellEnd"/>
            <w:r w:rsidRPr="005B6DE9">
              <w:rPr>
                <w:rFonts w:ascii="Calibri" w:hAnsi="Calibri"/>
                <w:sz w:val="20"/>
                <w:lang w:val="en-GB"/>
              </w:rPr>
              <w:t xml:space="preserve"> (indoor)</w:t>
            </w:r>
            <w:r w:rsidRPr="005B6DE9">
              <w:rPr>
                <w:rFonts w:ascii="Calibri" w:hAnsi="Calibri"/>
                <w:sz w:val="20"/>
                <w:vertAlign w:val="superscript"/>
                <w:lang w:val="en-GB"/>
              </w:rPr>
              <w:t>2</w:t>
            </w:r>
          </w:p>
        </w:tc>
        <w:tc>
          <w:tcPr>
            <w:tcW w:w="1018"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HPHT/</w:t>
            </w:r>
            <w:r w:rsidRPr="005B6DE9">
              <w:rPr>
                <w:rFonts w:ascii="Calibri" w:hAnsi="Calibri"/>
                <w:sz w:val="20"/>
                <w:lang w:val="en-GB"/>
              </w:rPr>
              <w:br/>
              <w:t>LPLT</w:t>
            </w:r>
          </w:p>
        </w:tc>
      </w:tr>
      <w:tr w:rsidR="002D1F6A" w:rsidRPr="005B6DE9" w:rsidTr="005B6DE9">
        <w:trPr>
          <w:jc w:val="center"/>
        </w:trPr>
        <w:tc>
          <w:tcPr>
            <w:tcW w:w="675"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4</w:t>
            </w:r>
          </w:p>
        </w:tc>
        <w:tc>
          <w:tcPr>
            <w:tcW w:w="1134"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AV linear,</w:t>
            </w:r>
            <w:r w:rsidRPr="005B6DE9">
              <w:rPr>
                <w:rFonts w:ascii="Calibri" w:hAnsi="Calibri"/>
                <w:sz w:val="20"/>
                <w:lang w:val="en-GB"/>
              </w:rPr>
              <w:br/>
              <w:t>AV non-linear</w:t>
            </w:r>
          </w:p>
        </w:tc>
        <w:tc>
          <w:tcPr>
            <w:tcW w:w="1500"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Large screen, small screen/tablet</w:t>
            </w:r>
          </w:p>
        </w:tc>
        <w:tc>
          <w:tcPr>
            <w:tcW w:w="1761"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w:t>
            </w:r>
          </w:p>
        </w:tc>
        <w:tc>
          <w:tcPr>
            <w:tcW w:w="1541"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 xml:space="preserve">DTT (outdoor), </w:t>
            </w:r>
            <w:r w:rsidRPr="005B6DE9">
              <w:rPr>
                <w:rFonts w:ascii="Calibri" w:hAnsi="Calibri"/>
                <w:sz w:val="20"/>
                <w:lang w:val="en-GB"/>
              </w:rPr>
              <w:br/>
            </w:r>
            <w:proofErr w:type="spellStart"/>
            <w:r w:rsidRPr="005B6DE9">
              <w:rPr>
                <w:rFonts w:ascii="Calibri" w:hAnsi="Calibri"/>
                <w:sz w:val="20"/>
                <w:lang w:val="en-GB"/>
              </w:rPr>
              <w:t>WiFi</w:t>
            </w:r>
            <w:proofErr w:type="spellEnd"/>
            <w:r w:rsidRPr="005B6DE9">
              <w:rPr>
                <w:rFonts w:ascii="Calibri" w:hAnsi="Calibri"/>
                <w:sz w:val="20"/>
                <w:lang w:val="en-GB"/>
              </w:rPr>
              <w:t xml:space="preserve"> (indoor), DTT chips inside UE</w:t>
            </w:r>
          </w:p>
        </w:tc>
        <w:tc>
          <w:tcPr>
            <w:tcW w:w="1018" w:type="dxa"/>
          </w:tcPr>
          <w:p w:rsidR="002D1F6A" w:rsidRPr="005B6DE9" w:rsidRDefault="002D1F6A" w:rsidP="005B6DE9">
            <w:pPr>
              <w:spacing w:after="0"/>
              <w:rPr>
                <w:rFonts w:ascii="Calibri" w:hAnsi="Calibri"/>
                <w:sz w:val="20"/>
                <w:lang w:val="en-GB"/>
              </w:rPr>
            </w:pPr>
            <w:r w:rsidRPr="005B6DE9">
              <w:rPr>
                <w:rFonts w:ascii="Calibri" w:hAnsi="Calibri"/>
                <w:sz w:val="20"/>
                <w:lang w:val="en-GB"/>
              </w:rPr>
              <w:t>HPHT/</w:t>
            </w:r>
            <w:r w:rsidRPr="005B6DE9">
              <w:rPr>
                <w:rFonts w:ascii="Calibri" w:hAnsi="Calibri"/>
                <w:sz w:val="20"/>
                <w:lang w:val="en-GB"/>
              </w:rPr>
              <w:br/>
              <w:t>LPLT</w:t>
            </w:r>
          </w:p>
        </w:tc>
      </w:tr>
      <w:tr w:rsidR="002D1F6A" w:rsidRPr="005B6DE9" w:rsidTr="005B6DE9">
        <w:trPr>
          <w:jc w:val="center"/>
        </w:trPr>
        <w:tc>
          <w:tcPr>
            <w:tcW w:w="675"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lastRenderedPageBreak/>
              <w:t>5</w:t>
            </w:r>
          </w:p>
        </w:tc>
        <w:tc>
          <w:tcPr>
            <w:tcW w:w="1134"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AV linear,</w:t>
            </w:r>
            <w:r w:rsidRPr="005B6DE9">
              <w:rPr>
                <w:rFonts w:ascii="Calibri" w:hAnsi="Calibri"/>
                <w:sz w:val="20"/>
                <w:lang w:val="en-GB"/>
              </w:rPr>
              <w:br/>
              <w:t>AV non-linear</w:t>
            </w:r>
          </w:p>
        </w:tc>
        <w:tc>
          <w:tcPr>
            <w:tcW w:w="1500"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Large screen, small screen/tablet</w:t>
            </w:r>
          </w:p>
        </w:tc>
        <w:tc>
          <w:tcPr>
            <w:tcW w:w="176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w:t>
            </w:r>
          </w:p>
        </w:tc>
        <w:tc>
          <w:tcPr>
            <w:tcW w:w="154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LTE Broadcast</w:t>
            </w:r>
          </w:p>
        </w:tc>
        <w:tc>
          <w:tcPr>
            <w:tcW w:w="1018"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HPHT</w:t>
            </w:r>
          </w:p>
        </w:tc>
      </w:tr>
      <w:tr w:rsidR="002D1F6A" w:rsidRPr="005B6DE9" w:rsidTr="005B6DE9">
        <w:trPr>
          <w:jc w:val="center"/>
        </w:trPr>
        <w:tc>
          <w:tcPr>
            <w:tcW w:w="675"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6</w:t>
            </w:r>
          </w:p>
        </w:tc>
        <w:tc>
          <w:tcPr>
            <w:tcW w:w="1134"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AV linear,</w:t>
            </w:r>
            <w:r w:rsidRPr="005B6DE9">
              <w:rPr>
                <w:rFonts w:ascii="Calibri" w:hAnsi="Calibri"/>
                <w:sz w:val="20"/>
                <w:lang w:val="en-GB"/>
              </w:rPr>
              <w:br/>
              <w:t>AV non-linear</w:t>
            </w:r>
          </w:p>
        </w:tc>
        <w:tc>
          <w:tcPr>
            <w:tcW w:w="1500"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Large screen, small screen/tablet</w:t>
            </w:r>
          </w:p>
        </w:tc>
        <w:tc>
          <w:tcPr>
            <w:tcW w:w="176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w:t>
            </w:r>
            <w:r w:rsidRPr="005B6DE9">
              <w:rPr>
                <w:rFonts w:ascii="Calibri" w:hAnsi="Calibri"/>
                <w:sz w:val="20"/>
                <w:lang w:val="en-GB"/>
              </w:rPr>
              <w:br/>
              <w:t>mobile</w:t>
            </w:r>
          </w:p>
        </w:tc>
        <w:tc>
          <w:tcPr>
            <w:tcW w:w="154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LTE Broadcast</w:t>
            </w:r>
          </w:p>
        </w:tc>
        <w:tc>
          <w:tcPr>
            <w:tcW w:w="1018"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LPLT</w:t>
            </w:r>
          </w:p>
        </w:tc>
      </w:tr>
      <w:tr w:rsidR="002D1F6A" w:rsidRPr="005B6DE9" w:rsidTr="005B6DE9">
        <w:trPr>
          <w:jc w:val="center"/>
        </w:trPr>
        <w:tc>
          <w:tcPr>
            <w:tcW w:w="675"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7</w:t>
            </w:r>
          </w:p>
        </w:tc>
        <w:tc>
          <w:tcPr>
            <w:tcW w:w="1134"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AV linear,</w:t>
            </w:r>
            <w:r w:rsidRPr="005B6DE9">
              <w:rPr>
                <w:rFonts w:ascii="Calibri" w:hAnsi="Calibri"/>
                <w:sz w:val="20"/>
                <w:lang w:val="en-GB"/>
              </w:rPr>
              <w:br/>
              <w:t>AV non-</w:t>
            </w:r>
            <w:proofErr w:type="spellStart"/>
            <w:r w:rsidRPr="005B6DE9">
              <w:rPr>
                <w:rFonts w:ascii="Calibri" w:hAnsi="Calibri"/>
                <w:sz w:val="20"/>
                <w:lang w:val="en-GB"/>
              </w:rPr>
              <w:t>linear,Data</w:t>
            </w:r>
            <w:proofErr w:type="spellEnd"/>
          </w:p>
        </w:tc>
        <w:tc>
          <w:tcPr>
            <w:tcW w:w="1500"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Large screen, small screen/tablet</w:t>
            </w:r>
          </w:p>
        </w:tc>
        <w:tc>
          <w:tcPr>
            <w:tcW w:w="176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 mobile</w:t>
            </w:r>
          </w:p>
        </w:tc>
        <w:tc>
          <w:tcPr>
            <w:tcW w:w="154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LTE Broadcast</w:t>
            </w:r>
          </w:p>
        </w:tc>
        <w:tc>
          <w:tcPr>
            <w:tcW w:w="1018"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LPLT</w:t>
            </w:r>
          </w:p>
        </w:tc>
      </w:tr>
      <w:tr w:rsidR="002D1F6A" w:rsidRPr="005B6DE9" w:rsidTr="005B6DE9">
        <w:trPr>
          <w:jc w:val="center"/>
        </w:trPr>
        <w:tc>
          <w:tcPr>
            <w:tcW w:w="675"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8</w:t>
            </w:r>
          </w:p>
        </w:tc>
        <w:tc>
          <w:tcPr>
            <w:tcW w:w="1134"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AV linear,</w:t>
            </w:r>
            <w:r w:rsidRPr="005B6DE9">
              <w:rPr>
                <w:rFonts w:ascii="Calibri" w:hAnsi="Calibri"/>
                <w:sz w:val="20"/>
                <w:lang w:val="en-GB"/>
              </w:rPr>
              <w:br/>
              <w:t>AV non-linear,</w:t>
            </w:r>
          </w:p>
          <w:p w:rsidR="002D1F6A" w:rsidRPr="005B6DE9" w:rsidRDefault="002D1F6A" w:rsidP="005B6DE9">
            <w:pPr>
              <w:spacing w:after="0"/>
              <w:rPr>
                <w:rFonts w:ascii="Calibri" w:hAnsi="Calibri"/>
                <w:sz w:val="20"/>
                <w:lang w:val="en-GB"/>
              </w:rPr>
            </w:pPr>
            <w:r w:rsidRPr="005B6DE9">
              <w:rPr>
                <w:rFonts w:ascii="Calibri" w:hAnsi="Calibri"/>
                <w:sz w:val="20"/>
                <w:lang w:val="en-GB"/>
              </w:rPr>
              <w:t>Data</w:t>
            </w:r>
          </w:p>
        </w:tc>
        <w:tc>
          <w:tcPr>
            <w:tcW w:w="1500"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Large screen, small screen/tablet</w:t>
            </w:r>
          </w:p>
        </w:tc>
        <w:tc>
          <w:tcPr>
            <w:tcW w:w="176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 mobile</w:t>
            </w:r>
          </w:p>
        </w:tc>
        <w:tc>
          <w:tcPr>
            <w:tcW w:w="154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DTT, LTE</w:t>
            </w:r>
          </w:p>
        </w:tc>
        <w:tc>
          <w:tcPr>
            <w:tcW w:w="1018"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HPHT/</w:t>
            </w:r>
            <w:r w:rsidRPr="005B6DE9">
              <w:rPr>
                <w:rFonts w:ascii="Calibri" w:hAnsi="Calibri"/>
                <w:sz w:val="20"/>
                <w:lang w:val="en-GB"/>
              </w:rPr>
              <w:br/>
              <w:t>LPLT</w:t>
            </w:r>
          </w:p>
        </w:tc>
      </w:tr>
      <w:tr w:rsidR="002D1F6A" w:rsidRPr="005B6DE9" w:rsidTr="005B6DE9">
        <w:trPr>
          <w:jc w:val="center"/>
        </w:trPr>
        <w:tc>
          <w:tcPr>
            <w:tcW w:w="675"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9</w:t>
            </w:r>
          </w:p>
        </w:tc>
        <w:tc>
          <w:tcPr>
            <w:tcW w:w="1134"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AV linear,</w:t>
            </w:r>
            <w:r w:rsidRPr="005B6DE9">
              <w:rPr>
                <w:rFonts w:ascii="Calibri" w:hAnsi="Calibri"/>
                <w:sz w:val="20"/>
                <w:lang w:val="en-GB"/>
              </w:rPr>
              <w:br/>
              <w:t>AV non-linear,</w:t>
            </w:r>
          </w:p>
          <w:p w:rsidR="002D1F6A" w:rsidRPr="005B6DE9" w:rsidRDefault="002D1F6A" w:rsidP="005B6DE9">
            <w:pPr>
              <w:spacing w:after="0"/>
              <w:rPr>
                <w:rFonts w:ascii="Calibri" w:hAnsi="Calibri"/>
                <w:sz w:val="20"/>
                <w:lang w:val="en-GB"/>
              </w:rPr>
            </w:pPr>
            <w:r w:rsidRPr="005B6DE9">
              <w:rPr>
                <w:rFonts w:ascii="Calibri" w:hAnsi="Calibri"/>
                <w:sz w:val="20"/>
                <w:lang w:val="en-GB"/>
              </w:rPr>
              <w:t>Data</w:t>
            </w:r>
          </w:p>
        </w:tc>
        <w:tc>
          <w:tcPr>
            <w:tcW w:w="1500"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Large screen, small screen/tablet</w:t>
            </w:r>
          </w:p>
        </w:tc>
        <w:tc>
          <w:tcPr>
            <w:tcW w:w="176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 mobile</w:t>
            </w:r>
          </w:p>
        </w:tc>
        <w:tc>
          <w:tcPr>
            <w:tcW w:w="154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 xml:space="preserve">LTE, </w:t>
            </w:r>
            <w:r w:rsidRPr="005B6DE9">
              <w:rPr>
                <w:rFonts w:ascii="Calibri" w:hAnsi="Calibri"/>
                <w:sz w:val="20"/>
                <w:lang w:val="en-GB"/>
              </w:rPr>
              <w:br/>
              <w:t>LTE Broadcast</w:t>
            </w:r>
          </w:p>
        </w:tc>
        <w:tc>
          <w:tcPr>
            <w:tcW w:w="1018"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HPHT/</w:t>
            </w:r>
            <w:r w:rsidRPr="005B6DE9">
              <w:rPr>
                <w:rFonts w:ascii="Calibri" w:hAnsi="Calibri"/>
                <w:sz w:val="20"/>
                <w:lang w:val="en-GB"/>
              </w:rPr>
              <w:br/>
              <w:t>LPLT</w:t>
            </w:r>
          </w:p>
        </w:tc>
      </w:tr>
      <w:tr w:rsidR="002D1F6A" w:rsidRPr="005B6DE9" w:rsidTr="005B6DE9">
        <w:trPr>
          <w:jc w:val="center"/>
        </w:trPr>
        <w:tc>
          <w:tcPr>
            <w:tcW w:w="675"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10</w:t>
            </w:r>
          </w:p>
        </w:tc>
        <w:tc>
          <w:tcPr>
            <w:tcW w:w="1134"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AV linear,</w:t>
            </w:r>
            <w:r w:rsidRPr="005B6DE9">
              <w:rPr>
                <w:rFonts w:ascii="Calibri" w:hAnsi="Calibri"/>
                <w:sz w:val="20"/>
                <w:lang w:val="en-GB"/>
              </w:rPr>
              <w:br/>
              <w:t>AV non-linear,</w:t>
            </w:r>
          </w:p>
          <w:p w:rsidR="002D1F6A" w:rsidRPr="005B6DE9" w:rsidRDefault="002D1F6A" w:rsidP="005B6DE9">
            <w:pPr>
              <w:spacing w:after="0"/>
              <w:rPr>
                <w:rFonts w:ascii="Calibri" w:hAnsi="Calibri"/>
                <w:sz w:val="20"/>
                <w:lang w:val="en-GB"/>
              </w:rPr>
            </w:pPr>
            <w:r w:rsidRPr="005B6DE9">
              <w:rPr>
                <w:rFonts w:ascii="Calibri" w:hAnsi="Calibri"/>
                <w:sz w:val="20"/>
                <w:lang w:val="en-GB"/>
              </w:rPr>
              <w:t xml:space="preserve">Data </w:t>
            </w:r>
          </w:p>
        </w:tc>
        <w:tc>
          <w:tcPr>
            <w:tcW w:w="1500"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Small screen/tablet</w:t>
            </w:r>
          </w:p>
        </w:tc>
        <w:tc>
          <w:tcPr>
            <w:tcW w:w="176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 mobile</w:t>
            </w:r>
          </w:p>
        </w:tc>
        <w:tc>
          <w:tcPr>
            <w:tcW w:w="154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LTE</w:t>
            </w:r>
          </w:p>
        </w:tc>
        <w:tc>
          <w:tcPr>
            <w:tcW w:w="1018"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LPLT</w:t>
            </w:r>
          </w:p>
        </w:tc>
      </w:tr>
      <w:tr w:rsidR="002D1F6A" w:rsidRPr="005B6DE9" w:rsidTr="005B6DE9">
        <w:trPr>
          <w:jc w:val="center"/>
        </w:trPr>
        <w:tc>
          <w:tcPr>
            <w:tcW w:w="675"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11</w:t>
            </w:r>
          </w:p>
        </w:tc>
        <w:tc>
          <w:tcPr>
            <w:tcW w:w="1134"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Smart data quantities</w:t>
            </w:r>
          </w:p>
        </w:tc>
        <w:tc>
          <w:tcPr>
            <w:tcW w:w="1500"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Smart communication unit</w:t>
            </w:r>
          </w:p>
        </w:tc>
        <w:tc>
          <w:tcPr>
            <w:tcW w:w="176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Stationary, portable outdoor/indoor, mobile</w:t>
            </w:r>
          </w:p>
        </w:tc>
        <w:tc>
          <w:tcPr>
            <w:tcW w:w="154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Dynamic cognitive communication</w:t>
            </w:r>
          </w:p>
        </w:tc>
        <w:tc>
          <w:tcPr>
            <w:tcW w:w="1018"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HPHT/</w:t>
            </w:r>
            <w:r w:rsidRPr="005B6DE9">
              <w:rPr>
                <w:rFonts w:ascii="Calibri" w:hAnsi="Calibri"/>
                <w:sz w:val="20"/>
                <w:lang w:val="en-GB"/>
              </w:rPr>
              <w:br/>
              <w:t>LPLT</w:t>
            </w:r>
          </w:p>
        </w:tc>
      </w:tr>
      <w:tr w:rsidR="002D1F6A" w:rsidRPr="005B6DE9" w:rsidTr="005B6DE9">
        <w:trPr>
          <w:jc w:val="center"/>
        </w:trPr>
        <w:tc>
          <w:tcPr>
            <w:tcW w:w="675" w:type="dxa"/>
          </w:tcPr>
          <w:p w:rsidR="002D1F6A" w:rsidRPr="005B6DE9" w:rsidRDefault="002D1F6A" w:rsidP="005B6DE9">
            <w:pPr>
              <w:spacing w:after="0"/>
              <w:rPr>
                <w:rFonts w:ascii="Calibri" w:hAnsi="Calibri"/>
                <w:sz w:val="20"/>
                <w:lang w:val="en-GB"/>
              </w:rPr>
            </w:pPr>
          </w:p>
        </w:tc>
        <w:tc>
          <w:tcPr>
            <w:tcW w:w="6954" w:type="dxa"/>
            <w:gridSpan w:val="5"/>
          </w:tcPr>
          <w:p w:rsidR="002D1F6A" w:rsidRPr="005B6DE9" w:rsidRDefault="002D1F6A" w:rsidP="005B6DE9">
            <w:pPr>
              <w:spacing w:after="0"/>
              <w:rPr>
                <w:rFonts w:ascii="Calibri" w:hAnsi="Calibri"/>
                <w:sz w:val="20"/>
                <w:lang w:val="en-GB"/>
              </w:rPr>
            </w:pPr>
            <w:r w:rsidRPr="005B6DE9">
              <w:rPr>
                <w:rFonts w:ascii="Calibri" w:hAnsi="Calibri"/>
                <w:sz w:val="20"/>
                <w:lang w:val="en-GB"/>
              </w:rPr>
              <w:t>Scenarios to occur in combination with Scenarios 1-11</w:t>
            </w:r>
          </w:p>
        </w:tc>
      </w:tr>
      <w:tr w:rsidR="002D1F6A" w:rsidRPr="005B6DE9" w:rsidTr="005B6DE9">
        <w:trPr>
          <w:jc w:val="center"/>
        </w:trPr>
        <w:tc>
          <w:tcPr>
            <w:tcW w:w="675"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12</w:t>
            </w:r>
          </w:p>
        </w:tc>
        <w:tc>
          <w:tcPr>
            <w:tcW w:w="1134"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PMSE AV content production</w:t>
            </w:r>
          </w:p>
        </w:tc>
        <w:tc>
          <w:tcPr>
            <w:tcW w:w="1500"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PMSE equipment</w:t>
            </w:r>
          </w:p>
        </w:tc>
        <w:tc>
          <w:tcPr>
            <w:tcW w:w="176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Portable, mobile</w:t>
            </w:r>
          </w:p>
        </w:tc>
        <w:tc>
          <w:tcPr>
            <w:tcW w:w="154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Digital/</w:t>
            </w:r>
            <w:r w:rsidRPr="005B6DE9">
              <w:rPr>
                <w:rFonts w:ascii="Calibri" w:hAnsi="Calibri"/>
                <w:sz w:val="20"/>
                <w:lang w:val="en-GB"/>
              </w:rPr>
              <w:br/>
              <w:t>Analogue</w:t>
            </w:r>
          </w:p>
        </w:tc>
        <w:tc>
          <w:tcPr>
            <w:tcW w:w="1018"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Low power links</w:t>
            </w:r>
          </w:p>
        </w:tc>
      </w:tr>
      <w:tr w:rsidR="002D1F6A" w:rsidRPr="005B6DE9" w:rsidTr="005B6DE9">
        <w:trPr>
          <w:jc w:val="center"/>
        </w:trPr>
        <w:tc>
          <w:tcPr>
            <w:tcW w:w="675"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13</w:t>
            </w:r>
          </w:p>
        </w:tc>
        <w:tc>
          <w:tcPr>
            <w:tcW w:w="1134"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Public safety</w:t>
            </w:r>
          </w:p>
        </w:tc>
        <w:tc>
          <w:tcPr>
            <w:tcW w:w="1500"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Voice and data, remote video camera</w:t>
            </w:r>
          </w:p>
        </w:tc>
        <w:tc>
          <w:tcPr>
            <w:tcW w:w="176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 xml:space="preserve">Handheld portable, vehicle mounted, stationary </w:t>
            </w:r>
          </w:p>
        </w:tc>
        <w:tc>
          <w:tcPr>
            <w:tcW w:w="1541"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LTE</w:t>
            </w:r>
          </w:p>
        </w:tc>
        <w:tc>
          <w:tcPr>
            <w:tcW w:w="1018" w:type="dxa"/>
            <w:tcBorders>
              <w:top w:val="single" w:sz="4" w:space="0" w:color="D2232A"/>
              <w:left w:val="single" w:sz="4" w:space="0" w:color="D2232A"/>
              <w:bottom w:val="single" w:sz="4" w:space="0" w:color="D2232A"/>
              <w:right w:val="single" w:sz="4" w:space="0" w:color="D2232A"/>
            </w:tcBorders>
          </w:tcPr>
          <w:p w:rsidR="002D1F6A" w:rsidRPr="005B6DE9" w:rsidRDefault="002D1F6A" w:rsidP="005B6DE9">
            <w:pPr>
              <w:spacing w:after="0"/>
              <w:rPr>
                <w:rFonts w:ascii="Calibri" w:hAnsi="Calibri"/>
                <w:sz w:val="20"/>
                <w:lang w:val="en-GB"/>
              </w:rPr>
            </w:pPr>
            <w:r w:rsidRPr="005B6DE9">
              <w:rPr>
                <w:rFonts w:ascii="Calibri" w:hAnsi="Calibri"/>
                <w:sz w:val="20"/>
                <w:lang w:val="en-GB"/>
              </w:rPr>
              <w:t>LPLT</w:t>
            </w:r>
          </w:p>
        </w:tc>
      </w:tr>
    </w:tbl>
    <w:p w:rsidR="002D1F6A" w:rsidRPr="005B6DE9" w:rsidRDefault="002D1F6A" w:rsidP="002D1F6A">
      <w:pPr>
        <w:spacing w:after="0"/>
        <w:rPr>
          <w:rFonts w:ascii="Calibri" w:hAnsi="Calibri"/>
          <w:sz w:val="24"/>
          <w:szCs w:val="24"/>
          <w:lang w:val="en-GB"/>
        </w:rPr>
      </w:pPr>
    </w:p>
    <w:p w:rsidR="002D1F6A" w:rsidRPr="005B6DE9" w:rsidRDefault="002D1F6A" w:rsidP="002D1F6A">
      <w:pPr>
        <w:spacing w:after="0"/>
        <w:rPr>
          <w:rFonts w:ascii="Calibri" w:hAnsi="Calibri"/>
          <w:sz w:val="24"/>
          <w:szCs w:val="24"/>
          <w:lang w:val="en-GB"/>
        </w:rPr>
      </w:pPr>
      <w:r w:rsidRPr="005B6DE9">
        <w:rPr>
          <w:rFonts w:ascii="Calibri" w:hAnsi="Calibri"/>
          <w:sz w:val="24"/>
          <w:szCs w:val="24"/>
          <w:lang w:val="en-GB"/>
        </w:rPr>
        <w:t xml:space="preserve">Some further amendments maybe expected in the description of the scenarios as it was not possible to </w:t>
      </w:r>
      <w:r w:rsidR="007C5EDF">
        <w:rPr>
          <w:rFonts w:ascii="Calibri" w:hAnsi="Calibri"/>
          <w:sz w:val="24"/>
          <w:szCs w:val="24"/>
          <w:lang w:val="en-GB"/>
        </w:rPr>
        <w:t>agree the text in all of them.</w:t>
      </w:r>
    </w:p>
    <w:p w:rsidR="00D077D2" w:rsidRPr="005B6DE9" w:rsidRDefault="00D077D2" w:rsidP="00D077D2">
      <w:pPr>
        <w:spacing w:after="0"/>
        <w:rPr>
          <w:rFonts w:ascii="Calibri" w:hAnsi="Calibri"/>
          <w:sz w:val="24"/>
          <w:szCs w:val="24"/>
          <w:lang w:val="en-GB"/>
        </w:rPr>
      </w:pPr>
    </w:p>
    <w:p w:rsidR="00D077D2" w:rsidRPr="00FC7E45" w:rsidRDefault="00D077D2" w:rsidP="00D077D2">
      <w:pPr>
        <w:pBdr>
          <w:top w:val="single" w:sz="4" w:space="1" w:color="auto"/>
          <w:left w:val="single" w:sz="4" w:space="4" w:color="auto"/>
          <w:bottom w:val="single" w:sz="4" w:space="1" w:color="auto"/>
          <w:right w:val="single" w:sz="4" w:space="4" w:color="auto"/>
        </w:pBdr>
        <w:spacing w:after="0"/>
        <w:rPr>
          <w:rFonts w:ascii="Calibri" w:hAnsi="Calibri"/>
          <w:b/>
          <w:bCs/>
          <w:sz w:val="24"/>
          <w:szCs w:val="24"/>
          <w:lang w:val="en-GB"/>
        </w:rPr>
      </w:pPr>
      <w:r w:rsidRPr="00FC7E45">
        <w:rPr>
          <w:rFonts w:ascii="Calibri" w:hAnsi="Calibri"/>
          <w:b/>
          <w:bCs/>
          <w:sz w:val="24"/>
          <w:szCs w:val="24"/>
          <w:lang w:val="en-GB"/>
        </w:rPr>
        <w:t xml:space="preserve">ECC is invited to </w:t>
      </w:r>
      <w:r>
        <w:rPr>
          <w:rFonts w:ascii="Calibri" w:hAnsi="Calibri"/>
          <w:b/>
          <w:bCs/>
          <w:sz w:val="24"/>
          <w:szCs w:val="24"/>
          <w:lang w:val="en-GB"/>
        </w:rPr>
        <w:t>note the progress of the work in</w:t>
      </w:r>
      <w:r w:rsidRPr="00FC7E45">
        <w:rPr>
          <w:rFonts w:ascii="Calibri" w:hAnsi="Calibri"/>
          <w:b/>
          <w:bCs/>
          <w:sz w:val="24"/>
          <w:szCs w:val="24"/>
          <w:lang w:val="en-GB"/>
        </w:rPr>
        <w:t xml:space="preserve"> TG6</w:t>
      </w:r>
      <w:r w:rsidRPr="00FC7E45">
        <w:rPr>
          <w:rFonts w:ascii="Calibri" w:hAnsi="Calibri"/>
          <w:b/>
          <w:sz w:val="24"/>
          <w:szCs w:val="24"/>
          <w:lang w:val="en-GB"/>
        </w:rPr>
        <w:t>.</w:t>
      </w:r>
    </w:p>
    <w:p w:rsidR="00D077D2" w:rsidRDefault="00D077D2" w:rsidP="00D077D2">
      <w:pPr>
        <w:spacing w:after="0"/>
        <w:rPr>
          <w:rFonts w:ascii="Calibri" w:hAnsi="Calibri"/>
          <w:sz w:val="24"/>
          <w:szCs w:val="24"/>
          <w:lang w:val="en-GB"/>
        </w:rPr>
      </w:pPr>
    </w:p>
    <w:p w:rsidR="00D077D2" w:rsidRDefault="00D077D2" w:rsidP="007C5EDF">
      <w:pPr>
        <w:rPr>
          <w:rFonts w:ascii="Calibri" w:hAnsi="Calibri" w:cs="Arial"/>
          <w:b/>
          <w:sz w:val="26"/>
          <w:szCs w:val="26"/>
          <w:lang w:val="en-GB"/>
        </w:rPr>
      </w:pPr>
    </w:p>
    <w:p w:rsidR="007C5EDF" w:rsidRPr="005B6DE9" w:rsidRDefault="002E4E9D" w:rsidP="007C5EDF">
      <w:pPr>
        <w:rPr>
          <w:rFonts w:ascii="Calibri" w:hAnsi="Calibri" w:cs="Arial"/>
          <w:b/>
          <w:sz w:val="26"/>
          <w:szCs w:val="26"/>
          <w:lang w:val="en-GB"/>
        </w:rPr>
      </w:pPr>
      <w:r>
        <w:rPr>
          <w:rFonts w:ascii="Calibri" w:hAnsi="Calibri" w:cs="Arial"/>
          <w:b/>
          <w:sz w:val="26"/>
          <w:szCs w:val="26"/>
          <w:lang w:val="en-GB"/>
        </w:rPr>
        <w:t>3</w:t>
      </w:r>
      <w:r w:rsidR="007C5EDF" w:rsidRPr="005B6DE9">
        <w:rPr>
          <w:rFonts w:ascii="Calibri" w:hAnsi="Calibri" w:cs="Arial"/>
          <w:b/>
          <w:sz w:val="26"/>
          <w:szCs w:val="26"/>
          <w:lang w:val="en-GB"/>
        </w:rPr>
        <w:t xml:space="preserve">. </w:t>
      </w:r>
      <w:r w:rsidR="007C5EDF">
        <w:rPr>
          <w:rFonts w:ascii="Calibri" w:hAnsi="Calibri" w:cs="Arial"/>
          <w:b/>
          <w:sz w:val="26"/>
          <w:szCs w:val="26"/>
          <w:lang w:val="en-GB"/>
        </w:rPr>
        <w:t>Organization of the work</w:t>
      </w:r>
    </w:p>
    <w:p w:rsidR="004B70FB" w:rsidRPr="00AF46A8" w:rsidRDefault="004B70FB" w:rsidP="004B70FB">
      <w:pPr>
        <w:spacing w:after="0"/>
        <w:rPr>
          <w:rFonts w:ascii="Calibri" w:hAnsi="Calibri"/>
          <w:sz w:val="24"/>
          <w:szCs w:val="24"/>
          <w:lang w:val="en-GB"/>
        </w:rPr>
      </w:pPr>
      <w:r>
        <w:rPr>
          <w:rFonts w:ascii="Calibri" w:hAnsi="Calibri"/>
          <w:sz w:val="24"/>
          <w:szCs w:val="24"/>
          <w:lang w:val="en-GB"/>
        </w:rPr>
        <w:t xml:space="preserve">In order </w:t>
      </w:r>
      <w:r w:rsidRPr="00AF46A8">
        <w:rPr>
          <w:rFonts w:ascii="Calibri" w:hAnsi="Calibri"/>
          <w:sz w:val="24"/>
          <w:szCs w:val="24"/>
          <w:lang w:val="en-GB"/>
        </w:rPr>
        <w:t>to better organize the development of the draft ECC Report</w:t>
      </w:r>
      <w:r>
        <w:rPr>
          <w:rFonts w:ascii="Calibri" w:hAnsi="Calibri"/>
          <w:sz w:val="24"/>
          <w:szCs w:val="24"/>
          <w:lang w:val="en-GB"/>
        </w:rPr>
        <w:t>,</w:t>
      </w:r>
      <w:r w:rsidRPr="00AF46A8">
        <w:rPr>
          <w:rFonts w:ascii="Calibri" w:hAnsi="Calibri"/>
          <w:sz w:val="24"/>
          <w:szCs w:val="24"/>
          <w:lang w:val="en-GB"/>
        </w:rPr>
        <w:t xml:space="preserve"> </w:t>
      </w:r>
      <w:r>
        <w:rPr>
          <w:rFonts w:ascii="Calibri" w:hAnsi="Calibri"/>
          <w:sz w:val="24"/>
          <w:szCs w:val="24"/>
          <w:lang w:val="en-GB"/>
        </w:rPr>
        <w:t xml:space="preserve">TG6 has decided to split the work in three main streams (Sub working </w:t>
      </w:r>
      <w:r w:rsidRPr="00AF46A8">
        <w:rPr>
          <w:rFonts w:ascii="Calibri" w:hAnsi="Calibri"/>
          <w:sz w:val="24"/>
          <w:szCs w:val="24"/>
          <w:lang w:val="en-GB"/>
        </w:rPr>
        <w:t>groups</w:t>
      </w:r>
      <w:r>
        <w:rPr>
          <w:rFonts w:ascii="Calibri" w:hAnsi="Calibri"/>
          <w:sz w:val="24"/>
          <w:szCs w:val="24"/>
          <w:lang w:val="en-GB"/>
        </w:rPr>
        <w:t>)</w:t>
      </w:r>
      <w:r w:rsidRPr="00AF46A8">
        <w:rPr>
          <w:rFonts w:ascii="Calibri" w:hAnsi="Calibri"/>
          <w:sz w:val="24"/>
          <w:szCs w:val="24"/>
          <w:lang w:val="en-GB"/>
        </w:rPr>
        <w:t>, dealing with the following specific sections of the draft ECC Report:</w:t>
      </w:r>
    </w:p>
    <w:p w:rsidR="004B70FB" w:rsidRPr="00AF46A8" w:rsidRDefault="004B70FB" w:rsidP="004B70FB">
      <w:pPr>
        <w:pStyle w:val="Paragraphedeliste"/>
        <w:numPr>
          <w:ilvl w:val="0"/>
          <w:numId w:val="20"/>
        </w:numPr>
        <w:spacing w:after="0"/>
        <w:rPr>
          <w:rFonts w:ascii="Calibri" w:hAnsi="Calibri"/>
          <w:sz w:val="24"/>
          <w:szCs w:val="24"/>
          <w:lang w:val="en-GB"/>
        </w:rPr>
      </w:pPr>
      <w:r w:rsidRPr="00AF46A8">
        <w:rPr>
          <w:rFonts w:ascii="Calibri" w:hAnsi="Calibri"/>
          <w:b/>
          <w:sz w:val="24"/>
          <w:szCs w:val="24"/>
          <w:lang w:val="en-GB"/>
        </w:rPr>
        <w:t>SWG Intro/Back:</w:t>
      </w:r>
      <w:r w:rsidRPr="00AF46A8">
        <w:rPr>
          <w:rFonts w:ascii="Calibri" w:hAnsi="Calibri"/>
          <w:sz w:val="24"/>
          <w:szCs w:val="24"/>
          <w:lang w:val="en-GB"/>
        </w:rPr>
        <w:t xml:space="preserve"> Introduction and Background (Chapters 1 and 3 of the draft ECC Report), chaired by Mr. Bruno Espinosa (ECO);</w:t>
      </w:r>
    </w:p>
    <w:p w:rsidR="004B70FB" w:rsidRPr="00AF46A8" w:rsidRDefault="004B70FB" w:rsidP="004B70FB">
      <w:pPr>
        <w:pStyle w:val="Paragraphedeliste"/>
        <w:numPr>
          <w:ilvl w:val="0"/>
          <w:numId w:val="20"/>
        </w:numPr>
        <w:spacing w:after="0"/>
        <w:rPr>
          <w:rFonts w:ascii="Calibri" w:hAnsi="Calibri"/>
          <w:sz w:val="24"/>
          <w:szCs w:val="24"/>
          <w:lang w:val="en-GB"/>
        </w:rPr>
      </w:pPr>
      <w:r w:rsidRPr="00AF46A8">
        <w:rPr>
          <w:rFonts w:ascii="Calibri" w:hAnsi="Calibri"/>
          <w:b/>
          <w:sz w:val="24"/>
          <w:szCs w:val="24"/>
          <w:lang w:val="en-GB"/>
        </w:rPr>
        <w:t>SWG Evolution:</w:t>
      </w:r>
      <w:r w:rsidRPr="00AF46A8">
        <w:rPr>
          <w:rFonts w:ascii="Calibri" w:hAnsi="Calibri"/>
          <w:sz w:val="24"/>
          <w:szCs w:val="24"/>
          <w:lang w:val="en-GB"/>
        </w:rPr>
        <w:t xml:space="preserve"> Technology, Service and Network Evolution (Chapter 4 of the draft ECC Report), chaired by Mr. Jim Connolly (IRE);</w:t>
      </w:r>
    </w:p>
    <w:p w:rsidR="004B70FB" w:rsidRPr="00AF46A8" w:rsidRDefault="004B70FB" w:rsidP="004B70FB">
      <w:pPr>
        <w:pStyle w:val="Paragraphedeliste"/>
        <w:numPr>
          <w:ilvl w:val="0"/>
          <w:numId w:val="20"/>
        </w:numPr>
        <w:spacing w:after="0"/>
        <w:rPr>
          <w:rFonts w:ascii="Calibri" w:hAnsi="Calibri"/>
          <w:sz w:val="24"/>
          <w:szCs w:val="24"/>
          <w:lang w:val="en-GB"/>
        </w:rPr>
      </w:pPr>
      <w:r w:rsidRPr="00AF46A8">
        <w:rPr>
          <w:rFonts w:ascii="Calibri" w:hAnsi="Calibri"/>
          <w:b/>
          <w:sz w:val="24"/>
          <w:szCs w:val="24"/>
          <w:lang w:val="en-GB"/>
        </w:rPr>
        <w:lastRenderedPageBreak/>
        <w:t>SWG S&amp;A:</w:t>
      </w:r>
      <w:r w:rsidRPr="00AF46A8">
        <w:rPr>
          <w:rFonts w:ascii="Calibri" w:hAnsi="Calibri"/>
          <w:sz w:val="24"/>
          <w:szCs w:val="24"/>
          <w:lang w:val="en-GB"/>
        </w:rPr>
        <w:t xml:space="preserve"> Scenarios and assessment (Chapter 5 of the draft ECC Report), chaired by Mr. Alexandre </w:t>
      </w:r>
      <w:proofErr w:type="spellStart"/>
      <w:r w:rsidRPr="00AF46A8">
        <w:rPr>
          <w:rFonts w:ascii="Calibri" w:hAnsi="Calibri"/>
          <w:sz w:val="24"/>
          <w:szCs w:val="24"/>
          <w:lang w:val="en-GB"/>
        </w:rPr>
        <w:t>Kholod</w:t>
      </w:r>
      <w:proofErr w:type="spellEnd"/>
      <w:r w:rsidRPr="00AF46A8">
        <w:rPr>
          <w:rFonts w:ascii="Calibri" w:hAnsi="Calibri"/>
          <w:sz w:val="24"/>
          <w:szCs w:val="24"/>
          <w:lang w:val="en-GB"/>
        </w:rPr>
        <w:t xml:space="preserve"> (SUI).</w:t>
      </w:r>
    </w:p>
    <w:p w:rsidR="00EE1ABD" w:rsidRDefault="004B70FB" w:rsidP="002D1F6A">
      <w:pPr>
        <w:spacing w:after="0"/>
        <w:rPr>
          <w:rFonts w:ascii="Calibri" w:hAnsi="Calibri"/>
          <w:sz w:val="24"/>
          <w:szCs w:val="24"/>
          <w:lang w:val="en-GB"/>
        </w:rPr>
      </w:pPr>
      <w:r>
        <w:rPr>
          <w:rFonts w:ascii="Calibri" w:hAnsi="Calibri"/>
          <w:sz w:val="24"/>
          <w:szCs w:val="24"/>
          <w:lang w:val="en-GB"/>
        </w:rPr>
        <w:t xml:space="preserve">  </w:t>
      </w:r>
      <w:r w:rsidR="00EE1ABD">
        <w:rPr>
          <w:rFonts w:ascii="Calibri" w:hAnsi="Calibri"/>
          <w:sz w:val="24"/>
          <w:szCs w:val="24"/>
          <w:lang w:val="en-GB"/>
        </w:rPr>
        <w:t xml:space="preserve"> </w:t>
      </w:r>
    </w:p>
    <w:p w:rsidR="002D1F6A" w:rsidRDefault="007E5BBF" w:rsidP="002D1F6A">
      <w:pPr>
        <w:spacing w:after="0"/>
        <w:rPr>
          <w:rFonts w:ascii="Calibri" w:hAnsi="Calibri"/>
          <w:sz w:val="24"/>
          <w:szCs w:val="24"/>
          <w:lang w:val="en-GB"/>
        </w:rPr>
      </w:pPr>
      <w:r>
        <w:rPr>
          <w:rFonts w:ascii="Calibri" w:hAnsi="Calibri"/>
          <w:sz w:val="24"/>
          <w:szCs w:val="24"/>
          <w:lang w:val="en-GB"/>
        </w:rPr>
        <w:t xml:space="preserve">Taking into account the amount of work involved </w:t>
      </w:r>
      <w:r w:rsidR="00377B45">
        <w:rPr>
          <w:rFonts w:ascii="Calibri" w:hAnsi="Calibri"/>
          <w:sz w:val="24"/>
          <w:szCs w:val="24"/>
          <w:lang w:val="en-GB"/>
        </w:rPr>
        <w:t>until</w:t>
      </w:r>
      <w:r>
        <w:rPr>
          <w:rFonts w:ascii="Calibri" w:hAnsi="Calibri"/>
          <w:sz w:val="24"/>
          <w:szCs w:val="24"/>
          <w:lang w:val="en-GB"/>
        </w:rPr>
        <w:t xml:space="preserve"> the completion of the Report and the time pressure to finalize the TG6 tasks</w:t>
      </w:r>
      <w:r w:rsidR="00130A81">
        <w:rPr>
          <w:rFonts w:ascii="Calibri" w:hAnsi="Calibri"/>
          <w:sz w:val="24"/>
          <w:szCs w:val="24"/>
          <w:lang w:val="en-GB"/>
        </w:rPr>
        <w:t xml:space="preserve">, it was decided that progress on the work needs to be made until the next meeting. In that regard, </w:t>
      </w:r>
      <w:r w:rsidR="002D1F6A" w:rsidRPr="005B6DE9">
        <w:rPr>
          <w:rFonts w:ascii="Calibri" w:hAnsi="Calibri"/>
          <w:sz w:val="24"/>
          <w:szCs w:val="24"/>
          <w:lang w:val="en-GB"/>
        </w:rPr>
        <w:t>TG6 decided to create three groups in the ECO Forum as illustrated in the following Figure, to deal with specific issues of the draft ECC Report.</w:t>
      </w:r>
    </w:p>
    <w:p w:rsidR="00130A81" w:rsidRPr="005B6DE9" w:rsidRDefault="00130A81" w:rsidP="002D1F6A">
      <w:pPr>
        <w:spacing w:after="0"/>
        <w:rPr>
          <w:rFonts w:ascii="Calibri" w:hAnsi="Calibri"/>
          <w:sz w:val="24"/>
          <w:szCs w:val="24"/>
          <w:lang w:val="en-GB"/>
        </w:rPr>
      </w:pPr>
    </w:p>
    <w:p w:rsidR="002D1F6A" w:rsidRPr="005B6DE9" w:rsidRDefault="00B528B6" w:rsidP="002D1F6A">
      <w:pPr>
        <w:spacing w:after="0"/>
        <w:jc w:val="center"/>
        <w:rPr>
          <w:rFonts w:ascii="Calibri" w:hAnsi="Calibri"/>
          <w:sz w:val="24"/>
          <w:szCs w:val="24"/>
          <w:lang w:val="en-GB"/>
        </w:rPr>
      </w:pPr>
      <w:r>
        <w:rPr>
          <w:rFonts w:ascii="Calibri" w:hAnsi="Calibri"/>
          <w:noProof/>
          <w:sz w:val="24"/>
          <w:szCs w:val="24"/>
          <w:lang w:val="fr-FR" w:eastAsia="fr-FR"/>
        </w:rPr>
        <w:drawing>
          <wp:inline distT="0" distB="0" distL="0" distR="0">
            <wp:extent cx="2193290" cy="150114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93290" cy="1501140"/>
                    </a:xfrm>
                    <a:prstGeom prst="rect">
                      <a:avLst/>
                    </a:prstGeom>
                    <a:noFill/>
                    <a:ln w="9525">
                      <a:noFill/>
                      <a:miter lim="800000"/>
                      <a:headEnd/>
                      <a:tailEnd/>
                    </a:ln>
                  </pic:spPr>
                </pic:pic>
              </a:graphicData>
            </a:graphic>
          </wp:inline>
        </w:drawing>
      </w:r>
    </w:p>
    <w:p w:rsidR="002D1F6A" w:rsidRPr="005B6DE9" w:rsidRDefault="002D1F6A" w:rsidP="002D1F6A">
      <w:pPr>
        <w:spacing w:after="0"/>
        <w:rPr>
          <w:rFonts w:ascii="Calibri" w:hAnsi="Calibri"/>
          <w:sz w:val="24"/>
          <w:szCs w:val="24"/>
          <w:lang w:val="en-GB"/>
        </w:rPr>
      </w:pPr>
    </w:p>
    <w:p w:rsidR="002D1F6A" w:rsidRPr="005B6DE9" w:rsidRDefault="002D1F6A" w:rsidP="002D1F6A">
      <w:pPr>
        <w:spacing w:after="0"/>
        <w:rPr>
          <w:rFonts w:ascii="Calibri" w:hAnsi="Calibri"/>
          <w:sz w:val="24"/>
          <w:szCs w:val="24"/>
          <w:lang w:val="en-GB"/>
        </w:rPr>
      </w:pPr>
      <w:r w:rsidRPr="005B6DE9">
        <w:rPr>
          <w:rFonts w:ascii="Calibri" w:hAnsi="Calibri"/>
          <w:sz w:val="24"/>
          <w:szCs w:val="24"/>
          <w:lang w:val="en-GB"/>
        </w:rPr>
        <w:t xml:space="preserve">TG6 members are invited to participate in the ECO forum groups, </w:t>
      </w:r>
      <w:r w:rsidR="001C10D8">
        <w:rPr>
          <w:rFonts w:ascii="Calibri" w:hAnsi="Calibri"/>
          <w:sz w:val="24"/>
          <w:szCs w:val="24"/>
          <w:lang w:val="en-GB"/>
        </w:rPr>
        <w:t>namely</w:t>
      </w:r>
      <w:r w:rsidRPr="005B6DE9">
        <w:rPr>
          <w:rFonts w:ascii="Calibri" w:hAnsi="Calibri"/>
          <w:sz w:val="24"/>
          <w:szCs w:val="24"/>
          <w:lang w:val="en-GB"/>
        </w:rPr>
        <w:t xml:space="preserve"> to </w:t>
      </w:r>
      <w:r w:rsidRPr="005B6DE9">
        <w:rPr>
          <w:rFonts w:ascii="Calibri" w:hAnsi="Calibri"/>
          <w:sz w:val="24"/>
          <w:szCs w:val="24"/>
          <w:lang w:val="en-US"/>
        </w:rPr>
        <w:t>further</w:t>
      </w:r>
      <w:r w:rsidRPr="005B6DE9">
        <w:rPr>
          <w:rFonts w:ascii="Calibri" w:hAnsi="Calibri"/>
          <w:sz w:val="24"/>
          <w:szCs w:val="24"/>
          <w:lang w:val="en-GB"/>
        </w:rPr>
        <w:t xml:space="preserve"> develop </w:t>
      </w:r>
      <w:r w:rsidRPr="005B6DE9">
        <w:rPr>
          <w:rFonts w:ascii="Calibri" w:hAnsi="Calibri"/>
          <w:sz w:val="24"/>
          <w:szCs w:val="24"/>
          <w:lang w:val="en-US"/>
        </w:rPr>
        <w:t>the draft ECC report</w:t>
      </w:r>
      <w:r w:rsidRPr="005B6DE9">
        <w:rPr>
          <w:rFonts w:ascii="Calibri" w:hAnsi="Calibri"/>
          <w:sz w:val="24"/>
          <w:szCs w:val="24"/>
          <w:lang w:val="en-GB"/>
        </w:rPr>
        <w:t>.</w:t>
      </w:r>
    </w:p>
    <w:p w:rsidR="007473E7" w:rsidRDefault="007473E7" w:rsidP="002D1F6A">
      <w:pPr>
        <w:spacing w:after="0"/>
        <w:rPr>
          <w:rFonts w:ascii="Calibri" w:hAnsi="Calibri"/>
          <w:sz w:val="24"/>
          <w:szCs w:val="24"/>
          <w:lang w:val="en-GB"/>
        </w:rPr>
      </w:pPr>
    </w:p>
    <w:p w:rsidR="006B4F2E" w:rsidRPr="005B6DE9" w:rsidRDefault="006B4F2E" w:rsidP="002D1F6A">
      <w:pPr>
        <w:spacing w:after="0"/>
        <w:rPr>
          <w:rFonts w:ascii="Calibri" w:hAnsi="Calibri"/>
          <w:sz w:val="24"/>
          <w:szCs w:val="24"/>
          <w:lang w:val="en-GB"/>
        </w:rPr>
      </w:pPr>
    </w:p>
    <w:p w:rsidR="00DD1AB1" w:rsidRPr="005B6DE9" w:rsidRDefault="00BD6006" w:rsidP="00A46169">
      <w:pPr>
        <w:spacing w:after="0"/>
        <w:rPr>
          <w:rFonts w:ascii="Calibri" w:hAnsi="Calibri"/>
          <w:b/>
          <w:sz w:val="28"/>
          <w:szCs w:val="28"/>
          <w:lang w:val="en-GB"/>
        </w:rPr>
      </w:pPr>
      <w:r>
        <w:rPr>
          <w:rFonts w:ascii="Calibri" w:hAnsi="Calibri"/>
          <w:b/>
          <w:sz w:val="28"/>
          <w:szCs w:val="28"/>
          <w:lang w:val="en-GB"/>
        </w:rPr>
        <w:t>4</w:t>
      </w:r>
      <w:r w:rsidR="00630F70" w:rsidRPr="005B6DE9">
        <w:rPr>
          <w:rFonts w:ascii="Calibri" w:hAnsi="Calibri"/>
          <w:b/>
          <w:sz w:val="28"/>
          <w:szCs w:val="28"/>
          <w:lang w:val="en-GB"/>
        </w:rPr>
        <w:t xml:space="preserve">. </w:t>
      </w:r>
      <w:r w:rsidR="001A6CD7">
        <w:rPr>
          <w:rFonts w:ascii="Calibri" w:hAnsi="Calibri"/>
          <w:b/>
          <w:sz w:val="28"/>
          <w:szCs w:val="28"/>
          <w:lang w:val="en-GB"/>
        </w:rPr>
        <w:t>Other related a</w:t>
      </w:r>
      <w:r w:rsidR="00A46169" w:rsidRPr="005B6DE9">
        <w:rPr>
          <w:rFonts w:ascii="Calibri" w:hAnsi="Calibri"/>
          <w:b/>
          <w:sz w:val="28"/>
          <w:szCs w:val="28"/>
          <w:lang w:val="en-GB"/>
        </w:rPr>
        <w:t xml:space="preserve">ctivities in </w:t>
      </w:r>
      <w:r w:rsidR="008816E0">
        <w:rPr>
          <w:rFonts w:ascii="Calibri" w:hAnsi="Calibri"/>
          <w:b/>
          <w:sz w:val="28"/>
          <w:szCs w:val="28"/>
          <w:lang w:val="en-GB"/>
        </w:rPr>
        <w:t>the</w:t>
      </w:r>
      <w:r w:rsidR="007473E7">
        <w:rPr>
          <w:rFonts w:ascii="Calibri" w:hAnsi="Calibri"/>
          <w:b/>
          <w:sz w:val="28"/>
          <w:szCs w:val="28"/>
          <w:lang w:val="en-GB"/>
        </w:rPr>
        <w:t xml:space="preserve"> EU</w:t>
      </w:r>
    </w:p>
    <w:p w:rsidR="00630F70" w:rsidRPr="005B6DE9" w:rsidRDefault="00630F70" w:rsidP="00DE5E01">
      <w:pPr>
        <w:rPr>
          <w:rFonts w:ascii="Calibri" w:hAnsi="Calibri"/>
          <w:sz w:val="24"/>
          <w:szCs w:val="24"/>
          <w:lang w:val="en-GB"/>
        </w:rPr>
      </w:pPr>
    </w:p>
    <w:p w:rsidR="00B86AE3" w:rsidRPr="007473E7" w:rsidRDefault="007473E7" w:rsidP="007473E7">
      <w:pPr>
        <w:spacing w:after="0"/>
        <w:rPr>
          <w:rFonts w:ascii="Calibri" w:hAnsi="Calibri"/>
          <w:bCs/>
          <w:sz w:val="24"/>
          <w:szCs w:val="24"/>
          <w:lang w:val="en-GB"/>
        </w:rPr>
      </w:pPr>
      <w:r>
        <w:rPr>
          <w:rFonts w:ascii="Calibri" w:hAnsi="Calibri"/>
          <w:sz w:val="24"/>
          <w:szCs w:val="24"/>
          <w:lang w:val="en-GB"/>
        </w:rPr>
        <w:t xml:space="preserve">In the course of the last TG6 meetings, the activities ongoing in EU related to the TG6 tasks were noted. In particular, special attention was given to the </w:t>
      </w:r>
      <w:r w:rsidR="00B86AE3" w:rsidRPr="00B86AE3">
        <w:rPr>
          <w:rFonts w:ascii="Calibri" w:hAnsi="Calibri"/>
          <w:sz w:val="24"/>
          <w:szCs w:val="24"/>
          <w:lang w:val="en-GB"/>
        </w:rPr>
        <w:t>mandate of the High Level Group (HLG) on the future use of the UHF band (470-790 MHz)</w:t>
      </w:r>
      <w:r>
        <w:rPr>
          <w:rFonts w:ascii="Calibri" w:hAnsi="Calibri"/>
          <w:sz w:val="24"/>
          <w:szCs w:val="24"/>
          <w:lang w:val="en-GB"/>
        </w:rPr>
        <w:t xml:space="preserve"> and to the </w:t>
      </w:r>
      <w:r w:rsidR="00B86AE3" w:rsidRPr="00B86AE3">
        <w:rPr>
          <w:rFonts w:ascii="Calibri" w:hAnsi="Calibri"/>
          <w:bCs/>
          <w:sz w:val="24"/>
          <w:szCs w:val="24"/>
          <w:lang w:val="en-GB"/>
        </w:rPr>
        <w:t xml:space="preserve">study on </w:t>
      </w:r>
      <w:r>
        <w:rPr>
          <w:rFonts w:ascii="Calibri" w:hAnsi="Calibri"/>
          <w:bCs/>
          <w:sz w:val="24"/>
          <w:szCs w:val="24"/>
          <w:lang w:val="en-GB"/>
        </w:rPr>
        <w:t>“</w:t>
      </w:r>
      <w:r w:rsidR="00B86AE3" w:rsidRPr="00B86AE3">
        <w:rPr>
          <w:rFonts w:ascii="Calibri" w:hAnsi="Calibri"/>
          <w:bCs/>
          <w:sz w:val="24"/>
          <w:szCs w:val="24"/>
          <w:lang w:val="en-GB"/>
        </w:rPr>
        <w:t>challenges and opportunities of broadcast-broadband convergence and its impact on spectrum and network use</w:t>
      </w:r>
      <w:r>
        <w:rPr>
          <w:rFonts w:ascii="Calibri" w:hAnsi="Calibri"/>
          <w:bCs/>
          <w:sz w:val="24"/>
          <w:szCs w:val="24"/>
          <w:lang w:val="en-GB"/>
        </w:rPr>
        <w:t>”. In the 3</w:t>
      </w:r>
      <w:r w:rsidRPr="007473E7">
        <w:rPr>
          <w:rFonts w:ascii="Calibri" w:hAnsi="Calibri"/>
          <w:bCs/>
          <w:sz w:val="24"/>
          <w:szCs w:val="24"/>
          <w:vertAlign w:val="superscript"/>
          <w:lang w:val="en-GB"/>
        </w:rPr>
        <w:t>rd</w:t>
      </w:r>
      <w:r>
        <w:rPr>
          <w:rFonts w:ascii="Calibri" w:hAnsi="Calibri"/>
          <w:bCs/>
          <w:sz w:val="24"/>
          <w:szCs w:val="24"/>
          <w:lang w:val="en-GB"/>
        </w:rPr>
        <w:t xml:space="preserve"> </w:t>
      </w:r>
      <w:r w:rsidR="008F6401">
        <w:rPr>
          <w:rFonts w:ascii="Calibri" w:hAnsi="Calibri"/>
          <w:bCs/>
          <w:sz w:val="24"/>
          <w:szCs w:val="24"/>
          <w:lang w:val="en-GB"/>
        </w:rPr>
        <w:t xml:space="preserve">TG6 </w:t>
      </w:r>
      <w:r>
        <w:rPr>
          <w:rFonts w:ascii="Calibri" w:hAnsi="Calibri"/>
          <w:bCs/>
          <w:sz w:val="24"/>
          <w:szCs w:val="24"/>
          <w:lang w:val="en-GB"/>
        </w:rPr>
        <w:t xml:space="preserve">meeting it was also </w:t>
      </w:r>
      <w:r w:rsidR="00BF6709">
        <w:rPr>
          <w:rFonts w:ascii="Calibri" w:hAnsi="Calibri"/>
          <w:bCs/>
          <w:sz w:val="24"/>
          <w:szCs w:val="24"/>
          <w:lang w:val="en-GB"/>
        </w:rPr>
        <w:t>noted</w:t>
      </w:r>
      <w:r>
        <w:rPr>
          <w:rFonts w:ascii="Calibri" w:hAnsi="Calibri"/>
          <w:bCs/>
          <w:sz w:val="24"/>
          <w:szCs w:val="24"/>
          <w:lang w:val="en-GB"/>
        </w:rPr>
        <w:t xml:space="preserve"> that </w:t>
      </w:r>
      <w:r w:rsidR="00B86AE3" w:rsidRPr="006E3140">
        <w:rPr>
          <w:rFonts w:ascii="Calibri" w:hAnsi="Calibri"/>
          <w:bCs/>
          <w:sz w:val="24"/>
          <w:szCs w:val="24"/>
          <w:lang w:val="en-GB"/>
        </w:rPr>
        <w:t xml:space="preserve">the RSPG work programme </w:t>
      </w:r>
      <w:r w:rsidRPr="006E3140">
        <w:rPr>
          <w:rFonts w:ascii="Calibri" w:hAnsi="Calibri"/>
          <w:bCs/>
          <w:sz w:val="24"/>
          <w:szCs w:val="24"/>
          <w:lang w:val="en-GB"/>
        </w:rPr>
        <w:t xml:space="preserve">addressed therein the </w:t>
      </w:r>
      <w:r w:rsidR="006E3140" w:rsidRPr="006E3140">
        <w:rPr>
          <w:rFonts w:ascii="Calibri" w:hAnsi="Calibri"/>
          <w:bCs/>
          <w:sz w:val="24"/>
          <w:szCs w:val="24"/>
          <w:lang w:val="en-GB"/>
        </w:rPr>
        <w:t>“long term strategy on the future use of</w:t>
      </w:r>
      <w:r w:rsidRPr="006E3140">
        <w:rPr>
          <w:rFonts w:ascii="Calibri" w:hAnsi="Calibri"/>
          <w:bCs/>
          <w:sz w:val="24"/>
          <w:szCs w:val="24"/>
          <w:lang w:val="en-GB"/>
        </w:rPr>
        <w:t xml:space="preserve"> the UHF band</w:t>
      </w:r>
      <w:r w:rsidR="006E3140" w:rsidRPr="006E3140">
        <w:rPr>
          <w:rFonts w:ascii="Calibri" w:hAnsi="Calibri"/>
          <w:bCs/>
          <w:sz w:val="24"/>
          <w:szCs w:val="24"/>
          <w:lang w:val="en-GB"/>
        </w:rPr>
        <w:t xml:space="preserve"> (470-790 MHz)</w:t>
      </w:r>
      <w:r w:rsidR="004971B6">
        <w:rPr>
          <w:rFonts w:ascii="Calibri" w:hAnsi="Calibri"/>
          <w:bCs/>
          <w:sz w:val="24"/>
          <w:szCs w:val="24"/>
          <w:lang w:val="en-GB"/>
        </w:rPr>
        <w:t xml:space="preserve"> </w:t>
      </w:r>
      <w:r w:rsidR="006E3140" w:rsidRPr="006E3140">
        <w:rPr>
          <w:rFonts w:ascii="Calibri" w:hAnsi="Calibri"/>
          <w:bCs/>
          <w:sz w:val="24"/>
          <w:szCs w:val="24"/>
          <w:lang w:val="en-GB"/>
        </w:rPr>
        <w:t>in the EU”</w:t>
      </w:r>
      <w:r w:rsidRPr="006E3140">
        <w:rPr>
          <w:rFonts w:ascii="Calibri" w:hAnsi="Calibri"/>
          <w:bCs/>
          <w:sz w:val="24"/>
          <w:szCs w:val="24"/>
          <w:lang w:val="en-GB"/>
        </w:rPr>
        <w:t>.</w:t>
      </w:r>
    </w:p>
    <w:p w:rsidR="00B86AE3" w:rsidRPr="005B6DE9" w:rsidRDefault="00B86AE3" w:rsidP="00DE5E01">
      <w:pPr>
        <w:rPr>
          <w:rFonts w:ascii="Calibri" w:hAnsi="Calibri"/>
          <w:sz w:val="24"/>
          <w:szCs w:val="24"/>
          <w:lang w:val="en-GB"/>
        </w:rPr>
      </w:pPr>
    </w:p>
    <w:p w:rsidR="00B86AE3" w:rsidRDefault="004D3487" w:rsidP="002D1F6A">
      <w:pPr>
        <w:spacing w:after="0"/>
        <w:rPr>
          <w:rFonts w:ascii="Calibri" w:hAnsi="Calibri"/>
          <w:bCs/>
          <w:sz w:val="24"/>
          <w:szCs w:val="24"/>
          <w:lang w:val="en-GB"/>
        </w:rPr>
      </w:pPr>
      <w:r>
        <w:rPr>
          <w:rFonts w:ascii="Calibri" w:hAnsi="Calibri"/>
          <w:sz w:val="24"/>
          <w:szCs w:val="24"/>
          <w:lang w:val="en-GB"/>
        </w:rPr>
        <w:t xml:space="preserve">The TG6 participants </w:t>
      </w:r>
      <w:r w:rsidR="002D1F6A" w:rsidRPr="005B6DE9">
        <w:rPr>
          <w:rFonts w:ascii="Calibri" w:hAnsi="Calibri"/>
          <w:bCs/>
          <w:sz w:val="24"/>
          <w:szCs w:val="24"/>
          <w:lang w:val="en-GB"/>
        </w:rPr>
        <w:t>requested clarification on how the coordination of the activities sponsored by the Commission with the ones ongoing in CEPT, namely in TG6 will be handled. It was pointed out that an</w:t>
      </w:r>
      <w:r>
        <w:rPr>
          <w:rFonts w:ascii="Calibri" w:hAnsi="Calibri"/>
          <w:bCs/>
          <w:sz w:val="24"/>
          <w:szCs w:val="24"/>
          <w:lang w:val="en-GB"/>
        </w:rPr>
        <w:t xml:space="preserve"> overlap of activities with TG6 needs to be avoided and that </w:t>
      </w:r>
      <w:r>
        <w:rPr>
          <w:rFonts w:ascii="Calibri" w:hAnsi="Calibri"/>
          <w:sz w:val="24"/>
          <w:szCs w:val="24"/>
          <w:lang w:val="en-GB"/>
        </w:rPr>
        <w:t>it would be desirable that the tasks under development in TG6 could take advantage of the work ongoing in the</w:t>
      </w:r>
      <w:r w:rsidR="00873BA2">
        <w:rPr>
          <w:rFonts w:ascii="Calibri" w:hAnsi="Calibri"/>
          <w:sz w:val="24"/>
          <w:szCs w:val="24"/>
          <w:lang w:val="en-GB"/>
        </w:rPr>
        <w:t xml:space="preserve"> EU</w:t>
      </w:r>
      <w:r>
        <w:rPr>
          <w:rFonts w:ascii="Calibri" w:hAnsi="Calibri"/>
          <w:sz w:val="24"/>
          <w:szCs w:val="24"/>
          <w:lang w:val="en-GB"/>
        </w:rPr>
        <w:t>. Overall, m</w:t>
      </w:r>
      <w:r w:rsidRPr="00B86AE3">
        <w:rPr>
          <w:rFonts w:ascii="Calibri" w:hAnsi="Calibri"/>
          <w:sz w:val="24"/>
          <w:szCs w:val="24"/>
          <w:lang w:val="en-GB"/>
        </w:rPr>
        <w:t xml:space="preserve">ore </w:t>
      </w:r>
      <w:r w:rsidR="00F8022D">
        <w:rPr>
          <w:rFonts w:ascii="Calibri" w:hAnsi="Calibri"/>
          <w:sz w:val="24"/>
          <w:szCs w:val="24"/>
          <w:lang w:val="en-GB"/>
        </w:rPr>
        <w:t xml:space="preserve">detailed exchange of </w:t>
      </w:r>
      <w:r w:rsidRPr="00B86AE3">
        <w:rPr>
          <w:rFonts w:ascii="Calibri" w:hAnsi="Calibri"/>
          <w:sz w:val="24"/>
          <w:szCs w:val="24"/>
          <w:lang w:val="en-GB"/>
        </w:rPr>
        <w:t>information on these activities is welcomed</w:t>
      </w:r>
      <w:r w:rsidR="00F8022D">
        <w:rPr>
          <w:rFonts w:ascii="Calibri" w:hAnsi="Calibri"/>
          <w:sz w:val="24"/>
          <w:szCs w:val="24"/>
          <w:lang w:val="en-GB"/>
        </w:rPr>
        <w:t xml:space="preserve"> in</w:t>
      </w:r>
      <w:r>
        <w:rPr>
          <w:rFonts w:ascii="Calibri" w:hAnsi="Calibri"/>
          <w:sz w:val="24"/>
          <w:szCs w:val="24"/>
          <w:lang w:val="en-GB"/>
        </w:rPr>
        <w:t xml:space="preserve"> </w:t>
      </w:r>
      <w:r w:rsidRPr="00B86AE3">
        <w:rPr>
          <w:rFonts w:ascii="Calibri" w:hAnsi="Calibri"/>
          <w:sz w:val="24"/>
          <w:szCs w:val="24"/>
          <w:lang w:val="en-GB"/>
        </w:rPr>
        <w:t>TG6</w:t>
      </w:r>
      <w:r>
        <w:rPr>
          <w:rFonts w:ascii="Calibri" w:hAnsi="Calibri"/>
          <w:sz w:val="24"/>
          <w:szCs w:val="24"/>
          <w:lang w:val="en-GB"/>
        </w:rPr>
        <w:t xml:space="preserve">. </w:t>
      </w:r>
    </w:p>
    <w:p w:rsidR="00B86AE3" w:rsidRPr="005B6DE9" w:rsidRDefault="00B86AE3" w:rsidP="002D1F6A">
      <w:pPr>
        <w:spacing w:after="0"/>
        <w:rPr>
          <w:rFonts w:ascii="Calibri" w:hAnsi="Calibri"/>
          <w:bCs/>
          <w:sz w:val="24"/>
          <w:szCs w:val="24"/>
          <w:lang w:val="en-GB"/>
        </w:rPr>
      </w:pPr>
    </w:p>
    <w:p w:rsidR="002D1F6A" w:rsidRPr="00FC7E45" w:rsidRDefault="00B86AE3" w:rsidP="00FC7E45">
      <w:pPr>
        <w:pBdr>
          <w:top w:val="single" w:sz="4" w:space="1" w:color="auto"/>
          <w:left w:val="single" w:sz="4" w:space="4" w:color="auto"/>
          <w:bottom w:val="single" w:sz="4" w:space="1" w:color="auto"/>
          <w:right w:val="single" w:sz="4" w:space="4" w:color="auto"/>
        </w:pBdr>
        <w:spacing w:after="0"/>
        <w:rPr>
          <w:rFonts w:ascii="Calibri" w:hAnsi="Calibri"/>
          <w:b/>
          <w:bCs/>
          <w:sz w:val="24"/>
          <w:szCs w:val="24"/>
          <w:lang w:val="en-GB"/>
        </w:rPr>
      </w:pPr>
      <w:r w:rsidRPr="00FC7E45">
        <w:rPr>
          <w:rFonts w:ascii="Calibri" w:hAnsi="Calibri"/>
          <w:b/>
          <w:bCs/>
          <w:sz w:val="24"/>
          <w:szCs w:val="24"/>
          <w:lang w:val="en-GB"/>
        </w:rPr>
        <w:t>ECC is invited to give</w:t>
      </w:r>
      <w:r w:rsidR="001F56A8">
        <w:rPr>
          <w:rFonts w:ascii="Calibri" w:hAnsi="Calibri"/>
          <w:b/>
          <w:bCs/>
          <w:sz w:val="24"/>
          <w:szCs w:val="24"/>
          <w:lang w:val="en-GB"/>
        </w:rPr>
        <w:t xml:space="preserve"> guidance </w:t>
      </w:r>
      <w:r w:rsidR="00E75E46">
        <w:rPr>
          <w:rFonts w:ascii="Calibri" w:hAnsi="Calibri"/>
          <w:b/>
          <w:bCs/>
          <w:sz w:val="24"/>
          <w:szCs w:val="24"/>
          <w:lang w:val="en-GB"/>
        </w:rPr>
        <w:t xml:space="preserve">as appropriate </w:t>
      </w:r>
      <w:r w:rsidR="001F56A8">
        <w:rPr>
          <w:rFonts w:ascii="Calibri" w:hAnsi="Calibri"/>
          <w:b/>
          <w:bCs/>
          <w:sz w:val="24"/>
          <w:szCs w:val="24"/>
          <w:lang w:val="en-GB"/>
        </w:rPr>
        <w:t>to TG6 on the</w:t>
      </w:r>
      <w:r w:rsidR="00E918A9">
        <w:rPr>
          <w:rFonts w:ascii="Calibri" w:hAnsi="Calibri"/>
          <w:b/>
          <w:bCs/>
          <w:sz w:val="24"/>
          <w:szCs w:val="24"/>
          <w:lang w:val="en-GB"/>
        </w:rPr>
        <w:t xml:space="preserve"> above </w:t>
      </w:r>
      <w:r w:rsidRPr="00FC7E45">
        <w:rPr>
          <w:rFonts w:ascii="Calibri" w:hAnsi="Calibri"/>
          <w:b/>
          <w:bCs/>
          <w:sz w:val="24"/>
          <w:szCs w:val="24"/>
          <w:lang w:val="en-GB"/>
        </w:rPr>
        <w:t>issues</w:t>
      </w:r>
      <w:r w:rsidR="002D1F6A" w:rsidRPr="00FC7E45">
        <w:rPr>
          <w:rFonts w:ascii="Calibri" w:hAnsi="Calibri"/>
          <w:b/>
          <w:sz w:val="24"/>
          <w:szCs w:val="24"/>
          <w:lang w:val="en-GB"/>
        </w:rPr>
        <w:t>.</w:t>
      </w:r>
    </w:p>
    <w:p w:rsidR="00FC7E45" w:rsidRPr="005B6DE9" w:rsidRDefault="00FC7E45" w:rsidP="00DE5E01">
      <w:pPr>
        <w:rPr>
          <w:rFonts w:ascii="Calibri" w:hAnsi="Calibri"/>
          <w:sz w:val="24"/>
          <w:szCs w:val="24"/>
          <w:lang w:val="en-GB"/>
        </w:rPr>
      </w:pPr>
    </w:p>
    <w:p w:rsidR="002D1F6A" w:rsidRPr="005B6DE9" w:rsidRDefault="00F8022D" w:rsidP="002D1F6A">
      <w:pPr>
        <w:spacing w:after="0"/>
        <w:rPr>
          <w:rFonts w:ascii="Calibri" w:hAnsi="Calibri"/>
          <w:b/>
          <w:sz w:val="28"/>
          <w:szCs w:val="28"/>
          <w:lang w:val="en-GB"/>
        </w:rPr>
      </w:pPr>
      <w:r>
        <w:rPr>
          <w:rFonts w:ascii="Calibri" w:hAnsi="Calibri"/>
          <w:b/>
          <w:sz w:val="28"/>
          <w:szCs w:val="28"/>
          <w:lang w:val="en-GB"/>
        </w:rPr>
        <w:t>5</w:t>
      </w:r>
      <w:r w:rsidR="002D1F6A" w:rsidRPr="005B6DE9">
        <w:rPr>
          <w:rFonts w:ascii="Calibri" w:hAnsi="Calibri"/>
          <w:b/>
          <w:sz w:val="28"/>
          <w:szCs w:val="28"/>
          <w:lang w:val="en-GB"/>
        </w:rPr>
        <w:t>. Data and venue of the next meeting(s)</w:t>
      </w:r>
    </w:p>
    <w:p w:rsidR="002D1F6A" w:rsidRPr="005B6DE9" w:rsidRDefault="002D1F6A" w:rsidP="002D1F6A">
      <w:pPr>
        <w:spacing w:after="0"/>
        <w:rPr>
          <w:rFonts w:ascii="Calibri" w:hAnsi="Calibri"/>
          <w:sz w:val="24"/>
          <w:szCs w:val="24"/>
          <w:lang w:val="en-GB"/>
        </w:rPr>
      </w:pPr>
    </w:p>
    <w:p w:rsidR="002D1F6A" w:rsidRPr="005B6DE9" w:rsidRDefault="002D1F6A" w:rsidP="002D1F6A">
      <w:pPr>
        <w:spacing w:after="0"/>
        <w:rPr>
          <w:rFonts w:ascii="Calibri" w:hAnsi="Calibri"/>
          <w:sz w:val="24"/>
          <w:szCs w:val="24"/>
          <w:lang w:val="en-GB"/>
        </w:rPr>
      </w:pPr>
      <w:r w:rsidRPr="005B6DE9">
        <w:rPr>
          <w:rFonts w:ascii="Calibri" w:hAnsi="Calibri"/>
          <w:sz w:val="24"/>
          <w:szCs w:val="24"/>
          <w:lang w:val="en-GB"/>
        </w:rPr>
        <w:t>The next meetings of TG6 are scheduled as follows:</w:t>
      </w:r>
    </w:p>
    <w:p w:rsidR="002D1F6A" w:rsidRPr="005B6DE9" w:rsidRDefault="002D1F6A" w:rsidP="002D1F6A">
      <w:pPr>
        <w:numPr>
          <w:ilvl w:val="0"/>
          <w:numId w:val="18"/>
        </w:numPr>
        <w:spacing w:after="0"/>
        <w:rPr>
          <w:rFonts w:ascii="Calibri" w:hAnsi="Calibri"/>
          <w:sz w:val="24"/>
          <w:szCs w:val="24"/>
          <w:lang w:val="en-GB"/>
        </w:rPr>
      </w:pPr>
      <w:r w:rsidRPr="005B6DE9">
        <w:rPr>
          <w:rFonts w:ascii="Calibri" w:hAnsi="Calibri"/>
          <w:sz w:val="24"/>
          <w:szCs w:val="24"/>
          <w:lang w:val="en-GB"/>
        </w:rPr>
        <w:t xml:space="preserve">ECC TG6 - M4: </w:t>
      </w:r>
      <w:r w:rsidRPr="005B6DE9">
        <w:rPr>
          <w:rFonts w:ascii="Calibri" w:hAnsi="Calibri"/>
          <w:b/>
          <w:sz w:val="24"/>
          <w:szCs w:val="24"/>
          <w:lang w:val="en-GB"/>
        </w:rPr>
        <w:t>02 - 04 April 2014, ECO, Copenhagen,</w:t>
      </w:r>
    </w:p>
    <w:p w:rsidR="002D1F6A" w:rsidRPr="005B6DE9" w:rsidRDefault="002D1F6A" w:rsidP="005B6DE9">
      <w:pPr>
        <w:numPr>
          <w:ilvl w:val="0"/>
          <w:numId w:val="18"/>
        </w:numPr>
        <w:spacing w:after="0"/>
        <w:rPr>
          <w:rFonts w:ascii="Calibri" w:hAnsi="Calibri"/>
          <w:lang w:val="en-GB"/>
        </w:rPr>
      </w:pPr>
      <w:r w:rsidRPr="005B6DE9">
        <w:rPr>
          <w:rFonts w:ascii="Calibri" w:hAnsi="Calibri"/>
          <w:sz w:val="24"/>
          <w:szCs w:val="24"/>
          <w:lang w:val="en-GB"/>
        </w:rPr>
        <w:t xml:space="preserve">ECC TG6 - M5: </w:t>
      </w:r>
      <w:r w:rsidRPr="005B6DE9">
        <w:rPr>
          <w:rFonts w:ascii="Calibri" w:hAnsi="Calibri"/>
          <w:b/>
          <w:sz w:val="24"/>
          <w:szCs w:val="24"/>
          <w:lang w:val="en-GB"/>
        </w:rPr>
        <w:t>13 -15 May 2014 [</w:t>
      </w:r>
      <w:proofErr w:type="spellStart"/>
      <w:r w:rsidRPr="005B6DE9">
        <w:rPr>
          <w:rFonts w:ascii="Calibri" w:hAnsi="Calibri"/>
          <w:b/>
          <w:sz w:val="24"/>
          <w:szCs w:val="24"/>
          <w:lang w:val="en-GB"/>
        </w:rPr>
        <w:t>tbd</w:t>
      </w:r>
      <w:proofErr w:type="spellEnd"/>
      <w:r w:rsidRPr="005B6DE9">
        <w:rPr>
          <w:rFonts w:ascii="Calibri" w:hAnsi="Calibri"/>
          <w:b/>
          <w:sz w:val="24"/>
          <w:szCs w:val="24"/>
          <w:lang w:val="en-GB"/>
        </w:rPr>
        <w:t>]</w:t>
      </w:r>
    </w:p>
    <w:p w:rsidR="002D1F6A" w:rsidRPr="005B6DE9" w:rsidRDefault="002D1F6A" w:rsidP="009E301F">
      <w:pPr>
        <w:spacing w:after="0"/>
        <w:rPr>
          <w:rFonts w:ascii="Calibri" w:hAnsi="Calibri"/>
          <w:sz w:val="24"/>
          <w:szCs w:val="24"/>
          <w:lang w:val="en-GB"/>
        </w:rPr>
      </w:pPr>
      <w:r w:rsidRPr="005B6DE9">
        <w:rPr>
          <w:rFonts w:ascii="Calibri" w:hAnsi="Calibri"/>
          <w:lang w:val="en-GB"/>
        </w:rPr>
        <w:br w:type="page"/>
      </w:r>
      <w:r w:rsidRPr="005B6DE9">
        <w:rPr>
          <w:rFonts w:ascii="Calibri" w:hAnsi="Calibri"/>
          <w:b/>
          <w:sz w:val="24"/>
          <w:szCs w:val="24"/>
          <w:lang w:val="en-GB"/>
        </w:rPr>
        <w:lastRenderedPageBreak/>
        <w:t xml:space="preserve">Annex </w:t>
      </w:r>
      <w:r w:rsidR="00377B45">
        <w:rPr>
          <w:rFonts w:ascii="Calibri" w:hAnsi="Calibri"/>
          <w:b/>
          <w:sz w:val="24"/>
          <w:szCs w:val="24"/>
          <w:lang w:val="en-GB"/>
        </w:rPr>
        <w:t>1</w:t>
      </w:r>
      <w:r w:rsidRPr="005B6DE9">
        <w:rPr>
          <w:rFonts w:ascii="Calibri" w:hAnsi="Calibri"/>
          <w:sz w:val="24"/>
          <w:szCs w:val="24"/>
          <w:lang w:val="en-GB"/>
        </w:rPr>
        <w:t>:</w:t>
      </w:r>
      <w:r w:rsidRPr="005B6DE9">
        <w:rPr>
          <w:rFonts w:ascii="Calibri" w:hAnsi="Calibri"/>
          <w:sz w:val="24"/>
          <w:szCs w:val="24"/>
          <w:lang w:val="en-GB"/>
        </w:rPr>
        <w:tab/>
        <w:t>Working document towards ECC Report on Long Term Vision for the UHF broadcasting band</w:t>
      </w:r>
    </w:p>
    <w:p w:rsidR="002D1F6A" w:rsidRPr="005B6DE9" w:rsidRDefault="002D1F6A" w:rsidP="00DE5E01">
      <w:pPr>
        <w:rPr>
          <w:rFonts w:ascii="Calibri" w:hAnsi="Calibri"/>
          <w:lang w:val="en-GB"/>
        </w:rPr>
      </w:pPr>
    </w:p>
    <w:p w:rsidR="00DD1AB1" w:rsidRPr="00DE5E01" w:rsidRDefault="00DD1AB1" w:rsidP="00DE5E01">
      <w:pPr>
        <w:rPr>
          <w:lang w:val="en-GB"/>
        </w:rPr>
      </w:pPr>
    </w:p>
    <w:sectPr w:rsidR="00DD1AB1" w:rsidRPr="00DE5E01" w:rsidSect="008F677F">
      <w:footerReference w:type="even" r:id="rId11"/>
      <w:footerReference w:type="default" r:id="rId12"/>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72" w:rsidRDefault="003E2B72">
      <w:r>
        <w:separator/>
      </w:r>
    </w:p>
  </w:endnote>
  <w:endnote w:type="continuationSeparator" w:id="0">
    <w:p w:rsidR="003E2B72" w:rsidRDefault="003E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7B0E50">
    <w:pPr>
      <w:framePr w:wrap="around" w:vAnchor="text" w:hAnchor="margin" w:xAlign="center" w:y="1"/>
      <w:rPr>
        <w:rStyle w:val="Numrodepage"/>
      </w:rPr>
    </w:pPr>
    <w:r>
      <w:rPr>
        <w:rStyle w:val="Numrodepage"/>
      </w:rPr>
      <w:fldChar w:fldCharType="begin"/>
    </w:r>
    <w:r w:rsidR="005269EA">
      <w:rPr>
        <w:rStyle w:val="Numrodepage"/>
      </w:rPr>
      <w:instrText xml:space="preserve">PAGE  </w:instrText>
    </w:r>
    <w:r>
      <w:rPr>
        <w:rStyle w:val="Numrodepage"/>
      </w:rPr>
      <w:fldChar w:fldCharType="end"/>
    </w:r>
  </w:p>
  <w:p w:rsidR="005269EA" w:rsidRDefault="00526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7B0E50">
    <w:pPr>
      <w:framePr w:wrap="around" w:vAnchor="text" w:hAnchor="margin" w:xAlign="center" w:y="1"/>
      <w:rPr>
        <w:rStyle w:val="Numrodepage"/>
        <w:sz w:val="20"/>
      </w:rPr>
    </w:pPr>
    <w:r>
      <w:rPr>
        <w:rStyle w:val="Numrodepage"/>
        <w:sz w:val="20"/>
      </w:rPr>
      <w:fldChar w:fldCharType="begin"/>
    </w:r>
    <w:r w:rsidR="005269EA">
      <w:rPr>
        <w:rStyle w:val="Numrodepage"/>
        <w:sz w:val="20"/>
      </w:rPr>
      <w:instrText xml:space="preserve">PAGE  </w:instrText>
    </w:r>
    <w:r>
      <w:rPr>
        <w:rStyle w:val="Numrodepage"/>
        <w:sz w:val="20"/>
      </w:rPr>
      <w:fldChar w:fldCharType="separate"/>
    </w:r>
    <w:r w:rsidR="0045263C">
      <w:rPr>
        <w:rStyle w:val="Numrodepage"/>
        <w:noProof/>
        <w:sz w:val="20"/>
      </w:rPr>
      <w:t>6</w:t>
    </w:r>
    <w:r>
      <w:rPr>
        <w:rStyle w:val="Numrodepage"/>
        <w:sz w:val="20"/>
      </w:rPr>
      <w:fldChar w:fldCharType="end"/>
    </w:r>
  </w:p>
  <w:p w:rsidR="005269EA" w:rsidRDefault="00526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72" w:rsidRDefault="003E2B72">
      <w:r>
        <w:separator/>
      </w:r>
    </w:p>
  </w:footnote>
  <w:footnote w:type="continuationSeparator" w:id="0">
    <w:p w:rsidR="003E2B72" w:rsidRDefault="003E2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C7D"/>
    <w:multiLevelType w:val="hybridMultilevel"/>
    <w:tmpl w:val="45203A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4">
    <w:nsid w:val="344B7060"/>
    <w:multiLevelType w:val="hybridMultilevel"/>
    <w:tmpl w:val="E9AC2D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7">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8">
    <w:nsid w:val="4B973385"/>
    <w:multiLevelType w:val="hybridMultilevel"/>
    <w:tmpl w:val="421239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4E99104F"/>
    <w:multiLevelType w:val="hybridMultilevel"/>
    <w:tmpl w:val="C97887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50546245"/>
    <w:multiLevelType w:val="hybridMultilevel"/>
    <w:tmpl w:val="8E4690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5">
    <w:nsid w:val="728529A2"/>
    <w:multiLevelType w:val="hybridMultilevel"/>
    <w:tmpl w:val="8B74549E"/>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4"/>
  </w:num>
  <w:num w:numId="4">
    <w:abstractNumId w:val="14"/>
  </w:num>
  <w:num w:numId="5">
    <w:abstractNumId w:val="14"/>
  </w:num>
  <w:num w:numId="6">
    <w:abstractNumId w:val="13"/>
  </w:num>
  <w:num w:numId="7">
    <w:abstractNumId w:val="14"/>
  </w:num>
  <w:num w:numId="8">
    <w:abstractNumId w:val="14"/>
  </w:num>
  <w:num w:numId="9">
    <w:abstractNumId w:val="3"/>
  </w:num>
  <w:num w:numId="10">
    <w:abstractNumId w:val="7"/>
  </w:num>
  <w:num w:numId="11">
    <w:abstractNumId w:val="6"/>
  </w:num>
  <w:num w:numId="12">
    <w:abstractNumId w:val="11"/>
  </w:num>
  <w:num w:numId="13">
    <w:abstractNumId w:val="5"/>
  </w:num>
  <w:num w:numId="14">
    <w:abstractNumId w:val="2"/>
  </w:num>
  <w:num w:numId="15">
    <w:abstractNumId w:val="10"/>
  </w:num>
  <w:num w:numId="16">
    <w:abstractNumId w:val="9"/>
  </w:num>
  <w:num w:numId="17">
    <w:abstractNumId w:val="15"/>
  </w:num>
  <w:num w:numId="18">
    <w:abstractNumId w:val="8"/>
  </w:num>
  <w:num w:numId="19">
    <w:abstractNumId w:val="0"/>
  </w:num>
  <w:num w:numId="20">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guel Capela">
    <w15:presenceInfo w15:providerId="AD" w15:userId="S-1-5-21-1844237615-1326574676-1801674531-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6C68"/>
    <w:rsid w:val="000024DF"/>
    <w:rsid w:val="00002D4F"/>
    <w:rsid w:val="000233C6"/>
    <w:rsid w:val="0002774B"/>
    <w:rsid w:val="00033112"/>
    <w:rsid w:val="000364E2"/>
    <w:rsid w:val="000369FE"/>
    <w:rsid w:val="00042E6D"/>
    <w:rsid w:val="000641A7"/>
    <w:rsid w:val="00084598"/>
    <w:rsid w:val="00086867"/>
    <w:rsid w:val="00095D52"/>
    <w:rsid w:val="00097A44"/>
    <w:rsid w:val="00097E34"/>
    <w:rsid w:val="000B0905"/>
    <w:rsid w:val="000D0F3C"/>
    <w:rsid w:val="000E346F"/>
    <w:rsid w:val="000F1373"/>
    <w:rsid w:val="00106047"/>
    <w:rsid w:val="00113B49"/>
    <w:rsid w:val="00121F1B"/>
    <w:rsid w:val="00130A81"/>
    <w:rsid w:val="00135FE7"/>
    <w:rsid w:val="00161D26"/>
    <w:rsid w:val="00162CBB"/>
    <w:rsid w:val="0016435A"/>
    <w:rsid w:val="001853B0"/>
    <w:rsid w:val="001A6CD7"/>
    <w:rsid w:val="001C10D8"/>
    <w:rsid w:val="001D0B21"/>
    <w:rsid w:val="001D1114"/>
    <w:rsid w:val="001D181E"/>
    <w:rsid w:val="001D61A4"/>
    <w:rsid w:val="001E0E49"/>
    <w:rsid w:val="001F2614"/>
    <w:rsid w:val="001F56A8"/>
    <w:rsid w:val="0020361B"/>
    <w:rsid w:val="00215746"/>
    <w:rsid w:val="00222F7B"/>
    <w:rsid w:val="00260D98"/>
    <w:rsid w:val="00265043"/>
    <w:rsid w:val="0026766F"/>
    <w:rsid w:val="00277BC1"/>
    <w:rsid w:val="0028051D"/>
    <w:rsid w:val="00294331"/>
    <w:rsid w:val="002A02A3"/>
    <w:rsid w:val="002A3417"/>
    <w:rsid w:val="002A3C7C"/>
    <w:rsid w:val="002B169D"/>
    <w:rsid w:val="002B47FC"/>
    <w:rsid w:val="002B683F"/>
    <w:rsid w:val="002D1F6A"/>
    <w:rsid w:val="002E4E9D"/>
    <w:rsid w:val="002E6BBF"/>
    <w:rsid w:val="00314E5E"/>
    <w:rsid w:val="0032220C"/>
    <w:rsid w:val="00326C68"/>
    <w:rsid w:val="00332CC2"/>
    <w:rsid w:val="00335535"/>
    <w:rsid w:val="00346C62"/>
    <w:rsid w:val="003533F1"/>
    <w:rsid w:val="003558FC"/>
    <w:rsid w:val="00357A5F"/>
    <w:rsid w:val="003702FC"/>
    <w:rsid w:val="00377AC7"/>
    <w:rsid w:val="00377B45"/>
    <w:rsid w:val="0039030E"/>
    <w:rsid w:val="003A57CC"/>
    <w:rsid w:val="003B1654"/>
    <w:rsid w:val="003C2268"/>
    <w:rsid w:val="003C4848"/>
    <w:rsid w:val="003C53D0"/>
    <w:rsid w:val="003E2B72"/>
    <w:rsid w:val="003E76E9"/>
    <w:rsid w:val="003F6F23"/>
    <w:rsid w:val="003F73E2"/>
    <w:rsid w:val="004002F7"/>
    <w:rsid w:val="00425AF4"/>
    <w:rsid w:val="00430369"/>
    <w:rsid w:val="00431D12"/>
    <w:rsid w:val="004349A0"/>
    <w:rsid w:val="004369DC"/>
    <w:rsid w:val="00443C40"/>
    <w:rsid w:val="0045263C"/>
    <w:rsid w:val="004648A4"/>
    <w:rsid w:val="004662F9"/>
    <w:rsid w:val="00475A81"/>
    <w:rsid w:val="004824C1"/>
    <w:rsid w:val="00486369"/>
    <w:rsid w:val="00493F86"/>
    <w:rsid w:val="004971B6"/>
    <w:rsid w:val="004A099D"/>
    <w:rsid w:val="004A47FF"/>
    <w:rsid w:val="004B23D3"/>
    <w:rsid w:val="004B70FB"/>
    <w:rsid w:val="004D071D"/>
    <w:rsid w:val="004D3487"/>
    <w:rsid w:val="004F061E"/>
    <w:rsid w:val="004F2824"/>
    <w:rsid w:val="004F2E89"/>
    <w:rsid w:val="00500553"/>
    <w:rsid w:val="00515804"/>
    <w:rsid w:val="005269EA"/>
    <w:rsid w:val="0053015C"/>
    <w:rsid w:val="00530AB7"/>
    <w:rsid w:val="00533846"/>
    <w:rsid w:val="005348B2"/>
    <w:rsid w:val="005348EA"/>
    <w:rsid w:val="005434C4"/>
    <w:rsid w:val="00546E87"/>
    <w:rsid w:val="00554550"/>
    <w:rsid w:val="005549FF"/>
    <w:rsid w:val="00562E1E"/>
    <w:rsid w:val="0056607F"/>
    <w:rsid w:val="005750EB"/>
    <w:rsid w:val="005761BB"/>
    <w:rsid w:val="005A2FFF"/>
    <w:rsid w:val="005B60BC"/>
    <w:rsid w:val="005B6DE9"/>
    <w:rsid w:val="005B7F3A"/>
    <w:rsid w:val="005C0FC5"/>
    <w:rsid w:val="005C1758"/>
    <w:rsid w:val="005E51F3"/>
    <w:rsid w:val="005F1C1F"/>
    <w:rsid w:val="005F27E2"/>
    <w:rsid w:val="00616265"/>
    <w:rsid w:val="00630F70"/>
    <w:rsid w:val="0063524D"/>
    <w:rsid w:val="006542C3"/>
    <w:rsid w:val="0065588F"/>
    <w:rsid w:val="00664805"/>
    <w:rsid w:val="00665965"/>
    <w:rsid w:val="00684589"/>
    <w:rsid w:val="006845C9"/>
    <w:rsid w:val="006902F9"/>
    <w:rsid w:val="00690B4B"/>
    <w:rsid w:val="0069180A"/>
    <w:rsid w:val="0069455B"/>
    <w:rsid w:val="0069633C"/>
    <w:rsid w:val="006B4F2E"/>
    <w:rsid w:val="006C22C9"/>
    <w:rsid w:val="006C4BCC"/>
    <w:rsid w:val="006D1EAC"/>
    <w:rsid w:val="006E1FA9"/>
    <w:rsid w:val="006E2FCC"/>
    <w:rsid w:val="006E3140"/>
    <w:rsid w:val="00704397"/>
    <w:rsid w:val="00705E2E"/>
    <w:rsid w:val="0070740D"/>
    <w:rsid w:val="00732744"/>
    <w:rsid w:val="007473E7"/>
    <w:rsid w:val="007538DB"/>
    <w:rsid w:val="0075560F"/>
    <w:rsid w:val="007731A3"/>
    <w:rsid w:val="00782F34"/>
    <w:rsid w:val="007925CA"/>
    <w:rsid w:val="00793843"/>
    <w:rsid w:val="007A1831"/>
    <w:rsid w:val="007A209D"/>
    <w:rsid w:val="007A245D"/>
    <w:rsid w:val="007A49AD"/>
    <w:rsid w:val="007B0E50"/>
    <w:rsid w:val="007C5378"/>
    <w:rsid w:val="007C5EDF"/>
    <w:rsid w:val="007C742D"/>
    <w:rsid w:val="007D71DD"/>
    <w:rsid w:val="007E5BBF"/>
    <w:rsid w:val="007F392D"/>
    <w:rsid w:val="00802521"/>
    <w:rsid w:val="00807AA2"/>
    <w:rsid w:val="00807F54"/>
    <w:rsid w:val="00820168"/>
    <w:rsid w:val="008218EB"/>
    <w:rsid w:val="00826A61"/>
    <w:rsid w:val="008341F7"/>
    <w:rsid w:val="00836F92"/>
    <w:rsid w:val="00844066"/>
    <w:rsid w:val="00845D9F"/>
    <w:rsid w:val="00873BA2"/>
    <w:rsid w:val="008816E0"/>
    <w:rsid w:val="00884205"/>
    <w:rsid w:val="00893CF6"/>
    <w:rsid w:val="008947C7"/>
    <w:rsid w:val="008A3484"/>
    <w:rsid w:val="008A37BA"/>
    <w:rsid w:val="008B078B"/>
    <w:rsid w:val="008D159A"/>
    <w:rsid w:val="008D2718"/>
    <w:rsid w:val="008D40DE"/>
    <w:rsid w:val="008D4942"/>
    <w:rsid w:val="008D763E"/>
    <w:rsid w:val="008D7814"/>
    <w:rsid w:val="008F33D5"/>
    <w:rsid w:val="008F5596"/>
    <w:rsid w:val="008F5ECB"/>
    <w:rsid w:val="008F6401"/>
    <w:rsid w:val="008F677F"/>
    <w:rsid w:val="008F7690"/>
    <w:rsid w:val="009108BD"/>
    <w:rsid w:val="00915F45"/>
    <w:rsid w:val="00933913"/>
    <w:rsid w:val="00953E07"/>
    <w:rsid w:val="0096455B"/>
    <w:rsid w:val="00967CC2"/>
    <w:rsid w:val="009852E6"/>
    <w:rsid w:val="0098621D"/>
    <w:rsid w:val="00997A4D"/>
    <w:rsid w:val="009A397F"/>
    <w:rsid w:val="009B3CB6"/>
    <w:rsid w:val="009C2F3B"/>
    <w:rsid w:val="009D242F"/>
    <w:rsid w:val="009D44CD"/>
    <w:rsid w:val="009D4B2F"/>
    <w:rsid w:val="009E301F"/>
    <w:rsid w:val="009F3603"/>
    <w:rsid w:val="00A024A8"/>
    <w:rsid w:val="00A235AB"/>
    <w:rsid w:val="00A267CE"/>
    <w:rsid w:val="00A46169"/>
    <w:rsid w:val="00A477F3"/>
    <w:rsid w:val="00A5050A"/>
    <w:rsid w:val="00A50D11"/>
    <w:rsid w:val="00A567C1"/>
    <w:rsid w:val="00A64930"/>
    <w:rsid w:val="00A70498"/>
    <w:rsid w:val="00A724BC"/>
    <w:rsid w:val="00A77E89"/>
    <w:rsid w:val="00A87C8C"/>
    <w:rsid w:val="00A95309"/>
    <w:rsid w:val="00A953F7"/>
    <w:rsid w:val="00AA26E7"/>
    <w:rsid w:val="00AA3CFD"/>
    <w:rsid w:val="00AA59E8"/>
    <w:rsid w:val="00AC0304"/>
    <w:rsid w:val="00AC345D"/>
    <w:rsid w:val="00AC5B1F"/>
    <w:rsid w:val="00AD241F"/>
    <w:rsid w:val="00AD53DD"/>
    <w:rsid w:val="00AE7906"/>
    <w:rsid w:val="00AF0E56"/>
    <w:rsid w:val="00B0161E"/>
    <w:rsid w:val="00B1073A"/>
    <w:rsid w:val="00B1660B"/>
    <w:rsid w:val="00B35885"/>
    <w:rsid w:val="00B43DA6"/>
    <w:rsid w:val="00B46669"/>
    <w:rsid w:val="00B528B6"/>
    <w:rsid w:val="00B6512A"/>
    <w:rsid w:val="00B709F8"/>
    <w:rsid w:val="00B70CD3"/>
    <w:rsid w:val="00B86AE3"/>
    <w:rsid w:val="00B90507"/>
    <w:rsid w:val="00BA149F"/>
    <w:rsid w:val="00BA3D20"/>
    <w:rsid w:val="00BB27C5"/>
    <w:rsid w:val="00BC2918"/>
    <w:rsid w:val="00BD6006"/>
    <w:rsid w:val="00BE064F"/>
    <w:rsid w:val="00BE302D"/>
    <w:rsid w:val="00BE4CC9"/>
    <w:rsid w:val="00BE666D"/>
    <w:rsid w:val="00BF2999"/>
    <w:rsid w:val="00BF6709"/>
    <w:rsid w:val="00C01356"/>
    <w:rsid w:val="00C154C2"/>
    <w:rsid w:val="00C25604"/>
    <w:rsid w:val="00C309B1"/>
    <w:rsid w:val="00C31E10"/>
    <w:rsid w:val="00C3761A"/>
    <w:rsid w:val="00C43796"/>
    <w:rsid w:val="00C47BE9"/>
    <w:rsid w:val="00C5418E"/>
    <w:rsid w:val="00C60D46"/>
    <w:rsid w:val="00C62218"/>
    <w:rsid w:val="00C75E0E"/>
    <w:rsid w:val="00C76C32"/>
    <w:rsid w:val="00C82BC5"/>
    <w:rsid w:val="00C97F23"/>
    <w:rsid w:val="00CB0BBB"/>
    <w:rsid w:val="00CB4648"/>
    <w:rsid w:val="00CB4B34"/>
    <w:rsid w:val="00CB7CF7"/>
    <w:rsid w:val="00CD4FA2"/>
    <w:rsid w:val="00CD51FD"/>
    <w:rsid w:val="00CE40EE"/>
    <w:rsid w:val="00CE424D"/>
    <w:rsid w:val="00CE6591"/>
    <w:rsid w:val="00CF1E8D"/>
    <w:rsid w:val="00D004D0"/>
    <w:rsid w:val="00D00B4F"/>
    <w:rsid w:val="00D077D2"/>
    <w:rsid w:val="00D14191"/>
    <w:rsid w:val="00D149DA"/>
    <w:rsid w:val="00D34708"/>
    <w:rsid w:val="00D53B5D"/>
    <w:rsid w:val="00D671A5"/>
    <w:rsid w:val="00D73AF9"/>
    <w:rsid w:val="00D86DBF"/>
    <w:rsid w:val="00D925BD"/>
    <w:rsid w:val="00DD08BA"/>
    <w:rsid w:val="00DD1AB1"/>
    <w:rsid w:val="00DE5E01"/>
    <w:rsid w:val="00DF2A80"/>
    <w:rsid w:val="00DF620E"/>
    <w:rsid w:val="00E232D3"/>
    <w:rsid w:val="00E2796D"/>
    <w:rsid w:val="00E27C6A"/>
    <w:rsid w:val="00E34A69"/>
    <w:rsid w:val="00E40873"/>
    <w:rsid w:val="00E561B8"/>
    <w:rsid w:val="00E577A4"/>
    <w:rsid w:val="00E66755"/>
    <w:rsid w:val="00E75E46"/>
    <w:rsid w:val="00E76E55"/>
    <w:rsid w:val="00E779E2"/>
    <w:rsid w:val="00E87AEF"/>
    <w:rsid w:val="00E918A9"/>
    <w:rsid w:val="00E93323"/>
    <w:rsid w:val="00E95CFE"/>
    <w:rsid w:val="00EA5153"/>
    <w:rsid w:val="00EB65D4"/>
    <w:rsid w:val="00ED5656"/>
    <w:rsid w:val="00ED7AEC"/>
    <w:rsid w:val="00EE07DC"/>
    <w:rsid w:val="00EE1ABD"/>
    <w:rsid w:val="00EE6979"/>
    <w:rsid w:val="00EE6D93"/>
    <w:rsid w:val="00EF1568"/>
    <w:rsid w:val="00F05B26"/>
    <w:rsid w:val="00F22950"/>
    <w:rsid w:val="00F25518"/>
    <w:rsid w:val="00F311FB"/>
    <w:rsid w:val="00F37A73"/>
    <w:rsid w:val="00F43639"/>
    <w:rsid w:val="00F43BE8"/>
    <w:rsid w:val="00F51DF0"/>
    <w:rsid w:val="00F53012"/>
    <w:rsid w:val="00F8022D"/>
    <w:rsid w:val="00F90F2D"/>
    <w:rsid w:val="00FA15BA"/>
    <w:rsid w:val="00FA6EBF"/>
    <w:rsid w:val="00FA7FC5"/>
    <w:rsid w:val="00FC7E45"/>
    <w:rsid w:val="00FD0B6D"/>
    <w:rsid w:val="00FD7E46"/>
    <w:rsid w:val="00FE1DCB"/>
    <w:rsid w:val="00FE3621"/>
    <w:rsid w:val="00FE61C8"/>
    <w:rsid w:val="00FF295D"/>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aliases w:val="Footnote symbol"/>
    <w:rsid w:val="007731A3"/>
    <w:rPr>
      <w:position w:val="6"/>
      <w:sz w:val="16"/>
    </w:rPr>
  </w:style>
  <w:style w:type="paragraph" w:styleId="Notedebasdepage">
    <w:name w:val="footnote text"/>
    <w:basedOn w:val="Normal"/>
    <w:rsid w:val="007731A3"/>
    <w:rPr>
      <w:sz w:val="20"/>
    </w:rPr>
  </w:style>
  <w:style w:type="character" w:styleId="Numrodepage">
    <w:name w:val="page number"/>
    <w:basedOn w:val="Policepardfaut"/>
    <w:rsid w:val="007731A3"/>
  </w:style>
  <w:style w:type="paragraph" w:styleId="Explorateurdedocuments">
    <w:name w:val="Document Map"/>
    <w:basedOn w:val="Normal"/>
    <w:semiHidden/>
    <w:rsid w:val="007731A3"/>
    <w:pPr>
      <w:shd w:val="clear" w:color="auto" w:fill="000080"/>
    </w:pPr>
    <w:rPr>
      <w:rFonts w:ascii="Tahoma" w:hAnsi="Tahoma"/>
    </w:rPr>
  </w:style>
  <w:style w:type="paragraph" w:styleId="Tabledesillustrations">
    <w:name w:val="table of figures"/>
    <w:basedOn w:val="Normal"/>
    <w:next w:val="Normal"/>
    <w:semiHidden/>
    <w:rsid w:val="007731A3"/>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Paragraphedeliste">
    <w:name w:val="List Paragraph"/>
    <w:basedOn w:val="Normal"/>
    <w:uiPriority w:val="34"/>
    <w:qFormat/>
    <w:rsid w:val="00425AF4"/>
    <w:pPr>
      <w:ind w:left="720"/>
      <w:contextualSpacing/>
    </w:pPr>
  </w:style>
  <w:style w:type="paragraph" w:styleId="Textedebulles">
    <w:name w:val="Balloon Text"/>
    <w:basedOn w:val="Normal"/>
    <w:link w:val="TextedebullesCar"/>
    <w:semiHidden/>
    <w:unhideWhenUsed/>
    <w:rsid w:val="007A209D"/>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7A209D"/>
    <w:rPr>
      <w:rFonts w:ascii="Segoe UI" w:hAnsi="Segoe UI" w:cs="Segoe UI"/>
      <w:sz w:val="18"/>
      <w:szCs w:val="18"/>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E81E-A943-4B6B-B707-71E1A4F6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FORM01_Input_contribution[1]</Template>
  <TotalTime>21</TotalTime>
  <Pages>6</Pages>
  <Words>1617</Words>
  <Characters>8896</Characters>
  <Application>Microsoft Office Word</Application>
  <DocSecurity>0</DocSecurity>
  <Lines>74</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RISSONE Christian</cp:lastModifiedBy>
  <cp:revision>29</cp:revision>
  <cp:lastPrinted>1999-09-27T15:20:00Z</cp:lastPrinted>
  <dcterms:created xsi:type="dcterms:W3CDTF">2014-03-06T12:35:00Z</dcterms:created>
  <dcterms:modified xsi:type="dcterms:W3CDTF">2014-03-06T13:54:00Z</dcterms:modified>
</cp:coreProperties>
</file>