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98621D">
        <w:trPr>
          <w:cantSplit/>
        </w:trPr>
        <w:tc>
          <w:tcPr>
            <w:tcW w:w="6071" w:type="dxa"/>
            <w:gridSpan w:val="3"/>
            <w:tcBorders>
              <w:top w:val="nil"/>
              <w:left w:val="nil"/>
              <w:bottom w:val="nil"/>
              <w:right w:val="nil"/>
            </w:tcBorders>
          </w:tcPr>
          <w:p w:rsidR="00346C62" w:rsidRPr="0098621D" w:rsidRDefault="00865420" w:rsidP="00215746">
            <w:pPr>
              <w:pStyle w:val="Kopfzeile1"/>
            </w:pPr>
            <w:r>
              <w:rPr>
                <w:noProof/>
                <w:lang w:val="fr-FR" w:eastAsia="fr-FR"/>
              </w:rPr>
              <w:drawing>
                <wp:inline distT="0" distB="0" distL="0" distR="0" wp14:anchorId="28FDC4B9" wp14:editId="2A70C0C1">
                  <wp:extent cx="1619250" cy="8286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28675"/>
                          </a:xfrm>
                          <a:prstGeom prst="rect">
                            <a:avLst/>
                          </a:prstGeom>
                          <a:noFill/>
                          <a:ln>
                            <a:noFill/>
                          </a:ln>
                        </pic:spPr>
                      </pic:pic>
                    </a:graphicData>
                  </a:graphic>
                </wp:inline>
              </w:drawing>
            </w:r>
            <w:r w:rsidR="00ED7AEC">
              <w:t>Plenary</w:t>
            </w:r>
          </w:p>
          <w:p w:rsidR="00346C62" w:rsidRPr="0098621D" w:rsidRDefault="00346C62" w:rsidP="00215746">
            <w:pPr>
              <w:pStyle w:val="Kopfzeile1"/>
              <w:rPr>
                <w:rFonts w:cs="Arial"/>
                <w:color w:val="000000"/>
                <w:lang w:val="en-GB"/>
              </w:rPr>
            </w:pPr>
          </w:p>
        </w:tc>
        <w:tc>
          <w:tcPr>
            <w:tcW w:w="3569" w:type="dxa"/>
            <w:tcBorders>
              <w:top w:val="nil"/>
              <w:left w:val="nil"/>
              <w:bottom w:val="nil"/>
              <w:right w:val="nil"/>
            </w:tcBorders>
          </w:tcPr>
          <w:p w:rsidR="00346C62" w:rsidRPr="00346C62" w:rsidRDefault="0098621D" w:rsidP="00A71194">
            <w:pPr>
              <w:pStyle w:val="Kopfzeile1"/>
              <w:tabs>
                <w:tab w:val="clear" w:pos="4536"/>
                <w:tab w:val="right" w:pos="3357"/>
              </w:tabs>
            </w:pPr>
            <w:r>
              <w:tab/>
            </w:r>
            <w:r w:rsidR="00ED7AEC">
              <w:t>ECC(1</w:t>
            </w:r>
            <w:r w:rsidR="00C76C32">
              <w:t>4</w:t>
            </w:r>
            <w:r w:rsidR="00ED7AEC">
              <w:t>)</w:t>
            </w:r>
            <w:r w:rsidR="00A71194">
              <w:t>025 Annex 14</w:t>
            </w: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D149DA" w:rsidP="00A235AB">
            <w:pPr>
              <w:pStyle w:val="Kopfzeile1"/>
              <w:rPr>
                <w:lang w:val="en-GB"/>
              </w:rPr>
            </w:pPr>
            <w:r>
              <w:rPr>
                <w:lang w:val="en-GB"/>
              </w:rPr>
              <w:t>3</w:t>
            </w:r>
            <w:r w:rsidR="00A235AB">
              <w:rPr>
                <w:lang w:val="en-GB"/>
              </w:rPr>
              <w:t>6</w:t>
            </w:r>
            <w:r w:rsidR="00A235AB" w:rsidRPr="00A235AB">
              <w:rPr>
                <w:vertAlign w:val="superscript"/>
                <w:lang w:val="en-GB"/>
              </w:rPr>
              <w:t>th</w:t>
            </w:r>
            <w:r w:rsidR="00A235AB">
              <w:rPr>
                <w:lang w:val="en-GB"/>
              </w:rPr>
              <w:t xml:space="preserve"> </w:t>
            </w:r>
            <w:r w:rsidR="001E0E49" w:rsidRPr="00D149DA">
              <w:rPr>
                <w:lang w:val="en-GB"/>
              </w:rPr>
              <w:t>Meeting</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346C62" w:rsidRPr="0098621D">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346C62" w:rsidRPr="00D149DA" w:rsidRDefault="00A235AB" w:rsidP="00A235AB">
            <w:pPr>
              <w:pStyle w:val="Kopfzeile1"/>
              <w:rPr>
                <w:lang w:val="en-GB"/>
              </w:rPr>
            </w:pPr>
            <w:r>
              <w:rPr>
                <w:lang w:val="en-GB"/>
              </w:rPr>
              <w:t>Cluj-Napoca, 11</w:t>
            </w:r>
            <w:r w:rsidR="00D149DA" w:rsidRPr="00D149DA">
              <w:rPr>
                <w:vertAlign w:val="superscript"/>
                <w:lang w:val="en-GB"/>
              </w:rPr>
              <w:t>th</w:t>
            </w:r>
            <w:r w:rsidR="00D149DA">
              <w:rPr>
                <w:lang w:val="en-GB"/>
              </w:rPr>
              <w:t xml:space="preserve"> </w:t>
            </w:r>
            <w:r w:rsidR="00A64930" w:rsidRPr="00D149DA">
              <w:rPr>
                <w:lang w:val="en-GB"/>
              </w:rPr>
              <w:t>–</w:t>
            </w:r>
            <w:r>
              <w:rPr>
                <w:lang w:val="en-GB"/>
              </w:rPr>
              <w:t xml:space="preserve"> 14</w:t>
            </w:r>
            <w:r w:rsidR="00D149DA" w:rsidRPr="00D149DA">
              <w:rPr>
                <w:vertAlign w:val="superscript"/>
                <w:lang w:val="en-GB"/>
              </w:rPr>
              <w:t>th</w:t>
            </w:r>
            <w:r w:rsidR="00D149DA">
              <w:rPr>
                <w:lang w:val="en-GB"/>
              </w:rPr>
              <w:t xml:space="preserve"> </w:t>
            </w:r>
            <w:r w:rsidR="00500553" w:rsidRPr="00D149DA">
              <w:rPr>
                <w:lang w:val="en-GB"/>
              </w:rPr>
              <w:t>March 201</w:t>
            </w:r>
            <w:r>
              <w:rPr>
                <w:lang w:val="en-GB"/>
              </w:rPr>
              <w:t>4</w:t>
            </w:r>
          </w:p>
        </w:tc>
        <w:tc>
          <w:tcPr>
            <w:tcW w:w="5300" w:type="dxa"/>
            <w:gridSpan w:val="2"/>
            <w:tcBorders>
              <w:top w:val="nil"/>
              <w:left w:val="nil"/>
              <w:bottom w:val="nil"/>
              <w:right w:val="nil"/>
            </w:tcBorders>
            <w:vAlign w:val="center"/>
          </w:tcPr>
          <w:p w:rsidR="00346C62" w:rsidRPr="0098621D" w:rsidRDefault="00346C62" w:rsidP="00215746">
            <w:pPr>
              <w:pStyle w:val="Kopfzeile1"/>
              <w:rPr>
                <w:lang w:val="en-GB"/>
              </w:rPr>
            </w:pPr>
          </w:p>
        </w:tc>
      </w:tr>
      <w:tr w:rsidR="00F05B26" w:rsidRPr="0098621D">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D149DA"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98621D" w:rsidRDefault="00F05B26" w:rsidP="00215746">
            <w:pPr>
              <w:pStyle w:val="Kopfzeile1"/>
              <w:rPr>
                <w:sz w:val="8"/>
                <w:lang w:val="en-GB"/>
              </w:rPr>
            </w:pP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Date issued:</w:t>
            </w:r>
            <w:r w:rsidR="005269EA" w:rsidRPr="00D149DA">
              <w:rPr>
                <w:lang w:val="en-GB"/>
              </w:rPr>
              <w:t xml:space="preserve"> </w:t>
            </w:r>
          </w:p>
        </w:tc>
        <w:tc>
          <w:tcPr>
            <w:tcW w:w="7797" w:type="dxa"/>
            <w:gridSpan w:val="3"/>
            <w:tcBorders>
              <w:top w:val="nil"/>
              <w:left w:val="nil"/>
              <w:bottom w:val="nil"/>
              <w:right w:val="nil"/>
            </w:tcBorders>
            <w:vAlign w:val="center"/>
          </w:tcPr>
          <w:p w:rsidR="00F05B26" w:rsidRPr="0098621D" w:rsidRDefault="00D70048" w:rsidP="00A71194">
            <w:pPr>
              <w:pStyle w:val="Kopfzeile1"/>
              <w:rPr>
                <w:lang w:val="en-GB"/>
              </w:rPr>
            </w:pPr>
            <w:r>
              <w:rPr>
                <w:lang w:val="en-GB"/>
              </w:rPr>
              <w:t>1</w:t>
            </w:r>
            <w:r w:rsidR="00A71194">
              <w:rPr>
                <w:lang w:val="en-GB"/>
              </w:rPr>
              <w:t>4</w:t>
            </w:r>
            <w:r w:rsidRPr="00D70048">
              <w:rPr>
                <w:vertAlign w:val="superscript"/>
                <w:lang w:val="en-GB"/>
              </w:rPr>
              <w:t>th</w:t>
            </w:r>
            <w:r>
              <w:rPr>
                <w:lang w:val="en-GB"/>
              </w:rPr>
              <w:t xml:space="preserve"> March 2014</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Source:</w:t>
            </w:r>
            <w:r w:rsidR="00ED7AEC" w:rsidRPr="00D149DA">
              <w:rPr>
                <w:lang w:val="en-GB"/>
              </w:rPr>
              <w:t xml:space="preserve"> </w:t>
            </w:r>
          </w:p>
        </w:tc>
        <w:tc>
          <w:tcPr>
            <w:tcW w:w="7797" w:type="dxa"/>
            <w:gridSpan w:val="3"/>
            <w:tcBorders>
              <w:top w:val="nil"/>
              <w:left w:val="nil"/>
              <w:bottom w:val="nil"/>
              <w:right w:val="nil"/>
            </w:tcBorders>
            <w:vAlign w:val="center"/>
          </w:tcPr>
          <w:p w:rsidR="00F05B26" w:rsidRPr="00D70048" w:rsidRDefault="00D70048" w:rsidP="00215746">
            <w:pPr>
              <w:pStyle w:val="Kopfzeile1"/>
              <w:rPr>
                <w:b w:val="0"/>
                <w:lang w:val="en-GB"/>
              </w:rPr>
            </w:pPr>
            <w:r w:rsidRPr="00D70048">
              <w:rPr>
                <w:b w:val="0"/>
                <w:lang w:val="en-GB"/>
              </w:rPr>
              <w:t>ECO</w:t>
            </w:r>
          </w:p>
        </w:tc>
      </w:tr>
      <w:tr w:rsidR="00F05B26" w:rsidRPr="0098621D">
        <w:tblPrEx>
          <w:tblCellMar>
            <w:left w:w="108" w:type="dxa"/>
            <w:right w:w="108" w:type="dxa"/>
          </w:tblCellMar>
        </w:tblPrEx>
        <w:trPr>
          <w:cantSplit/>
          <w:trHeight w:val="405"/>
        </w:trPr>
        <w:tc>
          <w:tcPr>
            <w:tcW w:w="1843" w:type="dxa"/>
            <w:tcBorders>
              <w:top w:val="nil"/>
              <w:left w:val="nil"/>
              <w:bottom w:val="nil"/>
              <w:right w:val="nil"/>
            </w:tcBorders>
            <w:vAlign w:val="center"/>
          </w:tcPr>
          <w:p w:rsidR="00F05B26" w:rsidRPr="00D149DA" w:rsidRDefault="00F05B26" w:rsidP="00215746">
            <w:pPr>
              <w:pStyle w:val="Kopfzeile1"/>
              <w:rPr>
                <w:lang w:val="en-GB"/>
              </w:rPr>
            </w:pPr>
            <w:r w:rsidRPr="00D149DA">
              <w:rPr>
                <w:lang w:val="en-GB"/>
              </w:rPr>
              <w:t>Subject:</w:t>
            </w:r>
            <w:r w:rsidR="005269EA" w:rsidRPr="00D149DA">
              <w:rPr>
                <w:lang w:val="en-GB"/>
              </w:rPr>
              <w:t xml:space="preserve"> </w:t>
            </w:r>
          </w:p>
        </w:tc>
        <w:tc>
          <w:tcPr>
            <w:tcW w:w="7797" w:type="dxa"/>
            <w:gridSpan w:val="3"/>
            <w:tcBorders>
              <w:top w:val="nil"/>
              <w:left w:val="nil"/>
              <w:bottom w:val="nil"/>
              <w:right w:val="nil"/>
            </w:tcBorders>
            <w:vAlign w:val="center"/>
          </w:tcPr>
          <w:p w:rsidR="00F05B26" w:rsidRPr="00D70048" w:rsidRDefault="00D70048" w:rsidP="001E0E49">
            <w:pPr>
              <w:pStyle w:val="Kopfzeile1"/>
              <w:rPr>
                <w:b w:val="0"/>
                <w:lang w:val="en-GB"/>
              </w:rPr>
            </w:pPr>
            <w:r w:rsidRPr="00D70048">
              <w:rPr>
                <w:b w:val="0"/>
                <w:lang w:val="en-GB"/>
              </w:rPr>
              <w:t>ECC Statement on Spectrum Occupancy Workshop</w:t>
            </w:r>
          </w:p>
        </w:tc>
      </w:tr>
      <w:tr w:rsidR="00493F86" w:rsidRPr="0098621D"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6D7413" w:rsidRDefault="00A31216" w:rsidP="00FF320E">
            <w:pPr>
              <w:rPr>
                <w:rFonts w:cs="Arial"/>
                <w:szCs w:val="24"/>
                <w:lang w:val="en-GB"/>
              </w:rPr>
            </w:pPr>
            <w:r>
              <w:rPr>
                <w:noProof/>
                <w:lang w:val="fr-FR" w:eastAsia="fr-FR"/>
              </w:rPr>
              <mc:AlternateContent>
                <mc:Choice Requires="wps">
                  <w:drawing>
                    <wp:anchor distT="0" distB="0" distL="114300" distR="114300" simplePos="0" relativeHeight="251657728" behindDoc="1" locked="0" layoutInCell="1" allowOverlap="1" wp14:anchorId="429F73E5" wp14:editId="7A2DF27A">
                      <wp:simplePos x="0" y="0"/>
                      <wp:positionH relativeFrom="column">
                        <wp:posOffset>3263900</wp:posOffset>
                      </wp:positionH>
                      <wp:positionV relativeFrom="paragraph">
                        <wp:posOffset>193675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5269EA" w:rsidRPr="00254FD9" w:rsidRDefault="005269EA" w:rsidP="005348B2">
                                  <w:pPr>
                                    <w:spacing w:after="0"/>
                                    <w:jc w:val="center"/>
                                    <w:rPr>
                                      <w:rFonts w:cs="Arial"/>
                                      <w:szCs w:val="24"/>
                                      <w:lang w:val="de-DE"/>
                                    </w:rPr>
                                  </w:pPr>
                                  <w:r>
                                    <w:rPr>
                                      <w:rFonts w:cs="Arial"/>
                                      <w:szCs w:val="24"/>
                                      <w:lang w:val="de-DE"/>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15.2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">
                      <v:textbox>
                        <w:txbxContent>
                          <w:p w:rsidR="005269EA" w:rsidRPr="00254FD9" w:rsidRDefault="005269EA" w:rsidP="005348B2">
                            <w:pPr>
                              <w:spacing w:after="0"/>
                              <w:jc w:val="center"/>
                              <w:rPr>
                                <w:rFonts w:cs="Arial"/>
                                <w:szCs w:val="24"/>
                                <w:lang w:val="de-DE"/>
                              </w:rPr>
                            </w:pPr>
                            <w:r>
                              <w:rPr>
                                <w:rFonts w:cs="Arial"/>
                                <w:szCs w:val="24"/>
                                <w:lang w:val="de-DE"/>
                              </w:rPr>
                              <w:t>N</w:t>
                            </w:r>
                          </w:p>
                        </w:txbxContent>
                      </v:textbox>
                      <w10:wrap type="tight"/>
                    </v:shape>
                  </w:pict>
                </mc:Fallback>
              </mc:AlternateContent>
            </w:r>
          </w:p>
          <w:p w:rsidR="00493F86" w:rsidRDefault="001D181E" w:rsidP="00FF320E">
            <w:pPr>
              <w:rPr>
                <w:lang w:val="en-GB"/>
              </w:rPr>
            </w:pPr>
            <w:r>
              <w:rPr>
                <w:lang w:val="en-GB"/>
              </w:rPr>
              <w:t>Group membership</w:t>
            </w:r>
            <w:r w:rsidR="00493F86" w:rsidRPr="0016435A">
              <w:rPr>
                <w:lang w:val="en-GB"/>
              </w:rPr>
              <w:t xml:space="preserve"> required</w:t>
            </w:r>
            <w:r>
              <w:rPr>
                <w:lang w:val="en-GB"/>
              </w:rPr>
              <w:t xml:space="preserve"> </w:t>
            </w:r>
            <w:proofErr w:type="gramStart"/>
            <w:r>
              <w:rPr>
                <w:lang w:val="en-GB"/>
              </w:rPr>
              <w:t>to read</w:t>
            </w:r>
            <w:proofErr w:type="gramEnd"/>
            <w:r>
              <w:rPr>
                <w:lang w:val="en-GB"/>
              </w:rPr>
              <w:t>? (Y/N)</w:t>
            </w:r>
          </w:p>
          <w:p w:rsidR="00493F86" w:rsidRPr="00DD103C" w:rsidRDefault="00493F86" w:rsidP="00FF320E">
            <w:pPr>
              <w:pStyle w:val="Header1"/>
              <w:rPr>
                <w:lang w:val="en-GB"/>
              </w:rPr>
            </w:pPr>
          </w:p>
        </w:tc>
      </w:tr>
      <w:tr w:rsidR="00493F86" w:rsidRPr="0098621D"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3D778B" w:rsidRDefault="00493F86" w:rsidP="00FF320E">
            <w:pPr>
              <w:pStyle w:val="Header1"/>
            </w:pPr>
          </w:p>
          <w:p w:rsidR="00493F86" w:rsidRPr="0098621D" w:rsidRDefault="00493F86" w:rsidP="00FF320E">
            <w:pPr>
              <w:pStyle w:val="Header1"/>
              <w:rPr>
                <w:sz w:val="8"/>
              </w:rPr>
            </w:pPr>
          </w:p>
        </w:tc>
      </w:tr>
      <w:tr w:rsidR="001E0E49"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1E0E49" w:rsidRDefault="001E0E49" w:rsidP="001E0E49">
            <w:pPr>
              <w:pStyle w:val="Kopfzeile1"/>
              <w:rPr>
                <w:lang w:val="en-US"/>
              </w:rPr>
            </w:pPr>
            <w:r w:rsidRPr="001E0E49">
              <w:rPr>
                <w:lang w:val="en-US"/>
              </w:rPr>
              <w:t>Summary:</w:t>
            </w:r>
            <w:r>
              <w:rPr>
                <w:lang w:val="en-US"/>
              </w:rPr>
              <w:t xml:space="preserve"> </w:t>
            </w:r>
          </w:p>
        </w:tc>
      </w:tr>
      <w:tr w:rsidR="00D70048" w:rsidRPr="00D44060" w:rsidTr="00D7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6"/>
        </w:trPr>
        <w:tc>
          <w:tcPr>
            <w:tcW w:w="9640" w:type="dxa"/>
            <w:gridSpan w:val="4"/>
            <w:tcBorders>
              <w:top w:val="nil"/>
            </w:tcBorders>
          </w:tcPr>
          <w:p w:rsidR="00D70048" w:rsidRDefault="00D70048" w:rsidP="001E0E49">
            <w:r>
              <w:t xml:space="preserve">This document proposes an ECC Statement on the outcome of the recent workshop on Spectrun Occupancy Measurements.  It is based on Annex 2 of </w:t>
            </w:r>
            <w:r w:rsidRPr="00D70048">
              <w:t>ECC(14)008 Annex 04 Rev1</w:t>
            </w:r>
            <w:r>
              <w:t>,m with mofifications shown in Track Changes based on the advice of the Plenary at its afternoon session on 12th March.</w:t>
            </w:r>
          </w:p>
          <w:p w:rsidR="00D70048" w:rsidRPr="001E0E49" w:rsidRDefault="00D70048" w:rsidP="001E0E49">
            <w:r>
              <w:t>It is proposed to publish this as a stand-alone document on the ECC Website.  Reference and links to this statement will be made from the ECC Newsletter, and the reporting of this ECC meeting.  A separate item will also be placed on the front page of the website linking to the statement.</w:t>
            </w:r>
          </w:p>
          <w:p w:rsidR="00D70048" w:rsidRPr="001E0E49" w:rsidRDefault="00D70048" w:rsidP="001E0E49">
            <w:pPr>
              <w:pStyle w:val="Kopfzeile1"/>
            </w:pPr>
          </w:p>
        </w:tc>
      </w:tr>
    </w:tbl>
    <w:p w:rsidR="00DE5E01" w:rsidRDefault="00DE5E01" w:rsidP="00DE5E01">
      <w:pPr>
        <w:rPr>
          <w:lang w:val="en-GB"/>
        </w:rPr>
      </w:pPr>
    </w:p>
    <w:p w:rsidR="00D70048" w:rsidRDefault="00D70048" w:rsidP="00DE5E01">
      <w:pPr>
        <w:rPr>
          <w:lang w:val="en-GB"/>
        </w:rPr>
      </w:pPr>
    </w:p>
    <w:p w:rsidR="00D70048" w:rsidRDefault="00D70048" w:rsidP="00D70048">
      <w:pPr>
        <w:rPr>
          <w:b/>
          <w:lang w:val="en-GB"/>
        </w:rPr>
      </w:pPr>
      <w:r>
        <w:rPr>
          <w:b/>
          <w:lang w:val="en-GB"/>
        </w:rPr>
        <w:t>ECC Statement</w:t>
      </w:r>
      <w:r w:rsidR="00044D7D" w:rsidRPr="00044D7D">
        <w:rPr>
          <w:b/>
          <w:lang w:val="en-GB"/>
        </w:rPr>
        <w:t xml:space="preserve"> </w:t>
      </w:r>
      <w:r w:rsidR="00044D7D">
        <w:rPr>
          <w:b/>
          <w:lang w:val="en-GB"/>
        </w:rPr>
        <w:t>on</w:t>
      </w:r>
      <w:r w:rsidR="00044D7D" w:rsidRPr="00D70048">
        <w:rPr>
          <w:b/>
          <w:lang w:val="en-GB"/>
        </w:rPr>
        <w:t xml:space="preserve"> Spectrum Occupancy</w:t>
      </w:r>
      <w:r w:rsidR="00044D7D" w:rsidRPr="00044D7D">
        <w:rPr>
          <w:b/>
          <w:lang w:val="en-GB"/>
        </w:rPr>
        <w:t xml:space="preserve"> </w:t>
      </w:r>
      <w:r w:rsidR="00044D7D" w:rsidRPr="00D70048">
        <w:rPr>
          <w:b/>
          <w:lang w:val="en-GB"/>
        </w:rPr>
        <w:t>Measurement</w:t>
      </w:r>
    </w:p>
    <w:p w:rsidR="00D70048" w:rsidRDefault="00D70048" w:rsidP="00D70048">
      <w:pPr>
        <w:rPr>
          <w:b/>
          <w:lang w:val="en-GB"/>
        </w:rPr>
      </w:pPr>
    </w:p>
    <w:p w:rsidR="00D70048" w:rsidRPr="00D70048" w:rsidRDefault="00D70048" w:rsidP="00D70048">
      <w:pPr>
        <w:rPr>
          <w:lang w:val="en-GB"/>
        </w:rPr>
      </w:pPr>
      <w:r>
        <w:rPr>
          <w:lang w:val="en-GB"/>
        </w:rPr>
        <w:t>The ECC held a workshop “</w:t>
      </w:r>
      <w:r w:rsidRPr="00D70048">
        <w:rPr>
          <w:lang w:val="en-GB"/>
        </w:rPr>
        <w:t>How Measurement of Spectrum Occupancy can help Spectrum Management</w:t>
      </w:r>
      <w:r>
        <w:rPr>
          <w:lang w:val="en-GB"/>
        </w:rPr>
        <w:t>”</w:t>
      </w:r>
      <w:r w:rsidR="00273ABE">
        <w:rPr>
          <w:lang w:val="en-GB"/>
        </w:rPr>
        <w:t xml:space="preserve"> </w:t>
      </w:r>
      <w:r w:rsidRPr="00D70048">
        <w:rPr>
          <w:lang w:val="en-GB"/>
        </w:rPr>
        <w:t>on 15 January 2014, in Mainz (Germany).</w:t>
      </w:r>
      <w:r>
        <w:rPr>
          <w:lang w:val="en-GB"/>
        </w:rPr>
        <w:t xml:space="preserve">  The motivation for the workshop is the growing interest in the role of spectrum monitoring as a </w:t>
      </w:r>
      <w:r w:rsidR="00273ABE">
        <w:rPr>
          <w:lang w:val="en-GB"/>
        </w:rPr>
        <w:t>possible indicator of potential opportunities for more [efficient</w:t>
      </w:r>
      <w:r w:rsidR="00273ABE">
        <w:rPr>
          <w:lang w:val="en-GB"/>
        </w:rPr>
        <w:t xml:space="preserve">/intensive] use of the spectrum.  Amongst current initiatives is the ‘Microsoft Spectrum Observatory’; the ECC provided this opportunity to </w:t>
      </w:r>
      <w:r w:rsidRPr="00D70048">
        <w:rPr>
          <w:lang w:val="en-GB"/>
        </w:rPr>
        <w:t xml:space="preserve">discuss with all interested parties from administrations and companies the </w:t>
      </w:r>
      <w:r w:rsidR="00273ABE">
        <w:rPr>
          <w:lang w:val="en-GB"/>
        </w:rPr>
        <w:t>state of the art with spectrum monitoring in this role, and how much it</w:t>
      </w:r>
      <w:r w:rsidRPr="00D70048">
        <w:rPr>
          <w:lang w:val="en-GB"/>
        </w:rPr>
        <w:t xml:space="preserve"> could potentially help frequency regulators </w:t>
      </w:r>
    </w:p>
    <w:p w:rsidR="00D70048" w:rsidRPr="00D70048" w:rsidRDefault="00D146FA" w:rsidP="00D70048">
      <w:pPr>
        <w:rPr>
          <w:lang w:val="en-GB"/>
        </w:rPr>
      </w:pPr>
      <w:r>
        <w:rPr>
          <w:b/>
          <w:lang w:val="en-GB"/>
        </w:rPr>
        <w:t xml:space="preserve">With regard to the </w:t>
      </w:r>
      <w:r w:rsidRPr="00D70048">
        <w:rPr>
          <w:b/>
          <w:lang w:val="en-GB"/>
        </w:rPr>
        <w:t>Spectrum Occupancy</w:t>
      </w:r>
      <w:r w:rsidRPr="00044D7D">
        <w:rPr>
          <w:b/>
          <w:lang w:val="en-GB"/>
        </w:rPr>
        <w:t xml:space="preserve"> </w:t>
      </w:r>
      <w:r w:rsidRPr="00D70048">
        <w:rPr>
          <w:b/>
          <w:lang w:val="en-GB"/>
        </w:rPr>
        <w:t>Measurement</w:t>
      </w:r>
      <w:r>
        <w:rPr>
          <w:b/>
          <w:lang w:val="en-GB"/>
        </w:rPr>
        <w:t xml:space="preserve"> for Spectrum Management ECC states that</w:t>
      </w:r>
      <w:r w:rsidR="00D70048" w:rsidRPr="00D70048">
        <w:rPr>
          <w:lang w:val="en-GB"/>
        </w:rPr>
        <w:t>:</w:t>
      </w:r>
    </w:p>
    <w:p w:rsidR="00D70048" w:rsidRPr="00D70048" w:rsidRDefault="00D70048" w:rsidP="00D70048">
      <w:pPr>
        <w:numPr>
          <w:ilvl w:val="0"/>
          <w:numId w:val="15"/>
        </w:numPr>
        <w:rPr>
          <w:lang w:val="en-GB"/>
        </w:rPr>
      </w:pPr>
      <w:r w:rsidRPr="00D70048">
        <w:rPr>
          <w:lang w:val="en-GB"/>
        </w:rPr>
        <w:t>It is essential to understand the problem to be investigated in detail.</w:t>
      </w:r>
    </w:p>
    <w:p w:rsidR="00D70048" w:rsidRPr="00D70048" w:rsidRDefault="00D70048" w:rsidP="00D70048">
      <w:pPr>
        <w:numPr>
          <w:ilvl w:val="0"/>
          <w:numId w:val="15"/>
        </w:numPr>
        <w:rPr>
          <w:lang w:val="en-GB"/>
        </w:rPr>
      </w:pPr>
      <w:r w:rsidRPr="00D70048">
        <w:rPr>
          <w:lang w:val="en-GB"/>
        </w:rPr>
        <w:t>The measurement parameters such as bandwidth, scanning speed and antenna location have to be set according to the radio services and applications in a specific band as well as the expected technologies in use. The measuring approach (fixed or mobile/nomadic, number of measurement points to achieve required geographical resolution) has to be tailored depending on the questions to be answered.</w:t>
      </w:r>
    </w:p>
    <w:p w:rsidR="00D70048" w:rsidRPr="00D70048" w:rsidRDefault="00D70048" w:rsidP="00D70048">
      <w:pPr>
        <w:numPr>
          <w:ilvl w:val="0"/>
          <w:numId w:val="15"/>
        </w:numPr>
        <w:rPr>
          <w:lang w:val="en-GB"/>
        </w:rPr>
      </w:pPr>
      <w:r w:rsidRPr="00D70048">
        <w:rPr>
          <w:lang w:val="en-GB"/>
        </w:rPr>
        <w:t>High-quality measurement equipment and often the use of filters are essential to prevent intermodulation and hence fake emissions.</w:t>
      </w:r>
    </w:p>
    <w:p w:rsidR="00D70048" w:rsidRPr="00D70048" w:rsidRDefault="00D70048" w:rsidP="00D70048">
      <w:pPr>
        <w:numPr>
          <w:ilvl w:val="0"/>
          <w:numId w:val="15"/>
        </w:numPr>
        <w:rPr>
          <w:lang w:val="en-GB"/>
        </w:rPr>
      </w:pPr>
      <w:r w:rsidRPr="00D70048">
        <w:rPr>
          <w:lang w:val="en-GB"/>
        </w:rPr>
        <w:lastRenderedPageBreak/>
        <w:t>As it stands today, the data collection component of the "Microsoft Spectrum Observatory" can only provide limited complimentary information to frequency management because it provides no more than a general indication of the spectrum usage.</w:t>
      </w:r>
    </w:p>
    <w:p w:rsidR="00D70048" w:rsidRPr="00D70048" w:rsidRDefault="00D70048" w:rsidP="00D70048">
      <w:pPr>
        <w:numPr>
          <w:ilvl w:val="0"/>
          <w:numId w:val="15"/>
        </w:numPr>
        <w:rPr>
          <w:lang w:val="en-GB"/>
        </w:rPr>
      </w:pPr>
      <w:r w:rsidRPr="00D70048">
        <w:rPr>
          <w:lang w:val="en-GB"/>
        </w:rPr>
        <w:t xml:space="preserve">The results of occupancy measurements done with this approach at a limited number of fixed locations could only help to identify possible bands that might be identified for white space applications. The decision whether a particular frequency can be used at a certain location, e.g. as part of dynamic spectrum access or in relation to geo-location databases, cannot be drawn from these measurement results. </w:t>
      </w:r>
    </w:p>
    <w:p w:rsidR="00D70048" w:rsidRPr="00D70048" w:rsidRDefault="00D70048" w:rsidP="00D70048">
      <w:pPr>
        <w:numPr>
          <w:ilvl w:val="0"/>
          <w:numId w:val="15"/>
        </w:numPr>
        <w:rPr>
          <w:lang w:val="en-GB"/>
        </w:rPr>
      </w:pPr>
      <w:r w:rsidRPr="00D70048">
        <w:rPr>
          <w:lang w:val="en-GB"/>
        </w:rPr>
        <w:t xml:space="preserve">PMSE, SRD and RFID equipment as well as satellite applications illustrate why single low-cost sensors are not sufficient to show the reality in a frequency range from 30 MHz to 6000 </w:t>
      </w:r>
      <w:proofErr w:type="spellStart"/>
      <w:r w:rsidRPr="00D70048">
        <w:rPr>
          <w:lang w:val="en-GB"/>
        </w:rPr>
        <w:t>MHz.</w:t>
      </w:r>
      <w:proofErr w:type="spellEnd"/>
      <w:r w:rsidRPr="00D70048">
        <w:rPr>
          <w:lang w:val="en-GB"/>
        </w:rPr>
        <w:t xml:space="preserve"> To give a detailed inventory of the spectrum usage in a big city, a vast amount of fixed receiving stations or other methods such as mobile data collection would be necessary.</w:t>
      </w:r>
    </w:p>
    <w:p w:rsidR="00D70048" w:rsidRPr="00D70048" w:rsidRDefault="00D70048" w:rsidP="00D70048">
      <w:pPr>
        <w:numPr>
          <w:ilvl w:val="0"/>
          <w:numId w:val="15"/>
        </w:numPr>
        <w:rPr>
          <w:lang w:val="en-GB"/>
        </w:rPr>
      </w:pPr>
      <w:r w:rsidRPr="00D70048">
        <w:rPr>
          <w:lang w:val="en-GB"/>
        </w:rPr>
        <w:t xml:space="preserve">The current implementation of the concept by Microsoft is prone to achieve false spectrum occupancy results. In some cases a whole band looks occupied just because the detection threshold is not adapted to the requirements of the respective sub-band, whereas bands that are used by low duty cycle or frequency hopping systems will look completely free because the scanning speed is too low or not enough samples are taken on each frequency. </w:t>
      </w:r>
    </w:p>
    <w:p w:rsidR="00D70048" w:rsidRPr="00D70048" w:rsidRDefault="00D70048" w:rsidP="00D70048">
      <w:pPr>
        <w:numPr>
          <w:ilvl w:val="0"/>
          <w:numId w:val="15"/>
        </w:numPr>
        <w:rPr>
          <w:lang w:val="en-GB"/>
        </w:rPr>
      </w:pPr>
      <w:r w:rsidRPr="00D70048">
        <w:rPr>
          <w:lang w:val="en-GB"/>
        </w:rPr>
        <w:t>The perception of 100% loading of some bands and of empty bands as presented during the Workshop by Microsoft is unreliable and could lead to disinformation of decision makers.</w:t>
      </w:r>
    </w:p>
    <w:p w:rsidR="00D70048" w:rsidRPr="00D70048" w:rsidRDefault="00D70048" w:rsidP="00D70048">
      <w:pPr>
        <w:numPr>
          <w:ilvl w:val="0"/>
          <w:numId w:val="15"/>
        </w:numPr>
        <w:rPr>
          <w:lang w:val="en-GB"/>
        </w:rPr>
      </w:pPr>
      <w:r w:rsidRPr="00D70048">
        <w:rPr>
          <w:lang w:val="en-GB"/>
        </w:rPr>
        <w:t>Similar systems of other vendors also using simple sensors at fixed locations at rooftop level would suffer from the same challenges.</w:t>
      </w:r>
    </w:p>
    <w:p w:rsidR="00D70048" w:rsidRDefault="00D70048" w:rsidP="00D70048">
      <w:pPr>
        <w:rPr>
          <w:lang w:val="en-GB"/>
        </w:rPr>
      </w:pPr>
    </w:p>
    <w:p w:rsidR="00273ABE" w:rsidRDefault="00D146FA" w:rsidP="00273ABE">
      <w:pPr>
        <w:rPr>
          <w:lang w:val="en-GB"/>
        </w:rPr>
      </w:pPr>
      <w:r>
        <w:rPr>
          <w:b/>
          <w:lang w:val="en-GB"/>
        </w:rPr>
        <w:t xml:space="preserve">ECC further states that </w:t>
      </w:r>
      <w:r>
        <w:rPr>
          <w:lang w:val="en-GB"/>
        </w:rPr>
        <w:t>t</w:t>
      </w:r>
      <w:r w:rsidR="00273ABE">
        <w:rPr>
          <w:lang w:val="en-GB"/>
        </w:rPr>
        <w:t xml:space="preserve">he </w:t>
      </w:r>
      <w:bookmarkStart w:id="0" w:name="_GoBack"/>
      <w:r w:rsidR="00273ABE">
        <w:rPr>
          <w:lang w:val="en-GB"/>
        </w:rPr>
        <w:t xml:space="preserve">workshop provided a valuable opportunity to set out some basic requirements </w:t>
      </w:r>
      <w:r w:rsidR="00865420">
        <w:rPr>
          <w:lang w:val="en-GB"/>
        </w:rPr>
        <w:t>for</w:t>
      </w:r>
      <w:r w:rsidR="00273ABE">
        <w:rPr>
          <w:lang w:val="en-GB"/>
        </w:rPr>
        <w:t xml:space="preserve"> the relevant use of </w:t>
      </w:r>
      <w:r w:rsidR="000B40B4">
        <w:rPr>
          <w:lang w:val="en-GB"/>
        </w:rPr>
        <w:t xml:space="preserve">spectrum </w:t>
      </w:r>
      <w:r w:rsidR="00273ABE">
        <w:rPr>
          <w:lang w:val="en-GB"/>
        </w:rPr>
        <w:t xml:space="preserve">monitoring for </w:t>
      </w:r>
      <w:r w:rsidR="000B40B4">
        <w:rPr>
          <w:lang w:val="en-GB"/>
        </w:rPr>
        <w:t>use in</w:t>
      </w:r>
      <w:r w:rsidR="00273ABE">
        <w:rPr>
          <w:lang w:val="en-GB"/>
        </w:rPr>
        <w:t xml:space="preserve"> spectrum management planning.  It exposed a variety of current and possible future approaches, including several based on the use of normal deployments of mobile devices and vehicles to collect large quantities of data for </w:t>
      </w:r>
      <w:bookmarkEnd w:id="0"/>
      <w:r w:rsidR="00273ABE">
        <w:rPr>
          <w:lang w:val="en-GB"/>
        </w:rPr>
        <w:t xml:space="preserve">analysis.  The ECC would expect to maintain a keen interest in these approaches as they are developed </w:t>
      </w:r>
      <w:r w:rsidR="00865420">
        <w:rPr>
          <w:lang w:val="en-GB"/>
        </w:rPr>
        <w:t xml:space="preserve">over time </w:t>
      </w:r>
      <w:r w:rsidR="00273ABE">
        <w:rPr>
          <w:lang w:val="en-GB"/>
        </w:rPr>
        <w:t xml:space="preserve">to meet </w:t>
      </w:r>
      <w:r w:rsidR="00865420">
        <w:rPr>
          <w:lang w:val="en-GB"/>
        </w:rPr>
        <w:t>the</w:t>
      </w:r>
      <w:r w:rsidR="00273ABE">
        <w:rPr>
          <w:lang w:val="en-GB"/>
        </w:rPr>
        <w:t xml:space="preserve"> relevant standard</w:t>
      </w:r>
      <w:r w:rsidR="00865420">
        <w:rPr>
          <w:lang w:val="en-GB"/>
        </w:rPr>
        <w:t>s of rigour on issues such as calibration</w:t>
      </w:r>
      <w:r w:rsidR="00273ABE">
        <w:rPr>
          <w:lang w:val="en-GB"/>
        </w:rPr>
        <w:t xml:space="preserve">. </w:t>
      </w:r>
    </w:p>
    <w:p w:rsidR="00273ABE" w:rsidRDefault="00273ABE" w:rsidP="00D70048">
      <w:pPr>
        <w:rPr>
          <w:lang w:val="en-GB"/>
        </w:rPr>
      </w:pPr>
    </w:p>
    <w:p w:rsidR="00273ABE" w:rsidRPr="00D70048" w:rsidRDefault="00273ABE" w:rsidP="00D70048">
      <w:pPr>
        <w:rPr>
          <w:lang w:val="en-GB"/>
        </w:rPr>
      </w:pPr>
    </w:p>
    <w:p w:rsidR="00D70048" w:rsidRPr="00DE5E01" w:rsidRDefault="00D70048" w:rsidP="00DE5E01">
      <w:pPr>
        <w:rPr>
          <w:lang w:val="en-GB"/>
        </w:rPr>
      </w:pPr>
    </w:p>
    <w:sectPr w:rsidR="00D70048" w:rsidRPr="00DE5E01" w:rsidSect="008F677F">
      <w:footerReference w:type="even" r:id="rId9"/>
      <w:footerReference w:type="default" r:id="rId10"/>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2C" w:rsidRDefault="0052132C">
      <w:r>
        <w:separator/>
      </w:r>
    </w:p>
  </w:endnote>
  <w:endnote w:type="continuationSeparator" w:id="0">
    <w:p w:rsidR="0052132C" w:rsidRDefault="0052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2F7BE8">
    <w:pPr>
      <w:framePr w:wrap="around" w:vAnchor="text" w:hAnchor="margin" w:xAlign="center" w:y="1"/>
      <w:rPr>
        <w:rStyle w:val="Numrodepage"/>
      </w:rPr>
    </w:pPr>
    <w:r>
      <w:rPr>
        <w:rStyle w:val="Numrodepage"/>
      </w:rPr>
      <w:fldChar w:fldCharType="begin"/>
    </w:r>
    <w:r w:rsidR="005269EA">
      <w:rPr>
        <w:rStyle w:val="Numrodepage"/>
      </w:rPr>
      <w:instrText xml:space="preserve">PAGE  </w:instrTex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2F7BE8">
    <w:pPr>
      <w:framePr w:wrap="around" w:vAnchor="text" w:hAnchor="margin" w:xAlign="center" w:y="1"/>
      <w:rPr>
        <w:rStyle w:val="Numrodepage"/>
        <w:sz w:val="20"/>
      </w:rPr>
    </w:pPr>
    <w:r>
      <w:rPr>
        <w:rStyle w:val="Numrodepage"/>
        <w:sz w:val="20"/>
      </w:rPr>
      <w:fldChar w:fldCharType="begin"/>
    </w:r>
    <w:r w:rsidR="005269EA">
      <w:rPr>
        <w:rStyle w:val="Numrodepage"/>
        <w:sz w:val="20"/>
      </w:rPr>
      <w:instrText xml:space="preserve">PAGE  </w:instrText>
    </w:r>
    <w:r>
      <w:rPr>
        <w:rStyle w:val="Numrodepage"/>
        <w:sz w:val="20"/>
      </w:rPr>
      <w:fldChar w:fldCharType="separate"/>
    </w:r>
    <w:r w:rsidR="00A71194">
      <w:rPr>
        <w:rStyle w:val="Numrodepage"/>
        <w:noProof/>
        <w:sz w:val="20"/>
      </w:rPr>
      <w:t>2</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2C" w:rsidRDefault="0052132C">
      <w:r>
        <w:separator/>
      </w:r>
    </w:p>
  </w:footnote>
  <w:footnote w:type="continuationSeparator" w:id="0">
    <w:p w:rsidR="0052132C" w:rsidRDefault="0052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EA40F57"/>
    <w:multiLevelType w:val="hybridMultilevel"/>
    <w:tmpl w:val="51CA18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nsid w:val="7A876E7D"/>
    <w:multiLevelType w:val="hybridMultilevel"/>
    <w:tmpl w:val="7064291E"/>
    <w:lvl w:ilvl="0" w:tplc="84729EBA">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0"/>
  </w:num>
  <w:num w:numId="3">
    <w:abstractNumId w:val="10"/>
  </w:num>
  <w:num w:numId="4">
    <w:abstractNumId w:val="10"/>
  </w:num>
  <w:num w:numId="5">
    <w:abstractNumId w:val="10"/>
  </w:num>
  <w:num w:numId="6">
    <w:abstractNumId w:val="9"/>
  </w:num>
  <w:num w:numId="7">
    <w:abstractNumId w:val="10"/>
  </w:num>
  <w:num w:numId="8">
    <w:abstractNumId w:val="10"/>
  </w:num>
  <w:num w:numId="9">
    <w:abstractNumId w:val="2"/>
  </w:num>
  <w:num w:numId="10">
    <w:abstractNumId w:val="5"/>
  </w:num>
  <w:num w:numId="11">
    <w:abstractNumId w:val="4"/>
  </w:num>
  <w:num w:numId="12">
    <w:abstractNumId w:val="6"/>
  </w:num>
  <w:num w:numId="13">
    <w:abstractNumId w:val="3"/>
  </w:num>
  <w:num w:numId="14">
    <w:abstractNumId w:val="1"/>
  </w:num>
  <w:num w:numId="15">
    <w:abstractNumId w:val="11"/>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68"/>
    <w:rsid w:val="000024DF"/>
    <w:rsid w:val="000233C6"/>
    <w:rsid w:val="00033112"/>
    <w:rsid w:val="000364E2"/>
    <w:rsid w:val="00042E6D"/>
    <w:rsid w:val="00044D7D"/>
    <w:rsid w:val="000641A7"/>
    <w:rsid w:val="00086867"/>
    <w:rsid w:val="00095D52"/>
    <w:rsid w:val="00097E34"/>
    <w:rsid w:val="000B0905"/>
    <w:rsid w:val="000B40B4"/>
    <w:rsid w:val="000D0F3C"/>
    <w:rsid w:val="000E346F"/>
    <w:rsid w:val="000F1373"/>
    <w:rsid w:val="00106047"/>
    <w:rsid w:val="00113B49"/>
    <w:rsid w:val="00135FE7"/>
    <w:rsid w:val="00161D26"/>
    <w:rsid w:val="00162CBB"/>
    <w:rsid w:val="0016435A"/>
    <w:rsid w:val="001D181E"/>
    <w:rsid w:val="001E0E49"/>
    <w:rsid w:val="001F2614"/>
    <w:rsid w:val="00215746"/>
    <w:rsid w:val="00222F7B"/>
    <w:rsid w:val="00260D98"/>
    <w:rsid w:val="0026766F"/>
    <w:rsid w:val="00273ABE"/>
    <w:rsid w:val="00277BC1"/>
    <w:rsid w:val="0028051D"/>
    <w:rsid w:val="00294331"/>
    <w:rsid w:val="002A02A3"/>
    <w:rsid w:val="002B169D"/>
    <w:rsid w:val="002B47FC"/>
    <w:rsid w:val="002B683F"/>
    <w:rsid w:val="002F7BE8"/>
    <w:rsid w:val="00314E5E"/>
    <w:rsid w:val="00326C68"/>
    <w:rsid w:val="00327462"/>
    <w:rsid w:val="00346C62"/>
    <w:rsid w:val="00357A5F"/>
    <w:rsid w:val="0039030E"/>
    <w:rsid w:val="003A57CC"/>
    <w:rsid w:val="003B1654"/>
    <w:rsid w:val="003C2268"/>
    <w:rsid w:val="003C4848"/>
    <w:rsid w:val="003C53D0"/>
    <w:rsid w:val="003E76E9"/>
    <w:rsid w:val="003F73E2"/>
    <w:rsid w:val="004002F7"/>
    <w:rsid w:val="00430369"/>
    <w:rsid w:val="00431D12"/>
    <w:rsid w:val="004369DC"/>
    <w:rsid w:val="00443C40"/>
    <w:rsid w:val="004648A4"/>
    <w:rsid w:val="004662F9"/>
    <w:rsid w:val="00486369"/>
    <w:rsid w:val="00493F86"/>
    <w:rsid w:val="004A099D"/>
    <w:rsid w:val="004A47FF"/>
    <w:rsid w:val="004B23D3"/>
    <w:rsid w:val="004F061E"/>
    <w:rsid w:val="004F2824"/>
    <w:rsid w:val="004F2E89"/>
    <w:rsid w:val="00500553"/>
    <w:rsid w:val="0052132C"/>
    <w:rsid w:val="005269EA"/>
    <w:rsid w:val="0053015C"/>
    <w:rsid w:val="00533846"/>
    <w:rsid w:val="005348B2"/>
    <w:rsid w:val="005434C4"/>
    <w:rsid w:val="00554550"/>
    <w:rsid w:val="005549FF"/>
    <w:rsid w:val="00562E1E"/>
    <w:rsid w:val="005761BB"/>
    <w:rsid w:val="005F1C1F"/>
    <w:rsid w:val="00616265"/>
    <w:rsid w:val="0063524D"/>
    <w:rsid w:val="006542C3"/>
    <w:rsid w:val="0065588F"/>
    <w:rsid w:val="00664805"/>
    <w:rsid w:val="00684589"/>
    <w:rsid w:val="006845C9"/>
    <w:rsid w:val="006902F9"/>
    <w:rsid w:val="00690B4B"/>
    <w:rsid w:val="0069180A"/>
    <w:rsid w:val="006C4BCC"/>
    <w:rsid w:val="006D1EAC"/>
    <w:rsid w:val="006E1FA9"/>
    <w:rsid w:val="0070740D"/>
    <w:rsid w:val="007538DB"/>
    <w:rsid w:val="0075560F"/>
    <w:rsid w:val="00782F34"/>
    <w:rsid w:val="007925CA"/>
    <w:rsid w:val="00793843"/>
    <w:rsid w:val="007A1831"/>
    <w:rsid w:val="007A49AD"/>
    <w:rsid w:val="00802521"/>
    <w:rsid w:val="00807AA2"/>
    <w:rsid w:val="00807F54"/>
    <w:rsid w:val="00820168"/>
    <w:rsid w:val="00865420"/>
    <w:rsid w:val="008663F6"/>
    <w:rsid w:val="00884205"/>
    <w:rsid w:val="008A37BA"/>
    <w:rsid w:val="008D2718"/>
    <w:rsid w:val="008D4942"/>
    <w:rsid w:val="008D763E"/>
    <w:rsid w:val="008F33D5"/>
    <w:rsid w:val="008F5596"/>
    <w:rsid w:val="008F5ECB"/>
    <w:rsid w:val="008F677F"/>
    <w:rsid w:val="009852E6"/>
    <w:rsid w:val="0098621D"/>
    <w:rsid w:val="00997A4D"/>
    <w:rsid w:val="009B3CB6"/>
    <w:rsid w:val="009C2F3B"/>
    <w:rsid w:val="009D242F"/>
    <w:rsid w:val="009D4B2F"/>
    <w:rsid w:val="00A024A8"/>
    <w:rsid w:val="00A235AB"/>
    <w:rsid w:val="00A267CE"/>
    <w:rsid w:val="00A31216"/>
    <w:rsid w:val="00A477F3"/>
    <w:rsid w:val="00A64930"/>
    <w:rsid w:val="00A71194"/>
    <w:rsid w:val="00A77E89"/>
    <w:rsid w:val="00A87C8C"/>
    <w:rsid w:val="00A95309"/>
    <w:rsid w:val="00AA26E7"/>
    <w:rsid w:val="00AA3CFD"/>
    <w:rsid w:val="00AA59E8"/>
    <w:rsid w:val="00AC0304"/>
    <w:rsid w:val="00AC345D"/>
    <w:rsid w:val="00AD241F"/>
    <w:rsid w:val="00AE7906"/>
    <w:rsid w:val="00B0161E"/>
    <w:rsid w:val="00B1073A"/>
    <w:rsid w:val="00B1660B"/>
    <w:rsid w:val="00B56B27"/>
    <w:rsid w:val="00B6512A"/>
    <w:rsid w:val="00B70CD3"/>
    <w:rsid w:val="00B90507"/>
    <w:rsid w:val="00BB27C5"/>
    <w:rsid w:val="00BC2918"/>
    <w:rsid w:val="00BE4CC9"/>
    <w:rsid w:val="00BF2999"/>
    <w:rsid w:val="00C11F1D"/>
    <w:rsid w:val="00C154C2"/>
    <w:rsid w:val="00C3050E"/>
    <w:rsid w:val="00C309B1"/>
    <w:rsid w:val="00C43796"/>
    <w:rsid w:val="00C47BE9"/>
    <w:rsid w:val="00C5418E"/>
    <w:rsid w:val="00C60D46"/>
    <w:rsid w:val="00C62218"/>
    <w:rsid w:val="00C75E0E"/>
    <w:rsid w:val="00C76C32"/>
    <w:rsid w:val="00C82BC5"/>
    <w:rsid w:val="00CB0BBB"/>
    <w:rsid w:val="00CD4FA2"/>
    <w:rsid w:val="00CD51FD"/>
    <w:rsid w:val="00CE40EE"/>
    <w:rsid w:val="00CE6591"/>
    <w:rsid w:val="00D004D0"/>
    <w:rsid w:val="00D00B4F"/>
    <w:rsid w:val="00D14191"/>
    <w:rsid w:val="00D146FA"/>
    <w:rsid w:val="00D149DA"/>
    <w:rsid w:val="00D34708"/>
    <w:rsid w:val="00D53B5D"/>
    <w:rsid w:val="00D671A5"/>
    <w:rsid w:val="00D70048"/>
    <w:rsid w:val="00DD08BA"/>
    <w:rsid w:val="00DE5E01"/>
    <w:rsid w:val="00DF2A80"/>
    <w:rsid w:val="00E232D3"/>
    <w:rsid w:val="00E2796D"/>
    <w:rsid w:val="00E27C6A"/>
    <w:rsid w:val="00E40873"/>
    <w:rsid w:val="00E561B8"/>
    <w:rsid w:val="00E577A4"/>
    <w:rsid w:val="00E779E2"/>
    <w:rsid w:val="00E87AEF"/>
    <w:rsid w:val="00E93323"/>
    <w:rsid w:val="00E95CFE"/>
    <w:rsid w:val="00ED7AEC"/>
    <w:rsid w:val="00EE07DC"/>
    <w:rsid w:val="00EE6D93"/>
    <w:rsid w:val="00EF1568"/>
    <w:rsid w:val="00F05B26"/>
    <w:rsid w:val="00F22950"/>
    <w:rsid w:val="00F311FB"/>
    <w:rsid w:val="00F37A73"/>
    <w:rsid w:val="00F43BE8"/>
    <w:rsid w:val="00F53012"/>
    <w:rsid w:val="00FA15BA"/>
    <w:rsid w:val="00FA6EBF"/>
    <w:rsid w:val="00FA7FC5"/>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Textedebulles">
    <w:name w:val="Balloon Text"/>
    <w:basedOn w:val="Normal"/>
    <w:link w:val="TextedebullesCar"/>
    <w:rsid w:val="00273ABE"/>
    <w:pPr>
      <w:spacing w:after="0"/>
    </w:pPr>
    <w:rPr>
      <w:rFonts w:ascii="Tahoma" w:hAnsi="Tahoma" w:cs="Tahoma"/>
      <w:sz w:val="16"/>
      <w:szCs w:val="16"/>
    </w:rPr>
  </w:style>
  <w:style w:type="character" w:customStyle="1" w:styleId="TextedebullesCar">
    <w:name w:val="Texte de bulles Car"/>
    <w:basedOn w:val="Policepardfaut"/>
    <w:link w:val="Textedebulles"/>
    <w:rsid w:val="00273ABE"/>
    <w:rPr>
      <w:rFonts w:ascii="Tahoma" w:hAnsi="Tahoma" w:cs="Tahoma"/>
      <w:sz w:val="16"/>
      <w:szCs w:val="16"/>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Textedebulles">
    <w:name w:val="Balloon Text"/>
    <w:basedOn w:val="Normal"/>
    <w:link w:val="TextedebullesCar"/>
    <w:rsid w:val="00273ABE"/>
    <w:pPr>
      <w:spacing w:after="0"/>
    </w:pPr>
    <w:rPr>
      <w:rFonts w:ascii="Tahoma" w:hAnsi="Tahoma" w:cs="Tahoma"/>
      <w:sz w:val="16"/>
      <w:szCs w:val="16"/>
    </w:rPr>
  </w:style>
  <w:style w:type="character" w:customStyle="1" w:styleId="TextedebullesCar">
    <w:name w:val="Texte de bulles Car"/>
    <w:basedOn w:val="Policepardfaut"/>
    <w:link w:val="Textedebulles"/>
    <w:rsid w:val="00273ABE"/>
    <w:rPr>
      <w:rFonts w:ascii="Tahoma" w:hAnsi="Tahoma" w:cs="Tahoma"/>
      <w:sz w:val="16"/>
      <w:szCs w:val="16"/>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1c\Lokale%20Einstellungen\Temporary%20Internet%20Files\Content.IE5\39AY32B9\FORM01_Input_contribu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FORM01_Input_contribution[1]</Template>
  <TotalTime>4</TotalTime>
  <Pages>2</Pages>
  <Words>696</Words>
  <Characters>3833</Characters>
  <Application>Microsoft Office Word</Application>
  <DocSecurity>0</DocSecurity>
  <Lines>31</Lines>
  <Paragraphs>9</Paragraphs>
  <ScaleCrop>false</ScaleCrop>
  <HeadingPairs>
    <vt:vector size="8"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ector>
  </HeadingPairs>
  <TitlesOfParts>
    <vt:vector size="4" baseType="lpstr">
      <vt:lpstr>Cover page</vt:lpstr>
      <vt:lpstr>Cover page</vt:lpstr>
      <vt:lpstr>Cover page</vt:lpstr>
      <vt:lpstr>Cover page</vt:lpstr>
    </vt:vector>
  </TitlesOfParts>
  <Company>BNetzA</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ECC Template</dc:subject>
  <dc:creator>221-1c</dc:creator>
  <cp:keywords>ECC, CEPT, Template</cp:keywords>
  <cp:lastModifiedBy>RISSONE Christian</cp:lastModifiedBy>
  <cp:revision>6</cp:revision>
  <cp:lastPrinted>1999-09-27T14:20:00Z</cp:lastPrinted>
  <dcterms:created xsi:type="dcterms:W3CDTF">2014-03-12T14:51:00Z</dcterms:created>
  <dcterms:modified xsi:type="dcterms:W3CDTF">2014-03-17T16:29:00Z</dcterms:modified>
</cp:coreProperties>
</file>