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6"/>
        <w:gridCol w:w="2501"/>
        <w:gridCol w:w="1733"/>
        <w:gridCol w:w="3560"/>
      </w:tblGrid>
      <w:tr w:rsidR="00346C62" w:rsidRPr="0098621D" w:rsidTr="007F2BA0">
        <w:trPr>
          <w:cantSplit/>
          <w:trHeight w:val="1715"/>
        </w:trPr>
        <w:tc>
          <w:tcPr>
            <w:tcW w:w="6080" w:type="dxa"/>
            <w:gridSpan w:val="3"/>
            <w:tcBorders>
              <w:top w:val="nil"/>
              <w:left w:val="nil"/>
              <w:bottom w:val="nil"/>
              <w:right w:val="nil"/>
            </w:tcBorders>
          </w:tcPr>
          <w:p w:rsidR="00346C62" w:rsidRPr="0098621D" w:rsidRDefault="00A83AA9" w:rsidP="00215746">
            <w:pPr>
              <w:pStyle w:val="Kopfzeile1"/>
            </w:pPr>
            <w:r>
              <w:rPr>
                <w:noProof/>
                <w:lang w:val="fr-FR" w:eastAsia="fr-FR"/>
              </w:rPr>
              <w:drawing>
                <wp:inline distT="0" distB="0" distL="0" distR="0" wp14:anchorId="24039DE9" wp14:editId="39CDBEF3">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D7AEC">
              <w:t>Plenary</w:t>
            </w:r>
          </w:p>
          <w:p w:rsidR="00346C62" w:rsidRPr="0098621D" w:rsidRDefault="00346C62" w:rsidP="00215746">
            <w:pPr>
              <w:pStyle w:val="Kopfzeile1"/>
              <w:rPr>
                <w:rFonts w:cs="Arial"/>
                <w:color w:val="000000"/>
                <w:lang w:val="en-GB"/>
              </w:rPr>
            </w:pPr>
          </w:p>
        </w:tc>
        <w:tc>
          <w:tcPr>
            <w:tcW w:w="3560" w:type="dxa"/>
            <w:tcBorders>
              <w:top w:val="nil"/>
              <w:left w:val="nil"/>
              <w:bottom w:val="nil"/>
              <w:right w:val="nil"/>
            </w:tcBorders>
          </w:tcPr>
          <w:p w:rsidR="00346C62" w:rsidRPr="00346C62" w:rsidRDefault="0098621D" w:rsidP="00EC0990">
            <w:pPr>
              <w:pStyle w:val="Kopfzeile1"/>
              <w:tabs>
                <w:tab w:val="clear" w:pos="4536"/>
                <w:tab w:val="right" w:pos="3357"/>
              </w:tabs>
            </w:pPr>
            <w:r>
              <w:tab/>
            </w:r>
            <w:r w:rsidR="00533846">
              <w:t>Doc</w:t>
            </w:r>
            <w:r w:rsidR="00ED7AEC">
              <w:t>. ECC(1</w:t>
            </w:r>
            <w:r w:rsidR="00D149DA">
              <w:t>3</w:t>
            </w:r>
            <w:r w:rsidR="00ED7AEC">
              <w:t>)</w:t>
            </w:r>
            <w:r w:rsidR="00EC0990">
              <w:t>019</w:t>
            </w:r>
          </w:p>
        </w:tc>
      </w:tr>
      <w:tr w:rsidR="00346C62" w:rsidRPr="0098621D" w:rsidTr="007F2BA0">
        <w:tblPrEx>
          <w:tblCellMar>
            <w:left w:w="108" w:type="dxa"/>
            <w:right w:w="108" w:type="dxa"/>
          </w:tblCellMar>
        </w:tblPrEx>
        <w:trPr>
          <w:cantSplit/>
          <w:trHeight w:val="437"/>
        </w:trPr>
        <w:tc>
          <w:tcPr>
            <w:tcW w:w="4347" w:type="dxa"/>
            <w:gridSpan w:val="2"/>
            <w:tcBorders>
              <w:top w:val="nil"/>
              <w:left w:val="nil"/>
              <w:bottom w:val="nil"/>
              <w:right w:val="nil"/>
            </w:tcBorders>
            <w:vAlign w:val="center"/>
          </w:tcPr>
          <w:p w:rsidR="00346C62" w:rsidRPr="00D149DA" w:rsidRDefault="00D149DA" w:rsidP="00D149DA">
            <w:pPr>
              <w:pStyle w:val="Kopfzeile1"/>
              <w:rPr>
                <w:lang w:val="en-GB"/>
              </w:rPr>
            </w:pPr>
            <w:r>
              <w:rPr>
                <w:lang w:val="en-GB"/>
              </w:rPr>
              <w:t>33</w:t>
            </w:r>
            <w:r w:rsidRPr="00D149DA">
              <w:rPr>
                <w:vertAlign w:val="superscript"/>
                <w:lang w:val="en-GB"/>
              </w:rPr>
              <w:t>rd</w:t>
            </w:r>
            <w:r>
              <w:rPr>
                <w:lang w:val="en-GB"/>
              </w:rPr>
              <w:t xml:space="preserve"> </w:t>
            </w:r>
            <w:r w:rsidR="001E0E49" w:rsidRPr="00D149DA">
              <w:rPr>
                <w:lang w:val="en-GB"/>
              </w:rPr>
              <w:t>Meeting</w:t>
            </w:r>
          </w:p>
        </w:tc>
        <w:tc>
          <w:tcPr>
            <w:tcW w:w="5293"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346C62" w:rsidRPr="0098621D" w:rsidTr="007F2BA0">
        <w:tblPrEx>
          <w:tblCellMar>
            <w:left w:w="108" w:type="dxa"/>
            <w:right w:w="108" w:type="dxa"/>
          </w:tblCellMar>
        </w:tblPrEx>
        <w:trPr>
          <w:cantSplit/>
          <w:trHeight w:val="437"/>
        </w:trPr>
        <w:tc>
          <w:tcPr>
            <w:tcW w:w="4347" w:type="dxa"/>
            <w:gridSpan w:val="2"/>
            <w:tcBorders>
              <w:top w:val="nil"/>
              <w:left w:val="nil"/>
              <w:bottom w:val="nil"/>
              <w:right w:val="nil"/>
            </w:tcBorders>
            <w:vAlign w:val="center"/>
          </w:tcPr>
          <w:p w:rsidR="00346C62" w:rsidRPr="00D149DA" w:rsidRDefault="00500553" w:rsidP="00D149DA">
            <w:pPr>
              <w:pStyle w:val="Kopfzeile1"/>
              <w:rPr>
                <w:lang w:val="en-GB"/>
              </w:rPr>
            </w:pPr>
            <w:r w:rsidRPr="00D149DA">
              <w:rPr>
                <w:lang w:val="en-GB"/>
              </w:rPr>
              <w:t>Bratislava</w:t>
            </w:r>
            <w:r w:rsidR="001E0E49" w:rsidRPr="00D149DA">
              <w:rPr>
                <w:lang w:val="en-GB"/>
              </w:rPr>
              <w:t xml:space="preserve">, </w:t>
            </w:r>
            <w:r w:rsidR="00D149DA">
              <w:rPr>
                <w:lang w:val="en-GB"/>
              </w:rPr>
              <w:t>5</w:t>
            </w:r>
            <w:r w:rsidR="00D149DA" w:rsidRPr="00D149DA">
              <w:rPr>
                <w:vertAlign w:val="superscript"/>
                <w:lang w:val="en-GB"/>
              </w:rPr>
              <w:t>th</w:t>
            </w:r>
            <w:r w:rsidR="00D149DA">
              <w:rPr>
                <w:lang w:val="en-GB"/>
              </w:rPr>
              <w:t xml:space="preserve"> </w:t>
            </w:r>
            <w:r w:rsidR="00A64930" w:rsidRPr="00D149DA">
              <w:rPr>
                <w:lang w:val="en-GB"/>
              </w:rPr>
              <w:t>–</w:t>
            </w:r>
            <w:r w:rsidR="00EC0990">
              <w:rPr>
                <w:lang w:val="en-GB"/>
              </w:rPr>
              <w:t xml:space="preserve"> </w:t>
            </w:r>
            <w:bookmarkStart w:id="0" w:name="_GoBack"/>
            <w:bookmarkEnd w:id="0"/>
            <w:r w:rsidR="00D149DA">
              <w:rPr>
                <w:lang w:val="en-GB"/>
              </w:rPr>
              <w:t>8</w:t>
            </w:r>
            <w:r w:rsidR="00D149DA" w:rsidRPr="00D149DA">
              <w:rPr>
                <w:vertAlign w:val="superscript"/>
                <w:lang w:val="en-GB"/>
              </w:rPr>
              <w:t>th</w:t>
            </w:r>
            <w:r w:rsidR="00D149DA">
              <w:rPr>
                <w:lang w:val="en-GB"/>
              </w:rPr>
              <w:t xml:space="preserve"> </w:t>
            </w:r>
            <w:r w:rsidRPr="00D149DA">
              <w:rPr>
                <w:lang w:val="en-GB"/>
              </w:rPr>
              <w:t>March 2013</w:t>
            </w:r>
          </w:p>
        </w:tc>
        <w:tc>
          <w:tcPr>
            <w:tcW w:w="5293"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F05B26" w:rsidRPr="0098621D" w:rsidTr="007F2BA0">
        <w:tblPrEx>
          <w:tblCellMar>
            <w:left w:w="108" w:type="dxa"/>
            <w:right w:w="108" w:type="dxa"/>
          </w:tblCellMar>
        </w:tblPrEx>
        <w:trPr>
          <w:cantSplit/>
          <w:trHeight w:val="86"/>
        </w:trPr>
        <w:tc>
          <w:tcPr>
            <w:tcW w:w="4347" w:type="dxa"/>
            <w:gridSpan w:val="2"/>
            <w:tcBorders>
              <w:top w:val="nil"/>
              <w:left w:val="nil"/>
              <w:bottom w:val="nil"/>
              <w:right w:val="nil"/>
            </w:tcBorders>
            <w:vAlign w:val="center"/>
          </w:tcPr>
          <w:p w:rsidR="00F05B26" w:rsidRPr="00D149DA" w:rsidRDefault="00F05B26" w:rsidP="00215746">
            <w:pPr>
              <w:pStyle w:val="Kopfzeile1"/>
              <w:rPr>
                <w:sz w:val="8"/>
                <w:lang w:val="en-GB"/>
              </w:rPr>
            </w:pPr>
          </w:p>
        </w:tc>
        <w:tc>
          <w:tcPr>
            <w:tcW w:w="5293" w:type="dxa"/>
            <w:gridSpan w:val="2"/>
            <w:tcBorders>
              <w:top w:val="nil"/>
              <w:left w:val="nil"/>
              <w:bottom w:val="nil"/>
              <w:right w:val="nil"/>
            </w:tcBorders>
            <w:vAlign w:val="center"/>
          </w:tcPr>
          <w:p w:rsidR="00F05B26" w:rsidRPr="0098621D" w:rsidRDefault="00F05B26" w:rsidP="00215746">
            <w:pPr>
              <w:pStyle w:val="Kopfzeile1"/>
              <w:rPr>
                <w:sz w:val="8"/>
                <w:lang w:val="en-GB"/>
              </w:rPr>
            </w:pPr>
          </w:p>
        </w:tc>
      </w:tr>
      <w:tr w:rsidR="00F05B26" w:rsidRPr="0098621D" w:rsidTr="007F2BA0">
        <w:tblPrEx>
          <w:tblCellMar>
            <w:left w:w="108" w:type="dxa"/>
            <w:right w:w="108" w:type="dxa"/>
          </w:tblCellMar>
        </w:tblPrEx>
        <w:trPr>
          <w:cantSplit/>
          <w:trHeight w:val="437"/>
        </w:trPr>
        <w:tc>
          <w:tcPr>
            <w:tcW w:w="1846"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Date issued:</w:t>
            </w:r>
            <w:r w:rsidR="005269EA" w:rsidRPr="00D149DA">
              <w:rPr>
                <w:lang w:val="en-GB"/>
              </w:rPr>
              <w:t xml:space="preserve"> </w:t>
            </w:r>
          </w:p>
        </w:tc>
        <w:tc>
          <w:tcPr>
            <w:tcW w:w="7794" w:type="dxa"/>
            <w:gridSpan w:val="3"/>
            <w:tcBorders>
              <w:top w:val="nil"/>
              <w:left w:val="nil"/>
              <w:bottom w:val="nil"/>
              <w:right w:val="nil"/>
            </w:tcBorders>
            <w:vAlign w:val="center"/>
          </w:tcPr>
          <w:p w:rsidR="00F05B26" w:rsidRPr="0098621D" w:rsidRDefault="00947AD6" w:rsidP="00947AD6">
            <w:pPr>
              <w:pStyle w:val="Kopfzeile1"/>
              <w:rPr>
                <w:lang w:val="en-GB"/>
              </w:rPr>
            </w:pPr>
            <w:r>
              <w:rPr>
                <w:lang w:val="en-GB"/>
              </w:rPr>
              <w:t>26</w:t>
            </w:r>
            <w:r w:rsidR="00B32369">
              <w:rPr>
                <w:lang w:val="en-GB"/>
              </w:rPr>
              <w:t xml:space="preserve"> February 2013</w:t>
            </w:r>
          </w:p>
        </w:tc>
      </w:tr>
      <w:tr w:rsidR="00F05B26" w:rsidRPr="0098621D" w:rsidTr="007F2BA0">
        <w:tblPrEx>
          <w:tblCellMar>
            <w:left w:w="108" w:type="dxa"/>
            <w:right w:w="108" w:type="dxa"/>
          </w:tblCellMar>
        </w:tblPrEx>
        <w:trPr>
          <w:cantSplit/>
          <w:trHeight w:val="437"/>
        </w:trPr>
        <w:tc>
          <w:tcPr>
            <w:tcW w:w="1846"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Source:</w:t>
            </w:r>
            <w:r w:rsidR="00ED7AEC" w:rsidRPr="00D149DA">
              <w:rPr>
                <w:lang w:val="en-GB"/>
              </w:rPr>
              <w:t xml:space="preserve"> </w:t>
            </w:r>
          </w:p>
        </w:tc>
        <w:tc>
          <w:tcPr>
            <w:tcW w:w="7794" w:type="dxa"/>
            <w:gridSpan w:val="3"/>
            <w:tcBorders>
              <w:top w:val="nil"/>
              <w:left w:val="nil"/>
              <w:bottom w:val="nil"/>
              <w:right w:val="nil"/>
            </w:tcBorders>
            <w:vAlign w:val="center"/>
          </w:tcPr>
          <w:p w:rsidR="00F05B26" w:rsidRPr="0098621D" w:rsidRDefault="00B32369" w:rsidP="00215746">
            <w:pPr>
              <w:pStyle w:val="Kopfzeile1"/>
              <w:rPr>
                <w:lang w:val="en-GB"/>
              </w:rPr>
            </w:pPr>
            <w:r>
              <w:rPr>
                <w:lang w:val="en-GB"/>
              </w:rPr>
              <w:t>ECO</w:t>
            </w:r>
          </w:p>
        </w:tc>
      </w:tr>
      <w:tr w:rsidR="00F05B26" w:rsidRPr="0098621D" w:rsidTr="007F2BA0">
        <w:tblPrEx>
          <w:tblCellMar>
            <w:left w:w="108" w:type="dxa"/>
            <w:right w:w="108" w:type="dxa"/>
          </w:tblCellMar>
        </w:tblPrEx>
        <w:trPr>
          <w:cantSplit/>
          <w:trHeight w:val="437"/>
        </w:trPr>
        <w:tc>
          <w:tcPr>
            <w:tcW w:w="1846"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794" w:type="dxa"/>
            <w:gridSpan w:val="3"/>
            <w:tcBorders>
              <w:top w:val="nil"/>
              <w:left w:val="nil"/>
              <w:bottom w:val="nil"/>
              <w:right w:val="nil"/>
            </w:tcBorders>
            <w:vAlign w:val="center"/>
          </w:tcPr>
          <w:p w:rsidR="00F05B26" w:rsidRPr="001E0E49" w:rsidRDefault="00EA104A" w:rsidP="00EA104A">
            <w:pPr>
              <w:pStyle w:val="Kopfzeile1"/>
              <w:rPr>
                <w:lang w:val="en-GB"/>
              </w:rPr>
            </w:pPr>
            <w:r>
              <w:rPr>
                <w:lang w:val="en-GB"/>
              </w:rPr>
              <w:t>Two Further ECC Communications Initiatives</w:t>
            </w:r>
          </w:p>
        </w:tc>
      </w:tr>
      <w:tr w:rsidR="00493F86" w:rsidRPr="00C6037C" w:rsidTr="007F2BA0">
        <w:tblPrEx>
          <w:tblCellMar>
            <w:left w:w="108" w:type="dxa"/>
            <w:right w:w="108" w:type="dxa"/>
          </w:tblCellMar>
        </w:tblPrEx>
        <w:trPr>
          <w:cantSplit/>
          <w:trHeight w:val="1122"/>
        </w:trPr>
        <w:tc>
          <w:tcPr>
            <w:tcW w:w="9640" w:type="dxa"/>
            <w:gridSpan w:val="4"/>
            <w:tcBorders>
              <w:top w:val="nil"/>
              <w:left w:val="nil"/>
              <w:bottom w:val="nil"/>
              <w:right w:val="nil"/>
            </w:tcBorders>
            <w:vAlign w:val="center"/>
          </w:tcPr>
          <w:p w:rsidR="00493F86" w:rsidRPr="00C6037C" w:rsidRDefault="00A83AA9" w:rsidP="00FF320E">
            <w:pPr>
              <w:rPr>
                <w:rFonts w:cs="Arial"/>
                <w:szCs w:val="24"/>
                <w:lang w:val="en-GB"/>
              </w:rPr>
            </w:pPr>
            <w:r>
              <w:rPr>
                <w:noProof/>
                <w:lang w:val="fr-FR" w:eastAsia="fr-FR"/>
              </w:rPr>
              <mc:AlternateContent>
                <mc:Choice Requires="wps">
                  <w:drawing>
                    <wp:anchor distT="0" distB="0" distL="114300" distR="114300" simplePos="0" relativeHeight="251657728" behindDoc="1" locked="0" layoutInCell="1" allowOverlap="1" wp14:anchorId="252338CF" wp14:editId="53473072">
                      <wp:simplePos x="0" y="0"/>
                      <wp:positionH relativeFrom="column">
                        <wp:posOffset>3263900</wp:posOffset>
                      </wp:positionH>
                      <wp:positionV relativeFrom="paragraph">
                        <wp:posOffset>193675</wp:posOffset>
                      </wp:positionV>
                      <wp:extent cx="457200" cy="271145"/>
                      <wp:effectExtent l="0" t="0" r="0" b="0"/>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Pr="00C6037C" w:rsidRDefault="001D181E" w:rsidP="005B643C">
            <w:pPr>
              <w:rPr>
                <w:lang w:val="en-GB"/>
              </w:rPr>
            </w:pPr>
            <w:r w:rsidRPr="00C6037C">
              <w:rPr>
                <w:lang w:val="en-GB"/>
              </w:rPr>
              <w:t>Group membership</w:t>
            </w:r>
            <w:r w:rsidR="00493F86" w:rsidRPr="00C6037C">
              <w:rPr>
                <w:lang w:val="en-GB"/>
              </w:rPr>
              <w:t xml:space="preserve"> required</w:t>
            </w:r>
            <w:r w:rsidRPr="00C6037C">
              <w:rPr>
                <w:lang w:val="en-GB"/>
              </w:rPr>
              <w:t xml:space="preserve"> </w:t>
            </w:r>
            <w:proofErr w:type="gramStart"/>
            <w:r w:rsidRPr="00C6037C">
              <w:rPr>
                <w:lang w:val="en-GB"/>
              </w:rPr>
              <w:t>to read</w:t>
            </w:r>
            <w:proofErr w:type="gramEnd"/>
            <w:r w:rsidRPr="00C6037C">
              <w:rPr>
                <w:lang w:val="en-GB"/>
              </w:rPr>
              <w:t>? (Y/N)</w:t>
            </w:r>
          </w:p>
        </w:tc>
      </w:tr>
      <w:tr w:rsidR="00493F86" w:rsidRPr="00C6037C" w:rsidTr="007F2BA0">
        <w:tblPrEx>
          <w:tblCellMar>
            <w:left w:w="108" w:type="dxa"/>
            <w:right w:w="108" w:type="dxa"/>
          </w:tblCellMar>
        </w:tblPrEx>
        <w:trPr>
          <w:cantSplit/>
          <w:trHeight w:hRule="exact" w:val="80"/>
        </w:trPr>
        <w:tc>
          <w:tcPr>
            <w:tcW w:w="9640" w:type="dxa"/>
            <w:gridSpan w:val="4"/>
            <w:tcBorders>
              <w:top w:val="nil"/>
              <w:left w:val="nil"/>
              <w:bottom w:val="nil"/>
              <w:right w:val="nil"/>
            </w:tcBorders>
            <w:vAlign w:val="center"/>
          </w:tcPr>
          <w:p w:rsidR="00493F86" w:rsidRDefault="00493F86" w:rsidP="00FF320E">
            <w:pPr>
              <w:pStyle w:val="Header1"/>
              <w:rPr>
                <w:lang w:val="en-GB"/>
              </w:rPr>
            </w:pPr>
          </w:p>
          <w:p w:rsidR="007F2BA0" w:rsidRPr="00C6037C" w:rsidRDefault="007F2BA0" w:rsidP="00FF320E">
            <w:pPr>
              <w:pStyle w:val="Header1"/>
              <w:rPr>
                <w:lang w:val="en-GB"/>
              </w:rPr>
            </w:pPr>
          </w:p>
          <w:p w:rsidR="00493F86" w:rsidRPr="00C6037C" w:rsidRDefault="00493F86" w:rsidP="00FF320E">
            <w:pPr>
              <w:pStyle w:val="Header1"/>
              <w:rPr>
                <w:sz w:val="8"/>
                <w:lang w:val="en-GB"/>
              </w:rPr>
            </w:pPr>
          </w:p>
        </w:tc>
      </w:tr>
      <w:tr w:rsidR="001E0E49" w:rsidRPr="00C6037C" w:rsidTr="007F2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9640" w:type="dxa"/>
            <w:gridSpan w:val="4"/>
            <w:tcBorders>
              <w:bottom w:val="nil"/>
            </w:tcBorders>
          </w:tcPr>
          <w:p w:rsidR="007F2BA0" w:rsidRDefault="007F2BA0" w:rsidP="001E0E49">
            <w:pPr>
              <w:pStyle w:val="Kopfzeile1"/>
              <w:rPr>
                <w:lang w:val="en-GB"/>
              </w:rPr>
            </w:pPr>
          </w:p>
          <w:p w:rsidR="001E0E49" w:rsidRPr="00C6037C" w:rsidRDefault="001E0E49" w:rsidP="001E0E49">
            <w:pPr>
              <w:pStyle w:val="Kopfzeile1"/>
              <w:rPr>
                <w:lang w:val="en-GB"/>
              </w:rPr>
            </w:pPr>
            <w:r w:rsidRPr="00C6037C">
              <w:rPr>
                <w:lang w:val="en-GB"/>
              </w:rPr>
              <w:t xml:space="preserve">Summary: </w:t>
            </w:r>
          </w:p>
        </w:tc>
      </w:tr>
      <w:tr w:rsidR="001E0E49" w:rsidRPr="001634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7F2BA0" w:rsidRDefault="007F2BA0" w:rsidP="001E0E49">
            <w:pPr>
              <w:rPr>
                <w:lang w:val="en-GB"/>
              </w:rPr>
            </w:pPr>
          </w:p>
          <w:p w:rsidR="00232D4A" w:rsidRDefault="00EA104A" w:rsidP="001E0E49">
            <w:pPr>
              <w:rPr>
                <w:bCs/>
                <w:szCs w:val="24"/>
                <w:lang w:val="en-GB"/>
              </w:rPr>
            </w:pPr>
            <w:r>
              <w:rPr>
                <w:lang w:val="en-GB"/>
              </w:rPr>
              <w:t xml:space="preserve">This document informs the ECC plenary of two further initiatives in </w:t>
            </w:r>
            <w:r w:rsidR="00C46497">
              <w:rPr>
                <w:lang w:val="en-GB"/>
              </w:rPr>
              <w:t>c</w:t>
            </w:r>
            <w:r>
              <w:rPr>
                <w:lang w:val="en-GB"/>
              </w:rPr>
              <w:t>ommunications which the Steering Group has agreed will be planned and implemented by the Office.  One is to produce a factual monthly summary of the activities within ECC.  The other is to make a limited engagement with the social network ‘Twitter’.</w:t>
            </w:r>
            <w:r w:rsidR="00232D4A">
              <w:rPr>
                <w:bCs/>
                <w:szCs w:val="24"/>
                <w:lang w:val="en-GB"/>
              </w:rPr>
              <w:t xml:space="preserve"> </w:t>
            </w:r>
          </w:p>
          <w:p w:rsidR="00EA104A" w:rsidRPr="00163449" w:rsidRDefault="00232D4A" w:rsidP="001E0E49">
            <w:pPr>
              <w:rPr>
                <w:lang w:val="en-GB"/>
              </w:rPr>
            </w:pPr>
            <w:r>
              <w:rPr>
                <w:bCs/>
                <w:szCs w:val="24"/>
                <w:lang w:val="en-GB"/>
              </w:rPr>
              <w:t>The proposals are set out in more detail in Doc. ECC SG (13)003, notably in its Annex 1.  For convenience, an updated version of the covering paragraphs from that Document are set out below, together with some examples of what ECC ‘tweets’ might look like.</w:t>
            </w:r>
          </w:p>
          <w:p w:rsidR="00EA104A" w:rsidRPr="00163449" w:rsidRDefault="00EA104A" w:rsidP="00EA104A">
            <w:pPr>
              <w:rPr>
                <w:lang w:val="en-GB"/>
              </w:rPr>
            </w:pPr>
            <w:r>
              <w:rPr>
                <w:lang w:val="en-GB"/>
              </w:rPr>
              <w:t>Observations from the ECC Plenary will be welcomed.</w:t>
            </w:r>
          </w:p>
        </w:tc>
      </w:tr>
      <w:tr w:rsidR="007F2BA0" w:rsidRPr="00163449" w:rsidTr="00927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7F2BA0" w:rsidRPr="00163449" w:rsidRDefault="007F2BA0" w:rsidP="009277DE">
            <w:pPr>
              <w:pStyle w:val="Kopfzeile1"/>
              <w:rPr>
                <w:lang w:val="en-GB"/>
              </w:rPr>
            </w:pPr>
          </w:p>
          <w:p w:rsidR="007F2BA0" w:rsidRPr="00163449" w:rsidRDefault="007F2BA0" w:rsidP="009277DE">
            <w:pPr>
              <w:pStyle w:val="Kopfzeile1"/>
              <w:rPr>
                <w:lang w:val="en-GB"/>
              </w:rPr>
            </w:pPr>
            <w:r w:rsidRPr="00163449">
              <w:rPr>
                <w:lang w:val="en-GB"/>
              </w:rPr>
              <w:t xml:space="preserve">Background: </w:t>
            </w:r>
          </w:p>
        </w:tc>
      </w:tr>
      <w:tr w:rsidR="007F2BA0" w:rsidRPr="00163449" w:rsidTr="00927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C46497" w:rsidRDefault="00C46497" w:rsidP="00C46497">
            <w:pPr>
              <w:rPr>
                <w:bCs/>
                <w:szCs w:val="24"/>
                <w:lang w:val="en-GB"/>
              </w:rPr>
            </w:pPr>
          </w:p>
          <w:p w:rsidR="00C46497" w:rsidRPr="00C46497" w:rsidRDefault="00C46497" w:rsidP="00C46497">
            <w:pPr>
              <w:rPr>
                <w:bCs/>
                <w:szCs w:val="24"/>
                <w:lang w:val="en-GB"/>
              </w:rPr>
            </w:pPr>
            <w:r w:rsidRPr="00C46497">
              <w:rPr>
                <w:bCs/>
                <w:szCs w:val="24"/>
                <w:lang w:val="en-GB"/>
              </w:rPr>
              <w:t>The Office provides a communications function to the ECC, which is supervised by the ECC SG.</w:t>
            </w:r>
          </w:p>
          <w:p w:rsidR="007F2BA0" w:rsidRDefault="00C46497" w:rsidP="00C46497">
            <w:pPr>
              <w:rPr>
                <w:bCs/>
                <w:szCs w:val="24"/>
                <w:lang w:val="en-GB"/>
              </w:rPr>
            </w:pPr>
            <w:r w:rsidRPr="00C46497">
              <w:rPr>
                <w:bCs/>
                <w:szCs w:val="24"/>
                <w:lang w:val="en-GB"/>
              </w:rPr>
              <w:t xml:space="preserve">The October 2012 meeting of the Steering Group endorsed the </w:t>
            </w:r>
            <w:r w:rsidR="00EE780F">
              <w:rPr>
                <w:bCs/>
                <w:szCs w:val="24"/>
                <w:lang w:val="en-GB"/>
              </w:rPr>
              <w:t>O</w:t>
            </w:r>
            <w:r w:rsidRPr="00C46497">
              <w:rPr>
                <w:bCs/>
                <w:szCs w:val="24"/>
                <w:lang w:val="en-GB"/>
              </w:rPr>
              <w:t>ffice's proposals for further development of the ECC's communications programme. This included a more frequent distribution of news about the ECC's activities.</w:t>
            </w:r>
          </w:p>
          <w:p w:rsidR="00C46497" w:rsidRPr="00163449" w:rsidRDefault="00C46497" w:rsidP="00C46497">
            <w:pPr>
              <w:rPr>
                <w:bCs/>
                <w:szCs w:val="24"/>
                <w:lang w:val="en-GB"/>
              </w:rPr>
            </w:pPr>
            <w:r>
              <w:rPr>
                <w:bCs/>
                <w:szCs w:val="24"/>
                <w:lang w:val="en-GB"/>
              </w:rPr>
              <w:t>The minutes of the 32</w:t>
            </w:r>
            <w:r w:rsidRPr="00C46497">
              <w:rPr>
                <w:bCs/>
                <w:szCs w:val="24"/>
                <w:vertAlign w:val="superscript"/>
                <w:lang w:val="en-GB"/>
              </w:rPr>
              <w:t>nd</w:t>
            </w:r>
            <w:r>
              <w:rPr>
                <w:bCs/>
                <w:szCs w:val="24"/>
                <w:lang w:val="en-GB"/>
              </w:rPr>
              <w:t xml:space="preserve"> ECC Steering Group, (Doc. ECC</w:t>
            </w:r>
            <w:r w:rsidR="00EE780F">
              <w:rPr>
                <w:bCs/>
                <w:szCs w:val="24"/>
                <w:lang w:val="en-GB"/>
              </w:rPr>
              <w:t xml:space="preserve"> (</w:t>
            </w:r>
            <w:r>
              <w:rPr>
                <w:bCs/>
                <w:szCs w:val="24"/>
                <w:lang w:val="en-GB"/>
              </w:rPr>
              <w:t>13)005 to this meeting) note under the Agenda Item 6 the Office’s additional proposals for improving the ECC’s communications, notably to have a more frequent presence and to widen its output into Twitter.</w:t>
            </w:r>
            <w:r w:rsidR="005A7088">
              <w:rPr>
                <w:bCs/>
                <w:szCs w:val="24"/>
                <w:lang w:val="en-GB"/>
              </w:rPr>
              <w:t xml:space="preserve"> </w:t>
            </w:r>
          </w:p>
          <w:p w:rsidR="00C46497" w:rsidRPr="00163449" w:rsidRDefault="00C46497" w:rsidP="00C46497">
            <w:pPr>
              <w:rPr>
                <w:bCs/>
                <w:szCs w:val="24"/>
                <w:lang w:val="en-GB"/>
              </w:rPr>
            </w:pPr>
          </w:p>
        </w:tc>
      </w:tr>
    </w:tbl>
    <w:p w:rsidR="00EE780F" w:rsidRDefault="00EE780F" w:rsidP="00EE780F">
      <w:pPr>
        <w:rPr>
          <w:b/>
          <w:lang w:val="en-GB"/>
        </w:rPr>
      </w:pPr>
    </w:p>
    <w:p w:rsidR="00EE780F" w:rsidRDefault="00EE780F" w:rsidP="00EE780F">
      <w:pPr>
        <w:rPr>
          <w:b/>
          <w:lang w:val="en-GB"/>
        </w:rPr>
      </w:pPr>
      <w:r>
        <w:rPr>
          <w:b/>
          <w:lang w:val="en-GB"/>
        </w:rPr>
        <w:t>Extract from the Minutes to the 32</w:t>
      </w:r>
      <w:r w:rsidRPr="00C46497">
        <w:rPr>
          <w:b/>
          <w:vertAlign w:val="superscript"/>
          <w:lang w:val="en-GB"/>
        </w:rPr>
        <w:t>nd</w:t>
      </w:r>
      <w:r>
        <w:rPr>
          <w:b/>
          <w:lang w:val="en-GB"/>
        </w:rPr>
        <w:t xml:space="preserve"> ECC Steering Group Meeting:  </w:t>
      </w:r>
    </w:p>
    <w:p w:rsidR="00EE780F" w:rsidRPr="00C46497" w:rsidRDefault="00EE780F" w:rsidP="00EE780F">
      <w:pPr>
        <w:rPr>
          <w:lang w:val="en-GB"/>
        </w:rPr>
      </w:pPr>
      <w:r w:rsidRPr="00C46497">
        <w:rPr>
          <w:lang w:val="en-GB"/>
        </w:rPr>
        <w:t xml:space="preserve">Doc. ECC SG (13)003 outlined ECO proposals for two further initiatives with communications.  </w:t>
      </w:r>
    </w:p>
    <w:p w:rsidR="00EE780F" w:rsidRPr="00C46497" w:rsidRDefault="00EE780F" w:rsidP="00EE780F">
      <w:pPr>
        <w:rPr>
          <w:lang w:val="en-GB"/>
        </w:rPr>
      </w:pPr>
      <w:r w:rsidRPr="00C46497">
        <w:rPr>
          <w:lang w:val="en-GB"/>
        </w:rPr>
        <w:t>•</w:t>
      </w:r>
      <w:r w:rsidRPr="00C46497">
        <w:rPr>
          <w:lang w:val="en-GB"/>
        </w:rPr>
        <w:tab/>
        <w:t xml:space="preserve">The first would be a factual monthly summary of ECC's activities (working groups and project teams, consultations etc.).  </w:t>
      </w:r>
    </w:p>
    <w:p w:rsidR="00EE780F" w:rsidRPr="00C46497" w:rsidRDefault="00EE780F" w:rsidP="00EE780F">
      <w:pPr>
        <w:rPr>
          <w:lang w:val="en-GB"/>
        </w:rPr>
      </w:pPr>
      <w:r w:rsidRPr="00C46497">
        <w:rPr>
          <w:lang w:val="en-GB"/>
        </w:rPr>
        <w:t>•</w:t>
      </w:r>
      <w:r w:rsidRPr="00C46497">
        <w:rPr>
          <w:lang w:val="en-GB"/>
        </w:rPr>
        <w:tab/>
        <w:t xml:space="preserve">The second would be for the ECC to use Twitter as part of its communications package.  The adoption of Twitter in particular would take the ECC into less familiar territory, where the implications and constraints of using the medium in this context needed to be properly </w:t>
      </w:r>
      <w:r w:rsidRPr="00C46497">
        <w:rPr>
          <w:lang w:val="en-GB"/>
        </w:rPr>
        <w:lastRenderedPageBreak/>
        <w:t>understood; the document set out some of these considerations.  There was an element of experimentation about the plans, and the Office intended to monitor how it worked out in practice, with the advice to be prepared to change approach in the light of experience.</w:t>
      </w:r>
    </w:p>
    <w:p w:rsidR="00EA104A" w:rsidRDefault="00EE780F" w:rsidP="00EE780F">
      <w:pPr>
        <w:rPr>
          <w:b/>
          <w:lang w:val="en-GB"/>
        </w:rPr>
      </w:pPr>
      <w:r w:rsidRPr="00C46497">
        <w:rPr>
          <w:lang w:val="en-GB"/>
        </w:rPr>
        <w:t>The ECC SG believed that the monthly bulletins would be helpful, and encouraged the Office to seek means to distribute it more proactively, as well as posting it on the website as proposed.  The ECC SG also endorsed the Office’s tentative proposal to include a short summary of highlights</w:t>
      </w:r>
    </w:p>
    <w:p w:rsidR="00EA104A" w:rsidRDefault="00EA104A">
      <w:pPr>
        <w:rPr>
          <w:b/>
          <w:lang w:val="en-GB"/>
        </w:rPr>
      </w:pPr>
    </w:p>
    <w:p w:rsidR="00C46497" w:rsidRPr="00C46497" w:rsidRDefault="00C46497" w:rsidP="00C46497">
      <w:pPr>
        <w:rPr>
          <w:b/>
          <w:lang w:val="en-GB"/>
        </w:rPr>
      </w:pPr>
      <w:r w:rsidRPr="00C46497">
        <w:rPr>
          <w:b/>
          <w:lang w:val="en-GB"/>
        </w:rPr>
        <w:t>Monthly bulletin</w:t>
      </w:r>
    </w:p>
    <w:p w:rsidR="00C46497" w:rsidRPr="00C46497" w:rsidRDefault="00C46497" w:rsidP="00C46497">
      <w:pPr>
        <w:rPr>
          <w:lang w:val="en-GB"/>
        </w:rPr>
      </w:pPr>
      <w:r w:rsidRPr="00C46497">
        <w:rPr>
          <w:lang w:val="en-GB"/>
        </w:rPr>
        <w:t>The Office proposes to produce a factual monthly bulletin listing the Working Group and Project Team meetings which have taken place, noting the agreed outcomes, next steps and factual (as opposed to more descriptive) context.  The bulletin should also list the consultations which have been launched and closed over the period.  The bulletin may also include a short overall summary drawing attention to a small number of highlights.</w:t>
      </w:r>
    </w:p>
    <w:p w:rsidR="00C46497" w:rsidRPr="00C46497" w:rsidRDefault="00C46497" w:rsidP="00C46497">
      <w:pPr>
        <w:rPr>
          <w:lang w:val="en-GB"/>
        </w:rPr>
      </w:pPr>
      <w:r w:rsidRPr="00C46497">
        <w:rPr>
          <w:lang w:val="en-GB"/>
        </w:rPr>
        <w:t>The bulletin will need to be have only a very few words per item, in order to keep each issue to a manageable length.  One of the purposes of the bulletin will be to invite more visits to the relevant group pages on the website, where further details are already available and maintained in an existing framework. Over time, there would be benefit in achieving a more consistent underlying style to the website group pages, although the different nature of the groups also needs to be reflected.</w:t>
      </w:r>
    </w:p>
    <w:p w:rsidR="00C46497" w:rsidRPr="00C46497" w:rsidRDefault="00C46497" w:rsidP="00C46497">
      <w:pPr>
        <w:rPr>
          <w:lang w:val="en-GB"/>
        </w:rPr>
      </w:pPr>
      <w:r w:rsidRPr="00C46497">
        <w:rPr>
          <w:lang w:val="en-GB"/>
        </w:rPr>
        <w:t>The bulletin’s content would be drawn from the contributions of the office’s experts attending (or having remote responsibility for) the various meetings.  In order to produce the document without significantly increasing the demands on the Office’s experts, the reporting to the monthly bulletin will need to be integrated with a slightly reformatted form of internal reporting within the Office.</w:t>
      </w:r>
    </w:p>
    <w:p w:rsidR="00C46497" w:rsidRPr="00C46497" w:rsidRDefault="00C46497" w:rsidP="00C46497">
      <w:pPr>
        <w:rPr>
          <w:lang w:val="en-GB"/>
        </w:rPr>
      </w:pPr>
      <w:r w:rsidRPr="00C46497">
        <w:rPr>
          <w:lang w:val="en-GB"/>
        </w:rPr>
        <w:t xml:space="preserve">In order to avoid over-burdening its members, the Office does not propose routinely to consult the ECC SG on the whole content of the bulletin, as it should be factual in nature. Of course, the normal consultations between experts and chairman in relation to website content should also cover the bulletin in cases of any uncertainty (‘if in doubt, ask’).  Also, a short checking consultation (say, 24 hours) could, and probably should, be included on any overall summary at the top of the bulletin, before publication. </w:t>
      </w:r>
    </w:p>
    <w:p w:rsidR="00C46497" w:rsidRPr="00C46497" w:rsidRDefault="00C46497" w:rsidP="00C46497">
      <w:pPr>
        <w:rPr>
          <w:lang w:val="en-GB"/>
        </w:rPr>
      </w:pPr>
      <w:r w:rsidRPr="00C46497">
        <w:rPr>
          <w:lang w:val="en-GB"/>
        </w:rPr>
        <w:t>The Office intends to run an internal pilot scheme for February or March</w:t>
      </w:r>
      <w:r w:rsidR="00EE780F">
        <w:rPr>
          <w:lang w:val="en-GB"/>
        </w:rPr>
        <w:t xml:space="preserve"> </w:t>
      </w:r>
      <w:r w:rsidR="00EE780F" w:rsidRPr="00EE780F">
        <w:rPr>
          <w:i/>
          <w:lang w:val="en-GB"/>
        </w:rPr>
        <w:t>{ECO</w:t>
      </w:r>
      <w:r w:rsidR="00EE780F">
        <w:rPr>
          <w:i/>
          <w:lang w:val="en-GB"/>
        </w:rPr>
        <w:t xml:space="preserve"> 2</w:t>
      </w:r>
      <w:r w:rsidR="00232D4A">
        <w:rPr>
          <w:i/>
          <w:lang w:val="en-GB"/>
        </w:rPr>
        <w:t>6</w:t>
      </w:r>
      <w:r w:rsidR="00EE780F">
        <w:rPr>
          <w:i/>
          <w:lang w:val="en-GB"/>
        </w:rPr>
        <w:t xml:space="preserve"> Feb</w:t>
      </w:r>
      <w:r w:rsidR="00EE780F" w:rsidRPr="00EE780F">
        <w:rPr>
          <w:i/>
          <w:lang w:val="en-GB"/>
        </w:rPr>
        <w:t>: probably slightly later}</w:t>
      </w:r>
      <w:r w:rsidRPr="00C46497">
        <w:rPr>
          <w:lang w:val="en-GB"/>
        </w:rPr>
        <w:t>, inviting comments on the overall approach from the Steering Group. Thereafter we would hope to start regular bulletins in the following month, with further adjustments over time in the light of experience and feedback from the SG.</w:t>
      </w:r>
    </w:p>
    <w:p w:rsidR="00C46497" w:rsidRPr="00C46497" w:rsidRDefault="00C46497" w:rsidP="00C46497">
      <w:pPr>
        <w:rPr>
          <w:b/>
          <w:lang w:val="en-GB"/>
        </w:rPr>
      </w:pPr>
      <w:r w:rsidRPr="00C46497">
        <w:rPr>
          <w:b/>
          <w:lang w:val="en-GB"/>
        </w:rPr>
        <w:t>Use of Twitter</w:t>
      </w:r>
    </w:p>
    <w:p w:rsidR="00C46497" w:rsidRPr="00C46497" w:rsidRDefault="00C46497" w:rsidP="00C46497">
      <w:pPr>
        <w:rPr>
          <w:lang w:val="en-GB"/>
        </w:rPr>
      </w:pPr>
      <w:r w:rsidRPr="00C46497">
        <w:rPr>
          <w:lang w:val="en-GB"/>
        </w:rPr>
        <w:t>The</w:t>
      </w:r>
      <w:r w:rsidR="00EE780F">
        <w:rPr>
          <w:lang w:val="en-GB"/>
        </w:rPr>
        <w:t xml:space="preserve"> principal </w:t>
      </w:r>
      <w:r w:rsidRPr="00C46497">
        <w:rPr>
          <w:lang w:val="en-GB"/>
        </w:rPr>
        <w:t>operational considerations</w:t>
      </w:r>
      <w:r w:rsidR="00EE780F">
        <w:rPr>
          <w:lang w:val="en-GB"/>
        </w:rPr>
        <w:t xml:space="preserve"> were set out in Doc ECC </w:t>
      </w:r>
      <w:proofErr w:type="gramStart"/>
      <w:r w:rsidR="00EE780F">
        <w:rPr>
          <w:lang w:val="en-GB"/>
        </w:rPr>
        <w:t>sg(</w:t>
      </w:r>
      <w:proofErr w:type="gramEnd"/>
      <w:r w:rsidR="00EE780F">
        <w:rPr>
          <w:lang w:val="en-GB"/>
        </w:rPr>
        <w:t>13)003</w:t>
      </w:r>
      <w:r w:rsidRPr="00C46497">
        <w:rPr>
          <w:lang w:val="en-GB"/>
        </w:rPr>
        <w:t xml:space="preserve">, although </w:t>
      </w:r>
      <w:r w:rsidR="00EE780F">
        <w:rPr>
          <w:lang w:val="en-GB"/>
        </w:rPr>
        <w:t>these</w:t>
      </w:r>
      <w:r w:rsidRPr="00C46497">
        <w:rPr>
          <w:lang w:val="en-GB"/>
        </w:rPr>
        <w:t xml:space="preserve">  need to be developed in more detail before any deployment.</w:t>
      </w:r>
    </w:p>
    <w:p w:rsidR="00C46497" w:rsidRPr="00C46497" w:rsidRDefault="00C46497" w:rsidP="00C46497">
      <w:pPr>
        <w:rPr>
          <w:lang w:val="en-GB"/>
        </w:rPr>
      </w:pPr>
      <w:r w:rsidRPr="00C46497">
        <w:rPr>
          <w:lang w:val="en-GB"/>
        </w:rPr>
        <w:t xml:space="preserve">The ECC Chairman has expressed an interest to the Office in the use of Twitter within the ECC’s communications activities. The Office shares that interest, prompted particularly by the understanding that media journalists (including in the specialist press) increasingly turn to Twitter as a source of information (this is based on anecdotal rather than systematic evidence).  It seems that Twitter is used by journalists as a signpost to levels of activity and their subject areas as much as for short elements of substantive information. </w:t>
      </w:r>
    </w:p>
    <w:p w:rsidR="00C46497" w:rsidRDefault="00C46497" w:rsidP="00C46497">
      <w:pPr>
        <w:rPr>
          <w:lang w:val="en-GB"/>
        </w:rPr>
      </w:pPr>
      <w:r w:rsidRPr="00C46497">
        <w:rPr>
          <w:lang w:val="en-GB"/>
        </w:rPr>
        <w:t>In many respects, Twitter is designed to offer a more interactive form of dialogue with a stakeholder community. This provides opportunities for the ECC, but also some risks, and draws it into an area where its resource constraints may limit the ECC’s ability to exploit this characteristic. The</w:t>
      </w:r>
      <w:r w:rsidR="00EE780F">
        <w:rPr>
          <w:lang w:val="en-GB"/>
        </w:rPr>
        <w:t>re is a</w:t>
      </w:r>
      <w:r w:rsidRPr="00C46497">
        <w:rPr>
          <w:lang w:val="en-GB"/>
        </w:rPr>
        <w:t xml:space="preserve"> tension between the ECC's established character of consensus and collective control, and the very spontaneous nature of Twitter.</w:t>
      </w:r>
    </w:p>
    <w:p w:rsidR="00EE780F" w:rsidRDefault="00EE780F" w:rsidP="00C46497">
      <w:pPr>
        <w:rPr>
          <w:lang w:val="en-GB"/>
        </w:rPr>
      </w:pPr>
      <w:r>
        <w:rPr>
          <w:lang w:val="en-GB"/>
        </w:rPr>
        <w:t xml:space="preserve">The </w:t>
      </w:r>
      <w:r w:rsidR="00232D4A">
        <w:rPr>
          <w:lang w:val="en-GB"/>
        </w:rPr>
        <w:t>e</w:t>
      </w:r>
      <w:r>
        <w:rPr>
          <w:lang w:val="en-GB"/>
        </w:rPr>
        <w:t>xpected published policy on the ECC’s use of Twitter is set out later in this Document.</w:t>
      </w:r>
    </w:p>
    <w:p w:rsidR="00C46497" w:rsidRPr="00C46497" w:rsidRDefault="00C46497" w:rsidP="00C46497">
      <w:pPr>
        <w:rPr>
          <w:lang w:val="en-GB"/>
        </w:rPr>
      </w:pPr>
      <w:r w:rsidRPr="00C46497">
        <w:rPr>
          <w:lang w:val="en-GB"/>
        </w:rPr>
        <w:lastRenderedPageBreak/>
        <w:t xml:space="preserve">The ECO does not recommend use of other social media such as Facebook, since the dynamics of interaction, and the user expectation, within Facebook, and of the ECC are (in the opinion of the Office Director) too different to reconcile.  </w:t>
      </w:r>
    </w:p>
    <w:p w:rsidR="00C46497" w:rsidRDefault="00C46497" w:rsidP="00C46497">
      <w:pPr>
        <w:rPr>
          <w:lang w:val="en-GB"/>
        </w:rPr>
      </w:pPr>
      <w:r w:rsidRPr="00C46497">
        <w:rPr>
          <w:lang w:val="en-GB"/>
        </w:rPr>
        <w:t xml:space="preserve"> </w:t>
      </w:r>
    </w:p>
    <w:p w:rsidR="005A7088" w:rsidRPr="00EE780F" w:rsidRDefault="005A7088" w:rsidP="00C46497">
      <w:pPr>
        <w:rPr>
          <w:b/>
          <w:lang w:val="en-GB"/>
        </w:rPr>
      </w:pPr>
      <w:r w:rsidRPr="00EE780F">
        <w:rPr>
          <w:b/>
          <w:lang w:val="en-GB"/>
        </w:rPr>
        <w:t>Examples of what ‘Tweets’ might have looked like from January/February</w:t>
      </w:r>
    </w:p>
    <w:p w:rsidR="005A7088" w:rsidRDefault="005A7088" w:rsidP="00C46497">
      <w:pPr>
        <w:rPr>
          <w:lang w:val="en-GB"/>
        </w:rPr>
      </w:pPr>
    </w:p>
    <w:p w:rsidR="00232D4A" w:rsidRPr="00232D4A" w:rsidRDefault="00232D4A" w:rsidP="00232D4A">
      <w:pPr>
        <w:rPr>
          <w:rFonts w:cs="Arial"/>
          <w:sz w:val="20"/>
        </w:rPr>
      </w:pPr>
      <w:r w:rsidRPr="00232D4A">
        <w:rPr>
          <w:rFonts w:cs="Arial"/>
          <w:sz w:val="20"/>
        </w:rPr>
        <w:t>ECC trial tweets:</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 xml:space="preserve">Here's an update on what the ECC is doing about the EC's call for 1200 MHz of #spectrum for wireless [bit.ly link to newsletter] </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 xml:space="preserve">The ECC's project team on IMT met today. View the outcome - includes progress on freq plans for 3.4-3.8 GHz and L-Band bit.ly link   </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The ECC's spectrum experts met today and agreed 3 new ECC Reports for publication on white spaces devices and MCA - link to WGSE page</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 xml:space="preserve">High speed data FS links: The ECC launches consultation on use of 71-76 and 81-86 GHz bands for fixed services bit.ly link ECC Rec (05)07 </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Short range devices: The ECC launches consultation on compatibility of SRDs with EESS sensors in 122-122.25 GHz band link ECC Report 190</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Next week the ECC will run a workshop at the FTTP Conference in London on different national mapping ideas. What's your view? #fttp2013</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The ECC Workshop at #fttp2013 offered fresh perspectives on infrastructure mapping and economic implications [bt.ly link to presentations]</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ECC complementary report on technical requirements for white space devices in band 470-790 MHz released today bit.ly link ECC Report 185</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The ECC has been discussing [list few topics]. Catch up on the news: bit.ly link to monthly news summary</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 xml:space="preserve">ECC Chairman Eric Fournier writes in Policy Tracker today about innovative moves for more #mobile broadband #spectrum [bit.ly link to PT] </w:t>
      </w:r>
    </w:p>
    <w:p w:rsidR="00232D4A" w:rsidRPr="00232D4A" w:rsidRDefault="00232D4A" w:rsidP="00232D4A">
      <w:pPr>
        <w:rPr>
          <w:rFonts w:cs="Arial"/>
          <w:sz w:val="20"/>
        </w:rPr>
      </w:pPr>
      <w:r w:rsidRPr="00232D4A">
        <w:rPr>
          <w:rFonts w:cs="Arial"/>
          <w:b/>
          <w:sz w:val="20"/>
        </w:rPr>
        <w:t xml:space="preserve">Electronic Communications Committee </w:t>
      </w:r>
      <w:r w:rsidRPr="00232D4A">
        <w:rPr>
          <w:rFonts w:cs="Arial"/>
          <w:sz w:val="20"/>
        </w:rPr>
        <w:t>@CEPT_ECC</w:t>
      </w:r>
    </w:p>
    <w:p w:rsidR="00232D4A" w:rsidRPr="00232D4A" w:rsidRDefault="00232D4A" w:rsidP="00232D4A">
      <w:pPr>
        <w:rPr>
          <w:rFonts w:cs="Arial"/>
          <w:sz w:val="20"/>
        </w:rPr>
      </w:pPr>
      <w:r w:rsidRPr="00232D4A">
        <w:rPr>
          <w:rFonts w:cs="Arial"/>
          <w:sz w:val="20"/>
        </w:rPr>
        <w:t xml:space="preserve">View our newsletter: ECC Chairman viewpoint; EFIS' role in #spectrum inventory; predictions for #LTE of numbering and naming bit.ly link </w:t>
      </w:r>
    </w:p>
    <w:p w:rsidR="00232D4A" w:rsidRPr="00232D4A" w:rsidRDefault="00232D4A" w:rsidP="00232D4A">
      <w:pPr>
        <w:rPr>
          <w:rFonts w:cs="Arial"/>
          <w:sz w:val="20"/>
        </w:rPr>
      </w:pPr>
      <w:r w:rsidRPr="00232D4A">
        <w:rPr>
          <w:rFonts w:cs="Arial"/>
          <w:sz w:val="20"/>
        </w:rPr>
        <w:t>Other contributors:</w:t>
      </w:r>
    </w:p>
    <w:p w:rsidR="00232D4A" w:rsidRPr="00232D4A" w:rsidRDefault="00232D4A" w:rsidP="00232D4A">
      <w:pPr>
        <w:rPr>
          <w:rFonts w:cs="Arial"/>
          <w:sz w:val="20"/>
        </w:rPr>
      </w:pPr>
      <w:r w:rsidRPr="00232D4A">
        <w:rPr>
          <w:rFonts w:cs="Arial"/>
          <w:sz w:val="20"/>
        </w:rPr>
        <w:t>@CEPT_ECO_MarkThomas</w:t>
      </w:r>
    </w:p>
    <w:p w:rsidR="00232D4A" w:rsidRPr="00232D4A" w:rsidRDefault="00232D4A" w:rsidP="00232D4A">
      <w:pPr>
        <w:rPr>
          <w:rFonts w:cs="Arial"/>
          <w:sz w:val="20"/>
        </w:rPr>
      </w:pPr>
      <w:r w:rsidRPr="00232D4A">
        <w:rPr>
          <w:rFonts w:cs="Arial"/>
          <w:sz w:val="20"/>
        </w:rPr>
        <w:t>@CEPT_ECC_EricFournier</w:t>
      </w:r>
    </w:p>
    <w:p w:rsidR="005A7088" w:rsidRDefault="005A7088" w:rsidP="00C46497">
      <w:pPr>
        <w:rPr>
          <w:lang w:val="en-GB"/>
        </w:rPr>
      </w:pPr>
    </w:p>
    <w:p w:rsidR="00C46497" w:rsidRDefault="00C46497">
      <w:pPr>
        <w:rPr>
          <w:lang w:val="en-GB"/>
        </w:rPr>
      </w:pPr>
    </w:p>
    <w:p w:rsidR="00232D4A" w:rsidRDefault="00232D4A">
      <w:pPr>
        <w:spacing w:after="0"/>
        <w:jc w:val="left"/>
        <w:rPr>
          <w:b/>
          <w:lang w:val="en-GB"/>
        </w:rPr>
      </w:pPr>
      <w:r>
        <w:rPr>
          <w:b/>
          <w:lang w:val="en-GB"/>
        </w:rPr>
        <w:br w:type="page"/>
      </w:r>
    </w:p>
    <w:p w:rsidR="00C46497" w:rsidRPr="00EE780F" w:rsidRDefault="00C46497" w:rsidP="00C46497">
      <w:pPr>
        <w:rPr>
          <w:b/>
          <w:lang w:val="en-GB"/>
        </w:rPr>
      </w:pPr>
      <w:r w:rsidRPr="00EE780F">
        <w:rPr>
          <w:b/>
          <w:lang w:val="en-GB"/>
        </w:rPr>
        <w:lastRenderedPageBreak/>
        <w:t>Draft Twitter policy (would be published on the website)</w:t>
      </w:r>
    </w:p>
    <w:p w:rsidR="00C46497" w:rsidRPr="00C46497" w:rsidRDefault="00C46497" w:rsidP="00C46497">
      <w:pPr>
        <w:rPr>
          <w:lang w:val="en-GB"/>
        </w:rPr>
      </w:pPr>
      <w:r w:rsidRPr="00C46497">
        <w:rPr>
          <w:lang w:val="en-GB"/>
        </w:rPr>
        <w:t>The Electronic Communications Committee's (ECC) Twitter account is managed by the European Communications Office (ECO).</w:t>
      </w:r>
    </w:p>
    <w:p w:rsidR="00C46497" w:rsidRPr="00C46497" w:rsidRDefault="00C46497" w:rsidP="00C46497">
      <w:pPr>
        <w:rPr>
          <w:lang w:val="en-GB"/>
        </w:rPr>
      </w:pPr>
      <w:r w:rsidRPr="00C46497">
        <w:rPr>
          <w:lang w:val="en-GB"/>
        </w:rPr>
        <w:t xml:space="preserve">We do not use any automation (such as feeds which generate tweets from RSS feeds) on Twitter to post content.  </w:t>
      </w:r>
    </w:p>
    <w:p w:rsidR="00C46497" w:rsidRPr="00C46497" w:rsidRDefault="00C46497" w:rsidP="00C46497">
      <w:pPr>
        <w:rPr>
          <w:lang w:val="en-GB"/>
        </w:rPr>
      </w:pPr>
      <w:r w:rsidRPr="00C46497">
        <w:rPr>
          <w:lang w:val="en-GB"/>
        </w:rPr>
        <w:t>If you follow @CEPT_ECC, you can expect between 1-2 tweets a week covering the following:</w:t>
      </w:r>
    </w:p>
    <w:p w:rsidR="00C46497" w:rsidRPr="00C46497" w:rsidRDefault="00C46497" w:rsidP="00C46497">
      <w:pPr>
        <w:rPr>
          <w:lang w:val="en-GB"/>
        </w:rPr>
      </w:pPr>
      <w:r w:rsidRPr="00C46497">
        <w:rPr>
          <w:lang w:val="en-GB"/>
        </w:rPr>
        <w:t>•</w:t>
      </w:r>
      <w:r w:rsidRPr="00C46497">
        <w:rPr>
          <w:lang w:val="en-GB"/>
        </w:rPr>
        <w:tab/>
        <w:t>Alerts about new content on the ECC's website</w:t>
      </w:r>
    </w:p>
    <w:p w:rsidR="00C46497" w:rsidRPr="00C46497" w:rsidRDefault="00C46497" w:rsidP="00C46497">
      <w:pPr>
        <w:rPr>
          <w:lang w:val="en-GB"/>
        </w:rPr>
      </w:pPr>
      <w:r w:rsidRPr="00C46497">
        <w:rPr>
          <w:lang w:val="en-GB"/>
        </w:rPr>
        <w:t>•</w:t>
      </w:r>
      <w:r w:rsidRPr="00C46497">
        <w:rPr>
          <w:lang w:val="en-GB"/>
        </w:rPr>
        <w:tab/>
      </w:r>
      <w:proofErr w:type="gramStart"/>
      <w:r w:rsidRPr="00C46497">
        <w:rPr>
          <w:lang w:val="en-GB"/>
        </w:rPr>
        <w:t>news</w:t>
      </w:r>
      <w:proofErr w:type="gramEnd"/>
      <w:r w:rsidRPr="00C46497">
        <w:rPr>
          <w:lang w:val="en-GB"/>
        </w:rPr>
        <w:t xml:space="preserve"> releases</w:t>
      </w:r>
    </w:p>
    <w:p w:rsidR="00C46497" w:rsidRPr="00C46497" w:rsidRDefault="00C46497" w:rsidP="00C46497">
      <w:pPr>
        <w:rPr>
          <w:lang w:val="en-GB"/>
        </w:rPr>
      </w:pPr>
      <w:r w:rsidRPr="00C46497">
        <w:rPr>
          <w:lang w:val="en-GB"/>
        </w:rPr>
        <w:t>•</w:t>
      </w:r>
      <w:r w:rsidRPr="00C46497">
        <w:rPr>
          <w:lang w:val="en-GB"/>
        </w:rPr>
        <w:tab/>
      </w:r>
      <w:proofErr w:type="gramStart"/>
      <w:r w:rsidRPr="00C46497">
        <w:rPr>
          <w:lang w:val="en-GB"/>
        </w:rPr>
        <w:t>upcoming</w:t>
      </w:r>
      <w:proofErr w:type="gramEnd"/>
      <w:r w:rsidRPr="00C46497">
        <w:rPr>
          <w:lang w:val="en-GB"/>
        </w:rPr>
        <w:t xml:space="preserve"> consultations</w:t>
      </w:r>
    </w:p>
    <w:p w:rsidR="00C46497" w:rsidRPr="00C46497" w:rsidRDefault="00C46497" w:rsidP="00C46497">
      <w:pPr>
        <w:rPr>
          <w:lang w:val="en-GB"/>
        </w:rPr>
      </w:pPr>
      <w:r w:rsidRPr="00C46497">
        <w:rPr>
          <w:lang w:val="en-GB"/>
        </w:rPr>
        <w:t>•</w:t>
      </w:r>
      <w:r w:rsidRPr="00C46497">
        <w:rPr>
          <w:lang w:val="en-GB"/>
        </w:rPr>
        <w:tab/>
        <w:t>Working Group and Project Team meetings; outcomes.</w:t>
      </w:r>
    </w:p>
    <w:p w:rsidR="00C46497" w:rsidRPr="00C46497" w:rsidRDefault="00C46497" w:rsidP="00C46497">
      <w:pPr>
        <w:rPr>
          <w:lang w:val="en-GB"/>
        </w:rPr>
      </w:pPr>
      <w:r w:rsidRPr="00C46497">
        <w:rPr>
          <w:lang w:val="en-GB"/>
        </w:rPr>
        <w:t>•</w:t>
      </w:r>
      <w:r w:rsidRPr="00C46497">
        <w:rPr>
          <w:lang w:val="en-GB"/>
        </w:rPr>
        <w:tab/>
      </w:r>
      <w:proofErr w:type="gramStart"/>
      <w:r w:rsidRPr="00C46497">
        <w:rPr>
          <w:lang w:val="en-GB"/>
        </w:rPr>
        <w:t>updates</w:t>
      </w:r>
      <w:proofErr w:type="gramEnd"/>
      <w:r w:rsidRPr="00C46497">
        <w:rPr>
          <w:lang w:val="en-GB"/>
        </w:rPr>
        <w:t xml:space="preserve"> from the ECC Chairman and ECO Director and our experts </w:t>
      </w:r>
    </w:p>
    <w:p w:rsidR="00C46497" w:rsidRPr="00C46497" w:rsidRDefault="00C46497" w:rsidP="00C46497">
      <w:pPr>
        <w:rPr>
          <w:u w:val="single"/>
          <w:lang w:val="en-GB"/>
        </w:rPr>
      </w:pPr>
      <w:r w:rsidRPr="00C46497">
        <w:rPr>
          <w:u w:val="single"/>
          <w:lang w:val="en-GB"/>
        </w:rPr>
        <w:t>Following</w:t>
      </w:r>
    </w:p>
    <w:p w:rsidR="00C46497" w:rsidRPr="00C46497" w:rsidRDefault="00C46497" w:rsidP="00C46497">
      <w:pPr>
        <w:rPr>
          <w:lang w:val="en-GB"/>
        </w:rPr>
      </w:pPr>
      <w:r w:rsidRPr="00C46497">
        <w:rPr>
          <w:lang w:val="en-GB"/>
        </w:rPr>
        <w:t>If you follow @CEPT_ECC we will not automatically follow you back. This is to discourage the use of direct messaging, avoid spam handling and so that you can easily identify other key Twitter users that we think are relevant to our member countries and industry associates who we follow. However, being followed by the ECC does not imply endorsement of any kind.</w:t>
      </w:r>
    </w:p>
    <w:p w:rsidR="00C46497" w:rsidRPr="00C46497" w:rsidRDefault="00C46497" w:rsidP="00C46497">
      <w:pPr>
        <w:rPr>
          <w:lang w:val="en-GB"/>
        </w:rPr>
      </w:pPr>
      <w:r w:rsidRPr="00C46497">
        <w:rPr>
          <w:lang w:val="en-GB"/>
        </w:rPr>
        <w:t>[Alternative: If you follow @CEPT_ECC on Twitter we will follow you back. This is automated. Being followed by the ECC does not imply endorsement of any kind.]</w:t>
      </w:r>
    </w:p>
    <w:p w:rsidR="00C46497" w:rsidRPr="00C46497" w:rsidRDefault="00C46497" w:rsidP="00C46497">
      <w:pPr>
        <w:rPr>
          <w:u w:val="single"/>
          <w:lang w:val="en-GB"/>
        </w:rPr>
      </w:pPr>
      <w:r w:rsidRPr="00C46497">
        <w:rPr>
          <w:u w:val="single"/>
          <w:lang w:val="en-GB"/>
        </w:rPr>
        <w:t>Availability</w:t>
      </w:r>
    </w:p>
    <w:p w:rsidR="00C46497" w:rsidRPr="00C46497" w:rsidRDefault="00C46497" w:rsidP="00C46497">
      <w:pPr>
        <w:rPr>
          <w:lang w:val="en-GB"/>
        </w:rPr>
      </w:pPr>
      <w:r w:rsidRPr="00C46497">
        <w:rPr>
          <w:lang w:val="en-GB"/>
        </w:rPr>
        <w:t>We will update and monitor the ECC's Twitter account during [a specified day part], Monday to Friday.</w:t>
      </w:r>
    </w:p>
    <w:p w:rsidR="00C46497" w:rsidRPr="00C46497" w:rsidRDefault="00C46497" w:rsidP="00C46497">
      <w:pPr>
        <w:rPr>
          <w:lang w:val="en-GB"/>
        </w:rPr>
      </w:pPr>
      <w:r w:rsidRPr="00C46497">
        <w:rPr>
          <w:lang w:val="en-GB"/>
        </w:rPr>
        <w:t>Twitter may occasionally be unavailable and we accept no responsibility for lack of service due to Twitter downtime.</w:t>
      </w:r>
    </w:p>
    <w:p w:rsidR="00C46497" w:rsidRPr="00C46497" w:rsidRDefault="00C46497" w:rsidP="00C46497">
      <w:pPr>
        <w:rPr>
          <w:u w:val="single"/>
          <w:lang w:val="en-GB"/>
        </w:rPr>
      </w:pPr>
      <w:r w:rsidRPr="00C46497">
        <w:rPr>
          <w:u w:val="single"/>
          <w:lang w:val="en-GB"/>
        </w:rPr>
        <w:t>@Replies and Direct Messages</w:t>
      </w:r>
    </w:p>
    <w:p w:rsidR="00C46497" w:rsidRPr="00C46497" w:rsidRDefault="00C46497" w:rsidP="00C46497">
      <w:pPr>
        <w:rPr>
          <w:lang w:val="en-GB"/>
        </w:rPr>
      </w:pPr>
      <w:r w:rsidRPr="00C46497">
        <w:rPr>
          <w:lang w:val="en-GB"/>
        </w:rPr>
        <w:t>We welcome feedback and ideas from all our followers, and endeavour to join the conversation where possible. However, we are not able to reply individually to all the messages we receive via Twitter.</w:t>
      </w:r>
    </w:p>
    <w:p w:rsidR="00C46497" w:rsidRPr="00C46497" w:rsidRDefault="00C46497" w:rsidP="00C46497">
      <w:pPr>
        <w:rPr>
          <w:lang w:val="en-GB"/>
        </w:rPr>
      </w:pPr>
      <w:r w:rsidRPr="00C46497">
        <w:rPr>
          <w:lang w:val="en-GB"/>
        </w:rPr>
        <w:t>The ECO team reads all @replies and Direct Messages and ensures that any emerging themes or helpful suggestions are passed to the relevant people at the ECC.</w:t>
      </w:r>
    </w:p>
    <w:p w:rsidR="00C46497" w:rsidRPr="00C46497" w:rsidRDefault="00C46497" w:rsidP="00C46497">
      <w:pPr>
        <w:rPr>
          <w:lang w:val="en-GB"/>
        </w:rPr>
      </w:pPr>
      <w:r w:rsidRPr="00C46497">
        <w:rPr>
          <w:lang w:val="en-GB"/>
        </w:rPr>
        <w:t>We cannot reply to all questions or issues. However, even if we do not reply, it does not mean that we have not listened. We cannot engage on issues outside of our Terms of Reference or Rules of Procedure.</w:t>
      </w:r>
    </w:p>
    <w:p w:rsidR="00C46497" w:rsidRPr="00C46497" w:rsidRDefault="00C46497" w:rsidP="00C46497">
      <w:pPr>
        <w:rPr>
          <w:lang w:val="en-GB"/>
        </w:rPr>
      </w:pPr>
      <w:r w:rsidRPr="00C46497">
        <w:rPr>
          <w:lang w:val="en-GB"/>
        </w:rPr>
        <w:t>If you want to contact the ECC by other means, contact details are available from our website at: www.cept.org/ecc</w:t>
      </w:r>
    </w:p>
    <w:p w:rsidR="00C46497" w:rsidRPr="00C46497" w:rsidRDefault="00C46497" w:rsidP="00C46497">
      <w:pPr>
        <w:rPr>
          <w:u w:val="single"/>
          <w:lang w:val="en-GB"/>
        </w:rPr>
      </w:pPr>
      <w:proofErr w:type="spellStart"/>
      <w:r w:rsidRPr="00C46497">
        <w:rPr>
          <w:u w:val="single"/>
          <w:lang w:val="en-GB"/>
        </w:rPr>
        <w:t>Retweeting</w:t>
      </w:r>
      <w:proofErr w:type="spellEnd"/>
    </w:p>
    <w:p w:rsidR="00C46497" w:rsidRPr="00C46497" w:rsidRDefault="00C46497" w:rsidP="00C46497">
      <w:pPr>
        <w:rPr>
          <w:lang w:val="en-GB"/>
        </w:rPr>
      </w:pPr>
      <w:r w:rsidRPr="00C46497">
        <w:rPr>
          <w:lang w:val="en-GB"/>
        </w:rPr>
        <w:t xml:space="preserve">Requests from followers to </w:t>
      </w:r>
      <w:proofErr w:type="spellStart"/>
      <w:r w:rsidRPr="00C46497">
        <w:rPr>
          <w:lang w:val="en-GB"/>
        </w:rPr>
        <w:t>retweet</w:t>
      </w:r>
      <w:proofErr w:type="spellEnd"/>
      <w:r w:rsidRPr="00C46497">
        <w:rPr>
          <w:lang w:val="en-GB"/>
        </w:rPr>
        <w:t xml:space="preserve"> their messages will not generally be carried out. In some circumstances, the ECC may agree to </w:t>
      </w:r>
      <w:proofErr w:type="spellStart"/>
      <w:proofErr w:type="gramStart"/>
      <w:r w:rsidRPr="00C46497">
        <w:rPr>
          <w:lang w:val="en-GB"/>
        </w:rPr>
        <w:t>retweet</w:t>
      </w:r>
      <w:proofErr w:type="spellEnd"/>
      <w:proofErr w:type="gramEnd"/>
      <w:r w:rsidRPr="00C46497">
        <w:rPr>
          <w:lang w:val="en-GB"/>
        </w:rPr>
        <w:t xml:space="preserve"> a message if requested by one of its member countries. Such requests will be considered on a case-by-case basis. </w:t>
      </w:r>
    </w:p>
    <w:p w:rsidR="00C46497" w:rsidRPr="00C46497" w:rsidRDefault="00C46497" w:rsidP="00C46497">
      <w:pPr>
        <w:rPr>
          <w:lang w:val="en-GB"/>
        </w:rPr>
      </w:pPr>
      <w:r w:rsidRPr="00C46497">
        <w:rPr>
          <w:lang w:val="en-GB"/>
        </w:rPr>
        <w:t xml:space="preserve">The ECC may also </w:t>
      </w:r>
      <w:proofErr w:type="spellStart"/>
      <w:proofErr w:type="gramStart"/>
      <w:r w:rsidRPr="00C46497">
        <w:rPr>
          <w:lang w:val="en-GB"/>
        </w:rPr>
        <w:t>retweet</w:t>
      </w:r>
      <w:proofErr w:type="spellEnd"/>
      <w:proofErr w:type="gramEnd"/>
      <w:r w:rsidRPr="00C46497">
        <w:rPr>
          <w:lang w:val="en-GB"/>
        </w:rPr>
        <w:t xml:space="preserve"> a message, without being requested to do so, when it is considered to be of benefit to its followers.</w:t>
      </w:r>
    </w:p>
    <w:p w:rsidR="00C46497" w:rsidRPr="00C46497" w:rsidRDefault="00C46497" w:rsidP="00C46497">
      <w:pPr>
        <w:rPr>
          <w:lang w:val="en-GB"/>
        </w:rPr>
      </w:pPr>
      <w:proofErr w:type="spellStart"/>
      <w:r w:rsidRPr="00C46497">
        <w:rPr>
          <w:lang w:val="en-GB"/>
        </w:rPr>
        <w:t>Retweets</w:t>
      </w:r>
      <w:proofErr w:type="spellEnd"/>
      <w:r w:rsidRPr="00C46497">
        <w:rPr>
          <w:lang w:val="en-GB"/>
        </w:rPr>
        <w:t xml:space="preserve"> of any kind do not imply endorsement.</w:t>
      </w:r>
    </w:p>
    <w:p w:rsidR="002156A8" w:rsidRPr="00163449" w:rsidRDefault="00C46497" w:rsidP="002156A8">
      <w:pPr>
        <w:rPr>
          <w:b/>
          <w:lang w:val="en-GB"/>
        </w:rPr>
      </w:pPr>
      <w:r w:rsidRPr="00C46497">
        <w:rPr>
          <w:sz w:val="16"/>
          <w:szCs w:val="16"/>
          <w:lang w:val="en-GB"/>
        </w:rPr>
        <w:t>(Reproduced with the kind permission of Neil Williams: http://neilojwilliams.net/missioncreep/2009/how-to-write-a-corporate-twitter-strategy-and-heres-one-i-made-earlier/)</w:t>
      </w:r>
    </w:p>
    <w:p w:rsidR="007F2BA0" w:rsidRDefault="007F2BA0" w:rsidP="007F2BA0">
      <w:pPr>
        <w:ind w:left="720"/>
        <w:rPr>
          <w:lang w:val="en-GB"/>
        </w:rPr>
      </w:pPr>
    </w:p>
    <w:sectPr w:rsidR="007F2BA0" w:rsidSect="008F677F">
      <w:footerReference w:type="even" r:id="rId10"/>
      <w:footerReference w:type="defaul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A4" w:rsidRDefault="002073A4">
      <w:r>
        <w:separator/>
      </w:r>
    </w:p>
  </w:endnote>
  <w:endnote w:type="continuationSeparator" w:id="0">
    <w:p w:rsidR="002073A4" w:rsidRDefault="0020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EC0990">
      <w:rPr>
        <w:rStyle w:val="Numrodepage"/>
        <w:noProof/>
        <w:sz w:val="20"/>
      </w:rPr>
      <w:t>2</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A4" w:rsidRDefault="002073A4">
      <w:r>
        <w:separator/>
      </w:r>
    </w:p>
  </w:footnote>
  <w:footnote w:type="continuationSeparator" w:id="0">
    <w:p w:rsidR="002073A4" w:rsidRDefault="00207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8"/>
    <w:multiLevelType w:val="hybridMultilevel"/>
    <w:tmpl w:val="2FEAA1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857A78"/>
    <w:multiLevelType w:val="hybridMultilevel"/>
    <w:tmpl w:val="498AB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03C74F1"/>
    <w:multiLevelType w:val="hybridMultilevel"/>
    <w:tmpl w:val="0DC6B06C"/>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15CF4E70"/>
    <w:multiLevelType w:val="hybridMultilevel"/>
    <w:tmpl w:val="ABEC09B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1B594F1F"/>
    <w:multiLevelType w:val="hybridMultilevel"/>
    <w:tmpl w:val="21A06E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E554FC"/>
    <w:multiLevelType w:val="hybridMultilevel"/>
    <w:tmpl w:val="095A3C30"/>
    <w:lvl w:ilvl="0" w:tplc="0809000F">
      <w:start w:val="1"/>
      <w:numFmt w:val="decimal"/>
      <w:lvlText w:val="%1."/>
      <w:lvlJc w:val="left"/>
      <w:pPr>
        <w:ind w:left="720" w:hanging="360"/>
      </w:pPr>
    </w:lvl>
    <w:lvl w:ilvl="1" w:tplc="480450DC">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F137D0"/>
    <w:multiLevelType w:val="hybridMultilevel"/>
    <w:tmpl w:val="916C8A60"/>
    <w:lvl w:ilvl="0" w:tplc="0809001B">
      <w:start w:val="1"/>
      <w:numFmt w:val="lowerRoman"/>
      <w:lvlText w:val="%1."/>
      <w:lvlJc w:val="righ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0">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2">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3">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D7651E1"/>
    <w:multiLevelType w:val="hybridMultilevel"/>
    <w:tmpl w:val="0CE07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A4C40F7"/>
    <w:multiLevelType w:val="hybridMultilevel"/>
    <w:tmpl w:val="01A45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14"/>
  </w:num>
  <w:num w:numId="2">
    <w:abstractNumId w:val="2"/>
  </w:num>
  <w:num w:numId="3">
    <w:abstractNumId w:val="18"/>
  </w:num>
  <w:num w:numId="4">
    <w:abstractNumId w:val="18"/>
  </w:num>
  <w:num w:numId="5">
    <w:abstractNumId w:val="18"/>
  </w:num>
  <w:num w:numId="6">
    <w:abstractNumId w:val="16"/>
  </w:num>
  <w:num w:numId="7">
    <w:abstractNumId w:val="18"/>
  </w:num>
  <w:num w:numId="8">
    <w:abstractNumId w:val="18"/>
  </w:num>
  <w:num w:numId="9">
    <w:abstractNumId w:val="9"/>
  </w:num>
  <w:num w:numId="10">
    <w:abstractNumId w:val="12"/>
  </w:num>
  <w:num w:numId="11">
    <w:abstractNumId w:val="11"/>
  </w:num>
  <w:num w:numId="12">
    <w:abstractNumId w:val="13"/>
  </w:num>
  <w:num w:numId="13">
    <w:abstractNumId w:val="10"/>
  </w:num>
  <w:num w:numId="14">
    <w:abstractNumId w:val="8"/>
  </w:num>
  <w:num w:numId="15">
    <w:abstractNumId w:val="6"/>
  </w:num>
  <w:num w:numId="16">
    <w:abstractNumId w:val="3"/>
  </w:num>
  <w:num w:numId="17">
    <w:abstractNumId w:val="7"/>
  </w:num>
  <w:num w:numId="18">
    <w:abstractNumId w:val="0"/>
  </w:num>
  <w:num w:numId="19">
    <w:abstractNumId w:val="5"/>
  </w:num>
  <w:num w:numId="20">
    <w:abstractNumId w:val="4"/>
  </w:num>
  <w:num w:numId="21">
    <w:abstractNumId w:val="1"/>
  </w:num>
  <w:num w:numId="22">
    <w:abstractNumId w:val="15"/>
  </w:num>
  <w:num w:numId="2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233C6"/>
    <w:rsid w:val="00033112"/>
    <w:rsid w:val="000364E2"/>
    <w:rsid w:val="00042E6D"/>
    <w:rsid w:val="000641A7"/>
    <w:rsid w:val="00086867"/>
    <w:rsid w:val="00095D52"/>
    <w:rsid w:val="00097E34"/>
    <w:rsid w:val="000B0905"/>
    <w:rsid w:val="000D0F3C"/>
    <w:rsid w:val="000E346F"/>
    <w:rsid w:val="000F1373"/>
    <w:rsid w:val="00106047"/>
    <w:rsid w:val="00113B49"/>
    <w:rsid w:val="00135FE7"/>
    <w:rsid w:val="0015309B"/>
    <w:rsid w:val="00161D26"/>
    <w:rsid w:val="00162CBB"/>
    <w:rsid w:val="00163449"/>
    <w:rsid w:val="0016435A"/>
    <w:rsid w:val="001D181E"/>
    <w:rsid w:val="001E0E49"/>
    <w:rsid w:val="001F2614"/>
    <w:rsid w:val="002073A4"/>
    <w:rsid w:val="002156A8"/>
    <w:rsid w:val="00215746"/>
    <w:rsid w:val="00222F7B"/>
    <w:rsid w:val="00232D4A"/>
    <w:rsid w:val="0024365A"/>
    <w:rsid w:val="00260D98"/>
    <w:rsid w:val="0026766F"/>
    <w:rsid w:val="00277BC1"/>
    <w:rsid w:val="0028051D"/>
    <w:rsid w:val="00294331"/>
    <w:rsid w:val="002A02A3"/>
    <w:rsid w:val="002B169D"/>
    <w:rsid w:val="002B47FC"/>
    <w:rsid w:val="002B683F"/>
    <w:rsid w:val="00314E5E"/>
    <w:rsid w:val="00326C68"/>
    <w:rsid w:val="00346C62"/>
    <w:rsid w:val="00357A5F"/>
    <w:rsid w:val="0039030E"/>
    <w:rsid w:val="003A57CC"/>
    <w:rsid w:val="003B1654"/>
    <w:rsid w:val="003C2268"/>
    <w:rsid w:val="003C4848"/>
    <w:rsid w:val="003C53D0"/>
    <w:rsid w:val="003E76E9"/>
    <w:rsid w:val="003F73E2"/>
    <w:rsid w:val="004002F7"/>
    <w:rsid w:val="0040519F"/>
    <w:rsid w:val="0041167B"/>
    <w:rsid w:val="00430369"/>
    <w:rsid w:val="00431D12"/>
    <w:rsid w:val="004369DC"/>
    <w:rsid w:val="00443C40"/>
    <w:rsid w:val="004648A4"/>
    <w:rsid w:val="004662F9"/>
    <w:rsid w:val="00470EA3"/>
    <w:rsid w:val="00486369"/>
    <w:rsid w:val="00493F86"/>
    <w:rsid w:val="004A099D"/>
    <w:rsid w:val="004A47FF"/>
    <w:rsid w:val="004B23D3"/>
    <w:rsid w:val="004F061E"/>
    <w:rsid w:val="004F2824"/>
    <w:rsid w:val="004F2E89"/>
    <w:rsid w:val="00500553"/>
    <w:rsid w:val="005269EA"/>
    <w:rsid w:val="0053015C"/>
    <w:rsid w:val="00533846"/>
    <w:rsid w:val="005348B2"/>
    <w:rsid w:val="005434C4"/>
    <w:rsid w:val="00554550"/>
    <w:rsid w:val="005549FF"/>
    <w:rsid w:val="00562E1E"/>
    <w:rsid w:val="005761BB"/>
    <w:rsid w:val="005A7088"/>
    <w:rsid w:val="005B643C"/>
    <w:rsid w:val="005F1C1F"/>
    <w:rsid w:val="00616265"/>
    <w:rsid w:val="0063524D"/>
    <w:rsid w:val="006542C3"/>
    <w:rsid w:val="0065588F"/>
    <w:rsid w:val="00664805"/>
    <w:rsid w:val="00684589"/>
    <w:rsid w:val="006845C9"/>
    <w:rsid w:val="006902F9"/>
    <w:rsid w:val="00690B4B"/>
    <w:rsid w:val="0069180A"/>
    <w:rsid w:val="006C4BCC"/>
    <w:rsid w:val="006D1EAC"/>
    <w:rsid w:val="006E1FA9"/>
    <w:rsid w:val="0070740D"/>
    <w:rsid w:val="007538DB"/>
    <w:rsid w:val="0075560F"/>
    <w:rsid w:val="00782F34"/>
    <w:rsid w:val="007925CA"/>
    <w:rsid w:val="00793843"/>
    <w:rsid w:val="007A1831"/>
    <w:rsid w:val="007A49AD"/>
    <w:rsid w:val="007F2BA0"/>
    <w:rsid w:val="00802521"/>
    <w:rsid w:val="00807AA2"/>
    <w:rsid w:val="00807F54"/>
    <w:rsid w:val="00820168"/>
    <w:rsid w:val="00884205"/>
    <w:rsid w:val="008A37BA"/>
    <w:rsid w:val="008C46AB"/>
    <w:rsid w:val="008D2718"/>
    <w:rsid w:val="008D4942"/>
    <w:rsid w:val="008D763E"/>
    <w:rsid w:val="008F33D5"/>
    <w:rsid w:val="008F5596"/>
    <w:rsid w:val="008F5ECB"/>
    <w:rsid w:val="008F677F"/>
    <w:rsid w:val="009057E8"/>
    <w:rsid w:val="009277DE"/>
    <w:rsid w:val="00947AD6"/>
    <w:rsid w:val="009852E6"/>
    <w:rsid w:val="0098621D"/>
    <w:rsid w:val="00997A4D"/>
    <w:rsid w:val="009B3CB6"/>
    <w:rsid w:val="009B5A85"/>
    <w:rsid w:val="009C2F3B"/>
    <w:rsid w:val="009C4075"/>
    <w:rsid w:val="009D242F"/>
    <w:rsid w:val="009D4B2F"/>
    <w:rsid w:val="00A024A8"/>
    <w:rsid w:val="00A16F43"/>
    <w:rsid w:val="00A267CE"/>
    <w:rsid w:val="00A477F3"/>
    <w:rsid w:val="00A64930"/>
    <w:rsid w:val="00A66C9B"/>
    <w:rsid w:val="00A77E89"/>
    <w:rsid w:val="00A83AA9"/>
    <w:rsid w:val="00A87C8C"/>
    <w:rsid w:val="00A95309"/>
    <w:rsid w:val="00AA26E7"/>
    <w:rsid w:val="00AA3CFD"/>
    <w:rsid w:val="00AA59E8"/>
    <w:rsid w:val="00AC0304"/>
    <w:rsid w:val="00AC345D"/>
    <w:rsid w:val="00AD241F"/>
    <w:rsid w:val="00AE7906"/>
    <w:rsid w:val="00B0161E"/>
    <w:rsid w:val="00B1073A"/>
    <w:rsid w:val="00B1660B"/>
    <w:rsid w:val="00B32369"/>
    <w:rsid w:val="00B6512A"/>
    <w:rsid w:val="00B70CD3"/>
    <w:rsid w:val="00B90507"/>
    <w:rsid w:val="00BB27C5"/>
    <w:rsid w:val="00BC2918"/>
    <w:rsid w:val="00BE4CC9"/>
    <w:rsid w:val="00BF2999"/>
    <w:rsid w:val="00C154C2"/>
    <w:rsid w:val="00C17C9A"/>
    <w:rsid w:val="00C309B1"/>
    <w:rsid w:val="00C43796"/>
    <w:rsid w:val="00C46497"/>
    <w:rsid w:val="00C47BE9"/>
    <w:rsid w:val="00C5418E"/>
    <w:rsid w:val="00C6037C"/>
    <w:rsid w:val="00C60D46"/>
    <w:rsid w:val="00C62218"/>
    <w:rsid w:val="00C75BA9"/>
    <w:rsid w:val="00C75E0E"/>
    <w:rsid w:val="00C82BC5"/>
    <w:rsid w:val="00CB0BBB"/>
    <w:rsid w:val="00CD4FA2"/>
    <w:rsid w:val="00CD51FD"/>
    <w:rsid w:val="00CE40EE"/>
    <w:rsid w:val="00CE6591"/>
    <w:rsid w:val="00D004D0"/>
    <w:rsid w:val="00D00B4F"/>
    <w:rsid w:val="00D14191"/>
    <w:rsid w:val="00D149DA"/>
    <w:rsid w:val="00D34708"/>
    <w:rsid w:val="00D53B5D"/>
    <w:rsid w:val="00D671A5"/>
    <w:rsid w:val="00DD08BA"/>
    <w:rsid w:val="00DD0BE9"/>
    <w:rsid w:val="00DD0C6C"/>
    <w:rsid w:val="00DE5E01"/>
    <w:rsid w:val="00DF2A80"/>
    <w:rsid w:val="00E232D3"/>
    <w:rsid w:val="00E2796D"/>
    <w:rsid w:val="00E27C6A"/>
    <w:rsid w:val="00E40873"/>
    <w:rsid w:val="00E561B8"/>
    <w:rsid w:val="00E577A4"/>
    <w:rsid w:val="00E623BF"/>
    <w:rsid w:val="00E779E2"/>
    <w:rsid w:val="00E87AEF"/>
    <w:rsid w:val="00E93323"/>
    <w:rsid w:val="00E94DAA"/>
    <w:rsid w:val="00E95CFE"/>
    <w:rsid w:val="00EA104A"/>
    <w:rsid w:val="00EB7B90"/>
    <w:rsid w:val="00EC0990"/>
    <w:rsid w:val="00ED7AEC"/>
    <w:rsid w:val="00EE07DC"/>
    <w:rsid w:val="00EE6D93"/>
    <w:rsid w:val="00EE780F"/>
    <w:rsid w:val="00EF1568"/>
    <w:rsid w:val="00F05B26"/>
    <w:rsid w:val="00F22950"/>
    <w:rsid w:val="00F311FB"/>
    <w:rsid w:val="00F37A73"/>
    <w:rsid w:val="00F43BE8"/>
    <w:rsid w:val="00F53012"/>
    <w:rsid w:val="00FA15BA"/>
    <w:rsid w:val="00FA6EBF"/>
    <w:rsid w:val="00FA7FC5"/>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A83AA9"/>
    <w:pPr>
      <w:spacing w:after="0"/>
    </w:pPr>
    <w:rPr>
      <w:rFonts w:ascii="Tahoma" w:hAnsi="Tahoma" w:cs="Tahoma"/>
      <w:sz w:val="16"/>
      <w:szCs w:val="16"/>
    </w:rPr>
  </w:style>
  <w:style w:type="character" w:customStyle="1" w:styleId="TextedebullesCar">
    <w:name w:val="Texte de bulles Car"/>
    <w:basedOn w:val="Policepardfaut"/>
    <w:link w:val="Textedebulles"/>
    <w:rsid w:val="00A83AA9"/>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A83AA9"/>
    <w:pPr>
      <w:spacing w:after="0"/>
    </w:pPr>
    <w:rPr>
      <w:rFonts w:ascii="Tahoma" w:hAnsi="Tahoma" w:cs="Tahoma"/>
      <w:sz w:val="16"/>
      <w:szCs w:val="16"/>
    </w:rPr>
  </w:style>
  <w:style w:type="character" w:customStyle="1" w:styleId="TextedebullesCar">
    <w:name w:val="Texte de bulles Car"/>
    <w:basedOn w:val="Policepardfaut"/>
    <w:link w:val="Textedebulles"/>
    <w:rsid w:val="00A83AA9"/>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1010">
      <w:bodyDiv w:val="1"/>
      <w:marLeft w:val="0"/>
      <w:marRight w:val="0"/>
      <w:marTop w:val="0"/>
      <w:marBottom w:val="0"/>
      <w:divBdr>
        <w:top w:val="none" w:sz="0" w:space="0" w:color="auto"/>
        <w:left w:val="none" w:sz="0" w:space="0" w:color="auto"/>
        <w:bottom w:val="none" w:sz="0" w:space="0" w:color="auto"/>
        <w:right w:val="none" w:sz="0" w:space="0" w:color="auto"/>
      </w:divBdr>
    </w:div>
    <w:div w:id="17352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B411-DC3F-4E63-94F8-51646655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7</TotalTime>
  <Pages>4</Pages>
  <Words>1702</Words>
  <Characters>9362</Characters>
  <Application>Microsoft Office Word</Application>
  <DocSecurity>0</DocSecurity>
  <Lines>78</Lines>
  <Paragraphs>22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4</cp:revision>
  <cp:lastPrinted>1999-09-27T14:20:00Z</cp:lastPrinted>
  <dcterms:created xsi:type="dcterms:W3CDTF">2013-02-25T17:49:00Z</dcterms:created>
  <dcterms:modified xsi:type="dcterms:W3CDTF">2013-02-27T11:04:00Z</dcterms:modified>
</cp:coreProperties>
</file>