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Default="006C03D0">
      <w:bookmarkStart w:id="0" w:name="_GoBack"/>
      <w:bookmarkEnd w:id="0"/>
    </w:p>
    <w:p w:rsidR="006C03D0" w:rsidRPr="0010769E" w:rsidRDefault="006C03D0" w:rsidP="006C03D0">
      <w:pPr>
        <w:jc w:val="center"/>
      </w:pPr>
    </w:p>
    <w:p w:rsidR="006C03D0" w:rsidRPr="0010769E" w:rsidRDefault="006C03D0" w:rsidP="006C03D0">
      <w:pPr>
        <w:jc w:val="center"/>
      </w:pPr>
    </w:p>
    <w:p w:rsidR="006C03D0" w:rsidRPr="0010769E" w:rsidRDefault="006C03D0" w:rsidP="006C03D0"/>
    <w:p w:rsidR="006C03D0" w:rsidRPr="0010769E" w:rsidRDefault="006C03D0" w:rsidP="006C03D0"/>
    <w:p w:rsidR="006C03D0" w:rsidRPr="0010769E" w:rsidRDefault="007C6571" w:rsidP="006C03D0">
      <w:pPr>
        <w:jc w:val="center"/>
        <w:rPr>
          <w:b/>
          <w:sz w:val="24"/>
        </w:rPr>
      </w:pPr>
      <w:r>
        <w:rPr>
          <w:b/>
          <w:noProof/>
          <w:sz w:val="24"/>
          <w:szCs w:val="20"/>
          <w:lang w:val="fr-FR" w:eastAsia="fr-FR"/>
        </w:rPr>
        <mc:AlternateContent>
          <mc:Choice Requires="wpg">
            <w:drawing>
              <wp:anchor distT="0" distB="0" distL="114300" distR="114300" simplePos="0" relativeHeight="251657728" behindDoc="0" locked="0" layoutInCell="1" allowOverlap="1" wp14:anchorId="322FB5F2" wp14:editId="6B63D250">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5D6A44">
                                <w:rPr>
                                  <w:color w:val="887E6E"/>
                                  <w:sz w:val="68"/>
                                </w:rPr>
                                <w:t>05</w:t>
                              </w:r>
                              <w:r w:rsidRPr="001E2FAA">
                                <w:rPr>
                                  <w:color w:val="887E6E"/>
                                  <w:sz w:val="68"/>
                                </w:rPr>
                                <w:t>)</w:t>
                              </w:r>
                              <w:r w:rsidR="005D6A44">
                                <w:rPr>
                                  <w:color w:val="887E6E"/>
                                  <w:sz w:val="68"/>
                                </w:rPr>
                                <w:t>01</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5D6A44">
                          <w:rPr>
                            <w:color w:val="887E6E"/>
                            <w:sz w:val="68"/>
                          </w:rPr>
                          <w:t>05</w:t>
                        </w:r>
                        <w:r w:rsidRPr="001E2FAA">
                          <w:rPr>
                            <w:color w:val="887E6E"/>
                            <w:sz w:val="68"/>
                          </w:rPr>
                          <w:t>)</w:t>
                        </w:r>
                        <w:r w:rsidR="005D6A44">
                          <w:rPr>
                            <w:color w:val="887E6E"/>
                            <w:sz w:val="68"/>
                          </w:rPr>
                          <w:t>01</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jc w:val="center"/>
        <w:rPr>
          <w:b/>
          <w:sz w:val="24"/>
        </w:rPr>
      </w:pPr>
    </w:p>
    <w:p w:rsidR="006C03D0" w:rsidRPr="0010769E" w:rsidRDefault="006C03D0" w:rsidP="006C03D0">
      <w:pPr>
        <w:rPr>
          <w:b/>
          <w:sz w:val="24"/>
        </w:rPr>
      </w:pPr>
    </w:p>
    <w:p w:rsidR="006C03D0" w:rsidRPr="0010769E" w:rsidRDefault="006C03D0" w:rsidP="006C03D0">
      <w:pPr>
        <w:jc w:val="center"/>
        <w:rPr>
          <w:b/>
          <w:sz w:val="24"/>
        </w:rPr>
      </w:pPr>
    </w:p>
    <w:p w:rsidR="006C03D0" w:rsidRPr="005A00E5" w:rsidRDefault="007465AA" w:rsidP="006C03D0">
      <w:pPr>
        <w:pStyle w:val="Reporttitledescription"/>
        <w:rPr>
          <w:color w:val="auto"/>
        </w:rPr>
      </w:pPr>
      <w:r>
        <w:rPr>
          <w:color w:val="auto"/>
        </w:rPr>
        <w:t>The use of the band 27.5-29.5 GHz by the Fixed Service and uncoordinated Earth stations of the Fixed-Satellite Service (Earth-to-space)</w:t>
      </w:r>
      <w:r w:rsidR="005F7AD5" w:rsidRPr="005A00E5">
        <w:rPr>
          <w:color w:val="auto"/>
        </w:rPr>
        <w:t xml:space="preserve"> </w:t>
      </w:r>
    </w:p>
    <w:p w:rsidR="006C03D0" w:rsidRPr="005A00E5" w:rsidRDefault="00D32DAC" w:rsidP="006C03D0">
      <w:pPr>
        <w:pStyle w:val="Reporttitledescription"/>
        <w:rPr>
          <w:b/>
          <w:color w:val="auto"/>
          <w:sz w:val="18"/>
        </w:rPr>
      </w:pPr>
      <w:r>
        <w:rPr>
          <w:b/>
          <w:color w:val="auto"/>
          <w:sz w:val="18"/>
        </w:rPr>
        <w:t>approved 18 March 2005</w:t>
      </w:r>
    </w:p>
    <w:p w:rsidR="006C03D0" w:rsidRPr="00072B81" w:rsidRDefault="00D32DAC" w:rsidP="006C03D0">
      <w:pPr>
        <w:pStyle w:val="Lastupdated"/>
        <w:rPr>
          <w:b/>
        </w:rPr>
      </w:pPr>
      <w:r>
        <w:t>amended 8 March 2013</w:t>
      </w:r>
    </w:p>
    <w:p w:rsidR="006C03D0" w:rsidRDefault="005F7AD5" w:rsidP="006C03D0">
      <w:pPr>
        <w:pStyle w:val="Titre1"/>
      </w:pPr>
      <w:r>
        <w:lastRenderedPageBreak/>
        <w:t>explanatory memorandum</w:t>
      </w:r>
    </w:p>
    <w:p w:rsidR="006C03D0" w:rsidRDefault="00D32DAC" w:rsidP="006C03D0">
      <w:pPr>
        <w:pStyle w:val="Titre2"/>
      </w:pPr>
      <w:r>
        <w:t>INTRODUCTION</w:t>
      </w:r>
    </w:p>
    <w:p w:rsidR="006C03D0" w:rsidRPr="00FE1795" w:rsidRDefault="00D32DAC" w:rsidP="006C03D0">
      <w:pPr>
        <w:pStyle w:val="ECCParagraph"/>
      </w:pPr>
      <w:r w:rsidRPr="009C0A56">
        <w:t>This ECC Decision add</w:t>
      </w:r>
      <w:r>
        <w:t>resses the use of the band 27.5</w:t>
      </w:r>
      <w:r w:rsidRPr="009C0A56">
        <w:t>-29.5 GHz by the Fixed Service (FS) and Fixed-Satellite Service (FSS) in relation to the requirements and priorities of CEPT administrations.</w:t>
      </w:r>
    </w:p>
    <w:p w:rsidR="006C03D0" w:rsidRDefault="005F7AD5" w:rsidP="006C03D0">
      <w:pPr>
        <w:pStyle w:val="Titre2"/>
      </w:pPr>
      <w:r>
        <w:t xml:space="preserve">BACKGROUND </w:t>
      </w:r>
    </w:p>
    <w:p w:rsidR="00D32DAC" w:rsidRPr="009C0A56" w:rsidRDefault="00D32DAC" w:rsidP="00D32DAC">
      <w:pPr>
        <w:pStyle w:val="ECCParagraph"/>
      </w:pPr>
      <w:r w:rsidRPr="009C0A56">
        <w:t>The band covered by this ECC Decision is allocated, among others, to the FS and FSS (Earth-to-space) on a primary basis in the Radio Regulations.</w:t>
      </w:r>
    </w:p>
    <w:p w:rsidR="00D32DAC" w:rsidRPr="009C0A56" w:rsidRDefault="00D32DAC" w:rsidP="00D32DAC">
      <w:pPr>
        <w:pStyle w:val="ECCParagraph"/>
      </w:pPr>
      <w:r>
        <w:t>ECC/</w:t>
      </w:r>
      <w:r w:rsidRPr="009C0A56">
        <w:t>R</w:t>
      </w:r>
      <w:r>
        <w:t>EC</w:t>
      </w:r>
      <w:proofErr w:type="gramStart"/>
      <w:r>
        <w:t>/(</w:t>
      </w:r>
      <w:proofErr w:type="gramEnd"/>
      <w:r>
        <w:t>11)01</w:t>
      </w:r>
      <w:r w:rsidRPr="009C0A56">
        <w:t xml:space="preserve"> identifies the band 27.5-29.5 GHz as a preferred band for Fixed Wireless Access (FWA), taking into account sharing requirements with other services. Some CEPT administrations have already assigned frequencies for FWA systems in this band. It should additionally be noted that, spectrum assignments can be done on a spectrum block and area basis or on an individual link by link basis.</w:t>
      </w:r>
    </w:p>
    <w:p w:rsidR="00D32DAC" w:rsidRPr="009C0A56" w:rsidRDefault="00D32DAC" w:rsidP="00D32DAC">
      <w:pPr>
        <w:pStyle w:val="ECCParagraph"/>
      </w:pPr>
      <w:r w:rsidRPr="009C0A56">
        <w:t>ERC Recommendation T/R 13-02 also defines a channel arrangement for the FS in the band 27.5-29.5 GHz, which is used by administrations for assignments to P-P and MP systems, and both standards and equipment have already been developed according to this ERC Recommendation.</w:t>
      </w:r>
    </w:p>
    <w:p w:rsidR="00D32DAC" w:rsidRPr="009C0A56" w:rsidRDefault="00D32DAC" w:rsidP="00D32DAC">
      <w:pPr>
        <w:pStyle w:val="ECCParagraph"/>
      </w:pPr>
      <w:r w:rsidRPr="009C0A56">
        <w:t>The FS is a key medium for delivering telecommunication services with a rapid deployment. In particular, the increasing demand for the provision of wireless local loop applications and for mobile network infrastructure (e.g. UMTS/IMT) will result in the deployment of large numbers of FS stations in this and other bands.</w:t>
      </w:r>
    </w:p>
    <w:p w:rsidR="00D32DAC" w:rsidRPr="009C0A56" w:rsidRDefault="00D32DAC" w:rsidP="00D32DAC">
      <w:pPr>
        <w:pStyle w:val="ECCParagraph"/>
      </w:pPr>
      <w:r w:rsidRPr="009C0A56">
        <w:t>Satellite systems are also a key medium for delivery of future telecommunication services enabling broadband communication to rapidly be established over wide areas. Recent proposals for new GSO and NGSO systems in the FSS indicate that large numbers of user terminals are intended to be deployed on a basis for direct customer access in this frequency band.  In particular, some European administrations are promoting GSO FSS systems in this band in the context of removing the “digital divide” taking into account that the 27.5-29.5 GHz frequency range is suitable for transmission by low-cost terminals in such systems and has the potential to make them economically and technologically viable, in complement to the satellite exclusive 29.5-30.0 GHz frequency range. Some CEPT countries have already filed FSS systems and launched satellites operating in this band.</w:t>
      </w:r>
    </w:p>
    <w:p w:rsidR="00D32DAC" w:rsidRPr="009C0A56" w:rsidRDefault="00D32DAC" w:rsidP="00D32DAC">
      <w:pPr>
        <w:pStyle w:val="ECCParagraph"/>
      </w:pPr>
      <w:r w:rsidRPr="009C0A56">
        <w:t xml:space="preserve">WRC-03 identified a number of frequency bands for high-density applications in the fixed satellite service (HDFSS) through No. </w:t>
      </w:r>
      <w:r w:rsidRPr="002148D6">
        <w:rPr>
          <w:bCs/>
        </w:rPr>
        <w:t>5.516B</w:t>
      </w:r>
      <w:r w:rsidRPr="009C0A56">
        <w:t>. The bands 27.5-27.82 GHz in Region 1, 28.45-28.94 GHz in all Regions and 29.46-30 GHz in Region 1 are among the bands identified. This identification has made the concept of geographical band segmentation, associated with conditional bands as being no longer necessary. However, some administrations have already granted licences to FS operators in part or all of the former conditional bands making the frequency segmentation difficult to implement on their territories.</w:t>
      </w:r>
    </w:p>
    <w:p w:rsidR="00993132" w:rsidRDefault="00D32DAC" w:rsidP="00D32DAC">
      <w:pPr>
        <w:pStyle w:val="ECCParagraph"/>
      </w:pPr>
      <w:r w:rsidRPr="009C0A56">
        <w:t xml:space="preserve">Compatibility studies carried out by the ERC and the ECC have shown that the interference between FS terminals and uncoordinated transmitting FSS terminals is regarded to be unacceptable </w:t>
      </w:r>
      <w:r w:rsidRPr="00B102B5">
        <w:t xml:space="preserve">on co-frequency basis </w:t>
      </w:r>
      <w:r w:rsidRPr="009C0A56">
        <w:t>in the same densely populated geographical area.</w:t>
      </w:r>
    </w:p>
    <w:p w:rsidR="00993132" w:rsidRDefault="00993132">
      <w:pPr>
        <w:rPr>
          <w:lang w:val="en-GB"/>
        </w:rPr>
      </w:pPr>
      <w:r>
        <w:br w:type="page"/>
      </w:r>
    </w:p>
    <w:p w:rsidR="006C03D0" w:rsidRDefault="005F7AD5" w:rsidP="006C03D0">
      <w:pPr>
        <w:pStyle w:val="Titre2"/>
      </w:pPr>
      <w:r>
        <w:lastRenderedPageBreak/>
        <w:t>REQUIREMENT FOR AN ECC DECISION</w:t>
      </w:r>
    </w:p>
    <w:p w:rsidR="00D32DAC" w:rsidRPr="009C0A56" w:rsidRDefault="00D32DAC" w:rsidP="00D32DAC">
      <w:pPr>
        <w:pStyle w:val="ECCParagraph"/>
      </w:pPr>
      <w:r w:rsidRPr="009C0A56">
        <w:t xml:space="preserve">In order to provide a clear regulatory framework for future investment and deployment of fixed and fixed satellite systems, </w:t>
      </w:r>
      <w:r w:rsidRPr="00B102B5">
        <w:t xml:space="preserve">an ECC Decision is required </w:t>
      </w:r>
      <w:r w:rsidRPr="009C0A56">
        <w:t xml:space="preserve">to facilitate the </w:t>
      </w:r>
      <w:r>
        <w:t xml:space="preserve">free circulation and </w:t>
      </w:r>
      <w:r w:rsidRPr="009C0A56">
        <w:t xml:space="preserve">use of uncoordinated FSS </w:t>
      </w:r>
      <w:r>
        <w:t>earth stations</w:t>
      </w:r>
      <w:r w:rsidRPr="009C0A56">
        <w:t xml:space="preserve"> and to take into account the decision taken by WRC-03 with regard to HDFSS</w:t>
      </w:r>
      <w:r>
        <w:t>.</w:t>
      </w:r>
    </w:p>
    <w:p w:rsidR="006C03D0" w:rsidRPr="00FE1795" w:rsidRDefault="00D32DAC" w:rsidP="00D32DAC">
      <w:pPr>
        <w:pStyle w:val="ECCParagraph"/>
      </w:pPr>
      <w:r w:rsidRPr="009C0A56">
        <w:t xml:space="preserve">This ECC Decision identifies bands for FS and uncoordinated FSS </w:t>
      </w:r>
      <w:r>
        <w:t>e</w:t>
      </w:r>
      <w:r w:rsidRPr="009C0A56">
        <w:t xml:space="preserve">arth stations, taking into account the existing channel arrangement for the FS as detailed in CEPT Recommendation T/R 13-02. However, coordinated FSS </w:t>
      </w:r>
      <w:r>
        <w:t>e</w:t>
      </w:r>
      <w:r w:rsidRPr="009C0A56">
        <w:t>arth stations can still make use of the whole band 27.5</w:t>
      </w:r>
      <w:r>
        <w:t>-</w:t>
      </w:r>
      <w:r w:rsidRPr="009C0A56">
        <w:t>29.5 GHz, using established co-ordination procedures.</w:t>
      </w:r>
    </w:p>
    <w:p w:rsidR="006C03D0" w:rsidRPr="00FE1795" w:rsidRDefault="005F7AD5" w:rsidP="006C03D0">
      <w:pPr>
        <w:pStyle w:val="Titre1"/>
      </w:pPr>
      <w:r w:rsidRPr="00FE1795">
        <w:lastRenderedPageBreak/>
        <w:t>ECC Decision of</w:t>
      </w:r>
      <w:r w:rsidR="00A8085A">
        <w:t xml:space="preserve"> </w:t>
      </w:r>
      <w:r w:rsidR="00D32DAC">
        <w:t xml:space="preserve">18 </w:t>
      </w:r>
      <w:r w:rsidR="00A8085A">
        <w:t>m</w:t>
      </w:r>
      <w:r w:rsidR="00D32DAC">
        <w:t>arch 2005, amended 8 March 2013</w:t>
      </w:r>
      <w:r w:rsidR="00A8085A">
        <w:t xml:space="preserve"> </w:t>
      </w:r>
      <w:r w:rsidRPr="00FE1795">
        <w:t>on</w:t>
      </w:r>
      <w:r w:rsidR="00A8085A">
        <w:t xml:space="preserve"> </w:t>
      </w:r>
      <w:r w:rsidR="00D32DAC" w:rsidRPr="009C0A56">
        <w:t>the use of the band 27.5-29.5 GH</w:t>
      </w:r>
      <w:r w:rsidR="00D32DAC" w:rsidRPr="009C0A56">
        <w:rPr>
          <w:caps w:val="0"/>
        </w:rPr>
        <w:t>z</w:t>
      </w:r>
      <w:r w:rsidR="00D32DAC" w:rsidRPr="009C0A56">
        <w:t xml:space="preserve"> by the Fixed Service and uncoordinated </w:t>
      </w:r>
      <w:r w:rsidR="00D32DAC">
        <w:t>e</w:t>
      </w:r>
      <w:r w:rsidR="00D32DAC" w:rsidRPr="009C0A56">
        <w:t>arth stations of the Fixed-Satellite Service</w:t>
      </w:r>
      <w:r w:rsidR="00D32DAC">
        <w:t xml:space="preserve"> </w:t>
      </w:r>
      <w:r w:rsidR="00D32DAC" w:rsidRPr="009C0A56">
        <w:t>(Earth-to-space)</w:t>
      </w:r>
    </w:p>
    <w:p w:rsidR="006C03D0" w:rsidRDefault="005F7AD5" w:rsidP="006C03D0">
      <w:pPr>
        <w:pStyle w:val="ECCParagraph"/>
      </w:pPr>
      <w:r>
        <w:t>“The European Conference of Postal and Telecommunications Administrations,</w:t>
      </w:r>
    </w:p>
    <w:p w:rsidR="006C03D0" w:rsidRPr="00993132" w:rsidRDefault="00D32DAC" w:rsidP="006C03D0">
      <w:pPr>
        <w:pStyle w:val="ECCParagraph"/>
        <w:rPr>
          <w:rFonts w:cs="Arial"/>
          <w:i/>
          <w:color w:val="D2232A"/>
          <w:szCs w:val="20"/>
        </w:rPr>
      </w:pPr>
      <w:proofErr w:type="gramStart"/>
      <w:r>
        <w:rPr>
          <w:i/>
          <w:color w:val="D2232A"/>
        </w:rPr>
        <w:t>con</w:t>
      </w:r>
      <w:r w:rsidRPr="00993132">
        <w:rPr>
          <w:rFonts w:cs="Arial"/>
          <w:i/>
          <w:color w:val="D2232A"/>
          <w:szCs w:val="20"/>
        </w:rPr>
        <w:t>sidering</w:t>
      </w:r>
      <w:proofErr w:type="gramEnd"/>
    </w:p>
    <w:p w:rsidR="00D32DAC" w:rsidRPr="00993132" w:rsidRDefault="00D32DAC" w:rsidP="00993132">
      <w:pPr>
        <w:pStyle w:val="Retraitcorpsdetexte2"/>
        <w:numPr>
          <w:ilvl w:val="0"/>
          <w:numId w:val="17"/>
        </w:numPr>
        <w:tabs>
          <w:tab w:val="clear" w:pos="360"/>
          <w:tab w:val="left" w:pos="567"/>
        </w:tabs>
        <w:ind w:left="567" w:hanging="567"/>
        <w:rPr>
          <w:rFonts w:ascii="Arial" w:hAnsi="Arial" w:cs="Arial"/>
        </w:rPr>
      </w:pPr>
      <w:r w:rsidRPr="00993132">
        <w:rPr>
          <w:rFonts w:ascii="Arial" w:hAnsi="Arial" w:cs="Arial"/>
        </w:rPr>
        <w:t>that the band 27.5-29.5 GHz is allocated to both the Fixed Service and the Fixed-Satellite Service (Earth-to-space), as well as the mobile service on a primary basis in the Radio Regulations;</w:t>
      </w:r>
    </w:p>
    <w:p w:rsidR="00D32DAC" w:rsidRPr="00993132" w:rsidRDefault="00D32DAC" w:rsidP="00993132">
      <w:pPr>
        <w:pStyle w:val="Retraitcorpsdetexte"/>
        <w:numPr>
          <w:ilvl w:val="0"/>
          <w:numId w:val="17"/>
        </w:numPr>
        <w:tabs>
          <w:tab w:val="left" w:pos="567"/>
        </w:tabs>
        <w:spacing w:after="240"/>
        <w:ind w:left="567" w:hanging="567"/>
        <w:jc w:val="both"/>
        <w:rPr>
          <w:rFonts w:ascii="Arial" w:hAnsi="Arial" w:cs="Arial"/>
          <w:sz w:val="20"/>
          <w:szCs w:val="20"/>
          <w:lang w:val="en-GB" w:eastAsia="en-US"/>
        </w:rPr>
      </w:pPr>
      <w:r w:rsidRPr="00993132">
        <w:rPr>
          <w:rFonts w:ascii="Arial" w:hAnsi="Arial" w:cs="Arial"/>
          <w:sz w:val="20"/>
          <w:szCs w:val="20"/>
          <w:lang w:val="en-GB" w:eastAsia="en-US"/>
        </w:rPr>
        <w:t>that ECC/REC/(11)01 identifies the band 27.5-29.5 GHz as a preferred band for Fixed Wireless Access (FWA), taking into account sharing requirements with other services;</w:t>
      </w:r>
    </w:p>
    <w:p w:rsidR="00D32DAC" w:rsidRPr="00993132" w:rsidRDefault="00D32DAC" w:rsidP="00993132">
      <w:pPr>
        <w:pStyle w:val="Retraitcorpsdetexte"/>
        <w:numPr>
          <w:ilvl w:val="0"/>
          <w:numId w:val="17"/>
        </w:numPr>
        <w:tabs>
          <w:tab w:val="left" w:pos="567"/>
        </w:tabs>
        <w:spacing w:after="240"/>
        <w:ind w:left="567" w:hanging="567"/>
        <w:jc w:val="both"/>
        <w:rPr>
          <w:rFonts w:ascii="Arial" w:hAnsi="Arial" w:cs="Arial"/>
          <w:sz w:val="20"/>
          <w:szCs w:val="20"/>
          <w:lang w:val="en-GB" w:eastAsia="en-US"/>
        </w:rPr>
      </w:pPr>
      <w:r w:rsidRPr="00993132">
        <w:rPr>
          <w:rFonts w:ascii="Arial" w:hAnsi="Arial" w:cs="Arial"/>
          <w:sz w:val="20"/>
          <w:szCs w:val="20"/>
          <w:lang w:val="en-GB" w:eastAsia="en-US"/>
        </w:rPr>
        <w:t xml:space="preserve">that ERC Recommendation T/R 13-02 defines a RF channel arrangement for the FS in the band 27.5-29.5 GHz, and both standards and equipment have already been developed according to this ERC Recommendation; </w:t>
      </w:r>
    </w:p>
    <w:p w:rsidR="00D32DAC" w:rsidRPr="00993132" w:rsidRDefault="00D32DAC" w:rsidP="00993132">
      <w:pPr>
        <w:pStyle w:val="Retraitcorpsdetexte"/>
        <w:numPr>
          <w:ilvl w:val="0"/>
          <w:numId w:val="17"/>
        </w:numPr>
        <w:tabs>
          <w:tab w:val="left" w:pos="567"/>
        </w:tabs>
        <w:spacing w:after="240"/>
        <w:ind w:left="567" w:hanging="567"/>
        <w:jc w:val="both"/>
        <w:rPr>
          <w:rFonts w:ascii="Arial" w:hAnsi="Arial" w:cs="Arial"/>
          <w:sz w:val="20"/>
          <w:szCs w:val="20"/>
          <w:lang w:val="en-GB" w:eastAsia="en-US"/>
        </w:rPr>
      </w:pPr>
      <w:r w:rsidRPr="00993132">
        <w:rPr>
          <w:rFonts w:ascii="Arial" w:hAnsi="Arial" w:cs="Arial"/>
          <w:sz w:val="20"/>
          <w:szCs w:val="20"/>
          <w:lang w:val="en-GB" w:eastAsia="en-US"/>
        </w:rPr>
        <w:t>that some CEPT administrations have already assigned frequencies (or frequency blocks) for some FWA, P-P and MP systems in parts of this band;</w:t>
      </w:r>
    </w:p>
    <w:p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that the future expansion of the FS in this band is important to provide Europe’s telecommunication infrastructure, particularly in relation to the FWA in densely populated areas, as well as to support the future deployment of mobile systems (e.g. UMTS/IMT);</w:t>
      </w:r>
    </w:p>
    <w:p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that the use of the FS in the band 28.8365-28.9485 GHz within CEPT is limited to some countries, some of which have declared their intention not to continue the use of FS in the future in this band;</w:t>
      </w:r>
    </w:p>
    <w:p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that the introduction of future FSS systems will enhance and enable broadband communications over wide areas in CEPT, including areas where terrestrial means are not feasible or available;</w:t>
      </w:r>
    </w:p>
    <w:p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that a number of FSS systems are operating or planned to operate in this band, and that some of them intend to deploy large numbers of user terminals on an uncoordinated basis in some parts of the band;</w:t>
      </w:r>
    </w:p>
    <w:p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that the international coordination of FSS earth stations, in accordance with RR provisions, can be sought in the whole band 27.5-29.5 GHz;</w:t>
      </w:r>
    </w:p>
    <w:p w:rsidR="00D32DAC" w:rsidRPr="00993132" w:rsidRDefault="00D32DAC" w:rsidP="00993132">
      <w:pPr>
        <w:numPr>
          <w:ilvl w:val="0"/>
          <w:numId w:val="17"/>
        </w:numPr>
        <w:tabs>
          <w:tab w:val="left" w:pos="567"/>
        </w:tabs>
        <w:autoSpaceDE w:val="0"/>
        <w:autoSpaceDN w:val="0"/>
        <w:spacing w:after="240"/>
        <w:ind w:left="567" w:hanging="567"/>
        <w:jc w:val="both"/>
        <w:rPr>
          <w:rFonts w:cs="Arial"/>
          <w:szCs w:val="20"/>
        </w:rPr>
      </w:pPr>
      <w:r w:rsidRPr="00993132">
        <w:rPr>
          <w:rFonts w:cs="Arial"/>
          <w:szCs w:val="20"/>
        </w:rPr>
        <w:t>that some European administrations are promoting FSS systems in this band in the context of removing the “digital divide” at European level;</w:t>
      </w:r>
    </w:p>
    <w:p w:rsidR="00D32DAC" w:rsidRPr="00993132" w:rsidRDefault="00D32DAC" w:rsidP="00993132">
      <w:pPr>
        <w:numPr>
          <w:ilvl w:val="0"/>
          <w:numId w:val="17"/>
        </w:numPr>
        <w:tabs>
          <w:tab w:val="left" w:pos="567"/>
        </w:tabs>
        <w:autoSpaceDE w:val="0"/>
        <w:autoSpaceDN w:val="0"/>
        <w:spacing w:after="240"/>
        <w:ind w:left="567" w:hanging="567"/>
        <w:jc w:val="both"/>
        <w:rPr>
          <w:rFonts w:cs="Arial"/>
          <w:szCs w:val="20"/>
        </w:rPr>
      </w:pPr>
      <w:r w:rsidRPr="00993132">
        <w:rPr>
          <w:rFonts w:cs="Arial"/>
          <w:szCs w:val="20"/>
        </w:rPr>
        <w:t>that the 27.5-29.5 GHz frequency range is suitable for transmission by low-cost terminals and has the potential to make them economically and technologically viable, in complement to the satellite exclusive 29.5-30.0 GHz frequency range;</w:t>
      </w:r>
    </w:p>
    <w:p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 xml:space="preserve">that WRC-03 has identified a number of frequency bands for High-Density applications in the Fixed-Satellite Service (HDFSS) through No. </w:t>
      </w:r>
      <w:r w:rsidRPr="002148D6">
        <w:rPr>
          <w:rFonts w:cs="Arial"/>
          <w:bCs/>
          <w:szCs w:val="20"/>
        </w:rPr>
        <w:t>5.516B,</w:t>
      </w:r>
      <w:r w:rsidRPr="00993132">
        <w:rPr>
          <w:rFonts w:cs="Arial"/>
          <w:szCs w:val="20"/>
        </w:rPr>
        <w:t xml:space="preserve"> among which are the bands 27.5-27.82 GHz in Region 1, 28.45-28.94 GHz in all Regions and 29.46-30 GHz in Region 1;</w:t>
      </w:r>
    </w:p>
    <w:p w:rsidR="00E65E22" w:rsidRPr="00993132" w:rsidRDefault="00D32DAC" w:rsidP="00993132">
      <w:pPr>
        <w:pStyle w:val="ECCParagraph"/>
        <w:numPr>
          <w:ilvl w:val="0"/>
          <w:numId w:val="17"/>
        </w:numPr>
        <w:tabs>
          <w:tab w:val="left" w:pos="567"/>
        </w:tabs>
        <w:ind w:left="567" w:hanging="567"/>
        <w:rPr>
          <w:rFonts w:cs="Arial"/>
          <w:szCs w:val="20"/>
        </w:rPr>
      </w:pPr>
      <w:r w:rsidRPr="00993132">
        <w:rPr>
          <w:rFonts w:cs="Arial"/>
          <w:szCs w:val="20"/>
        </w:rPr>
        <w:t>that the probability of interference to FS receiver stations by FSS uncoordinated transmitting earth stations operating on the same frequency and in the same geographical area is generally regarded as being not acceptable especially in densely populated areas</w:t>
      </w:r>
      <w:r w:rsidR="002148D6">
        <w:rPr>
          <w:rFonts w:cs="Arial"/>
          <w:szCs w:val="20"/>
        </w:rPr>
        <w:t>;</w:t>
      </w:r>
    </w:p>
    <w:p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that a maximum e.i.r.p. density level of 6 dBW/MHz applied to each FS transmitter in the direction of the GSO arc would ensure that harmful interference is not caused to FSS space stations;</w:t>
      </w:r>
    </w:p>
    <w:p w:rsidR="00D32DAC" w:rsidRPr="00993132" w:rsidRDefault="00D32DAC" w:rsidP="00993132">
      <w:pPr>
        <w:numPr>
          <w:ilvl w:val="0"/>
          <w:numId w:val="17"/>
        </w:numPr>
        <w:tabs>
          <w:tab w:val="left" w:pos="567"/>
        </w:tabs>
        <w:spacing w:after="240"/>
        <w:ind w:left="567" w:hanging="567"/>
        <w:jc w:val="both"/>
        <w:rPr>
          <w:rFonts w:cs="Arial"/>
          <w:szCs w:val="20"/>
        </w:rPr>
      </w:pPr>
      <w:r w:rsidRPr="00993132">
        <w:rPr>
          <w:rFonts w:cs="Arial"/>
          <w:szCs w:val="20"/>
        </w:rPr>
        <w:t>that the use of transmit power reduction mechanisms (e.g. Automatic Power Control and/or Power Setting) by the FWA terminal stations will ensure that the maximum e.i.r.p.</w:t>
      </w:r>
      <w:r w:rsidR="00993132">
        <w:rPr>
          <w:rFonts w:cs="Arial"/>
          <w:szCs w:val="20"/>
        </w:rPr>
        <w:t xml:space="preserve"> </w:t>
      </w:r>
      <w:r w:rsidRPr="00993132">
        <w:rPr>
          <w:rFonts w:cs="Arial"/>
          <w:szCs w:val="20"/>
        </w:rPr>
        <w:t>density level defined in considering n) will not be exceeded by a single station towards the GSO arc;</w:t>
      </w:r>
    </w:p>
    <w:p w:rsidR="00D32DAC" w:rsidRPr="00993132" w:rsidRDefault="00D32DAC" w:rsidP="00993132">
      <w:pPr>
        <w:numPr>
          <w:ilvl w:val="0"/>
          <w:numId w:val="17"/>
        </w:numPr>
        <w:spacing w:after="240"/>
        <w:ind w:left="567" w:hanging="567"/>
        <w:jc w:val="both"/>
        <w:rPr>
          <w:rFonts w:cs="Arial"/>
          <w:szCs w:val="20"/>
        </w:rPr>
      </w:pPr>
      <w:r w:rsidRPr="00993132">
        <w:rPr>
          <w:rFonts w:cs="Arial"/>
          <w:szCs w:val="20"/>
        </w:rPr>
        <w:lastRenderedPageBreak/>
        <w:t>that an adjacent band e.i.r.p. limitation is needed for the earth stations in order to ensure the FS/FSS adjacent band compatibility;</w:t>
      </w:r>
    </w:p>
    <w:p w:rsidR="00D32DAC" w:rsidRPr="00993132" w:rsidRDefault="00D32DAC" w:rsidP="00993132">
      <w:pPr>
        <w:numPr>
          <w:ilvl w:val="0"/>
          <w:numId w:val="17"/>
        </w:numPr>
        <w:spacing w:after="240"/>
        <w:ind w:left="567" w:hanging="567"/>
        <w:jc w:val="both"/>
        <w:rPr>
          <w:rFonts w:cs="Arial"/>
          <w:szCs w:val="20"/>
        </w:rPr>
      </w:pPr>
      <w:r w:rsidRPr="00993132">
        <w:rPr>
          <w:rFonts w:cs="Arial"/>
          <w:szCs w:val="20"/>
        </w:rPr>
        <w:t>that a guard band of 10 MHz between FS and FSS bands is necessary to ensure adequate protection from earth stations in-band emission;</w:t>
      </w:r>
    </w:p>
    <w:p w:rsidR="00D32DAC" w:rsidRPr="00993132" w:rsidRDefault="00D32DAC" w:rsidP="00993132">
      <w:pPr>
        <w:numPr>
          <w:ilvl w:val="0"/>
          <w:numId w:val="17"/>
        </w:numPr>
        <w:spacing w:after="240"/>
        <w:ind w:left="567" w:hanging="567"/>
        <w:jc w:val="both"/>
        <w:rPr>
          <w:rFonts w:cs="Arial"/>
          <w:szCs w:val="20"/>
        </w:rPr>
      </w:pPr>
      <w:r w:rsidRPr="00993132">
        <w:rPr>
          <w:rFonts w:cs="Arial"/>
          <w:szCs w:val="20"/>
        </w:rPr>
        <w:t>that the method of national co-ordination, of individual earth stations in the whole band, may need to take account of  spectrum that is allocated on a spectrum block, area assigned basis, to fixed service operators (as referenced in ECC/ERC Reports 99, 97, 32 and ECC/REC/(11)01);</w:t>
      </w:r>
    </w:p>
    <w:p w:rsidR="00D32DAC" w:rsidRPr="00993132" w:rsidRDefault="00D32DAC" w:rsidP="00993132">
      <w:pPr>
        <w:numPr>
          <w:ilvl w:val="0"/>
          <w:numId w:val="17"/>
        </w:numPr>
        <w:spacing w:after="240"/>
        <w:ind w:left="567" w:hanging="567"/>
        <w:jc w:val="both"/>
        <w:rPr>
          <w:rFonts w:cs="Arial"/>
          <w:szCs w:val="20"/>
        </w:rPr>
      </w:pPr>
      <w:r w:rsidRPr="00993132">
        <w:rPr>
          <w:rFonts w:cs="Arial"/>
          <w:szCs w:val="20"/>
        </w:rPr>
        <w:t>that when operating i</w:t>
      </w:r>
      <w:r w:rsidR="00CC7BB7">
        <w:rPr>
          <w:rFonts w:cs="Arial"/>
          <w:szCs w:val="20"/>
        </w:rPr>
        <w:t>n national territory of a CEPT a</w:t>
      </w:r>
      <w:r w:rsidRPr="00993132">
        <w:rPr>
          <w:rFonts w:cs="Arial"/>
          <w:szCs w:val="20"/>
        </w:rPr>
        <w:t xml:space="preserve">dministration, relevant national regulatory requirements may apply to uncoordinated FSS earth stations; </w:t>
      </w:r>
    </w:p>
    <w:p w:rsidR="00D32DAC" w:rsidRPr="00993132" w:rsidRDefault="00D32DAC" w:rsidP="00993132">
      <w:pPr>
        <w:numPr>
          <w:ilvl w:val="0"/>
          <w:numId w:val="17"/>
        </w:numPr>
        <w:spacing w:after="240"/>
        <w:ind w:left="567" w:hanging="567"/>
        <w:jc w:val="both"/>
        <w:rPr>
          <w:rFonts w:cs="Arial"/>
          <w:szCs w:val="20"/>
        </w:rPr>
      </w:pPr>
      <w:r w:rsidRPr="00993132">
        <w:rPr>
          <w:rFonts w:cs="Arial"/>
          <w:szCs w:val="20"/>
        </w:rPr>
        <w:t>that the downlink bands identified by WRC-03 for HDFSS in Region 1 are subject to other ECC Decisions ECC/DEC/(05)08;</w:t>
      </w:r>
    </w:p>
    <w:p w:rsidR="00D32DAC" w:rsidRPr="00993132" w:rsidRDefault="00D32DAC" w:rsidP="00993132">
      <w:pPr>
        <w:pStyle w:val="ECCParagraph"/>
        <w:numPr>
          <w:ilvl w:val="0"/>
          <w:numId w:val="17"/>
        </w:numPr>
        <w:ind w:left="567" w:hanging="567"/>
        <w:rPr>
          <w:rFonts w:cs="Arial"/>
          <w:szCs w:val="20"/>
        </w:rPr>
      </w:pPr>
      <w:r w:rsidRPr="00993132">
        <w:rPr>
          <w:rFonts w:cs="Arial"/>
          <w:szCs w:val="20"/>
        </w:rPr>
        <w:t>that in EU/EFTA countries the radio equipment that is under the scope of this Decision shall comply with the R&amp;TTE Directive. Conformity with the essential requirements of the R&amp;TTE Directive may be demonstrated by compliance with the applicable harmonised European standard(s) or by using the other conformity assessment procedures set out in the R&amp;TTE Directive</w:t>
      </w:r>
    </w:p>
    <w:p w:rsidR="006C03D0" w:rsidRPr="00993132" w:rsidRDefault="005F7AD5" w:rsidP="006C03D0">
      <w:pPr>
        <w:pStyle w:val="ECCParagraph"/>
        <w:rPr>
          <w:rFonts w:cs="Arial"/>
          <w:color w:val="D2232A"/>
          <w:szCs w:val="20"/>
        </w:rPr>
      </w:pPr>
      <w:r w:rsidRPr="00993132">
        <w:rPr>
          <w:rFonts w:cs="Arial"/>
          <w:i/>
          <w:color w:val="D2232A"/>
          <w:szCs w:val="20"/>
        </w:rPr>
        <w:t>DECIDES</w:t>
      </w:r>
    </w:p>
    <w:p w:rsidR="00D32DAC" w:rsidRPr="00993132" w:rsidRDefault="00D32DAC" w:rsidP="00D32DAC">
      <w:pPr>
        <w:pStyle w:val="NumberedList"/>
        <w:rPr>
          <w:rFonts w:cs="Arial"/>
          <w:szCs w:val="20"/>
        </w:rPr>
      </w:pPr>
      <w:r w:rsidRPr="00993132">
        <w:rPr>
          <w:rFonts w:cs="Arial"/>
          <w:szCs w:val="20"/>
        </w:rPr>
        <w:t>to designate the bands 27.5-27.8285 GHz, 28.4445-28.8365 GHz and 29.4525-29.5 GHz for the use of uncoordinated FSS earth stations</w:t>
      </w:r>
      <w:r w:rsidRPr="00993132">
        <w:rPr>
          <w:rStyle w:val="Appelnotedebasdep"/>
          <w:rFonts w:cs="Arial"/>
          <w:szCs w:val="20"/>
        </w:rPr>
        <w:footnoteReference w:id="1"/>
      </w:r>
      <w:r w:rsidRPr="00993132">
        <w:rPr>
          <w:rFonts w:cs="Arial"/>
          <w:szCs w:val="20"/>
        </w:rPr>
        <w:t>;</w:t>
      </w:r>
    </w:p>
    <w:p w:rsidR="00D32DAC" w:rsidRPr="00993132" w:rsidRDefault="00D32DAC" w:rsidP="00D32DAC">
      <w:pPr>
        <w:pStyle w:val="NumberedList"/>
        <w:rPr>
          <w:rFonts w:cs="Arial"/>
          <w:szCs w:val="20"/>
        </w:rPr>
      </w:pPr>
      <w:r w:rsidRPr="00993132">
        <w:rPr>
          <w:rFonts w:cs="Arial"/>
          <w:szCs w:val="20"/>
        </w:rPr>
        <w:t xml:space="preserve">to designate the band 28.8365-28.9485 GHz for the use of uncoordinated FSS earth stations, taking into account, </w:t>
      </w:r>
      <w:r w:rsidRPr="00993132">
        <w:rPr>
          <w:rFonts w:cs="Arial"/>
          <w:szCs w:val="20"/>
          <w:lang w:val="en-US" w:eastAsia="fr-FR"/>
        </w:rPr>
        <w:t xml:space="preserve">until 1 January 2020, </w:t>
      </w:r>
      <w:r w:rsidRPr="00993132">
        <w:rPr>
          <w:rFonts w:cs="Arial"/>
          <w:szCs w:val="20"/>
        </w:rPr>
        <w:t>the legacy FS systems licensed in this band in some countries</w:t>
      </w:r>
      <w:r w:rsidR="00993132">
        <w:rPr>
          <w:rFonts w:cs="Arial"/>
          <w:szCs w:val="20"/>
        </w:rPr>
        <w:t xml:space="preserve"> </w:t>
      </w:r>
      <w:r w:rsidRPr="00993132">
        <w:rPr>
          <w:rFonts w:cs="Arial"/>
          <w:szCs w:val="20"/>
        </w:rPr>
        <w:t xml:space="preserve">before 18 March 2005; </w:t>
      </w:r>
    </w:p>
    <w:p w:rsidR="00D32DAC" w:rsidRPr="00993132" w:rsidRDefault="00D32DAC" w:rsidP="00D32DAC">
      <w:pPr>
        <w:pStyle w:val="NumberedList"/>
        <w:rPr>
          <w:rFonts w:cs="Arial"/>
          <w:szCs w:val="20"/>
        </w:rPr>
      </w:pPr>
      <w:r w:rsidRPr="00993132">
        <w:rPr>
          <w:rFonts w:cs="Arial"/>
          <w:szCs w:val="20"/>
        </w:rPr>
        <w:t>to designate the bands 27.8285-28.4445 GHz and 28.9485-29.4525 GHz for the use of FS systems</w:t>
      </w:r>
      <w:r w:rsidRPr="00993132">
        <w:rPr>
          <w:rFonts w:cs="Arial"/>
          <w:szCs w:val="20"/>
          <w:vertAlign w:val="superscript"/>
        </w:rPr>
        <w:t>1</w:t>
      </w:r>
      <w:r w:rsidRPr="00993132">
        <w:rPr>
          <w:rFonts w:cs="Arial"/>
          <w:szCs w:val="20"/>
        </w:rPr>
        <w:t>;</w:t>
      </w:r>
    </w:p>
    <w:p w:rsidR="00D32DAC" w:rsidRPr="00993132" w:rsidRDefault="00D32DAC" w:rsidP="00D32DAC">
      <w:pPr>
        <w:pStyle w:val="NumberedList"/>
        <w:rPr>
          <w:rFonts w:cs="Arial"/>
          <w:szCs w:val="20"/>
        </w:rPr>
      </w:pPr>
      <w:r w:rsidRPr="00993132">
        <w:rPr>
          <w:rFonts w:cs="Arial"/>
          <w:szCs w:val="20"/>
        </w:rPr>
        <w:t>that CEPT administrations shall not authorise the deployment of FS stations in the bands mentioned in Decides 1, nor authorise any new FS stations except in an already licensed network in the band specified in Decides 2;</w:t>
      </w:r>
    </w:p>
    <w:p w:rsidR="00D32DAC" w:rsidRPr="00993132" w:rsidRDefault="00D32DAC" w:rsidP="00D32DAC">
      <w:pPr>
        <w:pStyle w:val="NumberedList"/>
        <w:rPr>
          <w:rFonts w:cs="Arial"/>
          <w:szCs w:val="20"/>
        </w:rPr>
      </w:pPr>
      <w:r w:rsidRPr="00993132">
        <w:rPr>
          <w:rFonts w:cs="Arial"/>
          <w:szCs w:val="20"/>
        </w:rPr>
        <w:t>that CEPT administrations shall not authorise the deployment of uncoordinated FSS earth stations in the bands mentioned in Decides 3;</w:t>
      </w:r>
    </w:p>
    <w:p w:rsidR="00D32DAC" w:rsidRPr="00993132" w:rsidRDefault="00D32DAC" w:rsidP="00D32DAC">
      <w:pPr>
        <w:pStyle w:val="NumberedList"/>
        <w:rPr>
          <w:rFonts w:cs="Arial"/>
          <w:szCs w:val="20"/>
        </w:rPr>
      </w:pPr>
      <w:r w:rsidRPr="00993132">
        <w:rPr>
          <w:rFonts w:cs="Arial"/>
          <w:szCs w:val="20"/>
        </w:rPr>
        <w:t>that administrations shall exempt from individual licensing and allow the free circulation and use of uncoordinated FSS earth stations operating in the bands specified in Decides 1, and Decides 2 where appropriate;</w:t>
      </w:r>
    </w:p>
    <w:p w:rsidR="00D32DAC" w:rsidRDefault="00D32DAC" w:rsidP="00D32DAC">
      <w:pPr>
        <w:pStyle w:val="NumberedList"/>
        <w:rPr>
          <w:rFonts w:cs="Arial"/>
          <w:szCs w:val="20"/>
        </w:rPr>
      </w:pPr>
      <w:r w:rsidRPr="00993132">
        <w:rPr>
          <w:rFonts w:cs="Arial"/>
          <w:szCs w:val="20"/>
        </w:rPr>
        <w:t>that uncoordinated FSS earth stations transmitting within the band 27.5-29.5 GHz shall comply with the requirements in Annex 2;</w:t>
      </w:r>
    </w:p>
    <w:p w:rsidR="00993132" w:rsidRDefault="00993132" w:rsidP="00D32DAC">
      <w:pPr>
        <w:pStyle w:val="NumberedList"/>
        <w:rPr>
          <w:rFonts w:cs="Arial"/>
          <w:szCs w:val="20"/>
        </w:rPr>
      </w:pPr>
      <w:r w:rsidRPr="00993132">
        <w:rPr>
          <w:rFonts w:cs="Arial"/>
          <w:szCs w:val="20"/>
        </w:rPr>
        <w:t>that that in countries where coordination of FSS earth stations in the vicinity of airfields is required, Annex 3 shall apply</w:t>
      </w:r>
      <w:r>
        <w:rPr>
          <w:rFonts w:cs="Arial"/>
          <w:szCs w:val="20"/>
        </w:rPr>
        <w:t>;</w:t>
      </w:r>
    </w:p>
    <w:p w:rsidR="00993132" w:rsidRDefault="00993132" w:rsidP="00D32DAC">
      <w:pPr>
        <w:pStyle w:val="NumberedList"/>
        <w:rPr>
          <w:rFonts w:cs="Arial"/>
          <w:szCs w:val="20"/>
        </w:rPr>
      </w:pPr>
      <w:r w:rsidRPr="00993132">
        <w:rPr>
          <w:rFonts w:cs="Arial"/>
          <w:szCs w:val="20"/>
        </w:rPr>
        <w:t>that new FWA terminal stations shall implement transmit power reduction mechanisms (e.g. Automatic Power Control and/or Power Setting) in the bands referred to in Decides 3</w:t>
      </w:r>
      <w:r>
        <w:rPr>
          <w:rFonts w:cs="Arial"/>
          <w:szCs w:val="20"/>
        </w:rPr>
        <w:t>;</w:t>
      </w:r>
    </w:p>
    <w:p w:rsidR="00993132" w:rsidRDefault="00993132" w:rsidP="00D32DAC">
      <w:pPr>
        <w:pStyle w:val="NumberedList"/>
        <w:rPr>
          <w:rFonts w:cs="Arial"/>
          <w:szCs w:val="20"/>
        </w:rPr>
      </w:pPr>
      <w:r w:rsidRPr="00993132">
        <w:rPr>
          <w:rFonts w:cs="Arial"/>
          <w:szCs w:val="20"/>
        </w:rPr>
        <w:t>that this Decision shall enter into force on 8 March 2013</w:t>
      </w:r>
      <w:r>
        <w:rPr>
          <w:rFonts w:cs="Arial"/>
          <w:szCs w:val="20"/>
        </w:rPr>
        <w:t>;</w:t>
      </w:r>
    </w:p>
    <w:p w:rsidR="00993132" w:rsidRPr="00993132" w:rsidRDefault="00993132" w:rsidP="00D32DAC">
      <w:pPr>
        <w:pStyle w:val="NumberedList"/>
        <w:rPr>
          <w:rFonts w:cs="Arial"/>
          <w:szCs w:val="20"/>
        </w:rPr>
      </w:pPr>
      <w:r w:rsidRPr="00993132">
        <w:rPr>
          <w:rFonts w:cs="Arial"/>
          <w:szCs w:val="20"/>
        </w:rPr>
        <w:t>that the preferred date for implementation of this Decision shall be 8 September 2013</w:t>
      </w:r>
      <w:r>
        <w:rPr>
          <w:rFonts w:cs="Arial"/>
          <w:szCs w:val="20"/>
        </w:rPr>
        <w:t>;</w:t>
      </w:r>
    </w:p>
    <w:p w:rsidR="001C46EA" w:rsidRPr="00993132" w:rsidRDefault="00D32DAC" w:rsidP="00D90B0A">
      <w:pPr>
        <w:pStyle w:val="NumberedList"/>
        <w:keepNext/>
        <w:rPr>
          <w:rFonts w:cs="Arial"/>
          <w:szCs w:val="20"/>
        </w:rPr>
      </w:pPr>
      <w:r w:rsidRPr="00993132">
        <w:rPr>
          <w:rFonts w:cs="Arial"/>
          <w:szCs w:val="20"/>
        </w:rPr>
        <w:lastRenderedPageBreak/>
        <w:t xml:space="preserve">that CEPT Member administrations shall communicate the national measures implementing this Decision to the ECC Chairman and the Office when the Decision is nationally implemented, including, if applicable, information with respect to their situation regarding Decides </w:t>
      </w:r>
      <w:r w:rsidR="00993132" w:rsidRPr="00993132">
        <w:rPr>
          <w:rFonts w:cs="Arial"/>
          <w:szCs w:val="20"/>
        </w:rPr>
        <w:t>2.</w:t>
      </w:r>
      <w:r w:rsidR="00713DBA" w:rsidRPr="00993132">
        <w:rPr>
          <w:rFonts w:cs="Arial"/>
          <w:szCs w:val="20"/>
        </w:rPr>
        <w:t>”</w:t>
      </w:r>
    </w:p>
    <w:p w:rsidR="00993132" w:rsidRPr="00993132" w:rsidRDefault="00993132" w:rsidP="00993132">
      <w:pPr>
        <w:pStyle w:val="NumberedList"/>
        <w:keepNext/>
        <w:numPr>
          <w:ilvl w:val="0"/>
          <w:numId w:val="0"/>
        </w:numPr>
        <w:ind w:left="397" w:hanging="397"/>
        <w:rPr>
          <w:rFonts w:cs="Arial"/>
          <w:szCs w:val="20"/>
        </w:rPr>
      </w:pPr>
    </w:p>
    <w:p w:rsidR="00993132" w:rsidRDefault="00993132" w:rsidP="00993132">
      <w:pPr>
        <w:pStyle w:val="NumberedList"/>
        <w:keepNext/>
        <w:numPr>
          <w:ilvl w:val="0"/>
          <w:numId w:val="0"/>
        </w:numPr>
        <w:ind w:left="397" w:hanging="397"/>
      </w:pPr>
    </w:p>
    <w:p w:rsidR="001C46EA" w:rsidRPr="00FE1795" w:rsidRDefault="001C46EA" w:rsidP="00D90B0A">
      <w:pPr>
        <w:pStyle w:val="ECCParagraph"/>
        <w:keepNext/>
        <w:rPr>
          <w:i/>
          <w:color w:val="D2232A"/>
        </w:rPr>
      </w:pPr>
      <w:r w:rsidRPr="00FE1795">
        <w:rPr>
          <w:i/>
          <w:color w:val="D2232A"/>
        </w:rPr>
        <w:t xml:space="preserve">Note: </w:t>
      </w:r>
    </w:p>
    <w:p w:rsidR="00CC7BB7" w:rsidRDefault="001C46EA" w:rsidP="00CC7BB7">
      <w:pPr>
        <w:pStyle w:val="ECCParagraph"/>
        <w:keepNext/>
        <w:rPr>
          <w:i/>
          <w:szCs w:val="20"/>
        </w:rPr>
      </w:pPr>
      <w:r w:rsidRPr="00E80C5C">
        <w:rPr>
          <w:i/>
          <w:szCs w:val="20"/>
        </w:rPr>
        <w:t xml:space="preserve">Please check the Office </w:t>
      </w:r>
      <w:r>
        <w:rPr>
          <w:i/>
          <w:szCs w:val="20"/>
        </w:rPr>
        <w:t>documentation database</w:t>
      </w:r>
      <w:r w:rsidRPr="00E80C5C">
        <w:rPr>
          <w:i/>
          <w:szCs w:val="20"/>
        </w:rPr>
        <w:t xml:space="preserve"> http://www.</w:t>
      </w:r>
      <w:r>
        <w:rPr>
          <w:i/>
          <w:szCs w:val="20"/>
        </w:rPr>
        <w:t>ecodocdb.dk for</w:t>
      </w:r>
      <w:r w:rsidRPr="00E80C5C">
        <w:rPr>
          <w:i/>
          <w:szCs w:val="20"/>
        </w:rPr>
        <w:t xml:space="preserve"> the up to date position on the implementation of this and other </w:t>
      </w:r>
      <w:smartTag w:uri="urn:schemas-microsoft-com:office:smarttags" w:element="stockticker">
        <w:r w:rsidRPr="00E80C5C">
          <w:rPr>
            <w:i/>
            <w:szCs w:val="20"/>
          </w:rPr>
          <w:t>ECC</w:t>
        </w:r>
      </w:smartTag>
      <w:r w:rsidRPr="00E80C5C">
        <w:rPr>
          <w:i/>
          <w:szCs w:val="20"/>
        </w:rPr>
        <w:t xml:space="preserve"> Decisions.</w:t>
      </w:r>
    </w:p>
    <w:p w:rsidR="00CC7BB7" w:rsidRDefault="00CC7BB7" w:rsidP="00CC7BB7">
      <w:pPr>
        <w:pStyle w:val="ECCParagraph"/>
        <w:keepNext/>
        <w:rPr>
          <w:i/>
          <w:szCs w:val="20"/>
        </w:rPr>
        <w:sectPr w:rsidR="00CC7BB7"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6C03D0" w:rsidRDefault="00CC7BB7" w:rsidP="00CC7BB7">
      <w:pPr>
        <w:pStyle w:val="ECCAnnex-heading1"/>
        <w:rPr>
          <w:sz w:val="14"/>
          <w:lang w:val="en-IE"/>
        </w:rPr>
      </w:pPr>
      <w:r>
        <w:rPr>
          <w:lang w:val="en-IE"/>
        </w:rPr>
        <w:lastRenderedPageBreak/>
        <w:t>Band segmentation for FSS and FS in the band 27.5-29.5 GH</w:t>
      </w:r>
      <w:r w:rsidRPr="00E378C6">
        <w:rPr>
          <w:sz w:val="14"/>
          <w:lang w:val="en-IE"/>
        </w:rPr>
        <w:t>z</w:t>
      </w:r>
    </w:p>
    <w:p w:rsidR="00CC7BB7" w:rsidRDefault="00CC7BB7" w:rsidP="00CC7BB7">
      <w:pPr>
        <w:pStyle w:val="ECCParagraph"/>
        <w:rPr>
          <w:lang w:val="en-IE"/>
        </w:rPr>
      </w:pPr>
    </w:p>
    <w:p w:rsidR="00CC7BB7" w:rsidRDefault="00CC7BB7" w:rsidP="00CC7BB7">
      <w:pPr>
        <w:pStyle w:val="ECCParagraph"/>
      </w:pPr>
      <w:r>
        <w:object w:dxaOrig="20434" w:dyaOrig="8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75pt;height:299.25pt" o:ole="">
            <v:imagedata r:id="rId12" o:title=""/>
          </v:shape>
          <o:OLEObject Type="Embed" ProgID="Excel.Sheet.8" ShapeID="_x0000_i1025" DrawAspect="Content" ObjectID="_1424517867" r:id="rId13"/>
        </w:object>
      </w:r>
    </w:p>
    <w:p w:rsidR="00CC7BB7" w:rsidRDefault="003E566F" w:rsidP="003E566F">
      <w:pPr>
        <w:jc w:val="center"/>
        <w:rPr>
          <w:rFonts w:ascii="Arial Bold" w:hAnsi="Arial Bold"/>
          <w:b/>
          <w:color w:val="D2232A"/>
        </w:rPr>
      </w:pPr>
      <w:r w:rsidRPr="003E566F">
        <w:rPr>
          <w:rFonts w:ascii="Arial Bold" w:hAnsi="Arial Bold"/>
          <w:b/>
          <w:color w:val="D2232A"/>
        </w:rPr>
        <w:t>Figure: Band segmentation for FSS and FS in the band 27.5-29.5 GH</w:t>
      </w:r>
      <w:r>
        <w:rPr>
          <w:rFonts w:ascii="Arial Bold" w:hAnsi="Arial Bold"/>
          <w:b/>
          <w:color w:val="D2232A"/>
        </w:rPr>
        <w:t>z</w:t>
      </w:r>
    </w:p>
    <w:p w:rsidR="003E566F" w:rsidRDefault="003E566F" w:rsidP="003E566F">
      <w:pPr>
        <w:jc w:val="center"/>
        <w:rPr>
          <w:rFonts w:ascii="Arial Bold" w:hAnsi="Arial Bold"/>
          <w:b/>
          <w:color w:val="D2232A"/>
        </w:rPr>
        <w:sectPr w:rsidR="003E566F" w:rsidSect="00CC7BB7">
          <w:headerReference w:type="first" r:id="rId14"/>
          <w:pgSz w:w="16840" w:h="11907" w:orient="landscape" w:code="9"/>
          <w:pgMar w:top="1134" w:right="1440" w:bottom="1134" w:left="1440" w:header="709" w:footer="709" w:gutter="0"/>
          <w:cols w:space="708"/>
          <w:titlePg/>
          <w:docGrid w:linePitch="360"/>
        </w:sectPr>
      </w:pPr>
    </w:p>
    <w:p w:rsidR="003E566F" w:rsidRDefault="003E566F" w:rsidP="003E566F">
      <w:pPr>
        <w:pStyle w:val="ECCAnnex-heading1"/>
        <w:rPr>
          <w:sz w:val="14"/>
        </w:rPr>
      </w:pPr>
      <w:r w:rsidRPr="00B102B5">
        <w:lastRenderedPageBreak/>
        <w:t>technical and operational requirements for uncoordinated FSS Earth stations operating in frequency bands within the range 27.5-29.5 GH</w:t>
      </w:r>
      <w:r w:rsidRPr="00265677">
        <w:rPr>
          <w:sz w:val="14"/>
        </w:rPr>
        <w:t>z</w:t>
      </w:r>
    </w:p>
    <w:p w:rsidR="003E566F" w:rsidRDefault="003E566F" w:rsidP="003E566F">
      <w:pPr>
        <w:pStyle w:val="ECCParagraph"/>
      </w:pPr>
    </w:p>
    <w:p w:rsidR="003E566F" w:rsidRDefault="003E566F" w:rsidP="003E566F">
      <w:pPr>
        <w:pStyle w:val="ECCParagraph"/>
      </w:pPr>
      <w:r>
        <w:t xml:space="preserve">Uncoordinated FSS earth stations transmitting within the band 27.5 - 29.5 GHz shall comply with the </w:t>
      </w:r>
      <w:r w:rsidRPr="00E378C6">
        <w:t>following requirements:</w:t>
      </w:r>
    </w:p>
    <w:p w:rsidR="003E566F" w:rsidRPr="00960163" w:rsidRDefault="003E566F" w:rsidP="003E566F">
      <w:pPr>
        <w:pStyle w:val="Paragraphedeliste"/>
        <w:numPr>
          <w:ilvl w:val="0"/>
          <w:numId w:val="30"/>
        </w:numPr>
        <w:tabs>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ind w:left="567" w:right="-17" w:hanging="567"/>
        <w:jc w:val="both"/>
        <w:rPr>
          <w:rFonts w:cs="Arial"/>
        </w:rPr>
      </w:pPr>
      <w:r w:rsidRPr="00960163">
        <w:rPr>
          <w:rFonts w:cs="Arial"/>
        </w:rPr>
        <w:t>In the adjacent bands used by FS, i.e.</w:t>
      </w:r>
      <w:r>
        <w:rPr>
          <w:rFonts w:cs="Arial"/>
        </w:rPr>
        <w:t xml:space="preserve"> </w:t>
      </w:r>
      <w:r w:rsidRPr="00960163">
        <w:rPr>
          <w:rFonts w:cs="Arial"/>
        </w:rPr>
        <w:t>27.8285-28.4445 GHz, 28.8365-28.9485 GHz (where applicable) and 28.9485-29.4525 GHz, the off axis</w:t>
      </w:r>
      <w:r w:rsidRPr="00AA1C1A">
        <w:rPr>
          <w:rStyle w:val="Appelnotedebasdep"/>
          <w:rFonts w:cs="Arial"/>
        </w:rPr>
        <w:footnoteReference w:id="2"/>
      </w:r>
      <w:r w:rsidRPr="00960163">
        <w:rPr>
          <w:rFonts w:cs="Arial"/>
        </w:rPr>
        <w:t xml:space="preserve"> e.i.r.p. density radiated shall be limited to</w:t>
      </w:r>
      <w:r>
        <w:rPr>
          <w:rFonts w:cs="Arial"/>
        </w:rPr>
        <w:br/>
      </w:r>
      <w:r w:rsidRPr="00960163">
        <w:rPr>
          <w:rFonts w:cs="Arial"/>
        </w:rPr>
        <w:t>-35 dBW/MHz. This limit shall in any case be met at 3° or less above the local horizontal plane;</w:t>
      </w:r>
    </w:p>
    <w:p w:rsidR="003E566F" w:rsidRDefault="003E566F" w:rsidP="003E566F">
      <w:pPr>
        <w:pStyle w:val="Paragraphedeliste"/>
        <w:numPr>
          <w:ilvl w:val="0"/>
          <w:numId w:val="30"/>
        </w:numPr>
        <w:tabs>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ind w:left="567" w:right="-17" w:hanging="567"/>
        <w:jc w:val="both"/>
        <w:rPr>
          <w:rFonts w:cs="Arial"/>
        </w:rPr>
      </w:pPr>
      <w:r w:rsidRPr="00AA1C1A">
        <w:rPr>
          <w:rFonts w:cs="Arial"/>
        </w:rPr>
        <w:t>the elevation angle shall be higher than 3°;</w:t>
      </w:r>
    </w:p>
    <w:p w:rsidR="003E566F" w:rsidRDefault="003E566F" w:rsidP="003E566F">
      <w:pPr>
        <w:pStyle w:val="Paragraphedeliste"/>
        <w:numPr>
          <w:ilvl w:val="0"/>
          <w:numId w:val="30"/>
        </w:numPr>
        <w:tabs>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ind w:left="567" w:right="-17" w:hanging="567"/>
        <w:jc w:val="both"/>
        <w:rPr>
          <w:rFonts w:cs="Arial"/>
        </w:rPr>
      </w:pPr>
      <w:r w:rsidRPr="00AA1C1A">
        <w:rPr>
          <w:rFonts w:cs="Arial"/>
        </w:rPr>
        <w:t xml:space="preserve">The maximum e.i.r.p. of uncoordinated FSS </w:t>
      </w:r>
      <w:r>
        <w:rPr>
          <w:rFonts w:cs="Arial"/>
        </w:rPr>
        <w:t>e</w:t>
      </w:r>
      <w:r w:rsidRPr="00AA1C1A">
        <w:rPr>
          <w:rFonts w:cs="Arial"/>
        </w:rPr>
        <w:t>arth stations equipment shall be limited</w:t>
      </w:r>
      <w:r>
        <w:rPr>
          <w:rFonts w:cs="Arial"/>
        </w:rPr>
        <w:t xml:space="preserve"> by national administration</w:t>
      </w:r>
      <w:r w:rsidRPr="00AA1C1A">
        <w:rPr>
          <w:rFonts w:cs="Arial"/>
        </w:rPr>
        <w:t xml:space="preserve"> to a value within a range from </w:t>
      </w:r>
      <w:r>
        <w:rPr>
          <w:rFonts w:cs="Arial"/>
        </w:rPr>
        <w:t>55</w:t>
      </w:r>
      <w:r w:rsidRPr="00AA1C1A">
        <w:rPr>
          <w:rFonts w:cs="Arial"/>
        </w:rPr>
        <w:t xml:space="preserve"> to </w:t>
      </w:r>
      <w:r>
        <w:rPr>
          <w:rFonts w:cs="Arial"/>
        </w:rPr>
        <w:t>60</w:t>
      </w:r>
      <w:r w:rsidRPr="00AA1C1A">
        <w:rPr>
          <w:rFonts w:cs="Arial"/>
        </w:rPr>
        <w:t xml:space="preserve"> dBW;</w:t>
      </w:r>
    </w:p>
    <w:p w:rsidR="003E566F" w:rsidRPr="00E378C6" w:rsidRDefault="003E566F" w:rsidP="003E566F">
      <w:pPr>
        <w:pStyle w:val="Paragraphedeliste"/>
        <w:numPr>
          <w:ilvl w:val="0"/>
          <w:numId w:val="30"/>
        </w:numPr>
        <w:tabs>
          <w:tab w:val="left" w:pos="108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ind w:left="567" w:right="-17" w:hanging="567"/>
        <w:jc w:val="both"/>
        <w:rPr>
          <w:rFonts w:cs="Arial"/>
        </w:rPr>
      </w:pPr>
      <w:r w:rsidRPr="00656B78">
        <w:rPr>
          <w:rFonts w:cs="Arial"/>
          <w:color w:val="000000"/>
        </w:rPr>
        <w:t xml:space="preserve">FSS systems using </w:t>
      </w:r>
      <w:r>
        <w:rPr>
          <w:rFonts w:cs="Arial"/>
          <w:color w:val="000000"/>
        </w:rPr>
        <w:t>uncoordinated FSS e</w:t>
      </w:r>
      <w:r w:rsidRPr="00656B78">
        <w:rPr>
          <w:rFonts w:cs="Arial"/>
          <w:color w:val="000000"/>
        </w:rPr>
        <w:t>arth stations in the bands referred to in Decides 1 and 2 shall implement Automatic Power Control in the uncoordinated FSS earth stations and/or automatic on-board satellite gain control;</w:t>
      </w:r>
    </w:p>
    <w:p w:rsidR="003E566F" w:rsidRPr="003E566F" w:rsidRDefault="003E566F" w:rsidP="003E566F">
      <w:pPr>
        <w:pStyle w:val="ECCParagraph"/>
        <w:numPr>
          <w:ilvl w:val="0"/>
          <w:numId w:val="30"/>
        </w:numPr>
        <w:ind w:left="567" w:hanging="567"/>
      </w:pPr>
      <w:r w:rsidRPr="00656B78">
        <w:rPr>
          <w:rFonts w:cs="Arial"/>
        </w:rPr>
        <w:t xml:space="preserve">Uncoordinated FSS </w:t>
      </w:r>
      <w:r>
        <w:rPr>
          <w:rFonts w:cs="Arial"/>
        </w:rPr>
        <w:t>e</w:t>
      </w:r>
      <w:r w:rsidRPr="00656B78">
        <w:rPr>
          <w:rFonts w:cs="Arial"/>
        </w:rPr>
        <w:t>arth stations shall not have their occupied band edges closer than 10 MHz from the edges of the bands identified in Decides 3 and in Decides 2 where applicable</w:t>
      </w:r>
      <w:r>
        <w:rPr>
          <w:rFonts w:cs="Arial"/>
        </w:rPr>
        <w:t>.</w:t>
      </w:r>
    </w:p>
    <w:p w:rsidR="003E566F" w:rsidRDefault="003E566F">
      <w:pPr>
        <w:rPr>
          <w:rFonts w:cs="Arial"/>
          <w:lang w:val="en-GB"/>
        </w:rPr>
      </w:pPr>
      <w:r>
        <w:rPr>
          <w:rFonts w:cs="Arial"/>
        </w:rPr>
        <w:br w:type="page"/>
      </w:r>
    </w:p>
    <w:p w:rsidR="003E566F" w:rsidRDefault="003E566F" w:rsidP="003E566F">
      <w:pPr>
        <w:pStyle w:val="ECCAnnex-heading1"/>
      </w:pPr>
      <w:r w:rsidRPr="000E24CD">
        <w:lastRenderedPageBreak/>
        <w:t>COORDINATION ZONE FOR PROTECTION OF AIRCRAFT FROM UNCOORDINATED FSS EARTH STATION OPERATING ON THE GROUND IN THE VICINITY OF AN AIRFIELD</w:t>
      </w:r>
    </w:p>
    <w:p w:rsidR="003E566F" w:rsidRDefault="003E566F" w:rsidP="003E566F">
      <w:pPr>
        <w:pStyle w:val="ECCParagraph"/>
      </w:pPr>
    </w:p>
    <w:p w:rsidR="003E566F" w:rsidRPr="00E0708E" w:rsidRDefault="003E566F" w:rsidP="003E566F">
      <w:pPr>
        <w:pStyle w:val="ECCParagraph"/>
        <w:rPr>
          <w:b/>
        </w:rPr>
      </w:pPr>
      <w:r w:rsidRPr="00E0708E">
        <w:t xml:space="preserve">The following requirements are based on ECC Report </w:t>
      </w:r>
      <w:r>
        <w:t>0</w:t>
      </w:r>
      <w:r w:rsidRPr="00E0708E">
        <w:t xml:space="preserve">66, using a maximum </w:t>
      </w:r>
      <w:r>
        <w:t xml:space="preserve">EMC </w:t>
      </w:r>
      <w:r w:rsidRPr="00E0708E">
        <w:t xml:space="preserve">field strength of 20V/m. The coordination zone comprises the area within the airfield boundary fence in addition to an area surrounding the boundary fence, the width of which depends on the e.i.r.p. </w:t>
      </w:r>
      <w:r>
        <w:t>S</w:t>
      </w:r>
      <w:r w:rsidRPr="00E0708E">
        <w:t>ee the table</w:t>
      </w:r>
      <w:r>
        <w:t xml:space="preserve"> </w:t>
      </w:r>
      <w:r w:rsidRPr="00E0708E">
        <w:t>below.</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43"/>
        <w:gridCol w:w="1842"/>
        <w:gridCol w:w="1843"/>
        <w:gridCol w:w="1701"/>
        <w:gridCol w:w="1843"/>
      </w:tblGrid>
      <w:tr w:rsidR="003E566F" w:rsidRPr="0052738E" w:rsidTr="003E566F">
        <w:tc>
          <w:tcPr>
            <w:tcW w:w="1843" w:type="dxa"/>
            <w:tcBorders>
              <w:bottom w:val="single" w:sz="4" w:space="0" w:color="FFFFFF" w:themeColor="background1"/>
            </w:tcBorders>
            <w:shd w:val="clear" w:color="auto" w:fill="C00000"/>
            <w:vAlign w:val="center"/>
          </w:tcPr>
          <w:p w:rsidR="003E566F" w:rsidRPr="00160D58" w:rsidRDefault="003E566F" w:rsidP="00E50649">
            <w:pPr>
              <w:spacing w:line="288" w:lineRule="auto"/>
              <w:rPr>
                <w:rFonts w:cs="Arial"/>
                <w:color w:val="D2232A"/>
                <w:lang w:val="fr-FR"/>
              </w:rPr>
            </w:pPr>
            <w:proofErr w:type="spellStart"/>
            <w:r w:rsidRPr="004301CD">
              <w:rPr>
                <w:rFonts w:cs="Arial"/>
                <w:b/>
                <w:bCs/>
                <w:lang w:val="fr-FR"/>
              </w:rPr>
              <w:t>ES_e.i.r.p</w:t>
            </w:r>
            <w:proofErr w:type="spellEnd"/>
            <w:r w:rsidRPr="004301CD">
              <w:rPr>
                <w:rFonts w:cs="Arial"/>
                <w:b/>
                <w:bCs/>
                <w:lang w:val="fr-FR"/>
              </w:rPr>
              <w:t>. range</w:t>
            </w:r>
          </w:p>
        </w:tc>
        <w:tc>
          <w:tcPr>
            <w:tcW w:w="1842" w:type="dxa"/>
            <w:vAlign w:val="center"/>
          </w:tcPr>
          <w:p w:rsidR="003E566F" w:rsidRPr="004301CD" w:rsidRDefault="003E566F" w:rsidP="00E50649">
            <w:pPr>
              <w:tabs>
                <w:tab w:val="left" w:pos="1263"/>
              </w:tabs>
              <w:spacing w:line="258" w:lineRule="auto"/>
              <w:jc w:val="both"/>
              <w:rPr>
                <w:rFonts w:cs="Arial"/>
              </w:rPr>
            </w:pPr>
            <w:r w:rsidRPr="004301CD">
              <w:rPr>
                <w:rFonts w:cs="Arial"/>
              </w:rPr>
              <w:t>34 dBW</w:t>
            </w:r>
          </w:p>
          <w:p w:rsidR="003E566F" w:rsidRPr="004301CD" w:rsidRDefault="003E566F" w:rsidP="00E50649">
            <w:pPr>
              <w:tabs>
                <w:tab w:val="left" w:pos="1263"/>
              </w:tabs>
              <w:spacing w:line="258" w:lineRule="auto"/>
              <w:jc w:val="both"/>
              <w:rPr>
                <w:rFonts w:cs="Arial"/>
              </w:rPr>
            </w:pPr>
            <w:r w:rsidRPr="004301CD">
              <w:rPr>
                <w:rFonts w:cs="Arial"/>
              </w:rPr>
              <w:t>to</w:t>
            </w:r>
          </w:p>
          <w:p w:rsidR="003E566F" w:rsidRPr="004301CD" w:rsidRDefault="003E566F" w:rsidP="00E50649">
            <w:pPr>
              <w:spacing w:line="288" w:lineRule="auto"/>
              <w:rPr>
                <w:rFonts w:cs="Arial"/>
              </w:rPr>
            </w:pPr>
            <w:r w:rsidRPr="004301CD">
              <w:rPr>
                <w:rFonts w:cs="Arial"/>
              </w:rPr>
              <w:t>50 dBW</w:t>
            </w:r>
          </w:p>
        </w:tc>
        <w:tc>
          <w:tcPr>
            <w:tcW w:w="1843" w:type="dxa"/>
          </w:tcPr>
          <w:p w:rsidR="003E566F" w:rsidRPr="004301CD" w:rsidRDefault="003E566F" w:rsidP="00E50649">
            <w:pPr>
              <w:tabs>
                <w:tab w:val="left" w:pos="1263"/>
              </w:tabs>
              <w:spacing w:line="258" w:lineRule="auto"/>
              <w:jc w:val="both"/>
              <w:rPr>
                <w:rFonts w:cs="Arial"/>
              </w:rPr>
            </w:pPr>
            <w:r w:rsidRPr="004301CD">
              <w:rPr>
                <w:rFonts w:cs="Arial"/>
              </w:rPr>
              <w:t>&gt; 50 dBW</w:t>
            </w:r>
          </w:p>
          <w:p w:rsidR="003E566F" w:rsidRPr="004301CD" w:rsidRDefault="003E566F" w:rsidP="00E50649">
            <w:pPr>
              <w:tabs>
                <w:tab w:val="left" w:pos="1263"/>
              </w:tabs>
              <w:spacing w:line="258" w:lineRule="auto"/>
              <w:jc w:val="both"/>
              <w:rPr>
                <w:rFonts w:cs="Arial"/>
              </w:rPr>
            </w:pPr>
            <w:r w:rsidRPr="004301CD">
              <w:rPr>
                <w:rFonts w:cs="Arial"/>
              </w:rPr>
              <w:t>to</w:t>
            </w:r>
          </w:p>
          <w:p w:rsidR="003E566F" w:rsidRPr="004301CD" w:rsidRDefault="003E566F" w:rsidP="00E50649">
            <w:pPr>
              <w:spacing w:line="288" w:lineRule="auto"/>
              <w:rPr>
                <w:rFonts w:cs="Arial"/>
              </w:rPr>
            </w:pPr>
            <w:r w:rsidRPr="004301CD">
              <w:rPr>
                <w:rFonts w:cs="Arial"/>
              </w:rPr>
              <w:t>55.3 dBW</w:t>
            </w:r>
          </w:p>
        </w:tc>
        <w:tc>
          <w:tcPr>
            <w:tcW w:w="1701" w:type="dxa"/>
          </w:tcPr>
          <w:p w:rsidR="003E566F" w:rsidRPr="004301CD" w:rsidRDefault="003E566F" w:rsidP="00E50649">
            <w:pPr>
              <w:tabs>
                <w:tab w:val="left" w:pos="1263"/>
              </w:tabs>
              <w:spacing w:line="258" w:lineRule="auto"/>
              <w:jc w:val="both"/>
              <w:rPr>
                <w:rFonts w:cs="Arial"/>
              </w:rPr>
            </w:pPr>
            <w:r w:rsidRPr="004301CD">
              <w:rPr>
                <w:rFonts w:cs="Arial"/>
              </w:rPr>
              <w:t>&gt;55.3 dBW</w:t>
            </w:r>
          </w:p>
          <w:p w:rsidR="003E566F" w:rsidRPr="004301CD" w:rsidRDefault="003E566F" w:rsidP="00E50649">
            <w:pPr>
              <w:tabs>
                <w:tab w:val="left" w:pos="1263"/>
              </w:tabs>
              <w:spacing w:line="258" w:lineRule="auto"/>
              <w:jc w:val="both"/>
              <w:rPr>
                <w:rFonts w:cs="Arial"/>
              </w:rPr>
            </w:pPr>
            <w:r w:rsidRPr="004301CD">
              <w:rPr>
                <w:rFonts w:cs="Arial"/>
              </w:rPr>
              <w:t>to</w:t>
            </w:r>
          </w:p>
          <w:p w:rsidR="003E566F" w:rsidRPr="004301CD" w:rsidRDefault="003E566F" w:rsidP="00E50649">
            <w:pPr>
              <w:spacing w:line="288" w:lineRule="auto"/>
              <w:rPr>
                <w:rFonts w:cs="Arial"/>
              </w:rPr>
            </w:pPr>
            <w:r w:rsidRPr="004301CD">
              <w:rPr>
                <w:rFonts w:cs="Arial"/>
              </w:rPr>
              <w:t>57 dBW</w:t>
            </w:r>
          </w:p>
        </w:tc>
        <w:tc>
          <w:tcPr>
            <w:tcW w:w="1843" w:type="dxa"/>
          </w:tcPr>
          <w:p w:rsidR="003E566F" w:rsidRPr="004301CD" w:rsidRDefault="003E566F" w:rsidP="00E50649">
            <w:pPr>
              <w:tabs>
                <w:tab w:val="left" w:pos="1263"/>
              </w:tabs>
              <w:spacing w:line="258" w:lineRule="auto"/>
              <w:jc w:val="both"/>
              <w:rPr>
                <w:rFonts w:cs="Arial"/>
              </w:rPr>
            </w:pPr>
            <w:r w:rsidRPr="004301CD">
              <w:rPr>
                <w:rFonts w:cs="Arial"/>
              </w:rPr>
              <w:t>&gt;57 dBW</w:t>
            </w:r>
          </w:p>
          <w:p w:rsidR="003E566F" w:rsidRPr="004301CD" w:rsidRDefault="003E566F" w:rsidP="00E50649">
            <w:pPr>
              <w:tabs>
                <w:tab w:val="left" w:pos="1263"/>
              </w:tabs>
              <w:spacing w:line="258" w:lineRule="auto"/>
              <w:jc w:val="both"/>
              <w:rPr>
                <w:rFonts w:cs="Arial"/>
              </w:rPr>
            </w:pPr>
            <w:r w:rsidRPr="004301CD">
              <w:rPr>
                <w:rFonts w:cs="Arial"/>
              </w:rPr>
              <w:t>to</w:t>
            </w:r>
          </w:p>
          <w:p w:rsidR="003E566F" w:rsidRPr="004301CD" w:rsidRDefault="003E566F" w:rsidP="00E50649">
            <w:pPr>
              <w:spacing w:line="288" w:lineRule="auto"/>
              <w:rPr>
                <w:rFonts w:cs="Arial"/>
              </w:rPr>
            </w:pPr>
            <w:r w:rsidRPr="004301CD">
              <w:rPr>
                <w:rFonts w:cs="Arial"/>
              </w:rPr>
              <w:t>60 dBW</w:t>
            </w:r>
          </w:p>
        </w:tc>
      </w:tr>
      <w:tr w:rsidR="003E566F" w:rsidRPr="006D1A07" w:rsidTr="003E566F">
        <w:trPr>
          <w:tblHeader/>
        </w:trPr>
        <w:tc>
          <w:tcPr>
            <w:tcW w:w="1843" w:type="dxa"/>
            <w:tcBorders>
              <w:top w:val="single" w:sz="4" w:space="0" w:color="FFFFFF" w:themeColor="background1"/>
              <w:right w:val="single" w:sz="8" w:space="0" w:color="FFFFFF"/>
            </w:tcBorders>
            <w:shd w:val="clear" w:color="auto" w:fill="C00000"/>
          </w:tcPr>
          <w:p w:rsidR="003E566F" w:rsidRPr="006D1A07" w:rsidRDefault="003E566F" w:rsidP="003E566F">
            <w:pPr>
              <w:spacing w:before="60" w:after="60"/>
              <w:jc w:val="center"/>
              <w:rPr>
                <w:rFonts w:cs="Arial"/>
                <w:b/>
                <w:bCs/>
              </w:rPr>
            </w:pPr>
            <w:proofErr w:type="spellStart"/>
            <w:r w:rsidRPr="008669B5">
              <w:rPr>
                <w:rFonts w:cs="Arial"/>
                <w:b/>
                <w:bCs/>
              </w:rPr>
              <w:t>ES_latitude</w:t>
            </w:r>
            <w:proofErr w:type="spellEnd"/>
          </w:p>
        </w:tc>
        <w:tc>
          <w:tcPr>
            <w:tcW w:w="1842" w:type="dxa"/>
            <w:tcBorders>
              <w:left w:val="single" w:sz="8" w:space="0" w:color="FFFFFF"/>
              <w:right w:val="single" w:sz="8" w:space="0" w:color="FFFFFF"/>
            </w:tcBorders>
            <w:shd w:val="clear" w:color="auto" w:fill="C00000"/>
          </w:tcPr>
          <w:p w:rsidR="003E566F" w:rsidRPr="006D1A07" w:rsidRDefault="003E566F" w:rsidP="003E566F">
            <w:pPr>
              <w:spacing w:before="60" w:after="60"/>
              <w:jc w:val="center"/>
              <w:rPr>
                <w:rFonts w:cs="Arial"/>
                <w:b/>
                <w:bCs/>
              </w:rPr>
            </w:pPr>
            <w:r w:rsidRPr="008669B5">
              <w:rPr>
                <w:rFonts w:cs="Arial"/>
                <w:b/>
                <w:bCs/>
              </w:rPr>
              <w:t>From boundary</w:t>
            </w:r>
          </w:p>
        </w:tc>
        <w:tc>
          <w:tcPr>
            <w:tcW w:w="1843" w:type="dxa"/>
            <w:tcBorders>
              <w:left w:val="single" w:sz="8" w:space="0" w:color="FFFFFF"/>
              <w:right w:val="single" w:sz="8" w:space="0" w:color="FFFFFF"/>
            </w:tcBorders>
            <w:shd w:val="clear" w:color="auto" w:fill="C00000"/>
          </w:tcPr>
          <w:p w:rsidR="003E566F" w:rsidRPr="006D1A07" w:rsidRDefault="003E566F" w:rsidP="003E566F">
            <w:pPr>
              <w:spacing w:before="60" w:after="60"/>
              <w:jc w:val="center"/>
              <w:rPr>
                <w:rFonts w:cs="Arial"/>
                <w:b/>
                <w:bCs/>
              </w:rPr>
            </w:pPr>
            <w:r w:rsidRPr="008669B5">
              <w:rPr>
                <w:rFonts w:cs="Arial"/>
                <w:b/>
                <w:bCs/>
              </w:rPr>
              <w:t>From boundary</w:t>
            </w:r>
          </w:p>
        </w:tc>
        <w:tc>
          <w:tcPr>
            <w:tcW w:w="1701" w:type="dxa"/>
            <w:tcBorders>
              <w:left w:val="single" w:sz="8" w:space="0" w:color="FFFFFF"/>
              <w:right w:val="single" w:sz="8" w:space="0" w:color="FFFFFF"/>
            </w:tcBorders>
            <w:shd w:val="clear" w:color="auto" w:fill="C00000"/>
          </w:tcPr>
          <w:p w:rsidR="003E566F" w:rsidRPr="006D1A07" w:rsidRDefault="003E566F" w:rsidP="003E566F">
            <w:pPr>
              <w:spacing w:before="60" w:after="60"/>
              <w:jc w:val="center"/>
              <w:rPr>
                <w:rFonts w:cs="Arial"/>
                <w:b/>
                <w:bCs/>
              </w:rPr>
            </w:pPr>
            <w:r w:rsidRPr="008669B5">
              <w:rPr>
                <w:rFonts w:cs="Arial"/>
                <w:b/>
                <w:bCs/>
              </w:rPr>
              <w:t>From boundary</w:t>
            </w:r>
          </w:p>
        </w:tc>
        <w:tc>
          <w:tcPr>
            <w:tcW w:w="1843" w:type="dxa"/>
            <w:tcBorders>
              <w:left w:val="single" w:sz="8" w:space="0" w:color="FFFFFF"/>
              <w:right w:val="single" w:sz="8" w:space="0" w:color="FFFFFF"/>
            </w:tcBorders>
            <w:shd w:val="clear" w:color="auto" w:fill="C00000"/>
          </w:tcPr>
          <w:p w:rsidR="003E566F" w:rsidRPr="006D1A07" w:rsidRDefault="003E566F" w:rsidP="003E566F">
            <w:pPr>
              <w:spacing w:before="60" w:after="60"/>
              <w:jc w:val="center"/>
              <w:rPr>
                <w:rFonts w:cs="Arial"/>
                <w:b/>
                <w:bCs/>
              </w:rPr>
            </w:pPr>
            <w:r w:rsidRPr="008669B5">
              <w:rPr>
                <w:rFonts w:cs="Arial"/>
                <w:b/>
                <w:bCs/>
              </w:rPr>
              <w:t>From boundary</w:t>
            </w:r>
          </w:p>
        </w:tc>
      </w:tr>
      <w:tr w:rsidR="003E566F" w:rsidTr="003E566F">
        <w:tc>
          <w:tcPr>
            <w:tcW w:w="1843" w:type="dxa"/>
          </w:tcPr>
          <w:p w:rsidR="003E566F" w:rsidRPr="004301CD" w:rsidRDefault="003E566F" w:rsidP="00E50649">
            <w:pPr>
              <w:spacing w:line="288" w:lineRule="auto"/>
              <w:rPr>
                <w:rFonts w:cs="Arial"/>
              </w:rPr>
            </w:pPr>
            <w:r w:rsidRPr="004301CD">
              <w:rPr>
                <w:rFonts w:cs="Arial"/>
              </w:rPr>
              <w:t>&gt;35-70°/N</w:t>
            </w:r>
          </w:p>
        </w:tc>
        <w:tc>
          <w:tcPr>
            <w:tcW w:w="1842" w:type="dxa"/>
          </w:tcPr>
          <w:p w:rsidR="003E566F" w:rsidRPr="004301CD" w:rsidRDefault="003E566F" w:rsidP="00E50649">
            <w:pPr>
              <w:spacing w:line="288" w:lineRule="auto"/>
              <w:rPr>
                <w:rFonts w:cs="Arial"/>
              </w:rPr>
            </w:pPr>
            <w:r w:rsidRPr="004301CD">
              <w:rPr>
                <w:rFonts w:cs="Arial"/>
              </w:rPr>
              <w:t>500 m</w:t>
            </w:r>
          </w:p>
        </w:tc>
        <w:tc>
          <w:tcPr>
            <w:tcW w:w="1843" w:type="dxa"/>
          </w:tcPr>
          <w:p w:rsidR="003E566F" w:rsidRPr="004301CD" w:rsidRDefault="003E566F" w:rsidP="00E50649">
            <w:pPr>
              <w:spacing w:line="288" w:lineRule="auto"/>
              <w:rPr>
                <w:rFonts w:cs="Arial"/>
              </w:rPr>
            </w:pPr>
            <w:r w:rsidRPr="004301CD">
              <w:rPr>
                <w:rFonts w:cs="Arial"/>
              </w:rPr>
              <w:t>1800 m</w:t>
            </w:r>
          </w:p>
        </w:tc>
        <w:tc>
          <w:tcPr>
            <w:tcW w:w="1701" w:type="dxa"/>
          </w:tcPr>
          <w:p w:rsidR="003E566F" w:rsidRPr="004301CD" w:rsidRDefault="003E566F" w:rsidP="00E50649">
            <w:pPr>
              <w:spacing w:line="288" w:lineRule="auto"/>
              <w:rPr>
                <w:rFonts w:cs="Arial"/>
              </w:rPr>
            </w:pPr>
            <w:r w:rsidRPr="004301CD">
              <w:rPr>
                <w:rFonts w:cs="Arial"/>
              </w:rPr>
              <w:t>2300 m</w:t>
            </w:r>
          </w:p>
        </w:tc>
        <w:tc>
          <w:tcPr>
            <w:tcW w:w="1843" w:type="dxa"/>
          </w:tcPr>
          <w:p w:rsidR="003E566F" w:rsidRPr="004301CD" w:rsidRDefault="003E566F" w:rsidP="00E50649">
            <w:pPr>
              <w:spacing w:line="288" w:lineRule="auto"/>
              <w:rPr>
                <w:rFonts w:cs="Arial"/>
              </w:rPr>
            </w:pPr>
            <w:r w:rsidRPr="004301CD">
              <w:rPr>
                <w:rFonts w:cs="Arial"/>
              </w:rPr>
              <w:t>3500 m</w:t>
            </w:r>
          </w:p>
        </w:tc>
      </w:tr>
      <w:tr w:rsidR="003E566F" w:rsidTr="003E566F">
        <w:tc>
          <w:tcPr>
            <w:tcW w:w="1843" w:type="dxa"/>
          </w:tcPr>
          <w:p w:rsidR="003E566F" w:rsidRPr="004301CD" w:rsidRDefault="003E566F" w:rsidP="00E50649">
            <w:pPr>
              <w:spacing w:line="288" w:lineRule="auto"/>
              <w:rPr>
                <w:rFonts w:cs="Arial"/>
              </w:rPr>
            </w:pPr>
            <w:r w:rsidRPr="004301CD">
              <w:rPr>
                <w:rFonts w:cs="Arial"/>
              </w:rPr>
              <w:t>30-35º/N</w:t>
            </w:r>
          </w:p>
        </w:tc>
        <w:tc>
          <w:tcPr>
            <w:tcW w:w="1842" w:type="dxa"/>
          </w:tcPr>
          <w:p w:rsidR="003E566F" w:rsidRPr="004301CD" w:rsidRDefault="003E566F" w:rsidP="00E50649">
            <w:pPr>
              <w:spacing w:line="288" w:lineRule="auto"/>
              <w:rPr>
                <w:rFonts w:cs="Arial"/>
              </w:rPr>
            </w:pPr>
            <w:r w:rsidRPr="004301CD">
              <w:rPr>
                <w:rFonts w:cs="Arial"/>
              </w:rPr>
              <w:t>600 m</w:t>
            </w:r>
          </w:p>
        </w:tc>
        <w:tc>
          <w:tcPr>
            <w:tcW w:w="1843" w:type="dxa"/>
          </w:tcPr>
          <w:p w:rsidR="003E566F" w:rsidRPr="004301CD" w:rsidRDefault="003E566F" w:rsidP="00E50649">
            <w:pPr>
              <w:spacing w:line="288" w:lineRule="auto"/>
              <w:rPr>
                <w:rFonts w:cs="Arial"/>
              </w:rPr>
            </w:pPr>
            <w:r w:rsidRPr="004301CD">
              <w:rPr>
                <w:rFonts w:cs="Arial"/>
              </w:rPr>
              <w:t>2000 m</w:t>
            </w:r>
          </w:p>
        </w:tc>
        <w:tc>
          <w:tcPr>
            <w:tcW w:w="1701" w:type="dxa"/>
          </w:tcPr>
          <w:p w:rsidR="003E566F" w:rsidRPr="004301CD" w:rsidRDefault="003E566F" w:rsidP="00E50649">
            <w:pPr>
              <w:spacing w:line="288" w:lineRule="auto"/>
              <w:rPr>
                <w:rFonts w:cs="Arial"/>
              </w:rPr>
            </w:pPr>
            <w:r w:rsidRPr="004301CD">
              <w:rPr>
                <w:rFonts w:cs="Arial"/>
              </w:rPr>
              <w:t>2600 m</w:t>
            </w:r>
          </w:p>
        </w:tc>
        <w:tc>
          <w:tcPr>
            <w:tcW w:w="1843" w:type="dxa"/>
          </w:tcPr>
          <w:p w:rsidR="003E566F" w:rsidRPr="004301CD" w:rsidRDefault="003E566F" w:rsidP="00E50649">
            <w:pPr>
              <w:spacing w:line="288" w:lineRule="auto"/>
              <w:rPr>
                <w:rFonts w:cs="Arial"/>
              </w:rPr>
            </w:pPr>
            <w:r w:rsidRPr="004301CD">
              <w:rPr>
                <w:rFonts w:cs="Arial"/>
              </w:rPr>
              <w:t>3900 m</w:t>
            </w:r>
          </w:p>
        </w:tc>
      </w:tr>
    </w:tbl>
    <w:p w:rsidR="003E566F" w:rsidRPr="003E566F" w:rsidRDefault="003E566F" w:rsidP="003E566F">
      <w:pPr>
        <w:pStyle w:val="ECCParagraph"/>
        <w:spacing w:before="120" w:after="0"/>
        <w:jc w:val="center"/>
        <w:rPr>
          <w:b/>
          <w:color w:val="D2232A"/>
        </w:rPr>
      </w:pPr>
      <w:bookmarkStart w:id="1" w:name="_Ref179627834"/>
      <w:r w:rsidRPr="003E566F">
        <w:rPr>
          <w:b/>
          <w:color w:val="D2232A"/>
        </w:rPr>
        <w:t>Table</w:t>
      </w:r>
      <w:bookmarkEnd w:id="1"/>
      <w:r w:rsidRPr="003E566F">
        <w:rPr>
          <w:b/>
          <w:color w:val="D2232A"/>
        </w:rPr>
        <w:t>: Coordination Zones</w:t>
      </w:r>
    </w:p>
    <w:sectPr w:rsidR="003E566F" w:rsidRPr="003E566F" w:rsidSect="003E566F">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8A2" w:rsidRDefault="00A078A2" w:rsidP="006C03D0">
      <w:r>
        <w:separator/>
      </w:r>
    </w:p>
  </w:endnote>
  <w:endnote w:type="continuationSeparator" w:id="0">
    <w:p w:rsidR="00A078A2" w:rsidRDefault="00A078A2"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8A2" w:rsidRDefault="00A078A2" w:rsidP="006C03D0">
      <w:r>
        <w:separator/>
      </w:r>
    </w:p>
  </w:footnote>
  <w:footnote w:type="continuationSeparator" w:id="0">
    <w:p w:rsidR="00A078A2" w:rsidRDefault="00A078A2" w:rsidP="006C03D0">
      <w:r>
        <w:continuationSeparator/>
      </w:r>
    </w:p>
  </w:footnote>
  <w:footnote w:id="1">
    <w:p w:rsidR="00D32DAC" w:rsidRPr="001A7A7F" w:rsidRDefault="00D32DAC" w:rsidP="00E6565D">
      <w:pPr>
        <w:pStyle w:val="ECCFootnote"/>
        <w:rPr>
          <w:rStyle w:val="Appelnotedebasdep"/>
        </w:rPr>
      </w:pPr>
      <w:r w:rsidRPr="001A7A7F">
        <w:rPr>
          <w:rStyle w:val="Appelnotedebasdep"/>
        </w:rPr>
        <w:footnoteRef/>
      </w:r>
      <w:r w:rsidRPr="001A7A7F">
        <w:rPr>
          <w:rStyle w:val="Appelnotedebasdep"/>
        </w:rPr>
        <w:t xml:space="preserve">  See Annex 1</w:t>
      </w:r>
    </w:p>
  </w:footnote>
  <w:footnote w:id="2">
    <w:p w:rsidR="003E566F" w:rsidRPr="001A7A7F" w:rsidRDefault="003E566F" w:rsidP="00E6565D">
      <w:pPr>
        <w:pStyle w:val="ECCFootnote"/>
        <w:rPr>
          <w:rStyle w:val="Appelnotedebasdep"/>
        </w:rPr>
      </w:pPr>
      <w:r w:rsidRPr="001A7A7F">
        <w:rPr>
          <w:rStyle w:val="Appelnotedebasdep"/>
        </w:rPr>
        <w:footnoteRef/>
      </w:r>
      <w:r w:rsidRPr="001A7A7F">
        <w:rPr>
          <w:rStyle w:val="Appelnotedebasdep"/>
        </w:rPr>
        <w:t xml:space="preserve"> Off axis refers to angles greater than 7° from the axis of the main beam or to angles greater than the declared minimum elevation angle of the uncoordinated FSS Earth station, whichever is lower.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B03382">
    <w:pPr>
      <w:pStyle w:val="En-tte"/>
      <w:rPr>
        <w:szCs w:val="16"/>
        <w:lang w:val="da-DK"/>
      </w:rPr>
    </w:pPr>
    <w:r>
      <w:rPr>
        <w:lang w:val="da-DK"/>
      </w:rPr>
      <w:t>ECC/DEC/</w:t>
    </w:r>
    <w:r w:rsidR="00FA4704" w:rsidRPr="007C5F95">
      <w:rPr>
        <w:lang w:val="da-DK"/>
      </w:rPr>
      <w:t>(</w:t>
    </w:r>
    <w:r w:rsidR="00993132">
      <w:rPr>
        <w:lang w:val="da-DK"/>
      </w:rPr>
      <w:t>05</w:t>
    </w:r>
    <w:r w:rsidR="00FA4704" w:rsidRPr="007C5F95">
      <w:rPr>
        <w:lang w:val="da-DK"/>
      </w:rPr>
      <w:t>)</w:t>
    </w:r>
    <w:r w:rsidR="00993132">
      <w:rPr>
        <w:lang w:val="da-DK"/>
      </w:rPr>
      <w:t>01</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306EC7" w:rsidRPr="00306EC7">
      <w:rPr>
        <w:noProof/>
        <w:szCs w:val="16"/>
        <w:lang w:val="da-DK"/>
      </w:rPr>
      <w:t>6</w:t>
    </w:r>
    <w:r w:rsidR="00FA470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7C5F95" w:rsidRDefault="00B03382" w:rsidP="006C03D0">
    <w:pPr>
      <w:pStyle w:val="En-tte"/>
      <w:jc w:val="right"/>
      <w:rPr>
        <w:szCs w:val="16"/>
        <w:lang w:val="da-DK"/>
      </w:rPr>
    </w:pPr>
    <w:r>
      <w:rPr>
        <w:lang w:val="da-DK"/>
      </w:rPr>
      <w:t>ECC/DEC/</w:t>
    </w:r>
    <w:r w:rsidR="00FA4704" w:rsidRPr="007C5F95">
      <w:rPr>
        <w:lang w:val="da-DK"/>
      </w:rPr>
      <w:t>(</w:t>
    </w:r>
    <w:r w:rsidR="00993132">
      <w:rPr>
        <w:lang w:val="da-DK"/>
      </w:rPr>
      <w:t>05</w:t>
    </w:r>
    <w:r w:rsidR="00FA4704" w:rsidRPr="007C5F95">
      <w:rPr>
        <w:lang w:val="da-DK"/>
      </w:rPr>
      <w:t>)</w:t>
    </w:r>
    <w:r w:rsidR="00993132">
      <w:rPr>
        <w:lang w:val="da-DK"/>
      </w:rPr>
      <w:t>01</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306EC7" w:rsidRPr="00306EC7">
      <w:rPr>
        <w:noProof/>
        <w:szCs w:val="16"/>
        <w:lang w:val="da-DK"/>
      </w:rPr>
      <w:t>5</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2C" w:rsidRDefault="00E3392C" w:rsidP="00E3392C">
    <w:pPr>
      <w:pStyle w:val="En-tte1"/>
      <w:jc w:val="right"/>
    </w:pPr>
    <w:r>
      <w:t>ECC(13)027 ANNEX 0</w:t>
    </w:r>
    <w:r w:rsidR="00306EC7">
      <w:t>6</w:t>
    </w:r>
  </w:p>
  <w:p w:rsidR="00FA4704" w:rsidRDefault="00FA4704" w:rsidP="00E3392C">
    <w:pPr>
      <w:pStyle w:val="En-tte"/>
      <w:jc w:val="right"/>
    </w:pPr>
    <w:r>
      <w:rPr>
        <w:noProof/>
        <w:szCs w:val="20"/>
        <w:lang w:val="fr-FR" w:eastAsia="fr-FR"/>
      </w:rPr>
      <w:drawing>
        <wp:anchor distT="0" distB="0" distL="114300" distR="114300" simplePos="0" relativeHeight="251658240" behindDoc="0" locked="0" layoutInCell="1" allowOverlap="1" wp14:anchorId="04B18FEC" wp14:editId="2AEAF5E7">
          <wp:simplePos x="0" y="0"/>
          <wp:positionH relativeFrom="page">
            <wp:posOffset>5717540</wp:posOffset>
          </wp:positionH>
          <wp:positionV relativeFrom="page">
            <wp:posOffset>648335</wp:posOffset>
          </wp:positionV>
          <wp:extent cx="1461770" cy="546100"/>
          <wp:effectExtent l="25400" t="0" r="11430" b="0"/>
          <wp:wrapNone/>
          <wp:docPr id="12" name="Picture 1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fr-FR" w:eastAsia="fr-FR"/>
      </w:rPr>
      <w:drawing>
        <wp:anchor distT="0" distB="0" distL="114300" distR="114300" simplePos="0" relativeHeight="251657216" behindDoc="0" locked="0" layoutInCell="1" allowOverlap="1" wp14:anchorId="12E855FE" wp14:editId="7637B827">
          <wp:simplePos x="0" y="0"/>
          <wp:positionH relativeFrom="page">
            <wp:posOffset>572770</wp:posOffset>
          </wp:positionH>
          <wp:positionV relativeFrom="page">
            <wp:posOffset>457200</wp:posOffset>
          </wp:positionV>
          <wp:extent cx="889000" cy="889000"/>
          <wp:effectExtent l="25400" t="0" r="0" b="0"/>
          <wp:wrapNone/>
          <wp:docPr id="13" name="Picture 1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BB7" w:rsidRPr="007C5F95" w:rsidRDefault="00CC7BB7" w:rsidP="00CC7BB7">
    <w:pPr>
      <w:pStyle w:val="En-tte"/>
      <w:jc w:val="right"/>
      <w:rPr>
        <w:szCs w:val="16"/>
        <w:lang w:val="da-DK"/>
      </w:rPr>
    </w:pPr>
    <w:r>
      <w:rPr>
        <w:lang w:val="da-DK"/>
      </w:rPr>
      <w:t>ECC/DEC/</w:t>
    </w:r>
    <w:r w:rsidRPr="007C5F95">
      <w:rPr>
        <w:lang w:val="da-DK"/>
      </w:rPr>
      <w:t>(</w:t>
    </w:r>
    <w:r>
      <w:rPr>
        <w:lang w:val="da-DK"/>
      </w:rPr>
      <w:t>05</w:t>
    </w:r>
    <w:r w:rsidRPr="007C5F95">
      <w:rPr>
        <w:lang w:val="da-DK"/>
      </w:rPr>
      <w:t>)</w:t>
    </w:r>
    <w:r>
      <w:rPr>
        <w:lang w:val="da-DK"/>
      </w:rPr>
      <w:t>01</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E3392C" w:rsidRPr="00E3392C">
      <w:rPr>
        <w:noProof/>
        <w:szCs w:val="16"/>
        <w:lang w:val="da-DK"/>
      </w:rPr>
      <w:t>8</w:t>
    </w:r>
    <w:r>
      <w:rPr>
        <w:noProof/>
        <w:szCs w:val="16"/>
        <w:lang w:val="da-DK"/>
      </w:rPr>
      <w:fldChar w:fldCharType="end"/>
    </w:r>
  </w:p>
  <w:p w:rsidR="00CC7BB7" w:rsidRPr="00CC7BB7" w:rsidRDefault="00CC7BB7" w:rsidP="00CC7BB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7FFC"/>
    <w:multiLevelType w:val="singleLevel"/>
    <w:tmpl w:val="5FC2E91C"/>
    <w:lvl w:ilvl="0">
      <w:start w:val="1"/>
      <w:numFmt w:val="decimal"/>
      <w:lvlText w:val="%1."/>
      <w:lvlJc w:val="left"/>
      <w:pPr>
        <w:tabs>
          <w:tab w:val="num" w:pos="360"/>
        </w:tabs>
        <w:ind w:left="360" w:hanging="360"/>
      </w:pPr>
      <w:rPr>
        <w:i w:val="0"/>
      </w:rPr>
    </w:lvl>
  </w:abstractNum>
  <w:abstractNum w:abstractNumId="1">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nsid w:val="212F4188"/>
    <w:multiLevelType w:val="multilevel"/>
    <w:tmpl w:val="BF1AD4A4"/>
    <w:lvl w:ilvl="0">
      <w:start w:val="1"/>
      <w:numFmt w:val="decimal"/>
      <w:pStyle w:val="ECCAnnex-heading1"/>
      <w:suff w:val="space"/>
      <w:lvlText w:val="ANNEX %1:"/>
      <w:lvlJc w:val="left"/>
      <w:pPr>
        <w:ind w:left="568"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1144" w:hanging="576"/>
      </w:pPr>
      <w:rPr>
        <w:rFonts w:hint="default"/>
      </w:rPr>
    </w:lvl>
    <w:lvl w:ilvl="2">
      <w:start w:val="1"/>
      <w:numFmt w:val="decimal"/>
      <w:pStyle w:val="ECCAnnexheading3"/>
      <w:lvlText w:val="A%1.%2.%3"/>
      <w:lvlJc w:val="left"/>
      <w:pPr>
        <w:tabs>
          <w:tab w:val="num" w:pos="1288"/>
        </w:tabs>
        <w:ind w:left="1288" w:hanging="720"/>
      </w:pPr>
      <w:rPr>
        <w:rFonts w:hint="default"/>
      </w:rPr>
    </w:lvl>
    <w:lvl w:ilvl="3">
      <w:start w:val="1"/>
      <w:numFmt w:val="decimal"/>
      <w:pStyle w:val="ECCAnnexheading4"/>
      <w:lvlText w:val="A%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6">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9">
    <w:nsid w:val="335E618B"/>
    <w:multiLevelType w:val="singleLevel"/>
    <w:tmpl w:val="040C0017"/>
    <w:lvl w:ilvl="0">
      <w:start w:val="1"/>
      <w:numFmt w:val="lowerLetter"/>
      <w:lvlText w:val="%1)"/>
      <w:lvlJc w:val="left"/>
      <w:pPr>
        <w:tabs>
          <w:tab w:val="num" w:pos="360"/>
        </w:tabs>
        <w:ind w:left="360" w:hanging="360"/>
      </w:pPr>
    </w:lvl>
  </w:abstractNum>
  <w:abstractNum w:abstractNumId="1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D163F7A"/>
    <w:multiLevelType w:val="multilevel"/>
    <w:tmpl w:val="BDCA875C"/>
    <w:lvl w:ilvl="0">
      <w:start w:val="1"/>
      <w:numFmt w:val="decimal"/>
      <w:pStyle w:val="Titre2"/>
      <w:lvlText w:val="%1"/>
      <w:lvlJc w:val="left"/>
      <w:pPr>
        <w:tabs>
          <w:tab w:val="num" w:pos="432"/>
        </w:tabs>
        <w:ind w:left="432" w:hanging="432"/>
      </w:pPr>
      <w:rPr>
        <w:rFonts w:ascii="Arial" w:hAnsi="Arial" w:hint="default"/>
        <w:b/>
        <w:i w:val="0"/>
        <w:color w:val="D2232A"/>
        <w:sz w:val="20"/>
        <w:szCs w:val="20"/>
      </w:rPr>
    </w:lvl>
    <w:lvl w:ilvl="1">
      <w:start w:val="1"/>
      <w:numFmt w:val="decimal"/>
      <w:pStyle w:val="Titre3"/>
      <w:lvlText w:val="%1.%2"/>
      <w:lvlJc w:val="left"/>
      <w:pPr>
        <w:tabs>
          <w:tab w:val="num" w:pos="576"/>
        </w:tabs>
        <w:ind w:left="576" w:hanging="576"/>
      </w:pPr>
      <w:rPr>
        <w:rFonts w:ascii="Arial" w:hAnsi="Arial" w:hint="default"/>
        <w:b/>
        <w:i w:val="0"/>
        <w:color w:val="D2232A"/>
        <w:sz w:val="20"/>
      </w:rPr>
    </w:lvl>
    <w:lvl w:ilvl="2">
      <w:start w:val="1"/>
      <w:numFmt w:val="decimal"/>
      <w:pStyle w:val="Titre4"/>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Times New Roman" w:hAnsi="Times New Roman"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4">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5">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18">
    <w:nsid w:val="5A681690"/>
    <w:multiLevelType w:val="hybridMultilevel"/>
    <w:tmpl w:val="6B922650"/>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77816C89"/>
    <w:multiLevelType w:val="hybridMultilevel"/>
    <w:tmpl w:val="12CA2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7EFC58F2"/>
    <w:multiLevelType w:val="hybridMultilevel"/>
    <w:tmpl w:val="020A7BD6"/>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3"/>
  </w:num>
  <w:num w:numId="2">
    <w:abstractNumId w:val="23"/>
  </w:num>
  <w:num w:numId="3">
    <w:abstractNumId w:val="16"/>
  </w:num>
  <w:num w:numId="4">
    <w:abstractNumId w:val="5"/>
  </w:num>
  <w:num w:numId="5">
    <w:abstractNumId w:val="17"/>
  </w:num>
  <w:num w:numId="6">
    <w:abstractNumId w:val="10"/>
  </w:num>
  <w:num w:numId="7">
    <w:abstractNumId w:val="8"/>
  </w:num>
  <w:num w:numId="8">
    <w:abstractNumId w:val="15"/>
  </w:num>
  <w:num w:numId="9">
    <w:abstractNumId w:val="14"/>
  </w:num>
  <w:num w:numId="10">
    <w:abstractNumId w:val="11"/>
  </w:num>
  <w:num w:numId="11">
    <w:abstractNumId w:val="15"/>
    <w:lvlOverride w:ilvl="0">
      <w:startOverride w:val="1"/>
    </w:lvlOverride>
  </w:num>
  <w:num w:numId="12">
    <w:abstractNumId w:val="4"/>
  </w:num>
  <w:num w:numId="13">
    <w:abstractNumId w:val="2"/>
  </w:num>
  <w:num w:numId="14">
    <w:abstractNumId w:val="20"/>
  </w:num>
  <w:num w:numId="15">
    <w:abstractNumId w:val="1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21"/>
  </w:num>
  <w:num w:numId="20">
    <w:abstractNumId w:val="12"/>
  </w:num>
  <w:num w:numId="21">
    <w:abstractNumId w:val="24"/>
  </w:num>
  <w:num w:numId="22">
    <w:abstractNumId w:val="25"/>
  </w:num>
  <w:num w:numId="23">
    <w:abstractNumId w:val="1"/>
  </w:num>
  <w:num w:numId="24">
    <w:abstractNumId w:val="3"/>
  </w:num>
  <w:num w:numId="25">
    <w:abstractNumId w:val="19"/>
    <w:lvlOverride w:ilvl="0">
      <w:lvl w:ilvl="0">
        <w:start w:val="1"/>
        <w:numFmt w:val="decimal"/>
        <w:pStyle w:val="NumberedList"/>
        <w:lvlText w:val="%1."/>
        <w:lvlJc w:val="left"/>
        <w:pPr>
          <w:tabs>
            <w:tab w:val="num" w:pos="397"/>
          </w:tabs>
          <w:ind w:left="397" w:hanging="397"/>
        </w:pPr>
        <w:rPr>
          <w:rFonts w:ascii="Arial" w:hAnsi="Arial" w:hint="default"/>
          <w:b/>
          <w:i w:val="0"/>
          <w:color w:val="D2232A"/>
          <w:sz w:val="20"/>
        </w:rPr>
      </w:lvl>
    </w:lvlOverride>
  </w:num>
  <w:num w:numId="26">
    <w:abstractNumId w:val="9"/>
  </w:num>
  <w:num w:numId="27">
    <w:abstractNumId w:val="22"/>
  </w:num>
  <w:num w:numId="28">
    <w:abstractNumId w:val="0"/>
  </w:num>
  <w:num w:numId="29">
    <w:abstractNumId w:val="2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A44"/>
    <w:rsid w:val="00031379"/>
    <w:rsid w:val="00072B81"/>
    <w:rsid w:val="000C183F"/>
    <w:rsid w:val="000F3919"/>
    <w:rsid w:val="0013619B"/>
    <w:rsid w:val="001C46EA"/>
    <w:rsid w:val="001E0C8D"/>
    <w:rsid w:val="002148D6"/>
    <w:rsid w:val="002741A5"/>
    <w:rsid w:val="00306EC7"/>
    <w:rsid w:val="003E566F"/>
    <w:rsid w:val="00412E32"/>
    <w:rsid w:val="004C730D"/>
    <w:rsid w:val="004D4301"/>
    <w:rsid w:val="005D6A44"/>
    <w:rsid w:val="005F7AD5"/>
    <w:rsid w:val="006C03D0"/>
    <w:rsid w:val="0070052E"/>
    <w:rsid w:val="00713DBA"/>
    <w:rsid w:val="007465AA"/>
    <w:rsid w:val="007C6571"/>
    <w:rsid w:val="007E23E4"/>
    <w:rsid w:val="00993132"/>
    <w:rsid w:val="00A078A2"/>
    <w:rsid w:val="00A41673"/>
    <w:rsid w:val="00A8085A"/>
    <w:rsid w:val="00B03382"/>
    <w:rsid w:val="00B23041"/>
    <w:rsid w:val="00C1340F"/>
    <w:rsid w:val="00C64D00"/>
    <w:rsid w:val="00C665E0"/>
    <w:rsid w:val="00CC7BB7"/>
    <w:rsid w:val="00D32DAC"/>
    <w:rsid w:val="00D90B0A"/>
    <w:rsid w:val="00DA090D"/>
    <w:rsid w:val="00DC0568"/>
    <w:rsid w:val="00E3392C"/>
    <w:rsid w:val="00E6565D"/>
    <w:rsid w:val="00E65E22"/>
    <w:rsid w:val="00E73D39"/>
    <w:rsid w:val="00F177F1"/>
    <w:rsid w:val="00F32EE8"/>
    <w:rsid w:val="00FA470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rsid w:val="0077244E"/>
    <w:pPr>
      <w:tabs>
        <w:tab w:val="center" w:pos="4320"/>
        <w:tab w:val="right" w:pos="8640"/>
      </w:tabs>
    </w:pPr>
  </w:style>
  <w:style w:type="paragraph" w:customStyle="1" w:styleId="ECCAnnex-heading1">
    <w:name w:val="ECC Annex - heading1"/>
    <w:basedOn w:val="Titre1"/>
    <w:next w:val="ECCParagraph"/>
    <w:rsid w:val="00031379"/>
    <w:pPr>
      <w:numPr>
        <w:numId w:val="4"/>
      </w:numPr>
    </w:p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basedOn w:val="Policepardfaut"/>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basedOn w:val="Policepardfau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Textedebulles">
    <w:name w:val="Balloon Text"/>
    <w:basedOn w:val="Normal"/>
    <w:link w:val="TextedebullesCar"/>
    <w:uiPriority w:val="99"/>
    <w:semiHidden/>
    <w:unhideWhenUsed/>
    <w:rsid w:val="007C6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6571"/>
    <w:rPr>
      <w:rFonts w:ascii="Lucida Grande" w:hAnsi="Lucida Grande" w:cs="Lucida Grande"/>
      <w:sz w:val="18"/>
      <w:szCs w:val="18"/>
      <w:lang w:val="en-US"/>
    </w:rPr>
  </w:style>
  <w:style w:type="paragraph" w:styleId="Corpsdetexte">
    <w:name w:val="Body Text"/>
    <w:basedOn w:val="Normal"/>
    <w:link w:val="CorpsdetexteCar"/>
    <w:rsid w:val="00E65E22"/>
    <w:pPr>
      <w:autoSpaceDE w:val="0"/>
      <w:autoSpaceDN w:val="0"/>
      <w:spacing w:after="120"/>
    </w:pPr>
    <w:rPr>
      <w:rFonts w:ascii="Times New Roman" w:hAnsi="Times New Roman"/>
      <w:sz w:val="24"/>
      <w:lang w:val="en-GB" w:eastAsia="nl-NL"/>
    </w:rPr>
  </w:style>
  <w:style w:type="character" w:customStyle="1" w:styleId="CorpsdetexteCar">
    <w:name w:val="Corps de texte Car"/>
    <w:basedOn w:val="Policepardfaut"/>
    <w:link w:val="Corpsdetexte"/>
    <w:rsid w:val="00E65E22"/>
    <w:rPr>
      <w:sz w:val="24"/>
      <w:szCs w:val="24"/>
      <w:lang w:eastAsia="nl-NL"/>
    </w:rPr>
  </w:style>
  <w:style w:type="paragraph" w:styleId="Paragraphedeliste">
    <w:name w:val="List Paragraph"/>
    <w:basedOn w:val="Normal"/>
    <w:uiPriority w:val="72"/>
    <w:qFormat/>
    <w:rsid w:val="00E65E22"/>
    <w:pPr>
      <w:ind w:left="720"/>
      <w:contextualSpacing/>
    </w:pPr>
  </w:style>
  <w:style w:type="paragraph" w:styleId="Retraitcorpsdetexte2">
    <w:name w:val="Body Text Indent 2"/>
    <w:basedOn w:val="Normal"/>
    <w:link w:val="Retraitcorpsdetexte2Car"/>
    <w:rsid w:val="00D32DAC"/>
    <w:pPr>
      <w:tabs>
        <w:tab w:val="left" w:pos="360"/>
      </w:tabs>
      <w:spacing w:after="240"/>
      <w:ind w:left="360" w:hanging="360"/>
      <w:jc w:val="both"/>
    </w:pPr>
    <w:rPr>
      <w:rFonts w:ascii="Times New Roman" w:hAnsi="Times New Roman"/>
      <w:szCs w:val="20"/>
      <w:lang w:val="en-GB"/>
    </w:rPr>
  </w:style>
  <w:style w:type="character" w:customStyle="1" w:styleId="Retraitcorpsdetexte2Car">
    <w:name w:val="Retrait corps de texte 2 Car"/>
    <w:basedOn w:val="Policepardfaut"/>
    <w:link w:val="Retraitcorpsdetexte2"/>
    <w:rsid w:val="00D32DAC"/>
  </w:style>
  <w:style w:type="character" w:customStyle="1" w:styleId="HeaderZchn">
    <w:name w:val="Header Zchn"/>
    <w:link w:val="En-tte1"/>
    <w:locked/>
    <w:rsid w:val="00E3392C"/>
    <w:rPr>
      <w:rFonts w:ascii="Arial" w:hAnsi="Arial" w:cs="Arial"/>
      <w:b/>
      <w:sz w:val="22"/>
      <w:lang w:val="nb-NO" w:eastAsia="de-DE"/>
    </w:rPr>
  </w:style>
  <w:style w:type="paragraph" w:customStyle="1" w:styleId="En-tte1">
    <w:name w:val="En-tête1"/>
    <w:basedOn w:val="En-tte"/>
    <w:link w:val="HeaderZchn"/>
    <w:rsid w:val="00E3392C"/>
    <w:pPr>
      <w:tabs>
        <w:tab w:val="clear" w:pos="4320"/>
        <w:tab w:val="clear" w:pos="8640"/>
        <w:tab w:val="center" w:pos="4536"/>
        <w:tab w:val="right" w:pos="9072"/>
      </w:tabs>
      <w:spacing w:before="60" w:line="264" w:lineRule="auto"/>
      <w:ind w:left="57"/>
    </w:pPr>
    <w:rPr>
      <w:rFonts w:cs="Arial"/>
      <w:sz w:val="22"/>
      <w:szCs w:val="20"/>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rsid w:val="0077244E"/>
    <w:pPr>
      <w:tabs>
        <w:tab w:val="center" w:pos="4320"/>
        <w:tab w:val="right" w:pos="8640"/>
      </w:tabs>
    </w:pPr>
  </w:style>
  <w:style w:type="paragraph" w:customStyle="1" w:styleId="ECCAnnex-heading1">
    <w:name w:val="ECC Annex - heading1"/>
    <w:basedOn w:val="Titre1"/>
    <w:next w:val="ECCParagraph"/>
    <w:rsid w:val="00031379"/>
    <w:pPr>
      <w:numPr>
        <w:numId w:val="4"/>
      </w:numPr>
    </w:p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basedOn w:val="Policepardfaut"/>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basedOn w:val="Policepardfau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Textedebulles">
    <w:name w:val="Balloon Text"/>
    <w:basedOn w:val="Normal"/>
    <w:link w:val="TextedebullesCar"/>
    <w:uiPriority w:val="99"/>
    <w:semiHidden/>
    <w:unhideWhenUsed/>
    <w:rsid w:val="007C6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6571"/>
    <w:rPr>
      <w:rFonts w:ascii="Lucida Grande" w:hAnsi="Lucida Grande" w:cs="Lucida Grande"/>
      <w:sz w:val="18"/>
      <w:szCs w:val="18"/>
      <w:lang w:val="en-US"/>
    </w:rPr>
  </w:style>
  <w:style w:type="paragraph" w:styleId="Corpsdetexte">
    <w:name w:val="Body Text"/>
    <w:basedOn w:val="Normal"/>
    <w:link w:val="CorpsdetexteCar"/>
    <w:rsid w:val="00E65E22"/>
    <w:pPr>
      <w:autoSpaceDE w:val="0"/>
      <w:autoSpaceDN w:val="0"/>
      <w:spacing w:after="120"/>
    </w:pPr>
    <w:rPr>
      <w:rFonts w:ascii="Times New Roman" w:hAnsi="Times New Roman"/>
      <w:sz w:val="24"/>
      <w:lang w:val="en-GB" w:eastAsia="nl-NL"/>
    </w:rPr>
  </w:style>
  <w:style w:type="character" w:customStyle="1" w:styleId="CorpsdetexteCar">
    <w:name w:val="Corps de texte Car"/>
    <w:basedOn w:val="Policepardfaut"/>
    <w:link w:val="Corpsdetexte"/>
    <w:rsid w:val="00E65E22"/>
    <w:rPr>
      <w:sz w:val="24"/>
      <w:szCs w:val="24"/>
      <w:lang w:eastAsia="nl-NL"/>
    </w:rPr>
  </w:style>
  <w:style w:type="paragraph" w:styleId="Paragraphedeliste">
    <w:name w:val="List Paragraph"/>
    <w:basedOn w:val="Normal"/>
    <w:uiPriority w:val="72"/>
    <w:qFormat/>
    <w:rsid w:val="00E65E22"/>
    <w:pPr>
      <w:ind w:left="720"/>
      <w:contextualSpacing/>
    </w:pPr>
  </w:style>
  <w:style w:type="paragraph" w:styleId="Retraitcorpsdetexte2">
    <w:name w:val="Body Text Indent 2"/>
    <w:basedOn w:val="Normal"/>
    <w:link w:val="Retraitcorpsdetexte2Car"/>
    <w:rsid w:val="00D32DAC"/>
    <w:pPr>
      <w:tabs>
        <w:tab w:val="left" w:pos="360"/>
      </w:tabs>
      <w:spacing w:after="240"/>
      <w:ind w:left="360" w:hanging="360"/>
      <w:jc w:val="both"/>
    </w:pPr>
    <w:rPr>
      <w:rFonts w:ascii="Times New Roman" w:hAnsi="Times New Roman"/>
      <w:szCs w:val="20"/>
      <w:lang w:val="en-GB"/>
    </w:rPr>
  </w:style>
  <w:style w:type="character" w:customStyle="1" w:styleId="Retraitcorpsdetexte2Car">
    <w:name w:val="Retrait corps de texte 2 Car"/>
    <w:basedOn w:val="Policepardfaut"/>
    <w:link w:val="Retraitcorpsdetexte2"/>
    <w:rsid w:val="00D32DAC"/>
  </w:style>
  <w:style w:type="character" w:customStyle="1" w:styleId="HeaderZchn">
    <w:name w:val="Header Zchn"/>
    <w:link w:val="En-tte1"/>
    <w:locked/>
    <w:rsid w:val="00E3392C"/>
    <w:rPr>
      <w:rFonts w:ascii="Arial" w:hAnsi="Arial" w:cs="Arial"/>
      <w:b/>
      <w:sz w:val="22"/>
      <w:lang w:val="nb-NO" w:eastAsia="de-DE"/>
    </w:rPr>
  </w:style>
  <w:style w:type="paragraph" w:customStyle="1" w:styleId="En-tte1">
    <w:name w:val="En-tête1"/>
    <w:basedOn w:val="En-tte"/>
    <w:link w:val="HeaderZchn"/>
    <w:rsid w:val="00E3392C"/>
    <w:pPr>
      <w:tabs>
        <w:tab w:val="clear" w:pos="4320"/>
        <w:tab w:val="clear" w:pos="8640"/>
        <w:tab w:val="center" w:pos="4536"/>
        <w:tab w:val="right" w:pos="9072"/>
      </w:tabs>
      <w:spacing w:before="60" w:line="264" w:lineRule="auto"/>
      <w:ind w:left="57"/>
    </w:pPr>
    <w:rPr>
      <w:rFonts w:cs="Arial"/>
      <w:sz w:val="22"/>
      <w:szCs w:val="20"/>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52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Feuille_Microsoft_Office_Excel_97-20031.xls"/><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E1D13-57E2-4388-8556-4D340E08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1930</Words>
  <Characters>10620</Characters>
  <Application>Microsoft Office Word</Application>
  <DocSecurity>0</DocSecurity>
  <Lines>88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New ECC Report Style</vt:lpstr>
      <vt:lpstr>New ECC Report Style</vt:lpstr>
    </vt:vector>
  </TitlesOfParts>
  <Company>ECO</Company>
  <LinksUpToDate>false</LinksUpToDate>
  <CharactersWithSpaces>12525</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Expert</cp:lastModifiedBy>
  <cp:revision>5</cp:revision>
  <cp:lastPrinted>2013-03-07T09:35:00Z</cp:lastPrinted>
  <dcterms:created xsi:type="dcterms:W3CDTF">2013-03-07T08:53:00Z</dcterms:created>
  <dcterms:modified xsi:type="dcterms:W3CDTF">2013-03-11T13:38:00Z</dcterms:modified>
</cp:coreProperties>
</file>