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497" w:rsidRPr="00ED486E" w:rsidRDefault="00576497">
      <w:pPr>
        <w:rPr>
          <w:lang w:val="en-US"/>
        </w:rPr>
      </w:pPr>
    </w:p>
    <w:p w:rsidR="00576497" w:rsidRDefault="00576497" w:rsidP="007D04E3">
      <w:pPr>
        <w:spacing w:after="120"/>
        <w:jc w:val="both"/>
      </w:pPr>
    </w:p>
    <w:p w:rsidR="00576497" w:rsidRDefault="00576497" w:rsidP="007D04E3">
      <w:pPr>
        <w:spacing w:after="120"/>
        <w:jc w:val="both"/>
        <w:rPr>
          <w:b/>
        </w:rPr>
      </w:pPr>
      <w:r>
        <w:rPr>
          <w:b/>
        </w:rPr>
        <w:t>Correspondence activities</w:t>
      </w:r>
      <w:r w:rsidR="005B43C8">
        <w:rPr>
          <w:b/>
        </w:rPr>
        <w:t xml:space="preserve"> </w:t>
      </w:r>
      <w:r>
        <w:rPr>
          <w:b/>
        </w:rPr>
        <w:t xml:space="preserve">to frame the studies </w:t>
      </w:r>
      <w:r w:rsidR="00113A5D">
        <w:rPr>
          <w:b/>
        </w:rPr>
        <w:t xml:space="preserve">that will contribute to </w:t>
      </w:r>
      <w:r>
        <w:rPr>
          <w:b/>
        </w:rPr>
        <w:t>the</w:t>
      </w:r>
      <w:r w:rsidR="00113A5D">
        <w:rPr>
          <w:b/>
        </w:rPr>
        <w:t xml:space="preserve"> long term vision for the</w:t>
      </w:r>
      <w:r>
        <w:rPr>
          <w:b/>
        </w:rPr>
        <w:t xml:space="preserve"> UHF </w:t>
      </w:r>
      <w:r w:rsidR="005B43C8">
        <w:rPr>
          <w:b/>
        </w:rPr>
        <w:t>broadcasting band</w:t>
      </w:r>
      <w:r>
        <w:rPr>
          <w:b/>
        </w:rPr>
        <w:t xml:space="preserve"> </w:t>
      </w:r>
    </w:p>
    <w:p w:rsidR="006857CD" w:rsidRDefault="006857CD" w:rsidP="006857CD">
      <w:pPr>
        <w:spacing w:after="120"/>
        <w:jc w:val="both"/>
        <w:rPr>
          <w:b/>
        </w:rPr>
      </w:pPr>
    </w:p>
    <w:p w:rsidR="006857CD" w:rsidRDefault="006857CD" w:rsidP="007D04E3">
      <w:pPr>
        <w:spacing w:after="120"/>
        <w:jc w:val="both"/>
      </w:pPr>
      <w:r w:rsidRPr="00ED486E">
        <w:t xml:space="preserve">Recognizing that the activity in relation with the response to the 700 MHz mandate are carried out in ECC/PT1 and that </w:t>
      </w:r>
      <w:r w:rsidR="00627CCC">
        <w:t xml:space="preserve">the </w:t>
      </w:r>
      <w:r w:rsidRPr="00ED486E">
        <w:t>preparation of WRC-15 is under the responsibility of CPG, which will result in standalone</w:t>
      </w:r>
      <w:r>
        <w:t xml:space="preserve"> deliverables, ECC is considering a</w:t>
      </w:r>
      <w:bookmarkStart w:id="0" w:name="_GoBack"/>
      <w:bookmarkEnd w:id="0"/>
      <w:r>
        <w:t xml:space="preserve">dditional activities to provide a long term vision for the UHF broadcasting band. </w:t>
      </w:r>
    </w:p>
    <w:p w:rsidR="00576497" w:rsidRDefault="00576497" w:rsidP="007D04E3">
      <w:pPr>
        <w:spacing w:after="120"/>
        <w:jc w:val="both"/>
      </w:pPr>
      <w:r w:rsidRPr="004D1B58">
        <w:t xml:space="preserve">Traditionally, </w:t>
      </w:r>
      <w:r>
        <w:t xml:space="preserve">broadcasting and broadband communication </w:t>
      </w:r>
      <w:r w:rsidRPr="004D1B58">
        <w:t>service</w:t>
      </w:r>
      <w:r>
        <w:t>s have</w:t>
      </w:r>
      <w:r w:rsidRPr="006D4F88">
        <w:t xml:space="preserve"> </w:t>
      </w:r>
      <w:r>
        <w:t>their own regulations, own market structure and own</w:t>
      </w:r>
      <w:r w:rsidRPr="006D4F88">
        <w:t xml:space="preserve"> dedicated network infrastructure</w:t>
      </w:r>
      <w:r>
        <w:t xml:space="preserve"> (e.g. high power / high tower versus dense networks)</w:t>
      </w:r>
      <w:r w:rsidRPr="006D4F88">
        <w:t xml:space="preserve">. </w:t>
      </w:r>
      <w:r>
        <w:t>The future development of services and terminals is blurring the border between the two “worlds” for the end user and may require innovative approaches of network topologies and the use of spectrum including convergence/cooperation of networks (</w:t>
      </w:r>
      <w:r w:rsidR="00961EA6">
        <w:t>i.e.</w:t>
      </w:r>
      <w:r>
        <w:t xml:space="preserve"> how to deliver </w:t>
      </w:r>
      <w:proofErr w:type="gramStart"/>
      <w:r>
        <w:t>various content towards the end users</w:t>
      </w:r>
      <w:proofErr w:type="gramEnd"/>
      <w:r>
        <w:t xml:space="preserve"> in the most efficient way</w:t>
      </w:r>
      <w:r w:rsidRPr="00DE12F1">
        <w:t xml:space="preserve"> </w:t>
      </w:r>
      <w:r>
        <w:t xml:space="preserve">from technical, </w:t>
      </w:r>
      <w:proofErr w:type="spellStart"/>
      <w:r>
        <w:t>economical</w:t>
      </w:r>
      <w:proofErr w:type="spellEnd"/>
      <w:r>
        <w:t xml:space="preserve"> and social perspective). This requires studying options on future handling of the UHF band, taking into account among others:</w:t>
      </w:r>
    </w:p>
    <w:p w:rsidR="00576497" w:rsidRDefault="00576497" w:rsidP="007D04E3">
      <w:pPr>
        <w:pStyle w:val="Paragraphedeliste"/>
        <w:numPr>
          <w:ilvl w:val="0"/>
          <w:numId w:val="1"/>
        </w:numPr>
        <w:spacing w:after="120"/>
        <w:jc w:val="both"/>
      </w:pPr>
      <w:r>
        <w:t>The technologies</w:t>
      </w:r>
      <w:r w:rsidR="00BF737C">
        <w:t xml:space="preserve"> available</w:t>
      </w:r>
      <w:r>
        <w:t xml:space="preserve"> (e.g., OFDM based systems such as LTE, DVB-T, etc.)</w:t>
      </w:r>
      <w:r w:rsidR="00BF737C">
        <w:t>, their evolution and their possible convergence</w:t>
      </w:r>
      <w:r>
        <w:t>;</w:t>
      </w:r>
    </w:p>
    <w:p w:rsidR="00576497" w:rsidRDefault="00576497" w:rsidP="007D04E3">
      <w:pPr>
        <w:pStyle w:val="Paragraphedeliste"/>
        <w:numPr>
          <w:ilvl w:val="0"/>
          <w:numId w:val="1"/>
        </w:numPr>
        <w:spacing w:after="120"/>
        <w:jc w:val="both"/>
      </w:pPr>
      <w:r>
        <w:t>The possibility of “hybrid” networks (to be defined) and the related issue of transition, economical models, and the possibility of convergent/cooperative services (to be defined)</w:t>
      </w:r>
    </w:p>
    <w:p w:rsidR="00576497" w:rsidRDefault="00576497" w:rsidP="00563337">
      <w:pPr>
        <w:pStyle w:val="Paragraphedeliste"/>
        <w:numPr>
          <w:ilvl w:val="0"/>
          <w:numId w:val="1"/>
        </w:numPr>
        <w:spacing w:after="120"/>
        <w:jc w:val="both"/>
      </w:pPr>
      <w:r>
        <w:t>The flexibility required to address the various situations in CEPT countries relating to content regulations or dependency on terrestrial TV in relation to other platforms;</w:t>
      </w:r>
    </w:p>
    <w:p w:rsidR="00576497" w:rsidRDefault="00576497" w:rsidP="003E7387">
      <w:pPr>
        <w:pStyle w:val="Paragraphedeliste"/>
        <w:numPr>
          <w:ilvl w:val="0"/>
          <w:numId w:val="1"/>
        </w:numPr>
        <w:spacing w:after="120"/>
        <w:jc w:val="both"/>
      </w:pPr>
      <w:r>
        <w:t xml:space="preserve">The need to provide a good level of certainty to each sector; </w:t>
      </w:r>
    </w:p>
    <w:p w:rsidR="00576497" w:rsidRDefault="00576497" w:rsidP="007D04E3">
      <w:pPr>
        <w:pStyle w:val="Paragraphedeliste"/>
        <w:numPr>
          <w:ilvl w:val="0"/>
          <w:numId w:val="1"/>
        </w:numPr>
        <w:spacing w:after="120"/>
        <w:jc w:val="both"/>
      </w:pPr>
      <w:r>
        <w:t>Cross-border coordination issues between different network topologies and impact on equitable access taking into account GE-06 Agreement;</w:t>
      </w:r>
    </w:p>
    <w:p w:rsidR="00576497" w:rsidRDefault="00576497" w:rsidP="007D04E3">
      <w:pPr>
        <w:pStyle w:val="Paragraphedeliste"/>
        <w:numPr>
          <w:ilvl w:val="0"/>
          <w:numId w:val="1"/>
        </w:numPr>
        <w:spacing w:after="120"/>
        <w:jc w:val="both"/>
      </w:pPr>
      <w:r>
        <w:t xml:space="preserve">Various reception environments (e.g. indoor/outdoor, fixed, portable, etc.) and coverage requirements </w:t>
      </w:r>
      <w:r w:rsidRPr="00ED486E">
        <w:t>(e.g. country-wide, regional and local)</w:t>
      </w:r>
      <w:r>
        <w:t>;</w:t>
      </w:r>
    </w:p>
    <w:p w:rsidR="00BF737C" w:rsidRDefault="00576497" w:rsidP="007D04E3">
      <w:pPr>
        <w:pStyle w:val="Paragraphedeliste"/>
        <w:numPr>
          <w:ilvl w:val="0"/>
          <w:numId w:val="1"/>
        </w:numPr>
        <w:spacing w:after="120"/>
        <w:jc w:val="both"/>
      </w:pPr>
      <w:r>
        <w:t>Coexistence with PMSE-applications</w:t>
      </w:r>
      <w:r w:rsidR="00BF737C">
        <w:t>;</w:t>
      </w:r>
    </w:p>
    <w:p w:rsidR="00576497" w:rsidRDefault="00BF737C" w:rsidP="007D04E3">
      <w:pPr>
        <w:pStyle w:val="Paragraphedeliste"/>
        <w:numPr>
          <w:ilvl w:val="0"/>
          <w:numId w:val="1"/>
        </w:numPr>
        <w:spacing w:after="120"/>
        <w:jc w:val="both"/>
      </w:pPr>
      <w:r>
        <w:t>Possible emergence of cognitive techniques (e.g. use of white space by applications other than PMSE)</w:t>
      </w:r>
      <w:r w:rsidR="00576497">
        <w:t>.</w:t>
      </w:r>
    </w:p>
    <w:p w:rsidR="00576497" w:rsidRDefault="00576497" w:rsidP="007D04E3">
      <w:pPr>
        <w:spacing w:after="120"/>
        <w:jc w:val="both"/>
      </w:pPr>
      <w:r>
        <w:t>Studies made by the ECC should recognize that a vari</w:t>
      </w:r>
      <w:r w:rsidR="00BF737C">
        <w:t>e</w:t>
      </w:r>
      <w:r>
        <w:t>ty of scenarios may emerge for the overall use of the UHF band. Thus</w:t>
      </w:r>
      <w:r w:rsidR="00BF737C">
        <w:t>,</w:t>
      </w:r>
      <w:r>
        <w:t xml:space="preserve"> the studies should identify representative scenarios including regulatory implications, inform what consequences would follow from the regulatory approaches in terms of opportunity and risk and give recommendations on the way forward. The heterogeneous nature of development in different European countries, both in terms of the ultimate balance and the rate of development in those countries,</w:t>
      </w:r>
      <w:r w:rsidRPr="006A72DE">
        <w:t xml:space="preserve"> </w:t>
      </w:r>
      <w:r>
        <w:t xml:space="preserve">should also be recognised. </w:t>
      </w:r>
    </w:p>
    <w:p w:rsidR="00627CCC" w:rsidRDefault="00576497" w:rsidP="007D04E3">
      <w:pPr>
        <w:spacing w:after="120"/>
        <w:jc w:val="both"/>
      </w:pPr>
      <w:r>
        <w:t>In order to facilitate the ECC work on this issue a correspondence group was founded. The correspondence group should</w:t>
      </w:r>
      <w:r w:rsidR="00627CCC">
        <w:t>:</w:t>
      </w:r>
    </w:p>
    <w:p w:rsidR="00627CCC" w:rsidRDefault="00576497" w:rsidP="00ED486E">
      <w:pPr>
        <w:numPr>
          <w:ilvl w:val="0"/>
          <w:numId w:val="2"/>
        </w:numPr>
        <w:spacing w:after="120"/>
        <w:jc w:val="both"/>
      </w:pPr>
      <w:proofErr w:type="gramStart"/>
      <w:r>
        <w:t>frame</w:t>
      </w:r>
      <w:proofErr w:type="gramEnd"/>
      <w:r>
        <w:t xml:space="preserve"> the studies to support the development of a long-term vision for the UHF-band</w:t>
      </w:r>
      <w:r w:rsidRPr="00D568EB">
        <w:t xml:space="preserve"> </w:t>
      </w:r>
      <w:r>
        <w:t xml:space="preserve">in Europe focusing primarily on technical issues, but addressing also </w:t>
      </w:r>
      <w:proofErr w:type="spellStart"/>
      <w:r>
        <w:t>economical</w:t>
      </w:r>
      <w:proofErr w:type="spellEnd"/>
      <w:r>
        <w:t xml:space="preserve">, social and regulatory aspects. </w:t>
      </w:r>
    </w:p>
    <w:p w:rsidR="00576497" w:rsidRDefault="00576497" w:rsidP="00ED486E">
      <w:pPr>
        <w:numPr>
          <w:ilvl w:val="0"/>
          <w:numId w:val="2"/>
        </w:numPr>
        <w:spacing w:after="120"/>
        <w:jc w:val="both"/>
      </w:pPr>
      <w:proofErr w:type="gramStart"/>
      <w:r>
        <w:lastRenderedPageBreak/>
        <w:t>formulate</w:t>
      </w:r>
      <w:proofErr w:type="gramEnd"/>
      <w:r>
        <w:t xml:space="preserve"> key questions which have to be answered by the group which will be responsible for these studies, taking into account the need to collect data on existing situation in each CEPT country.</w:t>
      </w:r>
    </w:p>
    <w:p w:rsidR="00576497" w:rsidRDefault="00576497" w:rsidP="007D04E3">
      <w:pPr>
        <w:spacing w:after="120"/>
        <w:jc w:val="both"/>
      </w:pPr>
      <w:r>
        <w:rPr>
          <w:lang w:val="en-US"/>
        </w:rPr>
        <w:t>During the 33th ECC meeting</w:t>
      </w:r>
      <w:r>
        <w:t xml:space="preserve"> the establishment of an ECC Task Group has been suggested. However, ECC will reconsider the whole picture at its June meeting. If the correspondence group c</w:t>
      </w:r>
      <w:r w:rsidR="00ED486E">
        <w:t>o</w:t>
      </w:r>
      <w:r>
        <w:t>me</w:t>
      </w:r>
      <w:r w:rsidR="00ED486E">
        <w:t>s</w:t>
      </w:r>
      <w:r>
        <w:t xml:space="preserve"> to</w:t>
      </w:r>
      <w:r w:rsidR="00ED486E">
        <w:t xml:space="preserve"> the</w:t>
      </w:r>
      <w:r>
        <w:t xml:space="preserve"> view that the options on the future handling of the UHF band should be studied within a new group, the correspondence group should propose at least key elements for </w:t>
      </w:r>
      <w:proofErr w:type="spellStart"/>
      <w:r>
        <w:t>ToR</w:t>
      </w:r>
      <w:proofErr w:type="spellEnd"/>
      <w:r>
        <w:t xml:space="preserve"> for such a group, too.</w:t>
      </w:r>
      <w:r w:rsidR="00FF5FF5">
        <w:t xml:space="preserve"> </w:t>
      </w:r>
    </w:p>
    <w:p w:rsidR="00576497" w:rsidRPr="007D04E3" w:rsidRDefault="00576497"/>
    <w:sectPr w:rsidR="00576497" w:rsidRPr="007D04E3" w:rsidSect="009B208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B28" w:rsidRDefault="008F7B28" w:rsidP="00DB2B59">
      <w:r>
        <w:separator/>
      </w:r>
    </w:p>
  </w:endnote>
  <w:endnote w:type="continuationSeparator" w:id="0">
    <w:p w:rsidR="008F7B28" w:rsidRDefault="008F7B28" w:rsidP="00D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B28" w:rsidRDefault="008F7B28" w:rsidP="00DB2B59">
      <w:r>
        <w:separator/>
      </w:r>
    </w:p>
  </w:footnote>
  <w:footnote w:type="continuationSeparator" w:id="0">
    <w:p w:rsidR="008F7B28" w:rsidRDefault="008F7B28" w:rsidP="00DB2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EA6" w:rsidRDefault="00961EA6" w:rsidP="00961EA6">
    <w:pPr>
      <w:pStyle w:val="En-tte1"/>
      <w:jc w:val="right"/>
    </w:pPr>
    <w:r>
      <w:t xml:space="preserve">ECC(13)027 ANNEX </w:t>
    </w:r>
    <w:r>
      <w:t>20</w:t>
    </w:r>
  </w:p>
  <w:p w:rsidR="00576497" w:rsidRDefault="00576497" w:rsidP="00ED486E">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F60F4"/>
    <w:multiLevelType w:val="hybridMultilevel"/>
    <w:tmpl w:val="BA3885F8"/>
    <w:lvl w:ilvl="0" w:tplc="0AC20FA6">
      <w:start w:val="2"/>
      <w:numFmt w:val="bullet"/>
      <w:lvlText w:val="-"/>
      <w:lvlJc w:val="left"/>
      <w:pPr>
        <w:ind w:left="720" w:hanging="360"/>
      </w:pPr>
      <w:rPr>
        <w:rFonts w:ascii="Times New Roman" w:eastAsia="Times New Roman" w:hAnsi="Times New Roman"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5C46358F"/>
    <w:multiLevelType w:val="hybridMultilevel"/>
    <w:tmpl w:val="002CD988"/>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04E3"/>
    <w:rsid w:val="00007EAB"/>
    <w:rsid w:val="00093A9E"/>
    <w:rsid w:val="000C310D"/>
    <w:rsid w:val="000E00D2"/>
    <w:rsid w:val="00113A5D"/>
    <w:rsid w:val="0015013F"/>
    <w:rsid w:val="00244A1E"/>
    <w:rsid w:val="00307380"/>
    <w:rsid w:val="003E7387"/>
    <w:rsid w:val="004D1B58"/>
    <w:rsid w:val="00563337"/>
    <w:rsid w:val="00576497"/>
    <w:rsid w:val="005B43C8"/>
    <w:rsid w:val="00627CCC"/>
    <w:rsid w:val="00654041"/>
    <w:rsid w:val="006857CD"/>
    <w:rsid w:val="006A72DE"/>
    <w:rsid w:val="006D4F88"/>
    <w:rsid w:val="006F509C"/>
    <w:rsid w:val="00741322"/>
    <w:rsid w:val="0076481E"/>
    <w:rsid w:val="00766677"/>
    <w:rsid w:val="007D04E3"/>
    <w:rsid w:val="008241BE"/>
    <w:rsid w:val="00830BBD"/>
    <w:rsid w:val="008E0E38"/>
    <w:rsid w:val="008F7B28"/>
    <w:rsid w:val="00961EA6"/>
    <w:rsid w:val="00992946"/>
    <w:rsid w:val="009B208F"/>
    <w:rsid w:val="009C1397"/>
    <w:rsid w:val="009E6C78"/>
    <w:rsid w:val="00A15437"/>
    <w:rsid w:val="00A52BB7"/>
    <w:rsid w:val="00A67750"/>
    <w:rsid w:val="00AD3DD3"/>
    <w:rsid w:val="00AF5A94"/>
    <w:rsid w:val="00B270E8"/>
    <w:rsid w:val="00B30FA5"/>
    <w:rsid w:val="00BE2AA9"/>
    <w:rsid w:val="00BE349E"/>
    <w:rsid w:val="00BF737C"/>
    <w:rsid w:val="00C55350"/>
    <w:rsid w:val="00C90596"/>
    <w:rsid w:val="00CF3234"/>
    <w:rsid w:val="00D34145"/>
    <w:rsid w:val="00D568EB"/>
    <w:rsid w:val="00D9566D"/>
    <w:rsid w:val="00DB168A"/>
    <w:rsid w:val="00DB2B59"/>
    <w:rsid w:val="00DC7A41"/>
    <w:rsid w:val="00DE12F1"/>
    <w:rsid w:val="00E242A8"/>
    <w:rsid w:val="00E45EC5"/>
    <w:rsid w:val="00E772E4"/>
    <w:rsid w:val="00E849CF"/>
    <w:rsid w:val="00ED486E"/>
    <w:rsid w:val="00FB66A7"/>
    <w:rsid w:val="00FF5F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4E3"/>
    <w:rPr>
      <w:rFonts w:ascii="Times New Roman" w:eastAsia="Times New Roman" w:hAnsi="Times New Roman"/>
      <w:sz w:val="24"/>
      <w:szCs w:val="24"/>
      <w:lang w:val="en-IE" w:eastAsia="en-I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D04E3"/>
    <w:pPr>
      <w:ind w:left="720"/>
      <w:contextualSpacing/>
    </w:pPr>
  </w:style>
  <w:style w:type="paragraph" w:styleId="En-tte">
    <w:name w:val="header"/>
    <w:basedOn w:val="Normal"/>
    <w:link w:val="En-tteCar"/>
    <w:uiPriority w:val="99"/>
    <w:rsid w:val="00DB2B59"/>
    <w:pPr>
      <w:tabs>
        <w:tab w:val="center" w:pos="4536"/>
        <w:tab w:val="right" w:pos="9072"/>
      </w:tabs>
    </w:pPr>
  </w:style>
  <w:style w:type="character" w:customStyle="1" w:styleId="En-tteCar">
    <w:name w:val="En-tête Car"/>
    <w:link w:val="En-tte"/>
    <w:uiPriority w:val="99"/>
    <w:locked/>
    <w:rsid w:val="00DB2B59"/>
    <w:rPr>
      <w:rFonts w:ascii="Times New Roman" w:hAnsi="Times New Roman" w:cs="Times New Roman"/>
      <w:sz w:val="24"/>
      <w:szCs w:val="24"/>
      <w:lang w:val="en-IE" w:eastAsia="en-IE"/>
    </w:rPr>
  </w:style>
  <w:style w:type="paragraph" w:styleId="Pieddepage">
    <w:name w:val="footer"/>
    <w:basedOn w:val="Normal"/>
    <w:link w:val="PieddepageCar"/>
    <w:uiPriority w:val="99"/>
    <w:rsid w:val="00DB2B59"/>
    <w:pPr>
      <w:tabs>
        <w:tab w:val="center" w:pos="4536"/>
        <w:tab w:val="right" w:pos="9072"/>
      </w:tabs>
    </w:pPr>
  </w:style>
  <w:style w:type="character" w:customStyle="1" w:styleId="PieddepageCar">
    <w:name w:val="Pied de page Car"/>
    <w:link w:val="Pieddepage"/>
    <w:uiPriority w:val="99"/>
    <w:locked/>
    <w:rsid w:val="00DB2B59"/>
    <w:rPr>
      <w:rFonts w:ascii="Times New Roman" w:hAnsi="Times New Roman" w:cs="Times New Roman"/>
      <w:sz w:val="24"/>
      <w:szCs w:val="24"/>
      <w:lang w:val="en-IE" w:eastAsia="en-IE"/>
    </w:rPr>
  </w:style>
  <w:style w:type="paragraph" w:styleId="Textedebulles">
    <w:name w:val="Balloon Text"/>
    <w:basedOn w:val="Normal"/>
    <w:link w:val="TextedebullesCar"/>
    <w:uiPriority w:val="99"/>
    <w:semiHidden/>
    <w:rsid w:val="0015013F"/>
    <w:rPr>
      <w:rFonts w:ascii="Tahoma" w:hAnsi="Tahoma" w:cs="Tahoma"/>
      <w:sz w:val="16"/>
      <w:szCs w:val="16"/>
    </w:rPr>
  </w:style>
  <w:style w:type="character" w:customStyle="1" w:styleId="TextedebullesCar">
    <w:name w:val="Texte de bulles Car"/>
    <w:link w:val="Textedebulles"/>
    <w:uiPriority w:val="99"/>
    <w:semiHidden/>
    <w:locked/>
    <w:rsid w:val="0015013F"/>
    <w:rPr>
      <w:rFonts w:ascii="Tahoma" w:hAnsi="Tahoma" w:cs="Tahoma"/>
      <w:sz w:val="16"/>
      <w:szCs w:val="16"/>
      <w:lang w:val="en-IE" w:eastAsia="en-IE"/>
    </w:rPr>
  </w:style>
  <w:style w:type="character" w:styleId="Marquedecommentaire">
    <w:name w:val="annotation reference"/>
    <w:uiPriority w:val="99"/>
    <w:semiHidden/>
    <w:rsid w:val="0015013F"/>
    <w:rPr>
      <w:rFonts w:cs="Times New Roman"/>
      <w:sz w:val="16"/>
      <w:szCs w:val="16"/>
    </w:rPr>
  </w:style>
  <w:style w:type="paragraph" w:styleId="Commentaire">
    <w:name w:val="annotation text"/>
    <w:basedOn w:val="Normal"/>
    <w:link w:val="CommentaireCar"/>
    <w:uiPriority w:val="99"/>
    <w:semiHidden/>
    <w:rsid w:val="0015013F"/>
    <w:rPr>
      <w:sz w:val="20"/>
      <w:szCs w:val="20"/>
    </w:rPr>
  </w:style>
  <w:style w:type="character" w:customStyle="1" w:styleId="CommentaireCar">
    <w:name w:val="Commentaire Car"/>
    <w:link w:val="Commentaire"/>
    <w:uiPriority w:val="99"/>
    <w:semiHidden/>
    <w:locked/>
    <w:rsid w:val="0015013F"/>
    <w:rPr>
      <w:rFonts w:ascii="Times New Roman" w:hAnsi="Times New Roman" w:cs="Times New Roman"/>
      <w:sz w:val="20"/>
      <w:szCs w:val="20"/>
      <w:lang w:val="en-IE" w:eastAsia="en-IE"/>
    </w:rPr>
  </w:style>
  <w:style w:type="paragraph" w:styleId="Objetducommentaire">
    <w:name w:val="annotation subject"/>
    <w:basedOn w:val="Commentaire"/>
    <w:next w:val="Commentaire"/>
    <w:link w:val="ObjetducommentaireCar"/>
    <w:uiPriority w:val="99"/>
    <w:semiHidden/>
    <w:rsid w:val="0015013F"/>
    <w:rPr>
      <w:b/>
      <w:bCs/>
    </w:rPr>
  </w:style>
  <w:style w:type="character" w:customStyle="1" w:styleId="ObjetducommentaireCar">
    <w:name w:val="Objet du commentaire Car"/>
    <w:link w:val="Objetducommentaire"/>
    <w:uiPriority w:val="99"/>
    <w:semiHidden/>
    <w:locked/>
    <w:rsid w:val="0015013F"/>
    <w:rPr>
      <w:rFonts w:ascii="Times New Roman" w:hAnsi="Times New Roman" w:cs="Times New Roman"/>
      <w:b/>
      <w:bCs/>
      <w:sz w:val="20"/>
      <w:szCs w:val="20"/>
      <w:lang w:val="en-IE" w:eastAsia="en-IE"/>
    </w:rPr>
  </w:style>
  <w:style w:type="character" w:customStyle="1" w:styleId="HeaderZchn">
    <w:name w:val="Header Zchn"/>
    <w:link w:val="En-tte1"/>
    <w:locked/>
    <w:rsid w:val="00961EA6"/>
    <w:rPr>
      <w:rFonts w:ascii="Arial" w:hAnsi="Arial" w:cs="Arial"/>
      <w:b/>
      <w:sz w:val="22"/>
      <w:lang w:val="nb-NO" w:eastAsia="de-DE"/>
    </w:rPr>
  </w:style>
  <w:style w:type="paragraph" w:customStyle="1" w:styleId="En-tte1">
    <w:name w:val="En-tête1"/>
    <w:basedOn w:val="En-tte"/>
    <w:link w:val="HeaderZchn"/>
    <w:rsid w:val="00961EA6"/>
    <w:pPr>
      <w:spacing w:before="60" w:line="264" w:lineRule="auto"/>
      <w:ind w:left="57"/>
    </w:pPr>
    <w:rPr>
      <w:rFonts w:ascii="Arial" w:eastAsia="Calibri" w:hAnsi="Arial" w:cs="Arial"/>
      <w:b/>
      <w:sz w:val="22"/>
      <w:szCs w:val="20"/>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8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547</Words>
  <Characters>3012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Correspondence activities to frame the studies relating to the UHF frequency band 470-694 MHz</vt:lpstr>
    </vt:vector>
  </TitlesOfParts>
  <Company>ANFR</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activities to frame the studies relating to the UHF frequency band 470-694 MHz</dc:title>
  <dc:creator>FOURNIER Eric</dc:creator>
  <cp:lastModifiedBy>Expert</cp:lastModifiedBy>
  <cp:revision>3</cp:revision>
  <dcterms:created xsi:type="dcterms:W3CDTF">2013-03-07T18:29:00Z</dcterms:created>
  <dcterms:modified xsi:type="dcterms:W3CDTF">2013-03-11T14:13:00Z</dcterms:modified>
</cp:coreProperties>
</file>