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51" w:rsidRPr="001275B5" w:rsidRDefault="00754F51">
      <w:pPr>
        <w:rPr>
          <w:sz w:val="24"/>
          <w:szCs w:val="24"/>
        </w:rPr>
      </w:pPr>
    </w:p>
    <w:p w:rsidR="003E6D88" w:rsidRPr="00D73BBD" w:rsidRDefault="003E6D88" w:rsidP="003E6D88">
      <w:pPr>
        <w:jc w:val="right"/>
        <w:rPr>
          <w:b/>
          <w:sz w:val="24"/>
          <w:szCs w:val="24"/>
        </w:rPr>
      </w:pPr>
      <w:r w:rsidRPr="00D73BBD">
        <w:rPr>
          <w:b/>
          <w:sz w:val="24"/>
          <w:szCs w:val="24"/>
        </w:rPr>
        <w:t>STG(1</w:t>
      </w:r>
      <w:r w:rsidR="002E17E6" w:rsidRPr="00D73BBD">
        <w:rPr>
          <w:b/>
          <w:sz w:val="24"/>
          <w:szCs w:val="24"/>
        </w:rPr>
        <w:t>3</w:t>
      </w:r>
      <w:r w:rsidRPr="00D73BBD">
        <w:rPr>
          <w:b/>
          <w:sz w:val="24"/>
          <w:szCs w:val="24"/>
        </w:rPr>
        <w:t>)</w:t>
      </w:r>
      <w:r w:rsidR="00781F3F">
        <w:rPr>
          <w:b/>
          <w:sz w:val="24"/>
          <w:szCs w:val="24"/>
        </w:rPr>
        <w:t>38</w:t>
      </w:r>
      <w:bookmarkStart w:id="0" w:name="_GoBack"/>
      <w:bookmarkEnd w:id="0"/>
    </w:p>
    <w:p w:rsidR="003E6D88" w:rsidRPr="00D73BBD" w:rsidRDefault="003E6D88" w:rsidP="003E6D88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1983"/>
        <w:gridCol w:w="2551"/>
      </w:tblGrid>
      <w:tr w:rsidR="003E6D88" w:rsidRPr="00D73BBD" w:rsidTr="008D6571">
        <w:trPr>
          <w:cantSplit/>
        </w:trPr>
        <w:tc>
          <w:tcPr>
            <w:tcW w:w="6663" w:type="dxa"/>
            <w:gridSpan w:val="3"/>
          </w:tcPr>
          <w:p w:rsidR="003E6D88" w:rsidRPr="00D73BBD" w:rsidRDefault="006A1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66.15pt" fillcolor="window">
                  <v:imagedata r:id="rId9" o:title=""/>
                </v:shape>
              </w:pict>
            </w:r>
          </w:p>
          <w:p w:rsidR="008D6571" w:rsidRPr="00D73BBD" w:rsidRDefault="008D657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8D6571">
        <w:tc>
          <w:tcPr>
            <w:tcW w:w="6663" w:type="dxa"/>
            <w:gridSpan w:val="3"/>
          </w:tcPr>
          <w:p w:rsidR="003E6D88" w:rsidRPr="00D73BBD" w:rsidRDefault="00B20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STG #3</w:t>
            </w:r>
            <w:r w:rsidR="00DE7027">
              <w:rPr>
                <w:b/>
                <w:sz w:val="24"/>
                <w:szCs w:val="24"/>
              </w:rPr>
              <w:t>6</w:t>
            </w:r>
          </w:p>
          <w:p w:rsidR="003E6D88" w:rsidRPr="00D73BBD" w:rsidRDefault="003E6D88">
            <w:pPr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>WGSE - SEAMCAT Technical Group</w:t>
            </w:r>
          </w:p>
          <w:p w:rsidR="003E6D88" w:rsidRPr="00D73BBD" w:rsidRDefault="00DE7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BNetzA</w:t>
            </w:r>
            <w:r w:rsidR="003E6D88" w:rsidRPr="00D73B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Mainz</w:t>
            </w:r>
          </w:p>
          <w:p w:rsidR="003E6D88" w:rsidRPr="00D73BBD" w:rsidRDefault="00DE7027" w:rsidP="00EF4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 December</w:t>
            </w:r>
            <w:r w:rsidR="00EF420F">
              <w:rPr>
                <w:b/>
                <w:sz w:val="24"/>
                <w:szCs w:val="24"/>
              </w:rPr>
              <w:t xml:space="preserve"> </w:t>
            </w:r>
            <w:r w:rsidR="0042780E" w:rsidRPr="00D73BBD">
              <w:rPr>
                <w:b/>
                <w:sz w:val="24"/>
                <w:szCs w:val="24"/>
              </w:rPr>
              <w:t>201</w:t>
            </w:r>
            <w:r w:rsidR="002E17E6" w:rsidRPr="00D73B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  <w:p w:rsidR="003E6D88" w:rsidRPr="00D73BBD" w:rsidRDefault="003E6D88">
            <w:pPr>
              <w:rPr>
                <w:sz w:val="24"/>
                <w:szCs w:val="24"/>
              </w:rPr>
            </w:pPr>
          </w:p>
        </w:tc>
      </w:tr>
      <w:tr w:rsidR="003E6D88" w:rsidRPr="00D73BBD" w:rsidTr="003C3ABE">
        <w:trPr>
          <w:cantSplit/>
          <w:trHeight w:val="513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Date Issued: </w:t>
            </w:r>
            <w:r w:rsidR="00BE6DE5">
              <w:rPr>
                <w:sz w:val="24"/>
                <w:szCs w:val="24"/>
              </w:rPr>
              <w:t>30</w:t>
            </w:r>
            <w:r w:rsidR="009E6A92">
              <w:rPr>
                <w:sz w:val="24"/>
                <w:szCs w:val="24"/>
              </w:rPr>
              <w:t xml:space="preserve"> October</w:t>
            </w:r>
            <w:r w:rsidR="00DE7027">
              <w:rPr>
                <w:sz w:val="24"/>
                <w:szCs w:val="24"/>
              </w:rPr>
              <w:t xml:space="preserve"> </w:t>
            </w:r>
            <w:r w:rsidR="002E17E6" w:rsidRPr="00D73BBD">
              <w:rPr>
                <w:sz w:val="24"/>
                <w:szCs w:val="24"/>
              </w:rPr>
              <w:t>2013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Source : </w:t>
            </w:r>
            <w:r w:rsidRPr="00D73BBD">
              <w:rPr>
                <w:b/>
                <w:sz w:val="24"/>
                <w:szCs w:val="24"/>
              </w:rPr>
              <w:tab/>
            </w:r>
            <w:r w:rsidR="00DE7027">
              <w:rPr>
                <w:sz w:val="24"/>
                <w:szCs w:val="24"/>
              </w:rPr>
              <w:t>Karl Koch</w:t>
            </w:r>
          </w:p>
          <w:p w:rsidR="003E6D88" w:rsidRPr="00D73BBD" w:rsidRDefault="003E6D88">
            <w:pPr>
              <w:ind w:left="993" w:hanging="993"/>
              <w:rPr>
                <w:b/>
                <w:sz w:val="24"/>
                <w:szCs w:val="24"/>
              </w:rPr>
            </w:pPr>
          </w:p>
          <w:p w:rsidR="003E6D88" w:rsidRPr="00D73BBD" w:rsidRDefault="003E6D88" w:rsidP="00562E88">
            <w:pPr>
              <w:ind w:left="993" w:hanging="993"/>
              <w:rPr>
                <w:sz w:val="24"/>
                <w:szCs w:val="24"/>
              </w:rPr>
            </w:pPr>
            <w:r w:rsidRPr="00D73BBD">
              <w:rPr>
                <w:b/>
                <w:sz w:val="24"/>
                <w:szCs w:val="24"/>
              </w:rPr>
              <w:t xml:space="preserve">Subject: </w:t>
            </w:r>
            <w:r w:rsidRPr="00D73BBD">
              <w:rPr>
                <w:sz w:val="24"/>
                <w:szCs w:val="24"/>
              </w:rPr>
              <w:tab/>
            </w:r>
            <w:r w:rsidR="00562E88">
              <w:rPr>
                <w:sz w:val="24"/>
                <w:szCs w:val="24"/>
              </w:rPr>
              <w:t>correction of the tilt angle with azimuth angle</w:t>
            </w:r>
          </w:p>
        </w:tc>
      </w:tr>
      <w:tr w:rsidR="003E6D88" w:rsidRPr="00D73BBD" w:rsidTr="003C3ABE">
        <w:trPr>
          <w:cantSplit/>
          <w:trHeight w:val="649"/>
        </w:trPr>
        <w:tc>
          <w:tcPr>
            <w:tcW w:w="92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D88" w:rsidRPr="00D73BBD" w:rsidRDefault="003E6D88">
            <w:pPr>
              <w:pStyle w:val="BodyText"/>
              <w:spacing w:after="0"/>
              <w:ind w:left="993" w:hanging="993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DE7027">
              <w:rPr>
                <w:rFonts w:ascii="Calibri" w:hAnsi="Calibri"/>
                <w:b/>
                <w:szCs w:val="24"/>
                <w:lang w:val="en-GB" w:eastAsia="de-DE"/>
              </w:rPr>
              <w:t>Document:</w:t>
            </w:r>
            <w:r w:rsidRPr="00D73BB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DE7027">
              <w:rPr>
                <w:rFonts w:ascii="Calibri" w:hAnsi="Calibri"/>
                <w:szCs w:val="24"/>
                <w:lang w:val="en-GB" w:eastAsia="de-DE"/>
              </w:rPr>
              <w:t xml:space="preserve">for </w:t>
            </w:r>
            <w:r w:rsidR="003C3ABE" w:rsidRPr="00DE7027">
              <w:rPr>
                <w:rFonts w:ascii="Calibri" w:hAnsi="Calibri"/>
                <w:szCs w:val="24"/>
                <w:lang w:val="en-GB" w:eastAsia="de-DE"/>
              </w:rPr>
              <w:t>discussion</w:t>
            </w:r>
          </w:p>
        </w:tc>
      </w:tr>
      <w:tr w:rsidR="003C3ABE" w:rsidRPr="00D73BBD" w:rsidTr="003C3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34" w:type="dxa"/>
          <w:cantSplit/>
          <w:trHeight w:hRule="exact" w:val="65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3ABE" w:rsidRPr="00D73BBD" w:rsidRDefault="003C3ABE" w:rsidP="00F53C6E">
            <w:pPr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Password protection required?  (Y/N)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3ABE" w:rsidRPr="00D73BBD" w:rsidRDefault="003C3ABE" w:rsidP="00F53C6E">
            <w:pPr>
              <w:jc w:val="center"/>
              <w:rPr>
                <w:sz w:val="24"/>
                <w:szCs w:val="24"/>
              </w:rPr>
            </w:pPr>
            <w:r w:rsidRPr="00D73BBD">
              <w:rPr>
                <w:sz w:val="24"/>
                <w:szCs w:val="24"/>
              </w:rPr>
              <w:t>N</w:t>
            </w:r>
          </w:p>
        </w:tc>
      </w:tr>
    </w:tbl>
    <w:p w:rsidR="003E6D88" w:rsidRPr="00D73BBD" w:rsidRDefault="003E6D88" w:rsidP="00B839C2">
      <w:pPr>
        <w:ind w:left="142"/>
        <w:rPr>
          <w:sz w:val="24"/>
          <w:szCs w:val="24"/>
        </w:rPr>
      </w:pPr>
    </w:p>
    <w:p w:rsidR="00D25755" w:rsidRDefault="00D25755" w:rsidP="00DE7027">
      <w:pPr>
        <w:spacing w:line="360" w:lineRule="auto"/>
        <w:ind w:left="142"/>
        <w:jc w:val="both"/>
        <w:rPr>
          <w:sz w:val="24"/>
          <w:szCs w:val="24"/>
        </w:rPr>
      </w:pPr>
    </w:p>
    <w:p w:rsidR="002D4052" w:rsidRDefault="002D4052" w:rsidP="002D4052">
      <w:pPr>
        <w:pStyle w:val="Heading4"/>
      </w:pPr>
      <w:r>
        <w:t>Current Situation</w:t>
      </w:r>
    </w:p>
    <w:p w:rsidR="00562E88" w:rsidRDefault="00562E88" w:rsidP="00C217CC">
      <w:r w:rsidRPr="00562E88">
        <w:t xml:space="preserve">As described in the </w:t>
      </w:r>
      <w:hyperlink r:id="rId10" w:history="1">
        <w:r w:rsidRPr="00562E88">
          <w:rPr>
            <w:rStyle w:val="Hyperlink"/>
            <w:rFonts w:ascii="Calibri" w:hAnsi="Calibri"/>
            <w:sz w:val="24"/>
            <w:szCs w:val="24"/>
          </w:rPr>
          <w:t>manual</w:t>
        </w:r>
      </w:hyperlink>
      <w:r w:rsidRPr="00562E88">
        <w:t xml:space="preserve"> on Calculation of antenna azimuths and elevations (ILT - VLR path)</w:t>
      </w:r>
      <w:r>
        <w:t>, SEAMCAT corrects the tilt angle by applying this calculation:</w:t>
      </w:r>
    </w:p>
    <w:p w:rsidR="00562E88" w:rsidRDefault="00781F3F" w:rsidP="00C217CC">
      <w:r>
        <w:pict>
          <v:shape id="_x0000_i1026" type="#_x0000_t75" style="width:173.5pt;height:42.5pt">
            <v:imagedata r:id="rId11" o:title=""/>
          </v:shape>
        </w:pict>
      </w:r>
      <w:hyperlink r:id="rId12" w:anchor="CalculationofantennaazimuthsandelevationsILT-VLRpath" w:tooltip="Link to this section" w:history="1">
        <w:r w:rsidR="00562E88" w:rsidRPr="00562E88">
          <w:t> </w:t>
        </w:r>
      </w:hyperlink>
      <w:r w:rsidR="00562E88">
        <w:t>,</w:t>
      </w:r>
    </w:p>
    <w:p w:rsidR="00562E88" w:rsidRDefault="00562E88" w:rsidP="00C217CC">
      <w:r>
        <w:t xml:space="preserve">where θ is </w:t>
      </w:r>
      <w:r w:rsidR="000B547C">
        <w:t xml:space="preserve">in this section of the manual </w:t>
      </w:r>
      <w:r>
        <w:t>the azimuth angle to the VLR seen from the ILT.</w:t>
      </w:r>
    </w:p>
    <w:p w:rsidR="00562E88" w:rsidRDefault="00562E88" w:rsidP="00C217CC"/>
    <w:p w:rsidR="00E06FEA" w:rsidRDefault="006851E8" w:rsidP="00C217CC">
      <w:r>
        <w:t xml:space="preserve">This calculation </w:t>
      </w:r>
      <w:r w:rsidR="00724995">
        <w:t>(</w:t>
      </w:r>
      <w:r w:rsidR="00724995" w:rsidRPr="00724995">
        <w:t>calculateElevationWithCorrectionFactorFromAzimuth</w:t>
      </w:r>
      <w:r w:rsidR="00724995">
        <w:t xml:space="preserve">) </w:t>
      </w:r>
      <w:r>
        <w:t xml:space="preserve">is made for all elevation angles of the </w:t>
      </w:r>
      <w:r w:rsidRPr="00724995">
        <w:t>system links</w:t>
      </w:r>
      <w:r>
        <w:t>, i.e. the victim system link as well as the interfering</w:t>
      </w:r>
      <w:r w:rsidR="00E06FEA">
        <w:t xml:space="preserve"> system link:</w:t>
      </w:r>
      <w:r w:rsidR="00E06FEA">
        <w:br/>
      </w:r>
      <w:r w:rsidR="00781F3F">
        <w:pict>
          <v:shape id="_x0000_i1027" type="#_x0000_t75" style="width:399.1pt;height:43.55pt">
            <v:imagedata r:id="rId13" o:title=""/>
          </v:shape>
        </w:pict>
      </w:r>
    </w:p>
    <w:p w:rsidR="00455FF9" w:rsidRDefault="006851E8" w:rsidP="00C217CC">
      <w:r>
        <w:t>The resulting “corrected” elevation angle is then used for the calculation of the antenna gains.</w:t>
      </w:r>
      <w:r w:rsidR="00455FF9">
        <w:t xml:space="preserve"> </w:t>
      </w:r>
    </w:p>
    <w:p w:rsidR="00562E88" w:rsidRDefault="00455FF9" w:rsidP="00C217CC">
      <w:pPr>
        <w:rPr>
          <w:i/>
        </w:rPr>
      </w:pPr>
      <w:r w:rsidRPr="00455FF9">
        <w:rPr>
          <w:i/>
        </w:rPr>
        <w:t xml:space="preserve">Note: This correction becomes zero degree in case the antenna is pointing </w:t>
      </w:r>
      <w:r w:rsidR="00410EE0">
        <w:rPr>
          <w:i/>
        </w:rPr>
        <w:t xml:space="preserve">at least in the azimuth </w:t>
      </w:r>
      <w:r w:rsidRPr="00455FF9">
        <w:rPr>
          <w:i/>
        </w:rPr>
        <w:t>to its link component.</w:t>
      </w:r>
    </w:p>
    <w:p w:rsidR="007D4AD0" w:rsidRDefault="007D4AD0" w:rsidP="00C217CC">
      <w:r>
        <w:br/>
      </w:r>
    </w:p>
    <w:p w:rsidR="007D4AD0" w:rsidRPr="007D4AD0" w:rsidRDefault="007D4AD0" w:rsidP="00C217CC">
      <w:r>
        <w:lastRenderedPageBreak/>
        <w:t>With the slight difference that not the system link is referenced, but therefore the positions and antenna heights of the components between which the angles are to be calculated</w:t>
      </w:r>
      <w:r w:rsidR="00870B5A">
        <w:t>,</w:t>
      </w:r>
      <w:r w:rsidR="00724995">
        <w:t xml:space="preserve"> the</w:t>
      </w:r>
      <w:r w:rsidR="00323D49">
        <w:t xml:space="preserve"> </w:t>
      </w:r>
      <w:r w:rsidR="00724995">
        <w:t>correction</w:t>
      </w:r>
      <w:r w:rsidR="00323D49">
        <w:t xml:space="preserve"> method is called by the following</w:t>
      </w:r>
      <w:r w:rsidR="00747421">
        <w:t xml:space="preserve"> methods</w:t>
      </w:r>
      <w:r w:rsidR="00323D49">
        <w:t>:</w:t>
      </w:r>
      <w:r>
        <w:t xml:space="preserve"> </w:t>
      </w:r>
    </w:p>
    <w:p w:rsidR="000B547C" w:rsidRDefault="00781F3F" w:rsidP="00562E88">
      <w:r>
        <w:pict>
          <v:shape id="_x0000_i1028" type="#_x0000_t75" style="width:479.3pt;height:71.65pt">
            <v:imagedata r:id="rId14" o:title="Wor1571"/>
          </v:shape>
        </w:pict>
      </w:r>
    </w:p>
    <w:p w:rsidR="00323D49" w:rsidRDefault="00323D49" w:rsidP="00562E88">
      <w:pPr>
        <w:rPr>
          <w:sz w:val="24"/>
          <w:szCs w:val="24"/>
        </w:rPr>
      </w:pPr>
      <w:r>
        <w:t xml:space="preserve">One may see that also the path ILT – VLR </w:t>
      </w:r>
      <w:r w:rsidR="00747421">
        <w:t xml:space="preserve">(and VLR - ILT) </w:t>
      </w:r>
      <w:r>
        <w:t>is “affected”.</w:t>
      </w:r>
    </w:p>
    <w:p w:rsidR="000B547C" w:rsidRDefault="000B547C" w:rsidP="00562E88">
      <w:pPr>
        <w:rPr>
          <w:sz w:val="24"/>
          <w:szCs w:val="24"/>
        </w:rPr>
      </w:pPr>
    </w:p>
    <w:p w:rsidR="000B547C" w:rsidRDefault="000B547C" w:rsidP="00562E88">
      <w:pPr>
        <w:rPr>
          <w:sz w:val="24"/>
          <w:szCs w:val="24"/>
        </w:rPr>
      </w:pPr>
    </w:p>
    <w:p w:rsidR="000B547C" w:rsidRDefault="000B547C" w:rsidP="000B547C">
      <w:pPr>
        <w:pStyle w:val="Heading4"/>
      </w:pPr>
      <w:r w:rsidRPr="000B547C">
        <w:t>Discussion</w:t>
      </w:r>
    </w:p>
    <w:p w:rsidR="00157728" w:rsidRDefault="00A0109C" w:rsidP="00C217CC">
      <w:r>
        <w:t xml:space="preserve">STG #17 in March 2009 and STG #18 in April 2009 </w:t>
      </w:r>
      <w:r w:rsidR="00BD4543">
        <w:t xml:space="preserve">discussed how to solve a bug described in </w:t>
      </w:r>
      <w:hyperlink r:id="rId15" w:history="1">
        <w:r w:rsidR="00BD4543" w:rsidRPr="00BD4543">
          <w:rPr>
            <w:rStyle w:val="Hyperlink"/>
            <w:rFonts w:ascii="Calibri" w:hAnsi="Calibri"/>
          </w:rPr>
          <w:t>ticket #29</w:t>
        </w:r>
      </w:hyperlink>
      <w:r w:rsidR="00BD4543">
        <w:t xml:space="preserve">, unfortunately spotted by myself. </w:t>
      </w:r>
      <w:r w:rsidR="002E0529">
        <w:t>STG found that the implementation in SEAMCAT’s class InterfernceLink was correct (</w:t>
      </w:r>
      <w:r w:rsidR="00556E7D">
        <w:t xml:space="preserve">tilt correction </w:t>
      </w:r>
      <w:r w:rsidR="002E0529">
        <w:t>for vertical pattern!)</w:t>
      </w:r>
      <w:r w:rsidR="001123C2">
        <w:t>, but that a correction factor is needed to avoid values outside the range of ±90 degree</w:t>
      </w:r>
      <w:r w:rsidR="002E0529">
        <w:t>.</w:t>
      </w:r>
      <w:r w:rsidR="00157728">
        <w:t xml:space="preserve"> </w:t>
      </w:r>
      <w:r w:rsidR="00690535">
        <w:t>This had been solved accordingly.</w:t>
      </w:r>
    </w:p>
    <w:p w:rsidR="00157728" w:rsidRPr="00987235" w:rsidRDefault="00157728" w:rsidP="00C217CC">
      <w:pPr>
        <w:rPr>
          <w:i/>
        </w:rPr>
      </w:pPr>
      <w:r w:rsidRPr="00987235">
        <w:rPr>
          <w:i/>
        </w:rPr>
        <w:t>Note:</w:t>
      </w:r>
    </w:p>
    <w:p w:rsidR="008A2F21" w:rsidRPr="00987235" w:rsidRDefault="00157728" w:rsidP="00C217CC">
      <w:pPr>
        <w:rPr>
          <w:i/>
        </w:rPr>
      </w:pPr>
      <w:r w:rsidRPr="00987235">
        <w:rPr>
          <w:i/>
        </w:rPr>
        <w:t>STG also concluded to modify the calculation of the total gain in case of combined h</w:t>
      </w:r>
      <w:r w:rsidR="008A2F21" w:rsidRPr="00987235">
        <w:rPr>
          <w:i/>
        </w:rPr>
        <w:t>o</w:t>
      </w:r>
      <w:r w:rsidR="00ED74B9">
        <w:rPr>
          <w:i/>
        </w:rPr>
        <w:t>rizontal and vertical pattern by</w:t>
      </w:r>
      <w:r w:rsidR="008A2F21" w:rsidRPr="00987235">
        <w:rPr>
          <w:i/>
        </w:rPr>
        <w:t xml:space="preserve"> taking account of a “threshold delta”</w:t>
      </w:r>
    </w:p>
    <w:p w:rsidR="008A2F21" w:rsidRPr="00987235" w:rsidRDefault="00781F3F" w:rsidP="00C217CC">
      <w:pPr>
        <w:rPr>
          <w:i/>
        </w:rPr>
      </w:pPr>
      <w:r>
        <w:rPr>
          <w:i/>
        </w:rPr>
        <w:pict>
          <v:shape id="_x0000_i1029" type="#_x0000_t75" style="width:372.7pt;height:224.9pt">
            <v:imagedata r:id="rId16" o:title=""/>
          </v:shape>
        </w:pict>
      </w:r>
    </w:p>
    <w:p w:rsidR="00A0109C" w:rsidRPr="00987235" w:rsidRDefault="00157728" w:rsidP="00C217CC">
      <w:pPr>
        <w:rPr>
          <w:i/>
        </w:rPr>
      </w:pPr>
      <w:r w:rsidRPr="00987235">
        <w:rPr>
          <w:i/>
        </w:rPr>
        <w:lastRenderedPageBreak/>
        <w:t>This modification is implemented as follows</w:t>
      </w:r>
      <w:r w:rsidR="008A2F21" w:rsidRPr="00987235">
        <w:rPr>
          <w:i/>
        </w:rPr>
        <w:t xml:space="preserve"> with the threshold set to 3 dB</w:t>
      </w:r>
      <w:r w:rsidRPr="00987235">
        <w:rPr>
          <w:i/>
        </w:rPr>
        <w:t>:</w:t>
      </w:r>
      <w:r w:rsidRPr="00987235">
        <w:rPr>
          <w:i/>
        </w:rPr>
        <w:br/>
      </w:r>
      <w:r w:rsidR="00781F3F">
        <w:rPr>
          <w:i/>
        </w:rPr>
        <w:pict>
          <v:shape id="_x0000_i1030" type="#_x0000_t75" style="width:479.3pt;height:206.75pt">
            <v:imagedata r:id="rId17" o:title="Wor15C1"/>
          </v:shape>
        </w:pict>
      </w:r>
    </w:p>
    <w:p w:rsidR="00987235" w:rsidRPr="00987235" w:rsidRDefault="002B6225" w:rsidP="00987235">
      <w:pPr>
        <w:rPr>
          <w:i/>
        </w:rPr>
      </w:pPr>
      <w:r>
        <w:rPr>
          <w:i/>
        </w:rPr>
        <w:t xml:space="preserve">But </w:t>
      </w:r>
      <w:r w:rsidRPr="00987235">
        <w:rPr>
          <w:i/>
        </w:rPr>
        <w:t xml:space="preserve">in </w:t>
      </w:r>
      <w:r>
        <w:rPr>
          <w:i/>
        </w:rPr>
        <w:t>the</w:t>
      </w:r>
      <w:r w:rsidRPr="00987235">
        <w:rPr>
          <w:i/>
        </w:rPr>
        <w:t xml:space="preserve"> summary</w:t>
      </w:r>
      <w:r>
        <w:rPr>
          <w:i/>
        </w:rPr>
        <w:t xml:space="preserve"> of the STG#18 meeting</w:t>
      </w:r>
      <w:r w:rsidRPr="00987235">
        <w:rPr>
          <w:i/>
        </w:rPr>
        <w:t xml:space="preserve"> </w:t>
      </w:r>
      <w:r>
        <w:rPr>
          <w:i/>
        </w:rPr>
        <w:t>it</w:t>
      </w:r>
      <w:r w:rsidR="00987235" w:rsidRPr="00987235">
        <w:rPr>
          <w:i/>
        </w:rPr>
        <w:t xml:space="preserve"> </w:t>
      </w:r>
      <w:r w:rsidR="001123C2" w:rsidRPr="00987235">
        <w:rPr>
          <w:i/>
        </w:rPr>
        <w:t xml:space="preserve">also </w:t>
      </w:r>
      <w:r w:rsidR="00987235" w:rsidRPr="00987235">
        <w:rPr>
          <w:i/>
        </w:rPr>
        <w:t>pointed out:</w:t>
      </w:r>
      <w:r w:rsidR="00987235" w:rsidRPr="00987235">
        <w:rPr>
          <w:i/>
        </w:rPr>
        <w:br/>
        <w:t>It has to be kept in mind that for the main lobe it is a good approximation but the user should be aware that for outside the main beam special care in analysing the results should be considered.</w:t>
      </w:r>
    </w:p>
    <w:p w:rsidR="00157728" w:rsidRDefault="00987235" w:rsidP="00C217CC">
      <w:r w:rsidRPr="00987235">
        <w:rPr>
          <w:i/>
        </w:rPr>
        <w:t>STG members are invited to contribute to future STG meeting with a more accurate approximation is necessary (i.e. elliptical interpolation, etc…).</w:t>
      </w:r>
    </w:p>
    <w:p w:rsidR="00157728" w:rsidRDefault="00157728" w:rsidP="00C217CC"/>
    <w:p w:rsidR="000B547C" w:rsidRDefault="002E0529" w:rsidP="00C217CC">
      <w:r>
        <w:t xml:space="preserve">Meanwhile the calculation methods </w:t>
      </w:r>
      <w:r w:rsidR="00795AB2">
        <w:t>o</w:t>
      </w:r>
      <w:r w:rsidR="003346D0">
        <w:t>n the</w:t>
      </w:r>
      <w:r>
        <w:t xml:space="preserve"> class InterfernceLink have been changed </w:t>
      </w:r>
      <w:r w:rsidR="00B855E4">
        <w:t xml:space="preserve">in terms of defining the angles to be used to determine the </w:t>
      </w:r>
      <w:r w:rsidR="0096222E">
        <w:t xml:space="preserve">resulting </w:t>
      </w:r>
      <w:r w:rsidR="00B855E4">
        <w:t xml:space="preserve">antenna gains, </w:t>
      </w:r>
      <w:r>
        <w:t xml:space="preserve">and </w:t>
      </w:r>
      <w:r w:rsidR="00E77D37">
        <w:t xml:space="preserve">it seems that for certain cases </w:t>
      </w:r>
      <w:r w:rsidR="00795AB2">
        <w:t>the above</w:t>
      </w:r>
      <w:r w:rsidR="00E77D37">
        <w:t xml:space="preserve"> </w:t>
      </w:r>
      <w:r w:rsidR="003346D0">
        <w:t xml:space="preserve">azimuth </w:t>
      </w:r>
      <w:r w:rsidR="00E77D37">
        <w:t xml:space="preserve">correction leads to wrong results </w:t>
      </w:r>
      <w:r w:rsidR="00E402A3">
        <w:t>in case</w:t>
      </w:r>
      <w:r w:rsidR="00E77D37">
        <w:t xml:space="preserve"> the antenna uses spherical pattern.</w:t>
      </w:r>
    </w:p>
    <w:p w:rsidR="00E77D37" w:rsidRDefault="00E77D37" w:rsidP="00E77D37">
      <w:pPr>
        <w:pStyle w:val="Heading6"/>
      </w:pPr>
      <w:r>
        <w:t>Example 1</w:t>
      </w:r>
      <w:r w:rsidR="00747421">
        <w:t xml:space="preserve"> </w:t>
      </w:r>
      <w:r w:rsidR="00795AB2">
        <w:t>–</w:t>
      </w:r>
      <w:r w:rsidR="00747421">
        <w:t xml:space="preserve"> </w:t>
      </w:r>
      <w:r w:rsidR="00795AB2">
        <w:t>system link</w:t>
      </w:r>
      <w:r w:rsidR="001F1028">
        <w:t>s</w:t>
      </w:r>
      <w:r w:rsidR="00795AB2">
        <w:t>, antenna</w:t>
      </w:r>
      <w:r w:rsidR="001F1028">
        <w:t>s</w:t>
      </w:r>
      <w:r w:rsidR="00795AB2">
        <w:t xml:space="preserve"> not pointing</w:t>
      </w:r>
      <w:r>
        <w:t>:</w:t>
      </w:r>
    </w:p>
    <w:p w:rsidR="00E77D37" w:rsidRDefault="00E77D37" w:rsidP="00C217CC">
      <w:r>
        <w:t xml:space="preserve">The method “calculateGain” of the class Antenna is called by all links </w:t>
      </w:r>
      <w:r w:rsidR="00181D4C">
        <w:t xml:space="preserve">(that means not only the system links) </w:t>
      </w:r>
      <w:r>
        <w:t>for the calculation of the resulting path loss. In case spherical pattern are used, this method takes account of the angle</w:t>
      </w:r>
      <w:r w:rsidR="002232D2">
        <w:t>s which have</w:t>
      </w:r>
      <w:r>
        <w:t xml:space="preserve"> been </w:t>
      </w:r>
      <w:r w:rsidR="00C217CC">
        <w:t>referenced</w:t>
      </w:r>
      <w:r>
        <w:t xml:space="preserve"> by the calling method:</w:t>
      </w:r>
    </w:p>
    <w:p w:rsidR="00E77D37" w:rsidRDefault="00781F3F" w:rsidP="000B547C">
      <w:r>
        <w:pict>
          <v:shape id="_x0000_i1031" type="#_x0000_t75" style="width:478.95pt;height:87.75pt">
            <v:imagedata r:id="rId18" o:title=""/>
          </v:shape>
        </w:pict>
      </w:r>
    </w:p>
    <w:p w:rsidR="00C217CC" w:rsidRDefault="00C217CC" w:rsidP="00C217CC">
      <w:r>
        <w:t xml:space="preserve">But because the referenced vertical angle </w:t>
      </w:r>
      <w:r w:rsidR="001123C2">
        <w:t xml:space="preserve">(including the tilt angle) </w:t>
      </w:r>
      <w:r>
        <w:t xml:space="preserve">has been corrected before </w:t>
      </w:r>
      <w:r w:rsidR="001F1028">
        <w:t>applying</w:t>
      </w:r>
      <w:r>
        <w:t xml:space="preserve"> the same azimuth angle</w:t>
      </w:r>
      <w:r w:rsidR="002232D2">
        <w:t xml:space="preserve"> as referenced</w:t>
      </w:r>
      <w:r>
        <w:t xml:space="preserve">, this azimuth angle is now considered a second time. </w:t>
      </w:r>
    </w:p>
    <w:p w:rsidR="00C217CC" w:rsidRDefault="00C217CC" w:rsidP="00C217CC"/>
    <w:p w:rsidR="001117D1" w:rsidRDefault="00795AB2" w:rsidP="001117D1">
      <w:pPr>
        <w:pStyle w:val="Heading6"/>
      </w:pPr>
      <w:r>
        <w:t>Example 2</w:t>
      </w:r>
      <w:r w:rsidR="008E630F">
        <w:t xml:space="preserve"> -</w:t>
      </w:r>
      <w:r w:rsidR="00323D49">
        <w:t xml:space="preserve"> path VLR – ILT</w:t>
      </w:r>
      <w:r w:rsidR="008E630F">
        <w:t>:</w:t>
      </w:r>
      <w:r w:rsidR="00323D49">
        <w:t xml:space="preserve"> </w:t>
      </w:r>
    </w:p>
    <w:p w:rsidR="003A766A" w:rsidRDefault="00323D49" w:rsidP="00C217CC">
      <w:r>
        <w:t>Independent of whether the antenna of the VLR is</w:t>
      </w:r>
      <w:r w:rsidR="001117D1">
        <w:t xml:space="preserve"> pointing to its VLT</w:t>
      </w:r>
      <w:r w:rsidR="006C4D1E">
        <w:t xml:space="preserve"> (?!)</w:t>
      </w:r>
      <w:r w:rsidR="00683C9D">
        <w:rPr>
          <w:rStyle w:val="FootnoteReference"/>
        </w:rPr>
        <w:footnoteReference w:id="1"/>
      </w:r>
      <w:r>
        <w:t>,</w:t>
      </w:r>
      <w:r w:rsidR="001117D1">
        <w:t xml:space="preserve"> the elevation angle between VLR and VLT is taken as “tilt” </w:t>
      </w:r>
      <w:r w:rsidR="0076034B">
        <w:t xml:space="preserve">(taking into account </w:t>
      </w:r>
      <w:r w:rsidR="00072093">
        <w:t>the value of a</w:t>
      </w:r>
      <w:r w:rsidR="0076034B">
        <w:t xml:space="preserve"> “real” tilt as parameter</w:t>
      </w:r>
      <w:r w:rsidR="00243972">
        <w:t>, if any</w:t>
      </w:r>
      <w:r w:rsidR="0076034B">
        <w:t xml:space="preserve">) </w:t>
      </w:r>
      <w:r w:rsidR="001117D1">
        <w:t>and</w:t>
      </w:r>
      <w:r w:rsidR="008F401D">
        <w:t xml:space="preserve"> is</w:t>
      </w:r>
      <w:r w:rsidR="001117D1">
        <w:t xml:space="preserve"> then corrected by the azimuth angle to the ILT.</w:t>
      </w:r>
      <w:r w:rsidR="0076034B">
        <w:t xml:space="preserve"> </w:t>
      </w:r>
      <w:r w:rsidR="00072093">
        <w:t>Nevertheless</w:t>
      </w:r>
      <w:r w:rsidR="0076034B">
        <w:t xml:space="preserve">, the calculation of the resulting antenna gain </w:t>
      </w:r>
      <w:r w:rsidR="00243972">
        <w:t xml:space="preserve">(see Example 1) </w:t>
      </w:r>
      <w:r w:rsidR="0076034B">
        <w:t xml:space="preserve">is considering this azimuth </w:t>
      </w:r>
      <w:r w:rsidR="003B2BC0">
        <w:t xml:space="preserve">angle </w:t>
      </w:r>
      <w:r w:rsidR="0076034B">
        <w:t>again.</w:t>
      </w:r>
    </w:p>
    <w:p w:rsidR="0076034B" w:rsidRDefault="0076034B" w:rsidP="00C217CC"/>
    <w:p w:rsidR="00562E88" w:rsidRPr="00562E88" w:rsidRDefault="0076034B" w:rsidP="0076034B">
      <w:pPr>
        <w:pStyle w:val="Heading4"/>
        <w:rPr>
          <w:rFonts w:ascii="Calibri" w:hAnsi="Calibri"/>
          <w:szCs w:val="24"/>
        </w:rPr>
      </w:pPr>
      <w:r>
        <w:t>Proposal</w:t>
      </w:r>
    </w:p>
    <w:p w:rsidR="0076034B" w:rsidRDefault="0076034B" w:rsidP="00DE7027">
      <w:r>
        <w:t>STG is invited to discuss this issue</w:t>
      </w:r>
      <w:r w:rsidR="00C700EA">
        <w:t>, also whether it is correct to consider the elevation angle</w:t>
      </w:r>
      <w:r w:rsidR="00185AB8">
        <w:t>s</w:t>
      </w:r>
      <w:r w:rsidR="00C700EA">
        <w:t xml:space="preserve"> between the components of a system link as tilt, even the antennas are not pointing to the corresponding component in </w:t>
      </w:r>
      <w:r w:rsidR="00B97D03">
        <w:t>the elevation</w:t>
      </w:r>
      <w:r w:rsidR="00C700EA">
        <w:t xml:space="preserve"> plane</w:t>
      </w:r>
      <w:r>
        <w:t xml:space="preserve">. </w:t>
      </w:r>
    </w:p>
    <w:p w:rsidR="00C700EA" w:rsidRDefault="00C700EA" w:rsidP="00DE7027"/>
    <w:p w:rsidR="00C700EA" w:rsidRDefault="00C700EA" w:rsidP="00DE7027">
      <w:r>
        <w:t>My</w:t>
      </w:r>
      <w:r w:rsidR="0076034B">
        <w:t xml:space="preserve"> personal view </w:t>
      </w:r>
      <w:r>
        <w:t>is</w:t>
      </w:r>
    </w:p>
    <w:p w:rsidR="00C700EA" w:rsidRDefault="00C700EA" w:rsidP="00C700EA">
      <w:pPr>
        <w:numPr>
          <w:ilvl w:val="0"/>
          <w:numId w:val="11"/>
        </w:numPr>
      </w:pPr>
      <w:r>
        <w:t>To remove the elevation correction in case</w:t>
      </w:r>
      <w:r w:rsidR="00185AB8">
        <w:t xml:space="preserve"> spherical pattern are used.</w:t>
      </w:r>
    </w:p>
    <w:p w:rsidR="00C700EA" w:rsidRDefault="00C700EA" w:rsidP="00C700EA">
      <w:pPr>
        <w:numPr>
          <w:ilvl w:val="0"/>
          <w:numId w:val="11"/>
        </w:numPr>
      </w:pPr>
      <w:r>
        <w:t xml:space="preserve">To consider the elevation angles between the components of a system link as tilt </w:t>
      </w:r>
      <w:r w:rsidRPr="00C700EA">
        <w:rPr>
          <w:b/>
        </w:rPr>
        <w:t>only</w:t>
      </w:r>
      <w:r>
        <w:t xml:space="preserve"> in case the elevation pointing of the corresponding antenna is selected.</w:t>
      </w:r>
    </w:p>
    <w:p w:rsidR="00C700EA" w:rsidRDefault="00C700EA" w:rsidP="00DE7027"/>
    <w:sectPr w:rsidR="00C700EA" w:rsidSect="007E7889">
      <w:pgSz w:w="12240" w:h="15840"/>
      <w:pgMar w:top="1440" w:right="851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0" w:rsidRDefault="006A16E0">
      <w:r>
        <w:separator/>
      </w:r>
    </w:p>
  </w:endnote>
  <w:endnote w:type="continuationSeparator" w:id="0">
    <w:p w:rsidR="006A16E0" w:rsidRDefault="006A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0" w:rsidRDefault="006A16E0">
      <w:r>
        <w:separator/>
      </w:r>
    </w:p>
  </w:footnote>
  <w:footnote w:type="continuationSeparator" w:id="0">
    <w:p w:rsidR="006A16E0" w:rsidRDefault="006A16E0">
      <w:r>
        <w:continuationSeparator/>
      </w:r>
    </w:p>
  </w:footnote>
  <w:footnote w:id="1">
    <w:p w:rsidR="00683C9D" w:rsidRPr="00683C9D" w:rsidRDefault="00683C9D" w:rsidP="00683C9D">
      <w:pPr>
        <w:pStyle w:val="Funote"/>
        <w:rPr>
          <w:lang w:val="en-US"/>
        </w:rPr>
      </w:pPr>
      <w:r w:rsidRPr="00683C9D">
        <w:rPr>
          <w:rStyle w:val="FootnoteReference"/>
        </w:rPr>
        <w:footnoteRef/>
      </w:r>
      <w:r w:rsidRPr="00683C9D">
        <w:t xml:space="preserve"> </w:t>
      </w:r>
      <w:r w:rsidRPr="00AF183D">
        <w:rPr>
          <w:highlight w:val="yellow"/>
          <w:lang w:val="en-US"/>
        </w:rPr>
        <w:t>It should be checked whether it is correct that if pointing is not selected, the elevation VLR – VLT is also taken as tilt.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EE"/>
    <w:multiLevelType w:val="multilevel"/>
    <w:tmpl w:val="19B2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77D9"/>
    <w:multiLevelType w:val="hybridMultilevel"/>
    <w:tmpl w:val="483EF16A"/>
    <w:lvl w:ilvl="0" w:tplc="7A2447D4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77F82"/>
    <w:multiLevelType w:val="hybridMultilevel"/>
    <w:tmpl w:val="1E88B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206C99"/>
    <w:multiLevelType w:val="hybridMultilevel"/>
    <w:tmpl w:val="4BE4F198"/>
    <w:lvl w:ilvl="0" w:tplc="CCF44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19ED"/>
    <w:multiLevelType w:val="multilevel"/>
    <w:tmpl w:val="6DE6ABBA"/>
    <w:lvl w:ilvl="0">
      <w:start w:val="1"/>
      <w:numFmt w:val="decimal"/>
      <w:lvlText w:val="%1)"/>
      <w:lvlJc w:val="left"/>
      <w:pPr>
        <w:tabs>
          <w:tab w:val="num" w:pos="2062"/>
        </w:tabs>
        <w:ind w:left="1702" w:firstLine="0"/>
      </w:pPr>
    </w:lvl>
    <w:lvl w:ilvl="1">
      <w:start w:val="1"/>
      <w:numFmt w:val="decimal"/>
      <w:lvlText w:val="%1.%2)"/>
      <w:lvlJc w:val="left"/>
      <w:pPr>
        <w:tabs>
          <w:tab w:val="num" w:pos="2782"/>
        </w:tabs>
        <w:ind w:left="2422" w:hanging="360"/>
      </w:pPr>
    </w:lvl>
    <w:lvl w:ilvl="2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3142"/>
        </w:tabs>
        <w:ind w:left="3142" w:hanging="360"/>
      </w:pPr>
    </w:lvl>
    <w:lvl w:ilvl="4">
      <w:start w:val="1"/>
      <w:numFmt w:val="lowerLetter"/>
      <w:lvlText w:val="(%5)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(%6)"/>
      <w:lvlJc w:val="left"/>
      <w:pPr>
        <w:tabs>
          <w:tab w:val="num" w:pos="3862"/>
        </w:tabs>
        <w:ind w:left="3862" w:hanging="36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360"/>
      </w:pPr>
    </w:lvl>
    <w:lvl w:ilvl="8">
      <w:start w:val="1"/>
      <w:numFmt w:val="lowerRoman"/>
      <w:lvlText w:val="%9."/>
      <w:lvlJc w:val="left"/>
      <w:pPr>
        <w:tabs>
          <w:tab w:val="num" w:pos="4942"/>
        </w:tabs>
        <w:ind w:left="4942" w:hanging="360"/>
      </w:pPr>
    </w:lvl>
  </w:abstractNum>
  <w:abstractNum w:abstractNumId="5">
    <w:nsid w:val="31472886"/>
    <w:multiLevelType w:val="hybridMultilevel"/>
    <w:tmpl w:val="923C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17A35"/>
    <w:multiLevelType w:val="hybridMultilevel"/>
    <w:tmpl w:val="2DE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25DB2"/>
    <w:multiLevelType w:val="hybridMultilevel"/>
    <w:tmpl w:val="625E4478"/>
    <w:lvl w:ilvl="0" w:tplc="DAB86D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65D8"/>
    <w:multiLevelType w:val="hybridMultilevel"/>
    <w:tmpl w:val="CC6251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ED1516"/>
    <w:multiLevelType w:val="hybridMultilevel"/>
    <w:tmpl w:val="221E5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F03B2"/>
    <w:multiLevelType w:val="hybridMultilevel"/>
    <w:tmpl w:val="D966A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96C"/>
    <w:rsid w:val="0000743D"/>
    <w:rsid w:val="00015D2D"/>
    <w:rsid w:val="00017080"/>
    <w:rsid w:val="00024B7A"/>
    <w:rsid w:val="00024F18"/>
    <w:rsid w:val="000346E4"/>
    <w:rsid w:val="000463C3"/>
    <w:rsid w:val="00047C70"/>
    <w:rsid w:val="00056243"/>
    <w:rsid w:val="00060AB1"/>
    <w:rsid w:val="00061237"/>
    <w:rsid w:val="0006195A"/>
    <w:rsid w:val="000668D8"/>
    <w:rsid w:val="00067158"/>
    <w:rsid w:val="000676E7"/>
    <w:rsid w:val="00070C42"/>
    <w:rsid w:val="00071EC4"/>
    <w:rsid w:val="00072093"/>
    <w:rsid w:val="00075218"/>
    <w:rsid w:val="00081F46"/>
    <w:rsid w:val="00082AA4"/>
    <w:rsid w:val="000864DF"/>
    <w:rsid w:val="000870FB"/>
    <w:rsid w:val="00096F13"/>
    <w:rsid w:val="000A01AD"/>
    <w:rsid w:val="000A09FA"/>
    <w:rsid w:val="000A1C85"/>
    <w:rsid w:val="000A783B"/>
    <w:rsid w:val="000A7F78"/>
    <w:rsid w:val="000B266E"/>
    <w:rsid w:val="000B547C"/>
    <w:rsid w:val="000C0614"/>
    <w:rsid w:val="000C3454"/>
    <w:rsid w:val="000C52AE"/>
    <w:rsid w:val="000C538E"/>
    <w:rsid w:val="000C63A7"/>
    <w:rsid w:val="000C67EE"/>
    <w:rsid w:val="000C6C22"/>
    <w:rsid w:val="000E3BEF"/>
    <w:rsid w:val="000F65F6"/>
    <w:rsid w:val="001117D1"/>
    <w:rsid w:val="001123C2"/>
    <w:rsid w:val="0012492C"/>
    <w:rsid w:val="001275B5"/>
    <w:rsid w:val="00133BBF"/>
    <w:rsid w:val="001377D0"/>
    <w:rsid w:val="00157728"/>
    <w:rsid w:val="0015799F"/>
    <w:rsid w:val="00160C96"/>
    <w:rsid w:val="001629CC"/>
    <w:rsid w:val="001674EB"/>
    <w:rsid w:val="0017178C"/>
    <w:rsid w:val="001719CF"/>
    <w:rsid w:val="001726DF"/>
    <w:rsid w:val="00181D4C"/>
    <w:rsid w:val="00183297"/>
    <w:rsid w:val="00185AB8"/>
    <w:rsid w:val="00190C25"/>
    <w:rsid w:val="001962A2"/>
    <w:rsid w:val="001A6E66"/>
    <w:rsid w:val="001B0B20"/>
    <w:rsid w:val="001B12AF"/>
    <w:rsid w:val="001B74C1"/>
    <w:rsid w:val="001C2343"/>
    <w:rsid w:val="001C4A8D"/>
    <w:rsid w:val="001E1A71"/>
    <w:rsid w:val="001E718E"/>
    <w:rsid w:val="001F037F"/>
    <w:rsid w:val="001F1028"/>
    <w:rsid w:val="001F1F83"/>
    <w:rsid w:val="002009BE"/>
    <w:rsid w:val="00203A29"/>
    <w:rsid w:val="002052F4"/>
    <w:rsid w:val="00211EC3"/>
    <w:rsid w:val="0021704A"/>
    <w:rsid w:val="0022113C"/>
    <w:rsid w:val="00222794"/>
    <w:rsid w:val="002232D2"/>
    <w:rsid w:val="00231C47"/>
    <w:rsid w:val="00232DB8"/>
    <w:rsid w:val="002330A0"/>
    <w:rsid w:val="002369F6"/>
    <w:rsid w:val="00243972"/>
    <w:rsid w:val="00251BEF"/>
    <w:rsid w:val="00253F66"/>
    <w:rsid w:val="002544AC"/>
    <w:rsid w:val="00256CE8"/>
    <w:rsid w:val="00262473"/>
    <w:rsid w:val="002637AE"/>
    <w:rsid w:val="002664F4"/>
    <w:rsid w:val="00267720"/>
    <w:rsid w:val="00273249"/>
    <w:rsid w:val="00276BB3"/>
    <w:rsid w:val="00281E03"/>
    <w:rsid w:val="002862FD"/>
    <w:rsid w:val="002916CD"/>
    <w:rsid w:val="002A2BD0"/>
    <w:rsid w:val="002A5436"/>
    <w:rsid w:val="002A7670"/>
    <w:rsid w:val="002B2863"/>
    <w:rsid w:val="002B6225"/>
    <w:rsid w:val="002C1884"/>
    <w:rsid w:val="002C2EC3"/>
    <w:rsid w:val="002D4052"/>
    <w:rsid w:val="002D68FC"/>
    <w:rsid w:val="002D742B"/>
    <w:rsid w:val="002D7B91"/>
    <w:rsid w:val="002E0529"/>
    <w:rsid w:val="002E17E6"/>
    <w:rsid w:val="002E211B"/>
    <w:rsid w:val="002E29A2"/>
    <w:rsid w:val="002F3CEF"/>
    <w:rsid w:val="002F4E66"/>
    <w:rsid w:val="0030048F"/>
    <w:rsid w:val="00302F24"/>
    <w:rsid w:val="003063BE"/>
    <w:rsid w:val="00306C51"/>
    <w:rsid w:val="00314562"/>
    <w:rsid w:val="0031612A"/>
    <w:rsid w:val="00321CD7"/>
    <w:rsid w:val="00323D49"/>
    <w:rsid w:val="003346D0"/>
    <w:rsid w:val="00346321"/>
    <w:rsid w:val="003479C1"/>
    <w:rsid w:val="00351843"/>
    <w:rsid w:val="003561E0"/>
    <w:rsid w:val="00360549"/>
    <w:rsid w:val="00360C70"/>
    <w:rsid w:val="0036461E"/>
    <w:rsid w:val="00366730"/>
    <w:rsid w:val="00377940"/>
    <w:rsid w:val="00381E06"/>
    <w:rsid w:val="00386EE1"/>
    <w:rsid w:val="00395A6F"/>
    <w:rsid w:val="00395BAD"/>
    <w:rsid w:val="003A091A"/>
    <w:rsid w:val="003A3AA6"/>
    <w:rsid w:val="003A40F7"/>
    <w:rsid w:val="003A631A"/>
    <w:rsid w:val="003A766A"/>
    <w:rsid w:val="003B1998"/>
    <w:rsid w:val="003B2BC0"/>
    <w:rsid w:val="003C3ABE"/>
    <w:rsid w:val="003C79AE"/>
    <w:rsid w:val="003D5321"/>
    <w:rsid w:val="003E6D88"/>
    <w:rsid w:val="003E6E80"/>
    <w:rsid w:val="003F5C4B"/>
    <w:rsid w:val="003F6817"/>
    <w:rsid w:val="004058A9"/>
    <w:rsid w:val="00407962"/>
    <w:rsid w:val="00410EE0"/>
    <w:rsid w:val="004132AD"/>
    <w:rsid w:val="00413394"/>
    <w:rsid w:val="00423284"/>
    <w:rsid w:val="004241DC"/>
    <w:rsid w:val="004242FF"/>
    <w:rsid w:val="0042780E"/>
    <w:rsid w:val="00435FD4"/>
    <w:rsid w:val="004431E8"/>
    <w:rsid w:val="00453E2C"/>
    <w:rsid w:val="00453F9F"/>
    <w:rsid w:val="00455FF9"/>
    <w:rsid w:val="00460BA6"/>
    <w:rsid w:val="00470795"/>
    <w:rsid w:val="00471FC9"/>
    <w:rsid w:val="004731BB"/>
    <w:rsid w:val="00482BBA"/>
    <w:rsid w:val="0048519F"/>
    <w:rsid w:val="00485D07"/>
    <w:rsid w:val="004936CF"/>
    <w:rsid w:val="0049393B"/>
    <w:rsid w:val="004B220A"/>
    <w:rsid w:val="004C24BB"/>
    <w:rsid w:val="004E5B94"/>
    <w:rsid w:val="004E71D7"/>
    <w:rsid w:val="00512FDA"/>
    <w:rsid w:val="00513078"/>
    <w:rsid w:val="005138A9"/>
    <w:rsid w:val="00514D08"/>
    <w:rsid w:val="00520056"/>
    <w:rsid w:val="00530AA6"/>
    <w:rsid w:val="0053166E"/>
    <w:rsid w:val="0053320E"/>
    <w:rsid w:val="00541410"/>
    <w:rsid w:val="00544321"/>
    <w:rsid w:val="00550B5D"/>
    <w:rsid w:val="00550C2C"/>
    <w:rsid w:val="005511F8"/>
    <w:rsid w:val="005518FC"/>
    <w:rsid w:val="00556882"/>
    <w:rsid w:val="00556E7D"/>
    <w:rsid w:val="00562E88"/>
    <w:rsid w:val="00573A5F"/>
    <w:rsid w:val="00575E45"/>
    <w:rsid w:val="005925E4"/>
    <w:rsid w:val="005944F8"/>
    <w:rsid w:val="00597A74"/>
    <w:rsid w:val="005A0C62"/>
    <w:rsid w:val="005A2EAB"/>
    <w:rsid w:val="005A7D51"/>
    <w:rsid w:val="005A7FEA"/>
    <w:rsid w:val="005B00C6"/>
    <w:rsid w:val="005B125A"/>
    <w:rsid w:val="005B43EF"/>
    <w:rsid w:val="005B609F"/>
    <w:rsid w:val="005D018E"/>
    <w:rsid w:val="005D7EDD"/>
    <w:rsid w:val="005E07E3"/>
    <w:rsid w:val="005E4F08"/>
    <w:rsid w:val="005F04C4"/>
    <w:rsid w:val="005F08A3"/>
    <w:rsid w:val="005F5954"/>
    <w:rsid w:val="00602361"/>
    <w:rsid w:val="00602F3C"/>
    <w:rsid w:val="00605FAF"/>
    <w:rsid w:val="00616D5F"/>
    <w:rsid w:val="00622214"/>
    <w:rsid w:val="00634F70"/>
    <w:rsid w:val="00635B4B"/>
    <w:rsid w:val="00640EA4"/>
    <w:rsid w:val="00643B59"/>
    <w:rsid w:val="006444CB"/>
    <w:rsid w:val="0064618B"/>
    <w:rsid w:val="00652D5B"/>
    <w:rsid w:val="006616FB"/>
    <w:rsid w:val="00665917"/>
    <w:rsid w:val="006661E1"/>
    <w:rsid w:val="0066733F"/>
    <w:rsid w:val="00670166"/>
    <w:rsid w:val="00676828"/>
    <w:rsid w:val="00681C63"/>
    <w:rsid w:val="00683C9D"/>
    <w:rsid w:val="00685112"/>
    <w:rsid w:val="006851E8"/>
    <w:rsid w:val="00687D5B"/>
    <w:rsid w:val="00690535"/>
    <w:rsid w:val="00693293"/>
    <w:rsid w:val="0069774F"/>
    <w:rsid w:val="006A16E0"/>
    <w:rsid w:val="006A1A80"/>
    <w:rsid w:val="006A1ABA"/>
    <w:rsid w:val="006A35D1"/>
    <w:rsid w:val="006B11D1"/>
    <w:rsid w:val="006B248D"/>
    <w:rsid w:val="006C41A9"/>
    <w:rsid w:val="006C4D1E"/>
    <w:rsid w:val="006D21C2"/>
    <w:rsid w:val="006D3D0D"/>
    <w:rsid w:val="006D785D"/>
    <w:rsid w:val="006E0E09"/>
    <w:rsid w:val="006E38A4"/>
    <w:rsid w:val="006F3327"/>
    <w:rsid w:val="006F3836"/>
    <w:rsid w:val="006F72FF"/>
    <w:rsid w:val="00700E3C"/>
    <w:rsid w:val="00703A90"/>
    <w:rsid w:val="00706FE5"/>
    <w:rsid w:val="0072356A"/>
    <w:rsid w:val="00724775"/>
    <w:rsid w:val="00724995"/>
    <w:rsid w:val="0073046B"/>
    <w:rsid w:val="00731E15"/>
    <w:rsid w:val="007379EE"/>
    <w:rsid w:val="00747421"/>
    <w:rsid w:val="007476A5"/>
    <w:rsid w:val="007477BB"/>
    <w:rsid w:val="00754F51"/>
    <w:rsid w:val="00757B3D"/>
    <w:rsid w:val="0076034B"/>
    <w:rsid w:val="00760DFF"/>
    <w:rsid w:val="00761D5A"/>
    <w:rsid w:val="007664E2"/>
    <w:rsid w:val="007739C2"/>
    <w:rsid w:val="0077528D"/>
    <w:rsid w:val="00775CAD"/>
    <w:rsid w:val="0078109B"/>
    <w:rsid w:val="00781F3F"/>
    <w:rsid w:val="00782992"/>
    <w:rsid w:val="0078348D"/>
    <w:rsid w:val="0078597E"/>
    <w:rsid w:val="00795AB2"/>
    <w:rsid w:val="00796368"/>
    <w:rsid w:val="007A1D74"/>
    <w:rsid w:val="007B2517"/>
    <w:rsid w:val="007C2D5B"/>
    <w:rsid w:val="007D4AD0"/>
    <w:rsid w:val="007E04C5"/>
    <w:rsid w:val="007E41EF"/>
    <w:rsid w:val="007E7889"/>
    <w:rsid w:val="007F18DB"/>
    <w:rsid w:val="007F4325"/>
    <w:rsid w:val="00800AEE"/>
    <w:rsid w:val="00801956"/>
    <w:rsid w:val="00806155"/>
    <w:rsid w:val="008073BF"/>
    <w:rsid w:val="008111A7"/>
    <w:rsid w:val="00811654"/>
    <w:rsid w:val="0082572C"/>
    <w:rsid w:val="00826152"/>
    <w:rsid w:val="00830BC9"/>
    <w:rsid w:val="00832D06"/>
    <w:rsid w:val="00834ECE"/>
    <w:rsid w:val="00836BEF"/>
    <w:rsid w:val="008376A0"/>
    <w:rsid w:val="00837724"/>
    <w:rsid w:val="00837A3A"/>
    <w:rsid w:val="00837D1C"/>
    <w:rsid w:val="0084228C"/>
    <w:rsid w:val="0085668E"/>
    <w:rsid w:val="0086653F"/>
    <w:rsid w:val="00866CD5"/>
    <w:rsid w:val="008674D5"/>
    <w:rsid w:val="00870B5A"/>
    <w:rsid w:val="00874AE8"/>
    <w:rsid w:val="00875354"/>
    <w:rsid w:val="00875990"/>
    <w:rsid w:val="0088000F"/>
    <w:rsid w:val="0088599C"/>
    <w:rsid w:val="0088766D"/>
    <w:rsid w:val="008878E9"/>
    <w:rsid w:val="00892D37"/>
    <w:rsid w:val="00895804"/>
    <w:rsid w:val="008972EA"/>
    <w:rsid w:val="008A2F21"/>
    <w:rsid w:val="008A467B"/>
    <w:rsid w:val="008B3D8A"/>
    <w:rsid w:val="008B54F0"/>
    <w:rsid w:val="008B7F65"/>
    <w:rsid w:val="008D0449"/>
    <w:rsid w:val="008D6571"/>
    <w:rsid w:val="008E09C2"/>
    <w:rsid w:val="008E630F"/>
    <w:rsid w:val="008E7184"/>
    <w:rsid w:val="008F401D"/>
    <w:rsid w:val="00910D4B"/>
    <w:rsid w:val="00911C90"/>
    <w:rsid w:val="0092027E"/>
    <w:rsid w:val="00932305"/>
    <w:rsid w:val="00942AFB"/>
    <w:rsid w:val="00944B7B"/>
    <w:rsid w:val="00944D13"/>
    <w:rsid w:val="0094677A"/>
    <w:rsid w:val="00946801"/>
    <w:rsid w:val="009526BC"/>
    <w:rsid w:val="00956135"/>
    <w:rsid w:val="00957626"/>
    <w:rsid w:val="0096222E"/>
    <w:rsid w:val="0097172F"/>
    <w:rsid w:val="00974157"/>
    <w:rsid w:val="00976AE6"/>
    <w:rsid w:val="00980D61"/>
    <w:rsid w:val="00982B3B"/>
    <w:rsid w:val="009846B4"/>
    <w:rsid w:val="00987235"/>
    <w:rsid w:val="0099730F"/>
    <w:rsid w:val="009976DB"/>
    <w:rsid w:val="009A172D"/>
    <w:rsid w:val="009A39C4"/>
    <w:rsid w:val="009A78FA"/>
    <w:rsid w:val="009B2A70"/>
    <w:rsid w:val="009B5823"/>
    <w:rsid w:val="009B737A"/>
    <w:rsid w:val="009C6C77"/>
    <w:rsid w:val="009D66A0"/>
    <w:rsid w:val="009E0E50"/>
    <w:rsid w:val="009E13E1"/>
    <w:rsid w:val="009E1EB3"/>
    <w:rsid w:val="009E6A92"/>
    <w:rsid w:val="009F10C0"/>
    <w:rsid w:val="009F2AA9"/>
    <w:rsid w:val="009F5449"/>
    <w:rsid w:val="009F74EB"/>
    <w:rsid w:val="00A0109C"/>
    <w:rsid w:val="00A01C10"/>
    <w:rsid w:val="00A01C8B"/>
    <w:rsid w:val="00A02866"/>
    <w:rsid w:val="00A06590"/>
    <w:rsid w:val="00A069BE"/>
    <w:rsid w:val="00A11D81"/>
    <w:rsid w:val="00A16D5D"/>
    <w:rsid w:val="00A21C6F"/>
    <w:rsid w:val="00A2305B"/>
    <w:rsid w:val="00A2333E"/>
    <w:rsid w:val="00A24B9B"/>
    <w:rsid w:val="00A27282"/>
    <w:rsid w:val="00A32556"/>
    <w:rsid w:val="00A338D7"/>
    <w:rsid w:val="00A4292A"/>
    <w:rsid w:val="00A44AB5"/>
    <w:rsid w:val="00A46CE5"/>
    <w:rsid w:val="00A51765"/>
    <w:rsid w:val="00A53374"/>
    <w:rsid w:val="00A61BEA"/>
    <w:rsid w:val="00A61E92"/>
    <w:rsid w:val="00A62628"/>
    <w:rsid w:val="00A640A6"/>
    <w:rsid w:val="00A657D6"/>
    <w:rsid w:val="00A66B58"/>
    <w:rsid w:val="00A7043E"/>
    <w:rsid w:val="00A749BF"/>
    <w:rsid w:val="00A77707"/>
    <w:rsid w:val="00A83538"/>
    <w:rsid w:val="00A90A3F"/>
    <w:rsid w:val="00A90C4F"/>
    <w:rsid w:val="00A929C8"/>
    <w:rsid w:val="00A938FC"/>
    <w:rsid w:val="00A945A4"/>
    <w:rsid w:val="00AA71FB"/>
    <w:rsid w:val="00AB37B3"/>
    <w:rsid w:val="00AB497B"/>
    <w:rsid w:val="00AB6F55"/>
    <w:rsid w:val="00AC15B4"/>
    <w:rsid w:val="00AC612C"/>
    <w:rsid w:val="00AD00CE"/>
    <w:rsid w:val="00AD40C1"/>
    <w:rsid w:val="00AE1708"/>
    <w:rsid w:val="00AE2168"/>
    <w:rsid w:val="00AF183D"/>
    <w:rsid w:val="00B04ACA"/>
    <w:rsid w:val="00B1202D"/>
    <w:rsid w:val="00B12E87"/>
    <w:rsid w:val="00B13168"/>
    <w:rsid w:val="00B15813"/>
    <w:rsid w:val="00B20930"/>
    <w:rsid w:val="00B209D6"/>
    <w:rsid w:val="00B236B3"/>
    <w:rsid w:val="00B31250"/>
    <w:rsid w:val="00B33A10"/>
    <w:rsid w:val="00B453B4"/>
    <w:rsid w:val="00B52B71"/>
    <w:rsid w:val="00B64FA6"/>
    <w:rsid w:val="00B66482"/>
    <w:rsid w:val="00B75D63"/>
    <w:rsid w:val="00B77626"/>
    <w:rsid w:val="00B839C2"/>
    <w:rsid w:val="00B855E4"/>
    <w:rsid w:val="00B86ACE"/>
    <w:rsid w:val="00B8793B"/>
    <w:rsid w:val="00B97D03"/>
    <w:rsid w:val="00BA0E4F"/>
    <w:rsid w:val="00BA28BF"/>
    <w:rsid w:val="00BB002B"/>
    <w:rsid w:val="00BB2F47"/>
    <w:rsid w:val="00BB31B3"/>
    <w:rsid w:val="00BB5FE7"/>
    <w:rsid w:val="00BD0015"/>
    <w:rsid w:val="00BD1991"/>
    <w:rsid w:val="00BD2687"/>
    <w:rsid w:val="00BD3A33"/>
    <w:rsid w:val="00BD4543"/>
    <w:rsid w:val="00BD6BBE"/>
    <w:rsid w:val="00BD6BFB"/>
    <w:rsid w:val="00BE105B"/>
    <w:rsid w:val="00BE1B52"/>
    <w:rsid w:val="00BE4019"/>
    <w:rsid w:val="00BE6DE5"/>
    <w:rsid w:val="00BF2990"/>
    <w:rsid w:val="00BF6F63"/>
    <w:rsid w:val="00C03604"/>
    <w:rsid w:val="00C04281"/>
    <w:rsid w:val="00C127D4"/>
    <w:rsid w:val="00C14E01"/>
    <w:rsid w:val="00C154D6"/>
    <w:rsid w:val="00C15D6B"/>
    <w:rsid w:val="00C217CC"/>
    <w:rsid w:val="00C264FD"/>
    <w:rsid w:val="00C27BCE"/>
    <w:rsid w:val="00C34850"/>
    <w:rsid w:val="00C3557F"/>
    <w:rsid w:val="00C363BC"/>
    <w:rsid w:val="00C5158D"/>
    <w:rsid w:val="00C51DF1"/>
    <w:rsid w:val="00C53DD5"/>
    <w:rsid w:val="00C54795"/>
    <w:rsid w:val="00C553B6"/>
    <w:rsid w:val="00C5622C"/>
    <w:rsid w:val="00C601D5"/>
    <w:rsid w:val="00C6148E"/>
    <w:rsid w:val="00C61AD6"/>
    <w:rsid w:val="00C64660"/>
    <w:rsid w:val="00C64731"/>
    <w:rsid w:val="00C700EA"/>
    <w:rsid w:val="00C8564A"/>
    <w:rsid w:val="00C8762E"/>
    <w:rsid w:val="00C87A33"/>
    <w:rsid w:val="00C87C00"/>
    <w:rsid w:val="00C90EA6"/>
    <w:rsid w:val="00CA230C"/>
    <w:rsid w:val="00CA70EB"/>
    <w:rsid w:val="00CB4E30"/>
    <w:rsid w:val="00CC4306"/>
    <w:rsid w:val="00CC6BF8"/>
    <w:rsid w:val="00CD0FDB"/>
    <w:rsid w:val="00CD6148"/>
    <w:rsid w:val="00CE3071"/>
    <w:rsid w:val="00CE6CD7"/>
    <w:rsid w:val="00CE767B"/>
    <w:rsid w:val="00CF0321"/>
    <w:rsid w:val="00CF4AD3"/>
    <w:rsid w:val="00D01AF5"/>
    <w:rsid w:val="00D03B50"/>
    <w:rsid w:val="00D16C1E"/>
    <w:rsid w:val="00D2194E"/>
    <w:rsid w:val="00D25755"/>
    <w:rsid w:val="00D260E8"/>
    <w:rsid w:val="00D27319"/>
    <w:rsid w:val="00D30287"/>
    <w:rsid w:val="00D316B3"/>
    <w:rsid w:val="00D32E72"/>
    <w:rsid w:val="00D33398"/>
    <w:rsid w:val="00D41ACC"/>
    <w:rsid w:val="00D46508"/>
    <w:rsid w:val="00D50635"/>
    <w:rsid w:val="00D55713"/>
    <w:rsid w:val="00D607A8"/>
    <w:rsid w:val="00D6281D"/>
    <w:rsid w:val="00D62F89"/>
    <w:rsid w:val="00D64C91"/>
    <w:rsid w:val="00D64CB5"/>
    <w:rsid w:val="00D658D2"/>
    <w:rsid w:val="00D6702D"/>
    <w:rsid w:val="00D73BBD"/>
    <w:rsid w:val="00D7477C"/>
    <w:rsid w:val="00D76DCD"/>
    <w:rsid w:val="00D77DBA"/>
    <w:rsid w:val="00D806AA"/>
    <w:rsid w:val="00D81C03"/>
    <w:rsid w:val="00D8435B"/>
    <w:rsid w:val="00D84AA9"/>
    <w:rsid w:val="00D87200"/>
    <w:rsid w:val="00DA5E27"/>
    <w:rsid w:val="00DA714A"/>
    <w:rsid w:val="00DA7A16"/>
    <w:rsid w:val="00DB4AFF"/>
    <w:rsid w:val="00DB7218"/>
    <w:rsid w:val="00DB7601"/>
    <w:rsid w:val="00DB7F6C"/>
    <w:rsid w:val="00DC0C9E"/>
    <w:rsid w:val="00DC1D6F"/>
    <w:rsid w:val="00DC2BD6"/>
    <w:rsid w:val="00DC3853"/>
    <w:rsid w:val="00DD15D3"/>
    <w:rsid w:val="00DD2178"/>
    <w:rsid w:val="00DD35EE"/>
    <w:rsid w:val="00DD4F33"/>
    <w:rsid w:val="00DD715E"/>
    <w:rsid w:val="00DE24A8"/>
    <w:rsid w:val="00DE2F9A"/>
    <w:rsid w:val="00DE3528"/>
    <w:rsid w:val="00DE3F0C"/>
    <w:rsid w:val="00DE7027"/>
    <w:rsid w:val="00DE7D95"/>
    <w:rsid w:val="00DF10F1"/>
    <w:rsid w:val="00DF1DB3"/>
    <w:rsid w:val="00E00987"/>
    <w:rsid w:val="00E06FEA"/>
    <w:rsid w:val="00E07110"/>
    <w:rsid w:val="00E144D9"/>
    <w:rsid w:val="00E22C9A"/>
    <w:rsid w:val="00E32361"/>
    <w:rsid w:val="00E36F15"/>
    <w:rsid w:val="00E402A3"/>
    <w:rsid w:val="00E452D2"/>
    <w:rsid w:val="00E63D5A"/>
    <w:rsid w:val="00E64678"/>
    <w:rsid w:val="00E723EC"/>
    <w:rsid w:val="00E72430"/>
    <w:rsid w:val="00E77D37"/>
    <w:rsid w:val="00E83EA5"/>
    <w:rsid w:val="00E8682C"/>
    <w:rsid w:val="00E91C04"/>
    <w:rsid w:val="00E9348B"/>
    <w:rsid w:val="00EA215F"/>
    <w:rsid w:val="00EA24A5"/>
    <w:rsid w:val="00EA6600"/>
    <w:rsid w:val="00EB0C02"/>
    <w:rsid w:val="00EB2752"/>
    <w:rsid w:val="00EC0822"/>
    <w:rsid w:val="00EC4D23"/>
    <w:rsid w:val="00ED5689"/>
    <w:rsid w:val="00ED6753"/>
    <w:rsid w:val="00ED74B9"/>
    <w:rsid w:val="00EF4067"/>
    <w:rsid w:val="00EF420F"/>
    <w:rsid w:val="00EF6199"/>
    <w:rsid w:val="00F147FB"/>
    <w:rsid w:val="00F2400A"/>
    <w:rsid w:val="00F32376"/>
    <w:rsid w:val="00F32782"/>
    <w:rsid w:val="00F36A8F"/>
    <w:rsid w:val="00F4015C"/>
    <w:rsid w:val="00F43CCB"/>
    <w:rsid w:val="00F46D52"/>
    <w:rsid w:val="00F513E4"/>
    <w:rsid w:val="00F53C6E"/>
    <w:rsid w:val="00F60BDC"/>
    <w:rsid w:val="00F6134A"/>
    <w:rsid w:val="00F75AC4"/>
    <w:rsid w:val="00F8496C"/>
    <w:rsid w:val="00F86522"/>
    <w:rsid w:val="00F878AD"/>
    <w:rsid w:val="00F90CE1"/>
    <w:rsid w:val="00F9148A"/>
    <w:rsid w:val="00F91886"/>
    <w:rsid w:val="00FA03EE"/>
    <w:rsid w:val="00FA0BB7"/>
    <w:rsid w:val="00FA1C4C"/>
    <w:rsid w:val="00FB0ECD"/>
    <w:rsid w:val="00FB5925"/>
    <w:rsid w:val="00FC7A84"/>
    <w:rsid w:val="00FD1477"/>
    <w:rsid w:val="00FD3FC3"/>
    <w:rsid w:val="00FD456D"/>
    <w:rsid w:val="00FD7568"/>
    <w:rsid w:val="00FE09BB"/>
    <w:rsid w:val="00FE1B52"/>
    <w:rsid w:val="00FE2330"/>
    <w:rsid w:val="00FE59C5"/>
    <w:rsid w:val="00FE6DFC"/>
    <w:rsid w:val="00FF55B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027"/>
    <w:pPr>
      <w:keepNext/>
    </w:pPr>
    <w:rPr>
      <w:rFonts w:ascii="Calibri" w:hAnsi="Calibri"/>
      <w:sz w:val="22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562E88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44CB"/>
    <w:pPr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444CB"/>
    <w:pPr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3EA5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4C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6444CB"/>
  </w:style>
  <w:style w:type="paragraph" w:customStyle="1" w:styleId="Marco">
    <w:name w:val="Marco"/>
    <w:basedOn w:val="BodyText2"/>
    <w:rsid w:val="006444CB"/>
    <w:pPr>
      <w:spacing w:before="240" w:after="360" w:line="240" w:lineRule="auto"/>
      <w:jc w:val="center"/>
    </w:pPr>
    <w:rPr>
      <w:b/>
      <w:sz w:val="24"/>
    </w:rPr>
  </w:style>
  <w:style w:type="paragraph" w:styleId="BodyText2">
    <w:name w:val="Body Text 2"/>
    <w:basedOn w:val="Normal"/>
    <w:rsid w:val="006444CB"/>
    <w:pPr>
      <w:spacing w:after="120" w:line="480" w:lineRule="auto"/>
    </w:pPr>
  </w:style>
  <w:style w:type="paragraph" w:styleId="BodyText">
    <w:name w:val="Body Text"/>
    <w:basedOn w:val="Normal"/>
    <w:rsid w:val="00E83EA5"/>
    <w:pPr>
      <w:spacing w:after="120"/>
    </w:pPr>
    <w:rPr>
      <w:rFonts w:ascii="New York" w:hAnsi="New York"/>
      <w:sz w:val="24"/>
      <w:lang w:val="en-US" w:eastAsia="en-US"/>
    </w:rPr>
  </w:style>
  <w:style w:type="character" w:styleId="Hyperlink">
    <w:name w:val="Hyperlink"/>
    <w:rsid w:val="00024F18"/>
    <w:rPr>
      <w:rFonts w:ascii="Verdana" w:hAnsi="Verdana" w:hint="default"/>
      <w:color w:val="639ACE"/>
      <w:u w:val="single"/>
    </w:rPr>
  </w:style>
  <w:style w:type="character" w:styleId="FollowedHyperlink">
    <w:name w:val="FollowedHyperlink"/>
    <w:rsid w:val="00A21C6F"/>
    <w:rPr>
      <w:color w:val="800080"/>
      <w:u w:val="single"/>
    </w:rPr>
  </w:style>
  <w:style w:type="table" w:styleId="TableGrid">
    <w:name w:val="Table Grid"/>
    <w:basedOn w:val="TableNormal"/>
    <w:rsid w:val="00FD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2E88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562E88"/>
  </w:style>
  <w:style w:type="character" w:styleId="FootnoteReference">
    <w:name w:val="footnote reference"/>
    <w:rsid w:val="00683C9D"/>
    <w:rPr>
      <w:vertAlign w:val="superscript"/>
    </w:rPr>
  </w:style>
  <w:style w:type="paragraph" w:customStyle="1" w:styleId="Funote">
    <w:name w:val="Fußnote"/>
    <w:basedOn w:val="FootnoteText"/>
    <w:link w:val="FunoteZchn"/>
    <w:qFormat/>
    <w:rsid w:val="00683C9D"/>
    <w:rPr>
      <w:sz w:val="18"/>
      <w:szCs w:val="18"/>
    </w:rPr>
  </w:style>
  <w:style w:type="character" w:customStyle="1" w:styleId="FootnoteTextChar">
    <w:name w:val="Footnote Text Char"/>
    <w:link w:val="FootnoteText"/>
    <w:semiHidden/>
    <w:rsid w:val="00683C9D"/>
    <w:rPr>
      <w:rFonts w:ascii="Calibri" w:hAnsi="Calibri"/>
      <w:sz w:val="22"/>
      <w:lang w:val="en-GB"/>
    </w:rPr>
  </w:style>
  <w:style w:type="character" w:customStyle="1" w:styleId="FunoteZchn">
    <w:name w:val="Fußnote Zchn"/>
    <w:basedOn w:val="FootnoteTextChar"/>
    <w:link w:val="Funote"/>
    <w:rsid w:val="00683C9D"/>
    <w:rPr>
      <w:rFonts w:ascii="Calibri" w:hAnsi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ctool.seamcat.org/wiki/Manual/Algorithms/Basics/AzimuthsAndElevationBetweenLink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tractool.seamcat.org/ticket/29" TargetMode="External"/><Relationship Id="rId10" Type="http://schemas.openxmlformats.org/officeDocument/2006/relationships/hyperlink" Target="http://tractool.seamcat.org/wiki/Manual/Algorithms/Basics/AzimuthsAndElevationBetweenLink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33DF-8C5E-4E4F-9C18-C045FEF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STG(09)26</vt:lpstr>
      <vt:lpstr>STG(09)26</vt:lpstr>
    </vt:vector>
  </TitlesOfParts>
  <Company>ERO</Company>
  <LinksUpToDate>false</LinksUpToDate>
  <CharactersWithSpaces>4388</CharactersWithSpaces>
  <SharedDoc>false</SharedDoc>
  <HLinks>
    <vt:vector size="12" baseType="variant"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>CalculationofantennaazimuthsandelevationsILT-VLRpath</vt:lpwstr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http://tractool.seamcat.org/wiki/Manual/Algorithms/Basics/AzimuthsAndElevationBetweenLinks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STG(09)26</dc:title>
  <dc:subject/>
  <dc:creator>Jean-Philippe Kermoal (ERO)</dc:creator>
  <cp:keywords/>
  <dc:description/>
  <cp:lastModifiedBy>Jean-Philippe Kermoal</cp:lastModifiedBy>
  <cp:revision>34</cp:revision>
  <cp:lastPrinted>2012-10-01T08:50:00Z</cp:lastPrinted>
  <dcterms:created xsi:type="dcterms:W3CDTF">2013-10-30T09:10:00Z</dcterms:created>
  <dcterms:modified xsi:type="dcterms:W3CDTF">2013-11-01T14:27:00Z</dcterms:modified>
</cp:coreProperties>
</file>