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51" w:rsidRPr="001275B5" w:rsidRDefault="00754F51">
      <w:pPr>
        <w:rPr>
          <w:sz w:val="24"/>
          <w:szCs w:val="24"/>
        </w:rPr>
      </w:pPr>
    </w:p>
    <w:p w:rsidR="003E6D88" w:rsidRPr="00D73BBD" w:rsidRDefault="003E6D88" w:rsidP="003E6D88">
      <w:pPr>
        <w:jc w:val="right"/>
        <w:rPr>
          <w:b/>
          <w:sz w:val="24"/>
          <w:szCs w:val="24"/>
        </w:rPr>
      </w:pPr>
      <w:r w:rsidRPr="00D73BBD">
        <w:rPr>
          <w:b/>
          <w:sz w:val="24"/>
          <w:szCs w:val="24"/>
        </w:rPr>
        <w:t>STG(1</w:t>
      </w:r>
      <w:r w:rsidR="002E17E6" w:rsidRPr="00D73BBD">
        <w:rPr>
          <w:b/>
          <w:sz w:val="24"/>
          <w:szCs w:val="24"/>
        </w:rPr>
        <w:t>3</w:t>
      </w:r>
      <w:r w:rsidRPr="00D73BBD">
        <w:rPr>
          <w:b/>
          <w:sz w:val="24"/>
          <w:szCs w:val="24"/>
        </w:rPr>
        <w:t>)</w:t>
      </w:r>
      <w:r w:rsidR="007F576A">
        <w:rPr>
          <w:b/>
          <w:sz w:val="24"/>
          <w:szCs w:val="24"/>
        </w:rPr>
        <w:t>44</w:t>
      </w:r>
      <w:bookmarkStart w:id="0" w:name="_GoBack"/>
      <w:bookmarkEnd w:id="0"/>
    </w:p>
    <w:p w:rsidR="003E6D88" w:rsidRPr="00D73BBD" w:rsidRDefault="003E6D88" w:rsidP="003E6D88">
      <w:pPr>
        <w:jc w:val="center"/>
        <w:rPr>
          <w:b/>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900"/>
        <w:gridCol w:w="1983"/>
        <w:gridCol w:w="2551"/>
      </w:tblGrid>
      <w:tr w:rsidR="003E6D88" w:rsidRPr="00D73BBD" w:rsidTr="008D6571">
        <w:trPr>
          <w:cantSplit/>
        </w:trPr>
        <w:tc>
          <w:tcPr>
            <w:tcW w:w="6663" w:type="dxa"/>
            <w:gridSpan w:val="3"/>
          </w:tcPr>
          <w:p w:rsidR="003E6D88" w:rsidRPr="00D73BBD" w:rsidRDefault="00AE2185">
            <w:pPr>
              <w:rPr>
                <w:b/>
                <w:sz w:val="24"/>
                <w:szCs w:val="24"/>
              </w:rPr>
            </w:pPr>
            <w:r>
              <w:rPr>
                <w:b/>
                <w:noProof/>
                <w:sz w:val="24"/>
                <w:szCs w:val="24"/>
                <w:lang w:eastAsia="en-GB"/>
              </w:rPr>
              <w:drawing>
                <wp:inline distT="0" distB="0" distL="0" distR="0">
                  <wp:extent cx="1628775" cy="84010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840105"/>
                          </a:xfrm>
                          <a:prstGeom prst="rect">
                            <a:avLst/>
                          </a:prstGeom>
                          <a:noFill/>
                          <a:ln>
                            <a:noFill/>
                          </a:ln>
                        </pic:spPr>
                      </pic:pic>
                    </a:graphicData>
                  </a:graphic>
                </wp:inline>
              </w:drawing>
            </w:r>
          </w:p>
          <w:p w:rsidR="008D6571" w:rsidRPr="00D73BBD" w:rsidRDefault="008D6571">
            <w:pPr>
              <w:rPr>
                <w:b/>
                <w:sz w:val="24"/>
                <w:szCs w:val="24"/>
              </w:rPr>
            </w:pPr>
          </w:p>
        </w:tc>
        <w:tc>
          <w:tcPr>
            <w:tcW w:w="2551" w:type="dxa"/>
          </w:tcPr>
          <w:p w:rsidR="003E6D88" w:rsidRPr="00D73BBD" w:rsidRDefault="003E6D88">
            <w:pPr>
              <w:rPr>
                <w:sz w:val="24"/>
                <w:szCs w:val="24"/>
              </w:rPr>
            </w:pPr>
          </w:p>
        </w:tc>
      </w:tr>
      <w:tr w:rsidR="003E6D88" w:rsidRPr="00D73BBD" w:rsidTr="008D6571">
        <w:tc>
          <w:tcPr>
            <w:tcW w:w="6663" w:type="dxa"/>
            <w:gridSpan w:val="3"/>
          </w:tcPr>
          <w:p w:rsidR="003E6D88" w:rsidRPr="00D73BBD" w:rsidRDefault="00B209D6">
            <w:pPr>
              <w:rPr>
                <w:b/>
                <w:sz w:val="24"/>
                <w:szCs w:val="24"/>
              </w:rPr>
            </w:pPr>
            <w:r>
              <w:rPr>
                <w:b/>
                <w:sz w:val="24"/>
                <w:szCs w:val="24"/>
              </w:rPr>
              <w:t>STG #3</w:t>
            </w:r>
            <w:r w:rsidR="00DE7027">
              <w:rPr>
                <w:b/>
                <w:sz w:val="24"/>
                <w:szCs w:val="24"/>
              </w:rPr>
              <w:t>6</w:t>
            </w:r>
          </w:p>
          <w:p w:rsidR="003E6D88" w:rsidRPr="00D73BBD" w:rsidRDefault="003E6D88">
            <w:pPr>
              <w:rPr>
                <w:b/>
                <w:sz w:val="24"/>
                <w:szCs w:val="24"/>
              </w:rPr>
            </w:pPr>
            <w:r w:rsidRPr="00D73BBD">
              <w:rPr>
                <w:b/>
                <w:sz w:val="24"/>
                <w:szCs w:val="24"/>
              </w:rPr>
              <w:t>WGSE - SEAMCAT Technical Group</w:t>
            </w:r>
          </w:p>
          <w:p w:rsidR="003E6D88" w:rsidRPr="00D73BBD" w:rsidRDefault="00DE7027">
            <w:pPr>
              <w:rPr>
                <w:b/>
                <w:sz w:val="24"/>
                <w:szCs w:val="24"/>
              </w:rPr>
            </w:pPr>
            <w:r>
              <w:rPr>
                <w:b/>
                <w:sz w:val="24"/>
                <w:szCs w:val="24"/>
              </w:rPr>
              <w:t>BNetzA</w:t>
            </w:r>
            <w:r w:rsidR="003E6D88" w:rsidRPr="00D73BBD">
              <w:rPr>
                <w:b/>
                <w:sz w:val="24"/>
                <w:szCs w:val="24"/>
              </w:rPr>
              <w:t xml:space="preserve">, </w:t>
            </w:r>
            <w:r>
              <w:rPr>
                <w:b/>
                <w:sz w:val="24"/>
                <w:szCs w:val="24"/>
              </w:rPr>
              <w:t>Mainz</w:t>
            </w:r>
          </w:p>
          <w:p w:rsidR="003E6D88" w:rsidRPr="00D73BBD" w:rsidRDefault="00DE7027" w:rsidP="00EF420F">
            <w:pPr>
              <w:rPr>
                <w:b/>
                <w:sz w:val="24"/>
                <w:szCs w:val="24"/>
              </w:rPr>
            </w:pPr>
            <w:r>
              <w:rPr>
                <w:b/>
                <w:sz w:val="24"/>
                <w:szCs w:val="24"/>
              </w:rPr>
              <w:t>5 – 6 December</w:t>
            </w:r>
            <w:r w:rsidR="00EF420F">
              <w:rPr>
                <w:b/>
                <w:sz w:val="24"/>
                <w:szCs w:val="24"/>
              </w:rPr>
              <w:t xml:space="preserve"> </w:t>
            </w:r>
            <w:r w:rsidR="0042780E" w:rsidRPr="00D73BBD">
              <w:rPr>
                <w:b/>
                <w:sz w:val="24"/>
                <w:szCs w:val="24"/>
              </w:rPr>
              <w:t>201</w:t>
            </w:r>
            <w:r w:rsidR="002E17E6" w:rsidRPr="00D73BBD">
              <w:rPr>
                <w:b/>
                <w:sz w:val="24"/>
                <w:szCs w:val="24"/>
              </w:rPr>
              <w:t>3</w:t>
            </w:r>
          </w:p>
        </w:tc>
        <w:tc>
          <w:tcPr>
            <w:tcW w:w="2551" w:type="dxa"/>
          </w:tcPr>
          <w:p w:rsidR="003E6D88" w:rsidRPr="00D73BBD" w:rsidRDefault="003E6D88">
            <w:pPr>
              <w:rPr>
                <w:sz w:val="24"/>
                <w:szCs w:val="24"/>
              </w:rPr>
            </w:pPr>
          </w:p>
          <w:p w:rsidR="003E6D88" w:rsidRPr="00D73BBD" w:rsidRDefault="003E6D88">
            <w:pPr>
              <w:rPr>
                <w:sz w:val="24"/>
                <w:szCs w:val="24"/>
              </w:rPr>
            </w:pPr>
          </w:p>
          <w:p w:rsidR="003E6D88" w:rsidRPr="00D73BBD" w:rsidRDefault="003E6D88">
            <w:pPr>
              <w:rPr>
                <w:sz w:val="24"/>
                <w:szCs w:val="24"/>
              </w:rPr>
            </w:pPr>
          </w:p>
        </w:tc>
      </w:tr>
      <w:tr w:rsidR="003E6D88" w:rsidRPr="00D73BBD" w:rsidTr="003C3ABE">
        <w:trPr>
          <w:cantSplit/>
          <w:trHeight w:val="513"/>
        </w:trPr>
        <w:tc>
          <w:tcPr>
            <w:tcW w:w="9214" w:type="dxa"/>
            <w:gridSpan w:val="4"/>
            <w:tcMar>
              <w:top w:w="0" w:type="dxa"/>
              <w:left w:w="108" w:type="dxa"/>
              <w:bottom w:w="0" w:type="dxa"/>
              <w:right w:w="108" w:type="dxa"/>
            </w:tcMar>
            <w:vAlign w:val="center"/>
          </w:tcPr>
          <w:p w:rsidR="003E6D88" w:rsidRPr="00D73BBD" w:rsidRDefault="003E6D88">
            <w:pPr>
              <w:ind w:left="993" w:hanging="993"/>
              <w:rPr>
                <w:b/>
                <w:sz w:val="24"/>
                <w:szCs w:val="24"/>
              </w:rPr>
            </w:pPr>
          </w:p>
          <w:p w:rsidR="003E6D88" w:rsidRPr="00D73BBD" w:rsidRDefault="003E6D88">
            <w:pPr>
              <w:ind w:left="993" w:hanging="993"/>
              <w:rPr>
                <w:b/>
                <w:sz w:val="24"/>
                <w:szCs w:val="24"/>
              </w:rPr>
            </w:pPr>
            <w:r w:rsidRPr="00D73BBD">
              <w:rPr>
                <w:b/>
                <w:sz w:val="24"/>
                <w:szCs w:val="24"/>
              </w:rPr>
              <w:t xml:space="preserve">Date Issued: </w:t>
            </w:r>
            <w:r w:rsidR="007C26BD">
              <w:rPr>
                <w:sz w:val="24"/>
                <w:szCs w:val="24"/>
              </w:rPr>
              <w:t>30 November</w:t>
            </w:r>
            <w:r w:rsidR="00DE7027">
              <w:rPr>
                <w:sz w:val="24"/>
                <w:szCs w:val="24"/>
              </w:rPr>
              <w:t xml:space="preserve"> </w:t>
            </w:r>
            <w:r w:rsidR="002E17E6" w:rsidRPr="00D73BBD">
              <w:rPr>
                <w:sz w:val="24"/>
                <w:szCs w:val="24"/>
              </w:rPr>
              <w:t>2013</w:t>
            </w:r>
          </w:p>
          <w:p w:rsidR="003E6D88" w:rsidRPr="00D73BBD" w:rsidRDefault="003E6D88">
            <w:pPr>
              <w:ind w:left="993" w:hanging="993"/>
              <w:rPr>
                <w:b/>
                <w:sz w:val="24"/>
                <w:szCs w:val="24"/>
              </w:rPr>
            </w:pPr>
          </w:p>
          <w:p w:rsidR="003E6D88" w:rsidRPr="00D73BBD" w:rsidRDefault="003E6D88">
            <w:pPr>
              <w:ind w:left="993" w:hanging="993"/>
              <w:rPr>
                <w:b/>
                <w:sz w:val="24"/>
                <w:szCs w:val="24"/>
              </w:rPr>
            </w:pPr>
            <w:r w:rsidRPr="00D73BBD">
              <w:rPr>
                <w:b/>
                <w:sz w:val="24"/>
                <w:szCs w:val="24"/>
              </w:rPr>
              <w:t xml:space="preserve">Source : </w:t>
            </w:r>
            <w:r w:rsidRPr="00D73BBD">
              <w:rPr>
                <w:b/>
                <w:sz w:val="24"/>
                <w:szCs w:val="24"/>
              </w:rPr>
              <w:tab/>
            </w:r>
            <w:r w:rsidR="00DE7027">
              <w:rPr>
                <w:sz w:val="24"/>
                <w:szCs w:val="24"/>
              </w:rPr>
              <w:t>Karl Koch</w:t>
            </w:r>
          </w:p>
          <w:p w:rsidR="003E6D88" w:rsidRPr="00D73BBD" w:rsidRDefault="003E6D88">
            <w:pPr>
              <w:ind w:left="993" w:hanging="993"/>
              <w:rPr>
                <w:b/>
                <w:sz w:val="24"/>
                <w:szCs w:val="24"/>
              </w:rPr>
            </w:pPr>
          </w:p>
          <w:p w:rsidR="003E6D88" w:rsidRPr="00D73BBD" w:rsidRDefault="003E6D88" w:rsidP="009E1463">
            <w:pPr>
              <w:ind w:left="993" w:hanging="993"/>
              <w:rPr>
                <w:sz w:val="24"/>
                <w:szCs w:val="24"/>
              </w:rPr>
            </w:pPr>
            <w:r w:rsidRPr="00D73BBD">
              <w:rPr>
                <w:b/>
                <w:sz w:val="24"/>
                <w:szCs w:val="24"/>
              </w:rPr>
              <w:t xml:space="preserve">Subject: </w:t>
            </w:r>
            <w:r w:rsidRPr="00D73BBD">
              <w:rPr>
                <w:sz w:val="24"/>
                <w:szCs w:val="24"/>
              </w:rPr>
              <w:tab/>
            </w:r>
            <w:r w:rsidR="0049608B">
              <w:rPr>
                <w:sz w:val="24"/>
                <w:szCs w:val="24"/>
              </w:rPr>
              <w:t xml:space="preserve">calculation of blocking </w:t>
            </w:r>
          </w:p>
        </w:tc>
      </w:tr>
      <w:tr w:rsidR="003E6D88" w:rsidRPr="00D73BBD" w:rsidTr="003C3ABE">
        <w:trPr>
          <w:cantSplit/>
          <w:trHeight w:val="649"/>
        </w:trPr>
        <w:tc>
          <w:tcPr>
            <w:tcW w:w="9214" w:type="dxa"/>
            <w:gridSpan w:val="4"/>
            <w:tcMar>
              <w:top w:w="0" w:type="dxa"/>
              <w:left w:w="108" w:type="dxa"/>
              <w:bottom w:w="0" w:type="dxa"/>
              <w:right w:w="108" w:type="dxa"/>
            </w:tcMar>
            <w:vAlign w:val="center"/>
          </w:tcPr>
          <w:p w:rsidR="003E6D88" w:rsidRPr="00D73BBD" w:rsidRDefault="003E6D88">
            <w:pPr>
              <w:pStyle w:val="BodyText"/>
              <w:spacing w:after="0"/>
              <w:ind w:left="993" w:hanging="993"/>
              <w:rPr>
                <w:rFonts w:ascii="Times New Roman" w:hAnsi="Times New Roman"/>
                <w:b/>
                <w:szCs w:val="24"/>
                <w:lang w:val="en-GB"/>
              </w:rPr>
            </w:pPr>
            <w:r w:rsidRPr="00DE7027">
              <w:rPr>
                <w:rFonts w:ascii="Calibri" w:hAnsi="Calibri"/>
                <w:b/>
                <w:szCs w:val="24"/>
                <w:lang w:val="en-GB" w:eastAsia="de-DE"/>
              </w:rPr>
              <w:t>Document:</w:t>
            </w:r>
            <w:r w:rsidRPr="00D73BBD">
              <w:rPr>
                <w:rFonts w:ascii="Times New Roman" w:hAnsi="Times New Roman"/>
                <w:szCs w:val="24"/>
                <w:lang w:val="en-GB"/>
              </w:rPr>
              <w:t xml:space="preserve"> </w:t>
            </w:r>
            <w:r w:rsidRPr="00DE7027">
              <w:rPr>
                <w:rFonts w:ascii="Calibri" w:hAnsi="Calibri"/>
                <w:szCs w:val="24"/>
                <w:lang w:val="en-GB" w:eastAsia="de-DE"/>
              </w:rPr>
              <w:t xml:space="preserve">for </w:t>
            </w:r>
            <w:r w:rsidR="003C3ABE" w:rsidRPr="00DE7027">
              <w:rPr>
                <w:rFonts w:ascii="Calibri" w:hAnsi="Calibri"/>
                <w:szCs w:val="24"/>
                <w:lang w:val="en-GB" w:eastAsia="de-DE"/>
              </w:rPr>
              <w:t>discussion</w:t>
            </w:r>
          </w:p>
        </w:tc>
      </w:tr>
      <w:tr w:rsidR="003C3ABE" w:rsidRPr="00D73BBD" w:rsidTr="003C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534" w:type="dxa"/>
          <w:cantSplit/>
          <w:trHeight w:hRule="exact" w:val="654"/>
        </w:trPr>
        <w:tc>
          <w:tcPr>
            <w:tcW w:w="3780" w:type="dxa"/>
            <w:tcBorders>
              <w:top w:val="nil"/>
              <w:left w:val="nil"/>
              <w:bottom w:val="nil"/>
              <w:right w:val="single" w:sz="4" w:space="0" w:color="auto"/>
            </w:tcBorders>
            <w:vAlign w:val="center"/>
          </w:tcPr>
          <w:p w:rsidR="003C3ABE" w:rsidRPr="00D73BBD" w:rsidRDefault="003C3ABE" w:rsidP="00F53C6E">
            <w:pPr>
              <w:rPr>
                <w:sz w:val="24"/>
                <w:szCs w:val="24"/>
              </w:rPr>
            </w:pPr>
            <w:r w:rsidRPr="00D73BBD">
              <w:rPr>
                <w:sz w:val="24"/>
                <w:szCs w:val="24"/>
              </w:rPr>
              <w:t>Password protection required?  (Y/N)</w:t>
            </w:r>
          </w:p>
        </w:tc>
        <w:tc>
          <w:tcPr>
            <w:tcW w:w="900" w:type="dxa"/>
            <w:tcBorders>
              <w:left w:val="single" w:sz="4" w:space="0" w:color="auto"/>
            </w:tcBorders>
            <w:vAlign w:val="center"/>
          </w:tcPr>
          <w:p w:rsidR="003C3ABE" w:rsidRPr="00D73BBD" w:rsidRDefault="003C3ABE" w:rsidP="00F53C6E">
            <w:pPr>
              <w:jc w:val="center"/>
              <w:rPr>
                <w:sz w:val="24"/>
                <w:szCs w:val="24"/>
              </w:rPr>
            </w:pPr>
            <w:r w:rsidRPr="00D73BBD">
              <w:rPr>
                <w:sz w:val="24"/>
                <w:szCs w:val="24"/>
              </w:rPr>
              <w:t>N</w:t>
            </w:r>
          </w:p>
        </w:tc>
      </w:tr>
    </w:tbl>
    <w:p w:rsidR="003E6D88" w:rsidRPr="00D73BBD" w:rsidRDefault="003E6D88" w:rsidP="00B839C2">
      <w:pPr>
        <w:ind w:left="142"/>
        <w:rPr>
          <w:sz w:val="24"/>
          <w:szCs w:val="24"/>
        </w:rPr>
      </w:pPr>
    </w:p>
    <w:p w:rsidR="00D25755" w:rsidRDefault="00D25755" w:rsidP="00DE7027">
      <w:pPr>
        <w:spacing w:line="360" w:lineRule="auto"/>
        <w:ind w:left="142"/>
        <w:jc w:val="both"/>
        <w:rPr>
          <w:sz w:val="24"/>
          <w:szCs w:val="24"/>
        </w:rPr>
      </w:pPr>
    </w:p>
    <w:p w:rsidR="00F76F8A" w:rsidRDefault="00F76F8A" w:rsidP="00DE7027">
      <w:pPr>
        <w:spacing w:line="360" w:lineRule="auto"/>
        <w:ind w:left="142"/>
        <w:jc w:val="both"/>
        <w:rPr>
          <w:sz w:val="24"/>
          <w:szCs w:val="24"/>
        </w:rPr>
      </w:pPr>
    </w:p>
    <w:p w:rsidR="00F76F8A" w:rsidRDefault="00F76F8A" w:rsidP="00DE7027">
      <w:pPr>
        <w:spacing w:line="360" w:lineRule="auto"/>
        <w:ind w:left="142"/>
        <w:jc w:val="both"/>
        <w:rPr>
          <w:sz w:val="24"/>
          <w:szCs w:val="24"/>
        </w:rPr>
      </w:pPr>
    </w:p>
    <w:p w:rsidR="00B67AC4" w:rsidRDefault="00B67AC4" w:rsidP="002D4052">
      <w:pPr>
        <w:pStyle w:val="Heading4"/>
      </w:pPr>
      <w:r>
        <w:t>Background</w:t>
      </w:r>
    </w:p>
    <w:p w:rsidR="00B67AC4" w:rsidRDefault="00962C2C" w:rsidP="00B67AC4">
      <w:r>
        <w:t xml:space="preserve">SEAMCAT considers the total (supplied) power of the ILT for the calculation of the impact due to blocking in taking account of the frequency offset of the centre frequencies of the VLR and ILT. </w:t>
      </w:r>
    </w:p>
    <w:p w:rsidR="00962C2C" w:rsidRDefault="00962C2C" w:rsidP="00B67AC4">
      <w:r>
        <w:t>This implicitly requires that</w:t>
      </w:r>
    </w:p>
    <w:p w:rsidR="00962C2C" w:rsidRDefault="00962C2C" w:rsidP="00962C2C">
      <w:pPr>
        <w:pStyle w:val="ListParagraph"/>
        <w:numPr>
          <w:ilvl w:val="0"/>
          <w:numId w:val="12"/>
        </w:numPr>
      </w:pPr>
      <w:r>
        <w:t>The values of the blocking mask have to be constant over the entire (system) bandwidth of the ILT.</w:t>
      </w:r>
    </w:p>
    <w:p w:rsidR="00962C2C" w:rsidRDefault="00962C2C" w:rsidP="00962C2C">
      <w:pPr>
        <w:pStyle w:val="ListParagraph"/>
        <w:numPr>
          <w:ilvl w:val="0"/>
          <w:numId w:val="12"/>
        </w:numPr>
      </w:pPr>
      <w:r>
        <w:t>The system bandwidths of the VLR and the ILT must not overlap.</w:t>
      </w:r>
    </w:p>
    <w:p w:rsidR="00962C2C" w:rsidRDefault="00962C2C" w:rsidP="00962C2C">
      <w:r>
        <w:t xml:space="preserve">Both requirements were quite easily to meet </w:t>
      </w:r>
      <w:r w:rsidR="003D7975">
        <w:t>using only</w:t>
      </w:r>
      <w:r>
        <w:t xml:space="preserve"> systems with </w:t>
      </w:r>
      <w:r w:rsidR="003D7975">
        <w:t>comparatively small system bandwidths and, compared to these, quite large frequency offsets.</w:t>
      </w:r>
    </w:p>
    <w:p w:rsidR="00F76F8A" w:rsidRDefault="00F76F8A" w:rsidP="00962C2C"/>
    <w:p w:rsidR="00F76F8A" w:rsidRDefault="00F76F8A" w:rsidP="00F76F8A">
      <w:r>
        <w:t>As soon as one of these preconditions is not given, the calculated result becomes at least inaccurate as shown in the below example for a not constant value of the mask:</w:t>
      </w:r>
    </w:p>
    <w:p w:rsidR="00F76F8A" w:rsidRDefault="00F76F8A" w:rsidP="00F76F8A">
      <w:pPr>
        <w:jc w:val="center"/>
      </w:pPr>
      <w:r>
        <w:rPr>
          <w:noProof/>
          <w:lang w:eastAsia="en-GB"/>
        </w:rPr>
        <w:lastRenderedPageBreak/>
        <w:drawing>
          <wp:inline distT="0" distB="0" distL="0" distR="0">
            <wp:extent cx="3416404" cy="2217609"/>
            <wp:effectExtent l="19050" t="0" r="0" b="0"/>
            <wp:docPr id="3" name="Bild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418396" cy="2218902"/>
                    </a:xfrm>
                    <a:prstGeom prst="rect">
                      <a:avLst/>
                    </a:prstGeom>
                  </pic:spPr>
                </pic:pic>
              </a:graphicData>
            </a:graphic>
          </wp:inline>
        </w:drawing>
      </w:r>
    </w:p>
    <w:p w:rsidR="00E948DA" w:rsidRDefault="00E948DA" w:rsidP="00F76F8A">
      <w:pPr>
        <w:jc w:val="center"/>
      </w:pPr>
      <w:r>
        <w:t>Figure 1: blocking mask not constant over the bandwidth of the ILT</w:t>
      </w:r>
    </w:p>
    <w:p w:rsidR="00F76F8A" w:rsidRDefault="00F76F8A" w:rsidP="00F76F8A"/>
    <w:p w:rsidR="00E948DA" w:rsidRDefault="007E0873" w:rsidP="00F76F8A">
      <w:r>
        <w:t xml:space="preserve">Simulating randomly distributed frequencies, either of the VLR or of the ILT or of both, could result to frequency offsets being within the bandwidth of the VLR. </w:t>
      </w:r>
      <w:r w:rsidR="00D8307F">
        <w:t xml:space="preserve">It is obvious that then the calculated result becomes in terms of “blocking” wrong, but the calculated value is even tough considered as </w:t>
      </w:r>
      <w:proofErr w:type="spellStart"/>
      <w:r w:rsidR="00D8307F">
        <w:t>iRSS</w:t>
      </w:r>
      <w:r w:rsidR="00D8307F" w:rsidRPr="00D8307F">
        <w:rPr>
          <w:vertAlign w:val="subscript"/>
        </w:rPr>
        <w:t>block</w:t>
      </w:r>
      <w:proofErr w:type="spellEnd"/>
      <w:r w:rsidR="00D8307F">
        <w:t>.</w:t>
      </w:r>
    </w:p>
    <w:p w:rsidR="000B547C" w:rsidRDefault="000B547C" w:rsidP="00562E88">
      <w:pPr>
        <w:rPr>
          <w:sz w:val="24"/>
          <w:szCs w:val="24"/>
        </w:rPr>
      </w:pPr>
    </w:p>
    <w:p w:rsidR="003263A3" w:rsidRPr="00607B53" w:rsidRDefault="003263A3" w:rsidP="00562E88">
      <w:r w:rsidRPr="00607B53">
        <w:t xml:space="preserve">Additionally there is another issue connected to the blocking calculation: </w:t>
      </w:r>
      <w:r w:rsidR="00254653">
        <w:br/>
      </w:r>
      <w:r w:rsidRPr="00607B53">
        <w:t>intermodulation products caused by the modulation bandwidth of the ILT falling into the VLR bandwidth.</w:t>
      </w:r>
    </w:p>
    <w:p w:rsidR="003263A3" w:rsidRPr="00607B53" w:rsidRDefault="003263A3" w:rsidP="00562E88">
      <w:r w:rsidRPr="00607B53">
        <w:t xml:space="preserve">Measurements recently carried out inter alia by the BNetzA (see </w:t>
      </w:r>
      <w:hyperlink r:id="rId11" w:history="1">
        <w:r w:rsidRPr="0026080D">
          <w:rPr>
            <w:color w:val="00B0F0"/>
          </w:rPr>
          <w:t>CG on GSM-R</w:t>
        </w:r>
      </w:hyperlink>
      <w:r w:rsidRPr="00607B53">
        <w:t xml:space="preserve"> of the WG FM) show that the adjacent channels selectivity</w:t>
      </w:r>
      <w:r w:rsidR="00607B53" w:rsidRPr="00607B53">
        <w:t xml:space="preserve"> of an – in this case narrow band – receiver </w:t>
      </w:r>
      <w:r w:rsidRPr="00607B53">
        <w:t xml:space="preserve">is </w:t>
      </w:r>
      <w:r w:rsidR="00607B53" w:rsidRPr="00607B53">
        <w:t xml:space="preserve">“covered up” by intermodulation products generated by the modulation spectra of the interferer (UMTS and LTE). This phenomenon is not yet considered by any of SEAMCAT’s implemented algorithms. </w:t>
      </w:r>
    </w:p>
    <w:p w:rsidR="000B547C" w:rsidRDefault="000B547C" w:rsidP="00562E88">
      <w:pPr>
        <w:rPr>
          <w:sz w:val="24"/>
          <w:szCs w:val="24"/>
        </w:rPr>
      </w:pPr>
    </w:p>
    <w:p w:rsidR="000B547C" w:rsidRDefault="00607B53" w:rsidP="000B547C">
      <w:pPr>
        <w:pStyle w:val="Heading4"/>
      </w:pPr>
      <w:r>
        <w:t>Proposal</w:t>
      </w:r>
    </w:p>
    <w:p w:rsidR="00607B53" w:rsidRDefault="00607B53" w:rsidP="00607B53">
      <w:r>
        <w:t>STG is invited to think about</w:t>
      </w:r>
      <w:r w:rsidR="00F35A3D">
        <w:br/>
      </w:r>
    </w:p>
    <w:p w:rsidR="0026080D" w:rsidRDefault="0026080D" w:rsidP="0026080D">
      <w:pPr>
        <w:pStyle w:val="ListParagraph"/>
        <w:numPr>
          <w:ilvl w:val="0"/>
          <w:numId w:val="12"/>
        </w:numPr>
      </w:pPr>
      <w:r>
        <w:t>To modify the algorithm of the blocking calculation by taking account of a “blocking mask integrated over the interfering bandwidth” in order to cover the non constant issue. This might be for a transitional period offered as EPP.</w:t>
      </w:r>
    </w:p>
    <w:p w:rsidR="0026080D" w:rsidRDefault="0026080D" w:rsidP="0026080D">
      <w:pPr>
        <w:pStyle w:val="ListParagraph"/>
        <w:numPr>
          <w:ilvl w:val="0"/>
          <w:numId w:val="12"/>
        </w:numPr>
      </w:pPr>
      <w:r>
        <w:t>To modify the algorithm of the blocking calculation in avoiding that any “co-channel” situation is considered as blocking. This might be for a transitional period offered as EPP, too</w:t>
      </w:r>
      <w:r w:rsidR="00674D33">
        <w:t>, or by an advice to define the blocking mask accordingly, i.e. to set the blocking attenuation for the “wanted part” of the mask to e.g. 1000 dB (respectively e.g. 100</w:t>
      </w:r>
      <w:r w:rsidR="000676D9">
        <w:t>0</w:t>
      </w:r>
      <w:r w:rsidR="00674D33">
        <w:t xml:space="preserve"> dBm)</w:t>
      </w:r>
      <w:r>
        <w:t>.</w:t>
      </w:r>
    </w:p>
    <w:p w:rsidR="0026080D" w:rsidRDefault="00F35A3D" w:rsidP="0026080D">
      <w:pPr>
        <w:pStyle w:val="ListParagraph"/>
        <w:numPr>
          <w:ilvl w:val="0"/>
          <w:numId w:val="12"/>
        </w:numPr>
      </w:pPr>
      <w:r>
        <w:t>To modify the algorithm of the blocking calculation by taking account of the phenomenon “intermodulation” either as a generic implementation or as option selectable by the user. In particular the latter one could be offered as EPP.</w:t>
      </w:r>
    </w:p>
    <w:p w:rsidR="00F35A3D" w:rsidRDefault="00F35A3D" w:rsidP="00F35A3D"/>
    <w:p w:rsidR="00F35A3D" w:rsidRPr="00607B53" w:rsidRDefault="00F35A3D" w:rsidP="00F35A3D">
      <w:r>
        <w:t>In any case, such modifications would have to be approved by WG SE, maybe except EPPs.</w:t>
      </w:r>
    </w:p>
    <w:p w:rsidR="001E1569" w:rsidRPr="001E1569" w:rsidRDefault="001E1569" w:rsidP="001E1569"/>
    <w:p w:rsidR="008A2F21" w:rsidRPr="00987235" w:rsidRDefault="008A2F21" w:rsidP="00C217CC">
      <w:pPr>
        <w:rPr>
          <w:i/>
        </w:rPr>
      </w:pPr>
    </w:p>
    <w:sectPr w:rsidR="008A2F21" w:rsidRPr="00987235" w:rsidSect="007E7889">
      <w:pgSz w:w="12240" w:h="15840"/>
      <w:pgMar w:top="1440" w:right="851" w:bottom="144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E2A" w:rsidRDefault="000A4E2A">
      <w:r>
        <w:separator/>
      </w:r>
    </w:p>
  </w:endnote>
  <w:endnote w:type="continuationSeparator" w:id="0">
    <w:p w:rsidR="000A4E2A" w:rsidRDefault="000A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E2A" w:rsidRDefault="000A4E2A">
      <w:r>
        <w:separator/>
      </w:r>
    </w:p>
  </w:footnote>
  <w:footnote w:type="continuationSeparator" w:id="0">
    <w:p w:rsidR="000A4E2A" w:rsidRDefault="000A4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39EE"/>
    <w:multiLevelType w:val="multilevel"/>
    <w:tmpl w:val="19B21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477D9"/>
    <w:multiLevelType w:val="hybridMultilevel"/>
    <w:tmpl w:val="483EF16A"/>
    <w:lvl w:ilvl="0" w:tplc="7A2447D4">
      <w:start w:val="1"/>
      <w:numFmt w:val="bullet"/>
      <w:lvlText w:val=""/>
      <w:lvlJc w:val="left"/>
      <w:pPr>
        <w:tabs>
          <w:tab w:val="num" w:pos="1077"/>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377F82"/>
    <w:multiLevelType w:val="hybridMultilevel"/>
    <w:tmpl w:val="1E88B9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5206C99"/>
    <w:multiLevelType w:val="hybridMultilevel"/>
    <w:tmpl w:val="4BE4F198"/>
    <w:lvl w:ilvl="0" w:tplc="CCF44E2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C419ED"/>
    <w:multiLevelType w:val="multilevel"/>
    <w:tmpl w:val="6DE6ABBA"/>
    <w:lvl w:ilvl="0">
      <w:start w:val="1"/>
      <w:numFmt w:val="decimal"/>
      <w:lvlText w:val="%1)"/>
      <w:lvlJc w:val="left"/>
      <w:pPr>
        <w:tabs>
          <w:tab w:val="num" w:pos="2062"/>
        </w:tabs>
        <w:ind w:left="1702" w:firstLine="0"/>
      </w:pPr>
    </w:lvl>
    <w:lvl w:ilvl="1">
      <w:start w:val="1"/>
      <w:numFmt w:val="decimal"/>
      <w:lvlText w:val="%1.%2)"/>
      <w:lvlJc w:val="left"/>
      <w:pPr>
        <w:tabs>
          <w:tab w:val="num" w:pos="2782"/>
        </w:tabs>
        <w:ind w:left="2422" w:hanging="360"/>
      </w:pPr>
    </w:lvl>
    <w:lvl w:ilvl="2">
      <w:start w:val="1"/>
      <w:numFmt w:val="bullet"/>
      <w:lvlText w:val=""/>
      <w:lvlJc w:val="left"/>
      <w:pPr>
        <w:tabs>
          <w:tab w:val="num" w:pos="2782"/>
        </w:tabs>
        <w:ind w:left="2782" w:hanging="360"/>
      </w:pPr>
      <w:rPr>
        <w:rFonts w:ascii="Symbol" w:hAnsi="Symbol" w:hint="default"/>
      </w:rPr>
    </w:lvl>
    <w:lvl w:ilvl="3">
      <w:start w:val="1"/>
      <w:numFmt w:val="decimal"/>
      <w:lvlText w:val="(%4)"/>
      <w:lvlJc w:val="left"/>
      <w:pPr>
        <w:tabs>
          <w:tab w:val="num" w:pos="3142"/>
        </w:tabs>
        <w:ind w:left="3142" w:hanging="360"/>
      </w:pPr>
    </w:lvl>
    <w:lvl w:ilvl="4">
      <w:start w:val="1"/>
      <w:numFmt w:val="lowerLetter"/>
      <w:lvlText w:val="(%5)"/>
      <w:lvlJc w:val="left"/>
      <w:pPr>
        <w:tabs>
          <w:tab w:val="num" w:pos="3502"/>
        </w:tabs>
        <w:ind w:left="3502" w:hanging="360"/>
      </w:pPr>
    </w:lvl>
    <w:lvl w:ilvl="5">
      <w:start w:val="1"/>
      <w:numFmt w:val="lowerRoman"/>
      <w:lvlText w:val="(%6)"/>
      <w:lvlJc w:val="left"/>
      <w:pPr>
        <w:tabs>
          <w:tab w:val="num" w:pos="3862"/>
        </w:tabs>
        <w:ind w:left="3862" w:hanging="360"/>
      </w:pPr>
    </w:lvl>
    <w:lvl w:ilvl="6">
      <w:start w:val="1"/>
      <w:numFmt w:val="decimal"/>
      <w:lvlText w:val="%7."/>
      <w:lvlJc w:val="left"/>
      <w:pPr>
        <w:tabs>
          <w:tab w:val="num" w:pos="4222"/>
        </w:tabs>
        <w:ind w:left="4222" w:hanging="360"/>
      </w:pPr>
    </w:lvl>
    <w:lvl w:ilvl="7">
      <w:start w:val="1"/>
      <w:numFmt w:val="lowerLetter"/>
      <w:lvlText w:val="%8."/>
      <w:lvlJc w:val="left"/>
      <w:pPr>
        <w:tabs>
          <w:tab w:val="num" w:pos="4582"/>
        </w:tabs>
        <w:ind w:left="4582" w:hanging="360"/>
      </w:pPr>
    </w:lvl>
    <w:lvl w:ilvl="8">
      <w:start w:val="1"/>
      <w:numFmt w:val="lowerRoman"/>
      <w:lvlText w:val="%9."/>
      <w:lvlJc w:val="left"/>
      <w:pPr>
        <w:tabs>
          <w:tab w:val="num" w:pos="4942"/>
        </w:tabs>
        <w:ind w:left="4942" w:hanging="360"/>
      </w:pPr>
    </w:lvl>
  </w:abstractNum>
  <w:abstractNum w:abstractNumId="5">
    <w:nsid w:val="31472886"/>
    <w:multiLevelType w:val="hybridMultilevel"/>
    <w:tmpl w:val="923CA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317A35"/>
    <w:multiLevelType w:val="hybridMultilevel"/>
    <w:tmpl w:val="2DEC1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D25DB2"/>
    <w:multiLevelType w:val="hybridMultilevel"/>
    <w:tmpl w:val="625E4478"/>
    <w:lvl w:ilvl="0" w:tplc="DAB86D6C">
      <w:start w:val="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1D1A63"/>
    <w:multiLevelType w:val="hybridMultilevel"/>
    <w:tmpl w:val="1B32BBDC"/>
    <w:lvl w:ilvl="0" w:tplc="4F3C2A68">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88365D8"/>
    <w:multiLevelType w:val="hybridMultilevel"/>
    <w:tmpl w:val="CC6251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DED1516"/>
    <w:multiLevelType w:val="hybridMultilevel"/>
    <w:tmpl w:val="221E5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5F03B2"/>
    <w:multiLevelType w:val="hybridMultilevel"/>
    <w:tmpl w:val="D966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2"/>
  </w:num>
  <w:num w:numId="5">
    <w:abstractNumId w:val="6"/>
  </w:num>
  <w:num w:numId="6">
    <w:abstractNumId w:val="5"/>
  </w:num>
  <w:num w:numId="7">
    <w:abstractNumId w:val="0"/>
  </w:num>
  <w:num w:numId="8">
    <w:abstractNumId w:val="11"/>
  </w:num>
  <w:num w:numId="9">
    <w:abstractNumId w:val="10"/>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8496C"/>
    <w:rsid w:val="0000743D"/>
    <w:rsid w:val="00014B2B"/>
    <w:rsid w:val="00015D2D"/>
    <w:rsid w:val="00017080"/>
    <w:rsid w:val="00024B7A"/>
    <w:rsid w:val="00024F18"/>
    <w:rsid w:val="000346E4"/>
    <w:rsid w:val="000463C3"/>
    <w:rsid w:val="00047C70"/>
    <w:rsid w:val="00056243"/>
    <w:rsid w:val="00060AB1"/>
    <w:rsid w:val="00061237"/>
    <w:rsid w:val="0006195A"/>
    <w:rsid w:val="000668D8"/>
    <w:rsid w:val="00067158"/>
    <w:rsid w:val="000676D9"/>
    <w:rsid w:val="000676E7"/>
    <w:rsid w:val="00070C42"/>
    <w:rsid w:val="00071EC4"/>
    <w:rsid w:val="00072093"/>
    <w:rsid w:val="00075218"/>
    <w:rsid w:val="00081F46"/>
    <w:rsid w:val="00082AA4"/>
    <w:rsid w:val="000864DF"/>
    <w:rsid w:val="000870FB"/>
    <w:rsid w:val="00096F13"/>
    <w:rsid w:val="000A01AD"/>
    <w:rsid w:val="000A09FA"/>
    <w:rsid w:val="000A1C85"/>
    <w:rsid w:val="000A4E2A"/>
    <w:rsid w:val="000A783B"/>
    <w:rsid w:val="000A7F78"/>
    <w:rsid w:val="000B266E"/>
    <w:rsid w:val="000B547C"/>
    <w:rsid w:val="000C0614"/>
    <w:rsid w:val="000C3454"/>
    <w:rsid w:val="000C52AE"/>
    <w:rsid w:val="000C538E"/>
    <w:rsid w:val="000C63A7"/>
    <w:rsid w:val="000C67EE"/>
    <w:rsid w:val="000C6C22"/>
    <w:rsid w:val="000E3BEF"/>
    <w:rsid w:val="000F65F6"/>
    <w:rsid w:val="001117D1"/>
    <w:rsid w:val="001123C2"/>
    <w:rsid w:val="0012492C"/>
    <w:rsid w:val="001275B5"/>
    <w:rsid w:val="00133BBF"/>
    <w:rsid w:val="001377D0"/>
    <w:rsid w:val="00157728"/>
    <w:rsid w:val="0015799F"/>
    <w:rsid w:val="00160C96"/>
    <w:rsid w:val="001629CC"/>
    <w:rsid w:val="001674EB"/>
    <w:rsid w:val="0017178C"/>
    <w:rsid w:val="001719CF"/>
    <w:rsid w:val="001726DF"/>
    <w:rsid w:val="00181D4C"/>
    <w:rsid w:val="00183297"/>
    <w:rsid w:val="00185AB8"/>
    <w:rsid w:val="00190C25"/>
    <w:rsid w:val="001962A2"/>
    <w:rsid w:val="001A6E66"/>
    <w:rsid w:val="001B0B20"/>
    <w:rsid w:val="001B12AF"/>
    <w:rsid w:val="001B74C1"/>
    <w:rsid w:val="001C2343"/>
    <w:rsid w:val="001C4A8D"/>
    <w:rsid w:val="001E1569"/>
    <w:rsid w:val="001E1A71"/>
    <w:rsid w:val="001E718E"/>
    <w:rsid w:val="001F037F"/>
    <w:rsid w:val="001F1028"/>
    <w:rsid w:val="001F1F83"/>
    <w:rsid w:val="002009BE"/>
    <w:rsid w:val="00203A29"/>
    <w:rsid w:val="002052F4"/>
    <w:rsid w:val="00211EC3"/>
    <w:rsid w:val="0021704A"/>
    <w:rsid w:val="0022113C"/>
    <w:rsid w:val="00222794"/>
    <w:rsid w:val="002232D2"/>
    <w:rsid w:val="00231C47"/>
    <w:rsid w:val="00232DB8"/>
    <w:rsid w:val="002330A0"/>
    <w:rsid w:val="002369F6"/>
    <w:rsid w:val="00243972"/>
    <w:rsid w:val="00251BEF"/>
    <w:rsid w:val="00253F66"/>
    <w:rsid w:val="002544AC"/>
    <w:rsid w:val="00254653"/>
    <w:rsid w:val="00256CE8"/>
    <w:rsid w:val="0026080D"/>
    <w:rsid w:val="00262473"/>
    <w:rsid w:val="002637AE"/>
    <w:rsid w:val="002664F4"/>
    <w:rsid w:val="00267720"/>
    <w:rsid w:val="00273249"/>
    <w:rsid w:val="00276BB3"/>
    <w:rsid w:val="00281E03"/>
    <w:rsid w:val="002862FD"/>
    <w:rsid w:val="002916CD"/>
    <w:rsid w:val="002A2BD0"/>
    <w:rsid w:val="002A5436"/>
    <w:rsid w:val="002A7670"/>
    <w:rsid w:val="002B2863"/>
    <w:rsid w:val="002B6225"/>
    <w:rsid w:val="002C1884"/>
    <w:rsid w:val="002C2EC3"/>
    <w:rsid w:val="002D4052"/>
    <w:rsid w:val="002D68FC"/>
    <w:rsid w:val="002D742B"/>
    <w:rsid w:val="002D7B91"/>
    <w:rsid w:val="002E0529"/>
    <w:rsid w:val="002E17E6"/>
    <w:rsid w:val="002E211B"/>
    <w:rsid w:val="002E29A2"/>
    <w:rsid w:val="002F3CEF"/>
    <w:rsid w:val="002F4E66"/>
    <w:rsid w:val="0030048F"/>
    <w:rsid w:val="00302F24"/>
    <w:rsid w:val="003063BE"/>
    <w:rsid w:val="00306C51"/>
    <w:rsid w:val="00314562"/>
    <w:rsid w:val="0031612A"/>
    <w:rsid w:val="00321CD7"/>
    <w:rsid w:val="00323D49"/>
    <w:rsid w:val="003263A3"/>
    <w:rsid w:val="003346D0"/>
    <w:rsid w:val="00346321"/>
    <w:rsid w:val="003479C1"/>
    <w:rsid w:val="00351843"/>
    <w:rsid w:val="003561E0"/>
    <w:rsid w:val="00360549"/>
    <w:rsid w:val="00360C70"/>
    <w:rsid w:val="0036461E"/>
    <w:rsid w:val="00366730"/>
    <w:rsid w:val="00377940"/>
    <w:rsid w:val="00381E06"/>
    <w:rsid w:val="00386EE1"/>
    <w:rsid w:val="00395A6F"/>
    <w:rsid w:val="00395BAD"/>
    <w:rsid w:val="003A091A"/>
    <w:rsid w:val="003A3AA6"/>
    <w:rsid w:val="003A40F7"/>
    <w:rsid w:val="003A631A"/>
    <w:rsid w:val="003A766A"/>
    <w:rsid w:val="003B1998"/>
    <w:rsid w:val="003B2BC0"/>
    <w:rsid w:val="003C3ABE"/>
    <w:rsid w:val="003C79AE"/>
    <w:rsid w:val="003D5321"/>
    <w:rsid w:val="003D7975"/>
    <w:rsid w:val="003E6D88"/>
    <w:rsid w:val="003E6E80"/>
    <w:rsid w:val="003F5C4B"/>
    <w:rsid w:val="003F6817"/>
    <w:rsid w:val="004058A9"/>
    <w:rsid w:val="00407962"/>
    <w:rsid w:val="00410EE0"/>
    <w:rsid w:val="004132AD"/>
    <w:rsid w:val="00413394"/>
    <w:rsid w:val="00423284"/>
    <w:rsid w:val="004241DC"/>
    <w:rsid w:val="004242FF"/>
    <w:rsid w:val="0042780E"/>
    <w:rsid w:val="00435FD4"/>
    <w:rsid w:val="004431E8"/>
    <w:rsid w:val="00453E2C"/>
    <w:rsid w:val="00453F9F"/>
    <w:rsid w:val="00455FF9"/>
    <w:rsid w:val="00460BA6"/>
    <w:rsid w:val="00470795"/>
    <w:rsid w:val="00471FC9"/>
    <w:rsid w:val="004731BB"/>
    <w:rsid w:val="00482BBA"/>
    <w:rsid w:val="0048519F"/>
    <w:rsid w:val="00485D07"/>
    <w:rsid w:val="004936CF"/>
    <w:rsid w:val="0049393B"/>
    <w:rsid w:val="0049608B"/>
    <w:rsid w:val="004B220A"/>
    <w:rsid w:val="004C24BB"/>
    <w:rsid w:val="004E5B94"/>
    <w:rsid w:val="004E71D7"/>
    <w:rsid w:val="00512FDA"/>
    <w:rsid w:val="00513078"/>
    <w:rsid w:val="005138A9"/>
    <w:rsid w:val="00514D08"/>
    <w:rsid w:val="00520056"/>
    <w:rsid w:val="00530AA6"/>
    <w:rsid w:val="0053166E"/>
    <w:rsid w:val="0053320E"/>
    <w:rsid w:val="00541410"/>
    <w:rsid w:val="00544321"/>
    <w:rsid w:val="00550B5D"/>
    <w:rsid w:val="00550C2C"/>
    <w:rsid w:val="005511F8"/>
    <w:rsid w:val="005518FC"/>
    <w:rsid w:val="00556882"/>
    <w:rsid w:val="00556E7D"/>
    <w:rsid w:val="00562E88"/>
    <w:rsid w:val="00573A5F"/>
    <w:rsid w:val="00575E45"/>
    <w:rsid w:val="005925E4"/>
    <w:rsid w:val="005944F8"/>
    <w:rsid w:val="00597A74"/>
    <w:rsid w:val="005A0C62"/>
    <w:rsid w:val="005A2EAB"/>
    <w:rsid w:val="005A7D51"/>
    <w:rsid w:val="005A7FEA"/>
    <w:rsid w:val="005B00C6"/>
    <w:rsid w:val="005B125A"/>
    <w:rsid w:val="005B43EF"/>
    <w:rsid w:val="005B609F"/>
    <w:rsid w:val="005D018E"/>
    <w:rsid w:val="005D7EDD"/>
    <w:rsid w:val="005E07E3"/>
    <w:rsid w:val="005E4F08"/>
    <w:rsid w:val="005F04C4"/>
    <w:rsid w:val="005F08A3"/>
    <w:rsid w:val="005F5954"/>
    <w:rsid w:val="00602361"/>
    <w:rsid w:val="00602F3C"/>
    <w:rsid w:val="00605FAF"/>
    <w:rsid w:val="00607B53"/>
    <w:rsid w:val="00616D5F"/>
    <w:rsid w:val="00622214"/>
    <w:rsid w:val="00634F70"/>
    <w:rsid w:val="00635B4B"/>
    <w:rsid w:val="00640EA4"/>
    <w:rsid w:val="00643B59"/>
    <w:rsid w:val="006444CB"/>
    <w:rsid w:val="0064618B"/>
    <w:rsid w:val="00652D5B"/>
    <w:rsid w:val="00661243"/>
    <w:rsid w:val="006616FB"/>
    <w:rsid w:val="00665917"/>
    <w:rsid w:val="006661E1"/>
    <w:rsid w:val="0066733F"/>
    <w:rsid w:val="00670166"/>
    <w:rsid w:val="00674D33"/>
    <w:rsid w:val="00676828"/>
    <w:rsid w:val="00681C63"/>
    <w:rsid w:val="00683C9D"/>
    <w:rsid w:val="00683E33"/>
    <w:rsid w:val="00685112"/>
    <w:rsid w:val="006851E8"/>
    <w:rsid w:val="00687D5B"/>
    <w:rsid w:val="00690535"/>
    <w:rsid w:val="00693293"/>
    <w:rsid w:val="0069774F"/>
    <w:rsid w:val="006A16E0"/>
    <w:rsid w:val="006A1A80"/>
    <w:rsid w:val="006A1ABA"/>
    <w:rsid w:val="006A35D1"/>
    <w:rsid w:val="006B11D1"/>
    <w:rsid w:val="006B248D"/>
    <w:rsid w:val="006C41A9"/>
    <w:rsid w:val="006C4D1E"/>
    <w:rsid w:val="006D21C2"/>
    <w:rsid w:val="006D3D0D"/>
    <w:rsid w:val="006D785D"/>
    <w:rsid w:val="006E0E09"/>
    <w:rsid w:val="006E38A4"/>
    <w:rsid w:val="006F3327"/>
    <w:rsid w:val="006F3836"/>
    <w:rsid w:val="006F72FF"/>
    <w:rsid w:val="00700E3C"/>
    <w:rsid w:val="00703A90"/>
    <w:rsid w:val="00706FE5"/>
    <w:rsid w:val="0072356A"/>
    <w:rsid w:val="00724775"/>
    <w:rsid w:val="00724995"/>
    <w:rsid w:val="0073046B"/>
    <w:rsid w:val="00731E15"/>
    <w:rsid w:val="007379EE"/>
    <w:rsid w:val="00747421"/>
    <w:rsid w:val="007476A5"/>
    <w:rsid w:val="007477BB"/>
    <w:rsid w:val="00754F51"/>
    <w:rsid w:val="00757B3D"/>
    <w:rsid w:val="0076034B"/>
    <w:rsid w:val="00760DFF"/>
    <w:rsid w:val="00761D5A"/>
    <w:rsid w:val="007664E2"/>
    <w:rsid w:val="007739C2"/>
    <w:rsid w:val="0077528D"/>
    <w:rsid w:val="00775CAD"/>
    <w:rsid w:val="0078109B"/>
    <w:rsid w:val="00781F3F"/>
    <w:rsid w:val="00782992"/>
    <w:rsid w:val="0078348D"/>
    <w:rsid w:val="0078597E"/>
    <w:rsid w:val="00795AB2"/>
    <w:rsid w:val="00796368"/>
    <w:rsid w:val="007A1D74"/>
    <w:rsid w:val="007B2517"/>
    <w:rsid w:val="007C26BD"/>
    <w:rsid w:val="007C2D5B"/>
    <w:rsid w:val="007D4AD0"/>
    <w:rsid w:val="007E04C5"/>
    <w:rsid w:val="007E0873"/>
    <w:rsid w:val="007E41EF"/>
    <w:rsid w:val="007E7889"/>
    <w:rsid w:val="007F18DB"/>
    <w:rsid w:val="007F4325"/>
    <w:rsid w:val="007F576A"/>
    <w:rsid w:val="00800AEE"/>
    <w:rsid w:val="00801956"/>
    <w:rsid w:val="00806155"/>
    <w:rsid w:val="008073BF"/>
    <w:rsid w:val="008111A7"/>
    <w:rsid w:val="00811654"/>
    <w:rsid w:val="0082572C"/>
    <w:rsid w:val="00826152"/>
    <w:rsid w:val="00830BC9"/>
    <w:rsid w:val="00832D06"/>
    <w:rsid w:val="00834ECE"/>
    <w:rsid w:val="00836BEF"/>
    <w:rsid w:val="008376A0"/>
    <w:rsid w:val="00837724"/>
    <w:rsid w:val="00837A3A"/>
    <w:rsid w:val="00837D1C"/>
    <w:rsid w:val="0084228C"/>
    <w:rsid w:val="0085668E"/>
    <w:rsid w:val="0086653F"/>
    <w:rsid w:val="00866CD5"/>
    <w:rsid w:val="008674D5"/>
    <w:rsid w:val="00870B5A"/>
    <w:rsid w:val="00874AE8"/>
    <w:rsid w:val="00875354"/>
    <w:rsid w:val="00875990"/>
    <w:rsid w:val="0088000F"/>
    <w:rsid w:val="0088599C"/>
    <w:rsid w:val="0088766D"/>
    <w:rsid w:val="008878E9"/>
    <w:rsid w:val="00892D37"/>
    <w:rsid w:val="00895804"/>
    <w:rsid w:val="008972EA"/>
    <w:rsid w:val="008A2F21"/>
    <w:rsid w:val="008A467B"/>
    <w:rsid w:val="008B3D8A"/>
    <w:rsid w:val="008B54F0"/>
    <w:rsid w:val="008B7F65"/>
    <w:rsid w:val="008D0449"/>
    <w:rsid w:val="008D6571"/>
    <w:rsid w:val="008E09C2"/>
    <w:rsid w:val="008E630F"/>
    <w:rsid w:val="008E7184"/>
    <w:rsid w:val="008F401D"/>
    <w:rsid w:val="00910D4B"/>
    <w:rsid w:val="00911C90"/>
    <w:rsid w:val="0092027E"/>
    <w:rsid w:val="00932305"/>
    <w:rsid w:val="00942AFB"/>
    <w:rsid w:val="00944B7B"/>
    <w:rsid w:val="00944D13"/>
    <w:rsid w:val="0094677A"/>
    <w:rsid w:val="00946801"/>
    <w:rsid w:val="009526BC"/>
    <w:rsid w:val="00956135"/>
    <w:rsid w:val="00957626"/>
    <w:rsid w:val="0096222E"/>
    <w:rsid w:val="00962C2C"/>
    <w:rsid w:val="0097172F"/>
    <w:rsid w:val="00974157"/>
    <w:rsid w:val="00976AE6"/>
    <w:rsid w:val="00980D61"/>
    <w:rsid w:val="00982B3B"/>
    <w:rsid w:val="009846B4"/>
    <w:rsid w:val="00987235"/>
    <w:rsid w:val="0099730F"/>
    <w:rsid w:val="009976DB"/>
    <w:rsid w:val="009A172D"/>
    <w:rsid w:val="009A39C4"/>
    <w:rsid w:val="009A78FA"/>
    <w:rsid w:val="009B2A70"/>
    <w:rsid w:val="009B5823"/>
    <w:rsid w:val="009B737A"/>
    <w:rsid w:val="009C6C77"/>
    <w:rsid w:val="009D325B"/>
    <w:rsid w:val="009D66A0"/>
    <w:rsid w:val="009E0E50"/>
    <w:rsid w:val="009E13E1"/>
    <w:rsid w:val="009E1463"/>
    <w:rsid w:val="009E1EB3"/>
    <w:rsid w:val="009E6A92"/>
    <w:rsid w:val="009F10C0"/>
    <w:rsid w:val="009F2AA9"/>
    <w:rsid w:val="009F5449"/>
    <w:rsid w:val="009F74EB"/>
    <w:rsid w:val="00A0109C"/>
    <w:rsid w:val="00A01C10"/>
    <w:rsid w:val="00A01C8B"/>
    <w:rsid w:val="00A02866"/>
    <w:rsid w:val="00A06590"/>
    <w:rsid w:val="00A069BE"/>
    <w:rsid w:val="00A11D81"/>
    <w:rsid w:val="00A16D5D"/>
    <w:rsid w:val="00A21C6F"/>
    <w:rsid w:val="00A2305B"/>
    <w:rsid w:val="00A2333E"/>
    <w:rsid w:val="00A24B9B"/>
    <w:rsid w:val="00A27282"/>
    <w:rsid w:val="00A32556"/>
    <w:rsid w:val="00A338D7"/>
    <w:rsid w:val="00A4292A"/>
    <w:rsid w:val="00A43E6C"/>
    <w:rsid w:val="00A44AB5"/>
    <w:rsid w:val="00A46CE5"/>
    <w:rsid w:val="00A51765"/>
    <w:rsid w:val="00A53374"/>
    <w:rsid w:val="00A61BEA"/>
    <w:rsid w:val="00A61E92"/>
    <w:rsid w:val="00A62628"/>
    <w:rsid w:val="00A640A6"/>
    <w:rsid w:val="00A657D6"/>
    <w:rsid w:val="00A66B58"/>
    <w:rsid w:val="00A7043E"/>
    <w:rsid w:val="00A749BF"/>
    <w:rsid w:val="00A77707"/>
    <w:rsid w:val="00A817B3"/>
    <w:rsid w:val="00A83538"/>
    <w:rsid w:val="00A90A3F"/>
    <w:rsid w:val="00A90C4F"/>
    <w:rsid w:val="00A929C8"/>
    <w:rsid w:val="00A938FC"/>
    <w:rsid w:val="00A945A4"/>
    <w:rsid w:val="00AA71FB"/>
    <w:rsid w:val="00AB2647"/>
    <w:rsid w:val="00AB37B3"/>
    <w:rsid w:val="00AB497B"/>
    <w:rsid w:val="00AB6F55"/>
    <w:rsid w:val="00AC15B4"/>
    <w:rsid w:val="00AC612C"/>
    <w:rsid w:val="00AD00CE"/>
    <w:rsid w:val="00AD40C1"/>
    <w:rsid w:val="00AE1708"/>
    <w:rsid w:val="00AE2168"/>
    <w:rsid w:val="00AE2185"/>
    <w:rsid w:val="00AF183D"/>
    <w:rsid w:val="00B04ACA"/>
    <w:rsid w:val="00B1202D"/>
    <w:rsid w:val="00B12E87"/>
    <w:rsid w:val="00B13168"/>
    <w:rsid w:val="00B15813"/>
    <w:rsid w:val="00B20930"/>
    <w:rsid w:val="00B209D6"/>
    <w:rsid w:val="00B236B3"/>
    <w:rsid w:val="00B31250"/>
    <w:rsid w:val="00B33A10"/>
    <w:rsid w:val="00B453B4"/>
    <w:rsid w:val="00B52B71"/>
    <w:rsid w:val="00B64FA6"/>
    <w:rsid w:val="00B66482"/>
    <w:rsid w:val="00B67AC4"/>
    <w:rsid w:val="00B75D63"/>
    <w:rsid w:val="00B77626"/>
    <w:rsid w:val="00B839C2"/>
    <w:rsid w:val="00B855E4"/>
    <w:rsid w:val="00B86ACE"/>
    <w:rsid w:val="00B8793B"/>
    <w:rsid w:val="00B97D03"/>
    <w:rsid w:val="00BA0E4F"/>
    <w:rsid w:val="00BA28BF"/>
    <w:rsid w:val="00BB002B"/>
    <w:rsid w:val="00BB2F47"/>
    <w:rsid w:val="00BB31B3"/>
    <w:rsid w:val="00BB5FE7"/>
    <w:rsid w:val="00BD0015"/>
    <w:rsid w:val="00BD1991"/>
    <w:rsid w:val="00BD2687"/>
    <w:rsid w:val="00BD3A33"/>
    <w:rsid w:val="00BD4543"/>
    <w:rsid w:val="00BD6BBE"/>
    <w:rsid w:val="00BD6BFB"/>
    <w:rsid w:val="00BE105B"/>
    <w:rsid w:val="00BE1B52"/>
    <w:rsid w:val="00BE4019"/>
    <w:rsid w:val="00BE6DE5"/>
    <w:rsid w:val="00BF2990"/>
    <w:rsid w:val="00BF6F63"/>
    <w:rsid w:val="00C03604"/>
    <w:rsid w:val="00C04281"/>
    <w:rsid w:val="00C127D4"/>
    <w:rsid w:val="00C14E01"/>
    <w:rsid w:val="00C154D6"/>
    <w:rsid w:val="00C15D6B"/>
    <w:rsid w:val="00C217CC"/>
    <w:rsid w:val="00C264FD"/>
    <w:rsid w:val="00C27BCE"/>
    <w:rsid w:val="00C34850"/>
    <w:rsid w:val="00C3557F"/>
    <w:rsid w:val="00C363BC"/>
    <w:rsid w:val="00C5158D"/>
    <w:rsid w:val="00C51DF1"/>
    <w:rsid w:val="00C53DD5"/>
    <w:rsid w:val="00C54795"/>
    <w:rsid w:val="00C553B6"/>
    <w:rsid w:val="00C5622C"/>
    <w:rsid w:val="00C601D5"/>
    <w:rsid w:val="00C6148E"/>
    <w:rsid w:val="00C61AD6"/>
    <w:rsid w:val="00C64660"/>
    <w:rsid w:val="00C64731"/>
    <w:rsid w:val="00C700EA"/>
    <w:rsid w:val="00C8564A"/>
    <w:rsid w:val="00C8762E"/>
    <w:rsid w:val="00C87A33"/>
    <w:rsid w:val="00C87C00"/>
    <w:rsid w:val="00C90EA6"/>
    <w:rsid w:val="00CA230C"/>
    <w:rsid w:val="00CA70EB"/>
    <w:rsid w:val="00CB4E30"/>
    <w:rsid w:val="00CC4306"/>
    <w:rsid w:val="00CC6BF8"/>
    <w:rsid w:val="00CD0FDB"/>
    <w:rsid w:val="00CD6148"/>
    <w:rsid w:val="00CE3071"/>
    <w:rsid w:val="00CE6CD7"/>
    <w:rsid w:val="00CE767B"/>
    <w:rsid w:val="00CF0321"/>
    <w:rsid w:val="00CF4AD3"/>
    <w:rsid w:val="00D01AF5"/>
    <w:rsid w:val="00D03B50"/>
    <w:rsid w:val="00D16C1E"/>
    <w:rsid w:val="00D2194E"/>
    <w:rsid w:val="00D25755"/>
    <w:rsid w:val="00D260E8"/>
    <w:rsid w:val="00D27319"/>
    <w:rsid w:val="00D30287"/>
    <w:rsid w:val="00D316B3"/>
    <w:rsid w:val="00D32E72"/>
    <w:rsid w:val="00D33398"/>
    <w:rsid w:val="00D41ACC"/>
    <w:rsid w:val="00D46508"/>
    <w:rsid w:val="00D50635"/>
    <w:rsid w:val="00D55713"/>
    <w:rsid w:val="00D607A8"/>
    <w:rsid w:val="00D6281D"/>
    <w:rsid w:val="00D62F89"/>
    <w:rsid w:val="00D64C91"/>
    <w:rsid w:val="00D64CB5"/>
    <w:rsid w:val="00D658D2"/>
    <w:rsid w:val="00D6702D"/>
    <w:rsid w:val="00D73BBD"/>
    <w:rsid w:val="00D7477C"/>
    <w:rsid w:val="00D76DCD"/>
    <w:rsid w:val="00D77DBA"/>
    <w:rsid w:val="00D806AA"/>
    <w:rsid w:val="00D81C03"/>
    <w:rsid w:val="00D8307F"/>
    <w:rsid w:val="00D8435B"/>
    <w:rsid w:val="00D84AA9"/>
    <w:rsid w:val="00D87200"/>
    <w:rsid w:val="00DA5E27"/>
    <w:rsid w:val="00DA714A"/>
    <w:rsid w:val="00DA7A16"/>
    <w:rsid w:val="00DB4AFF"/>
    <w:rsid w:val="00DB7218"/>
    <w:rsid w:val="00DB7601"/>
    <w:rsid w:val="00DB7F6C"/>
    <w:rsid w:val="00DC0C9E"/>
    <w:rsid w:val="00DC1D6F"/>
    <w:rsid w:val="00DC2BD6"/>
    <w:rsid w:val="00DC3853"/>
    <w:rsid w:val="00DC5D67"/>
    <w:rsid w:val="00DD15D3"/>
    <w:rsid w:val="00DD2178"/>
    <w:rsid w:val="00DD35EE"/>
    <w:rsid w:val="00DD4F33"/>
    <w:rsid w:val="00DD715E"/>
    <w:rsid w:val="00DE24A8"/>
    <w:rsid w:val="00DE2F9A"/>
    <w:rsid w:val="00DE3528"/>
    <w:rsid w:val="00DE3F0C"/>
    <w:rsid w:val="00DE7027"/>
    <w:rsid w:val="00DE7D95"/>
    <w:rsid w:val="00DF10F1"/>
    <w:rsid w:val="00DF1DB3"/>
    <w:rsid w:val="00E00987"/>
    <w:rsid w:val="00E06FEA"/>
    <w:rsid w:val="00E07110"/>
    <w:rsid w:val="00E144D9"/>
    <w:rsid w:val="00E22C9A"/>
    <w:rsid w:val="00E32361"/>
    <w:rsid w:val="00E36F15"/>
    <w:rsid w:val="00E402A3"/>
    <w:rsid w:val="00E452D2"/>
    <w:rsid w:val="00E63D5A"/>
    <w:rsid w:val="00E64678"/>
    <w:rsid w:val="00E723EC"/>
    <w:rsid w:val="00E72430"/>
    <w:rsid w:val="00E77D37"/>
    <w:rsid w:val="00E83EA5"/>
    <w:rsid w:val="00E8682C"/>
    <w:rsid w:val="00E91C04"/>
    <w:rsid w:val="00E9348B"/>
    <w:rsid w:val="00E948DA"/>
    <w:rsid w:val="00EA215F"/>
    <w:rsid w:val="00EA24A5"/>
    <w:rsid w:val="00EA6600"/>
    <w:rsid w:val="00EB0C02"/>
    <w:rsid w:val="00EB2752"/>
    <w:rsid w:val="00EC0822"/>
    <w:rsid w:val="00EC4D23"/>
    <w:rsid w:val="00ED5689"/>
    <w:rsid w:val="00ED6753"/>
    <w:rsid w:val="00ED74B9"/>
    <w:rsid w:val="00EF4067"/>
    <w:rsid w:val="00EF420F"/>
    <w:rsid w:val="00EF6199"/>
    <w:rsid w:val="00F147FB"/>
    <w:rsid w:val="00F2400A"/>
    <w:rsid w:val="00F32376"/>
    <w:rsid w:val="00F32782"/>
    <w:rsid w:val="00F35A3D"/>
    <w:rsid w:val="00F36A8F"/>
    <w:rsid w:val="00F4015C"/>
    <w:rsid w:val="00F43CCB"/>
    <w:rsid w:val="00F46D52"/>
    <w:rsid w:val="00F513E4"/>
    <w:rsid w:val="00F53C6E"/>
    <w:rsid w:val="00F60BDC"/>
    <w:rsid w:val="00F6134A"/>
    <w:rsid w:val="00F75AC4"/>
    <w:rsid w:val="00F76F8A"/>
    <w:rsid w:val="00F8496C"/>
    <w:rsid w:val="00F86522"/>
    <w:rsid w:val="00F878AD"/>
    <w:rsid w:val="00F90CE1"/>
    <w:rsid w:val="00F9148A"/>
    <w:rsid w:val="00F91886"/>
    <w:rsid w:val="00FA03EE"/>
    <w:rsid w:val="00FA0BB7"/>
    <w:rsid w:val="00FA1C4C"/>
    <w:rsid w:val="00FB0ECD"/>
    <w:rsid w:val="00FB5925"/>
    <w:rsid w:val="00FC7A84"/>
    <w:rsid w:val="00FD1477"/>
    <w:rsid w:val="00FD3FC3"/>
    <w:rsid w:val="00FD456D"/>
    <w:rsid w:val="00FD7568"/>
    <w:rsid w:val="00FE09BB"/>
    <w:rsid w:val="00FE1B52"/>
    <w:rsid w:val="00FE2330"/>
    <w:rsid w:val="00FE59C5"/>
    <w:rsid w:val="00FE6DFC"/>
    <w:rsid w:val="00FF55BE"/>
    <w:rsid w:val="00FF6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027"/>
    <w:pPr>
      <w:keepNext/>
    </w:pPr>
    <w:rPr>
      <w:rFonts w:ascii="Calibri" w:hAnsi="Calibri"/>
      <w:sz w:val="22"/>
      <w:lang w:eastAsia="de-DE"/>
    </w:rPr>
  </w:style>
  <w:style w:type="paragraph" w:styleId="Heading1">
    <w:name w:val="heading 1"/>
    <w:basedOn w:val="Normal"/>
    <w:next w:val="Normal"/>
    <w:link w:val="Heading1Char"/>
    <w:qFormat/>
    <w:rsid w:val="00562E88"/>
    <w:pPr>
      <w:spacing w:before="240" w:after="60"/>
      <w:outlineLvl w:val="0"/>
    </w:pPr>
    <w:rPr>
      <w:rFonts w:ascii="Cambria" w:hAnsi="Cambria"/>
      <w:b/>
      <w:bCs/>
      <w:kern w:val="32"/>
      <w:sz w:val="32"/>
      <w:szCs w:val="32"/>
    </w:rPr>
  </w:style>
  <w:style w:type="paragraph" w:styleId="Heading3">
    <w:name w:val="heading 3"/>
    <w:basedOn w:val="Normal"/>
    <w:next w:val="Normal"/>
    <w:qFormat/>
    <w:rsid w:val="006444CB"/>
    <w:pPr>
      <w:jc w:val="right"/>
      <w:outlineLvl w:val="2"/>
    </w:pPr>
    <w:rPr>
      <w:rFonts w:ascii="Arial" w:hAnsi="Arial"/>
      <w:b/>
      <w:sz w:val="24"/>
    </w:rPr>
  </w:style>
  <w:style w:type="paragraph" w:styleId="Heading4">
    <w:name w:val="heading 4"/>
    <w:basedOn w:val="Normal"/>
    <w:next w:val="Normal"/>
    <w:qFormat/>
    <w:rsid w:val="006444CB"/>
    <w:pPr>
      <w:outlineLvl w:val="3"/>
    </w:pPr>
    <w:rPr>
      <w:rFonts w:ascii="Arial" w:hAnsi="Arial"/>
      <w:b/>
      <w:sz w:val="24"/>
    </w:rPr>
  </w:style>
  <w:style w:type="paragraph" w:styleId="Heading6">
    <w:name w:val="heading 6"/>
    <w:basedOn w:val="Normal"/>
    <w:next w:val="Normal"/>
    <w:qFormat/>
    <w:rsid w:val="00E83EA5"/>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44CB"/>
    <w:pPr>
      <w:tabs>
        <w:tab w:val="center" w:pos="4153"/>
        <w:tab w:val="right" w:pos="8306"/>
      </w:tabs>
    </w:pPr>
  </w:style>
  <w:style w:type="paragraph" w:styleId="Footer">
    <w:name w:val="footer"/>
    <w:basedOn w:val="Normal"/>
    <w:rsid w:val="006444CB"/>
    <w:pPr>
      <w:tabs>
        <w:tab w:val="center" w:pos="4153"/>
        <w:tab w:val="right" w:pos="8306"/>
      </w:tabs>
    </w:pPr>
  </w:style>
  <w:style w:type="paragraph" w:styleId="FootnoteText">
    <w:name w:val="footnote text"/>
    <w:basedOn w:val="Normal"/>
    <w:link w:val="FootnoteTextChar"/>
    <w:semiHidden/>
    <w:rsid w:val="006444CB"/>
  </w:style>
  <w:style w:type="paragraph" w:customStyle="1" w:styleId="Marco">
    <w:name w:val="Marco"/>
    <w:basedOn w:val="BodyText2"/>
    <w:rsid w:val="006444CB"/>
    <w:pPr>
      <w:spacing w:before="240" w:after="360" w:line="240" w:lineRule="auto"/>
      <w:jc w:val="center"/>
    </w:pPr>
    <w:rPr>
      <w:b/>
      <w:sz w:val="24"/>
    </w:rPr>
  </w:style>
  <w:style w:type="paragraph" w:styleId="BodyText2">
    <w:name w:val="Body Text 2"/>
    <w:basedOn w:val="Normal"/>
    <w:rsid w:val="006444CB"/>
    <w:pPr>
      <w:spacing w:after="120" w:line="480" w:lineRule="auto"/>
    </w:pPr>
  </w:style>
  <w:style w:type="paragraph" w:styleId="BodyText">
    <w:name w:val="Body Text"/>
    <w:basedOn w:val="Normal"/>
    <w:rsid w:val="00E83EA5"/>
    <w:pPr>
      <w:spacing w:after="120"/>
    </w:pPr>
    <w:rPr>
      <w:rFonts w:ascii="New York" w:hAnsi="New York"/>
      <w:sz w:val="24"/>
      <w:lang w:val="en-US" w:eastAsia="en-US"/>
    </w:rPr>
  </w:style>
  <w:style w:type="character" w:styleId="Hyperlink">
    <w:name w:val="Hyperlink"/>
    <w:rsid w:val="00024F18"/>
    <w:rPr>
      <w:rFonts w:ascii="Verdana" w:hAnsi="Verdana" w:hint="default"/>
      <w:color w:val="639ACE"/>
      <w:u w:val="single"/>
    </w:rPr>
  </w:style>
  <w:style w:type="character" w:styleId="FollowedHyperlink">
    <w:name w:val="FollowedHyperlink"/>
    <w:rsid w:val="00A21C6F"/>
    <w:rPr>
      <w:color w:val="800080"/>
      <w:u w:val="single"/>
    </w:rPr>
  </w:style>
  <w:style w:type="table" w:styleId="TableGrid">
    <w:name w:val="Table Grid"/>
    <w:basedOn w:val="TableNormal"/>
    <w:rsid w:val="00FD3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562E88"/>
    <w:rPr>
      <w:rFonts w:ascii="Cambria" w:eastAsia="Times New Roman" w:hAnsi="Cambria" w:cs="Times New Roman"/>
      <w:b/>
      <w:bCs/>
      <w:kern w:val="32"/>
      <w:sz w:val="32"/>
      <w:szCs w:val="32"/>
      <w:lang w:val="en-GB"/>
    </w:rPr>
  </w:style>
  <w:style w:type="character" w:customStyle="1" w:styleId="apple-converted-space">
    <w:name w:val="apple-converted-space"/>
    <w:basedOn w:val="DefaultParagraphFont"/>
    <w:rsid w:val="00562E88"/>
  </w:style>
  <w:style w:type="character" w:styleId="FootnoteReference">
    <w:name w:val="footnote reference"/>
    <w:rsid w:val="00683C9D"/>
    <w:rPr>
      <w:vertAlign w:val="superscript"/>
    </w:rPr>
  </w:style>
  <w:style w:type="paragraph" w:customStyle="1" w:styleId="Funote">
    <w:name w:val="Fußnote"/>
    <w:basedOn w:val="FootnoteText"/>
    <w:link w:val="FunoteZchn"/>
    <w:qFormat/>
    <w:rsid w:val="00683C9D"/>
    <w:rPr>
      <w:sz w:val="18"/>
      <w:szCs w:val="18"/>
    </w:rPr>
  </w:style>
  <w:style w:type="character" w:customStyle="1" w:styleId="FootnoteTextChar">
    <w:name w:val="Footnote Text Char"/>
    <w:link w:val="FootnoteText"/>
    <w:semiHidden/>
    <w:rsid w:val="00683C9D"/>
    <w:rPr>
      <w:rFonts w:ascii="Calibri" w:hAnsi="Calibri"/>
      <w:sz w:val="22"/>
      <w:lang w:val="en-GB"/>
    </w:rPr>
  </w:style>
  <w:style w:type="character" w:customStyle="1" w:styleId="FunoteZchn">
    <w:name w:val="Fußnote Zchn"/>
    <w:basedOn w:val="FootnoteTextChar"/>
    <w:link w:val="Funote"/>
    <w:rsid w:val="00683C9D"/>
    <w:rPr>
      <w:rFonts w:ascii="Calibri" w:hAnsi="Calibri"/>
      <w:sz w:val="22"/>
      <w:lang w:val="en-GB"/>
    </w:rPr>
  </w:style>
  <w:style w:type="paragraph" w:styleId="BalloonText">
    <w:name w:val="Balloon Text"/>
    <w:basedOn w:val="Normal"/>
    <w:link w:val="BalloonTextChar"/>
    <w:rsid w:val="00683E33"/>
    <w:rPr>
      <w:rFonts w:ascii="Tahoma" w:hAnsi="Tahoma" w:cs="Tahoma"/>
      <w:sz w:val="16"/>
      <w:szCs w:val="16"/>
    </w:rPr>
  </w:style>
  <w:style w:type="character" w:customStyle="1" w:styleId="BalloonTextChar">
    <w:name w:val="Balloon Text Char"/>
    <w:basedOn w:val="DefaultParagraphFont"/>
    <w:link w:val="BalloonText"/>
    <w:rsid w:val="00683E33"/>
    <w:rPr>
      <w:rFonts w:ascii="Tahoma" w:hAnsi="Tahoma" w:cs="Tahoma"/>
      <w:sz w:val="16"/>
      <w:szCs w:val="16"/>
      <w:lang w:eastAsia="de-DE"/>
    </w:rPr>
  </w:style>
  <w:style w:type="paragraph" w:styleId="ListParagraph">
    <w:name w:val="List Paragraph"/>
    <w:basedOn w:val="Normal"/>
    <w:uiPriority w:val="34"/>
    <w:qFormat/>
    <w:rsid w:val="00962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027"/>
    <w:pPr>
      <w:keepNext/>
    </w:pPr>
    <w:rPr>
      <w:rFonts w:ascii="Calibri" w:hAnsi="Calibri"/>
      <w:sz w:val="22"/>
      <w:lang w:eastAsia="de-DE"/>
    </w:rPr>
  </w:style>
  <w:style w:type="paragraph" w:styleId="Heading1">
    <w:name w:val="heading 1"/>
    <w:basedOn w:val="Normal"/>
    <w:next w:val="Normal"/>
    <w:link w:val="Heading1Char"/>
    <w:qFormat/>
    <w:rsid w:val="00562E88"/>
    <w:pPr>
      <w:spacing w:before="240" w:after="60"/>
      <w:outlineLvl w:val="0"/>
    </w:pPr>
    <w:rPr>
      <w:rFonts w:ascii="Cambria" w:hAnsi="Cambria"/>
      <w:b/>
      <w:bCs/>
      <w:kern w:val="32"/>
      <w:sz w:val="32"/>
      <w:szCs w:val="32"/>
    </w:rPr>
  </w:style>
  <w:style w:type="paragraph" w:styleId="Heading3">
    <w:name w:val="heading 3"/>
    <w:basedOn w:val="Normal"/>
    <w:next w:val="Normal"/>
    <w:qFormat/>
    <w:rsid w:val="006444CB"/>
    <w:pPr>
      <w:jc w:val="right"/>
      <w:outlineLvl w:val="2"/>
    </w:pPr>
    <w:rPr>
      <w:rFonts w:ascii="Arial" w:hAnsi="Arial"/>
      <w:b/>
      <w:sz w:val="24"/>
    </w:rPr>
  </w:style>
  <w:style w:type="paragraph" w:styleId="Heading4">
    <w:name w:val="heading 4"/>
    <w:basedOn w:val="Normal"/>
    <w:next w:val="Normal"/>
    <w:qFormat/>
    <w:rsid w:val="006444CB"/>
    <w:pPr>
      <w:outlineLvl w:val="3"/>
    </w:pPr>
    <w:rPr>
      <w:rFonts w:ascii="Arial" w:hAnsi="Arial"/>
      <w:b/>
      <w:sz w:val="24"/>
    </w:rPr>
  </w:style>
  <w:style w:type="paragraph" w:styleId="Heading6">
    <w:name w:val="heading 6"/>
    <w:basedOn w:val="Normal"/>
    <w:next w:val="Normal"/>
    <w:qFormat/>
    <w:rsid w:val="00E83EA5"/>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44CB"/>
    <w:pPr>
      <w:tabs>
        <w:tab w:val="center" w:pos="4153"/>
        <w:tab w:val="right" w:pos="8306"/>
      </w:tabs>
    </w:pPr>
  </w:style>
  <w:style w:type="paragraph" w:styleId="Footer">
    <w:name w:val="footer"/>
    <w:basedOn w:val="Normal"/>
    <w:rsid w:val="006444CB"/>
    <w:pPr>
      <w:tabs>
        <w:tab w:val="center" w:pos="4153"/>
        <w:tab w:val="right" w:pos="8306"/>
      </w:tabs>
    </w:pPr>
  </w:style>
  <w:style w:type="paragraph" w:styleId="FootnoteText">
    <w:name w:val="footnote text"/>
    <w:basedOn w:val="Normal"/>
    <w:link w:val="FootnoteTextChar"/>
    <w:semiHidden/>
    <w:rsid w:val="006444CB"/>
  </w:style>
  <w:style w:type="paragraph" w:customStyle="1" w:styleId="Marco">
    <w:name w:val="Marco"/>
    <w:basedOn w:val="BodyText2"/>
    <w:rsid w:val="006444CB"/>
    <w:pPr>
      <w:spacing w:before="240" w:after="360" w:line="240" w:lineRule="auto"/>
      <w:jc w:val="center"/>
    </w:pPr>
    <w:rPr>
      <w:b/>
      <w:sz w:val="24"/>
    </w:rPr>
  </w:style>
  <w:style w:type="paragraph" w:styleId="BodyText2">
    <w:name w:val="Body Text 2"/>
    <w:basedOn w:val="Normal"/>
    <w:rsid w:val="006444CB"/>
    <w:pPr>
      <w:spacing w:after="120" w:line="480" w:lineRule="auto"/>
    </w:pPr>
  </w:style>
  <w:style w:type="paragraph" w:styleId="BodyText">
    <w:name w:val="Body Text"/>
    <w:basedOn w:val="Normal"/>
    <w:rsid w:val="00E83EA5"/>
    <w:pPr>
      <w:spacing w:after="120"/>
    </w:pPr>
    <w:rPr>
      <w:rFonts w:ascii="New York" w:hAnsi="New York"/>
      <w:sz w:val="24"/>
      <w:lang w:val="en-US" w:eastAsia="en-US"/>
    </w:rPr>
  </w:style>
  <w:style w:type="character" w:styleId="Hyperlink">
    <w:name w:val="Hyperlink"/>
    <w:rsid w:val="00024F18"/>
    <w:rPr>
      <w:rFonts w:ascii="Verdana" w:hAnsi="Verdana" w:hint="default"/>
      <w:color w:val="639ACE"/>
      <w:u w:val="single"/>
    </w:rPr>
  </w:style>
  <w:style w:type="character" w:styleId="FollowedHyperlink">
    <w:name w:val="FollowedHyperlink"/>
    <w:rsid w:val="00A21C6F"/>
    <w:rPr>
      <w:color w:val="800080"/>
      <w:u w:val="single"/>
    </w:rPr>
  </w:style>
  <w:style w:type="table" w:styleId="TableGrid">
    <w:name w:val="Table Grid"/>
    <w:basedOn w:val="TableNormal"/>
    <w:rsid w:val="00FD3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Überschrift 1 Zchn"/>
    <w:link w:val="Heading1"/>
    <w:rsid w:val="00562E88"/>
    <w:rPr>
      <w:rFonts w:ascii="Cambria" w:eastAsia="Times New Roman" w:hAnsi="Cambria" w:cs="Times New Roman"/>
      <w:b/>
      <w:bCs/>
      <w:kern w:val="32"/>
      <w:sz w:val="32"/>
      <w:szCs w:val="32"/>
      <w:lang w:val="en-GB"/>
    </w:rPr>
  </w:style>
  <w:style w:type="character" w:customStyle="1" w:styleId="apple-converted-space">
    <w:name w:val="apple-converted-space"/>
    <w:basedOn w:val="DefaultParagraphFont"/>
    <w:rsid w:val="00562E88"/>
  </w:style>
  <w:style w:type="character" w:styleId="FootnoteReference">
    <w:name w:val="footnote reference"/>
    <w:rsid w:val="00683C9D"/>
    <w:rPr>
      <w:vertAlign w:val="superscript"/>
    </w:rPr>
  </w:style>
  <w:style w:type="paragraph" w:customStyle="1" w:styleId="Funote">
    <w:name w:val="Fußnote"/>
    <w:basedOn w:val="FootnoteText"/>
    <w:link w:val="FunoteZchn"/>
    <w:qFormat/>
    <w:rsid w:val="00683C9D"/>
    <w:rPr>
      <w:sz w:val="18"/>
      <w:szCs w:val="18"/>
    </w:rPr>
  </w:style>
  <w:style w:type="character" w:customStyle="1" w:styleId="FootnoteTextChar">
    <w:name w:val="Fußnotentext Zchn"/>
    <w:link w:val="FootnoteText"/>
    <w:semiHidden/>
    <w:rsid w:val="00683C9D"/>
    <w:rPr>
      <w:rFonts w:ascii="Calibri" w:hAnsi="Calibri"/>
      <w:sz w:val="22"/>
      <w:lang w:val="en-GB"/>
    </w:rPr>
  </w:style>
  <w:style w:type="character" w:customStyle="1" w:styleId="FunoteZchn">
    <w:name w:val="Fußnote Zchn"/>
    <w:basedOn w:val="FootnoteTextChar"/>
    <w:link w:val="Funote"/>
    <w:rsid w:val="00683C9D"/>
    <w:rPr>
      <w:rFonts w:ascii="Calibri" w:hAnsi="Calibr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7460">
      <w:bodyDiv w:val="1"/>
      <w:marLeft w:val="0"/>
      <w:marRight w:val="0"/>
      <w:marTop w:val="0"/>
      <w:marBottom w:val="0"/>
      <w:divBdr>
        <w:top w:val="none" w:sz="0" w:space="0" w:color="auto"/>
        <w:left w:val="none" w:sz="0" w:space="0" w:color="auto"/>
        <w:bottom w:val="none" w:sz="0" w:space="0" w:color="auto"/>
        <w:right w:val="none" w:sz="0" w:space="0" w:color="auto"/>
      </w:divBdr>
    </w:div>
    <w:div w:id="615260928">
      <w:bodyDiv w:val="1"/>
      <w:marLeft w:val="0"/>
      <w:marRight w:val="0"/>
      <w:marTop w:val="0"/>
      <w:marBottom w:val="0"/>
      <w:divBdr>
        <w:top w:val="none" w:sz="0" w:space="0" w:color="auto"/>
        <w:left w:val="none" w:sz="0" w:space="0" w:color="auto"/>
        <w:bottom w:val="none" w:sz="0" w:space="0" w:color="auto"/>
        <w:right w:val="none" w:sz="0" w:space="0" w:color="auto"/>
      </w:divBdr>
    </w:div>
    <w:div w:id="73416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pt.org/ecc/groups/ecc/wg-fm/client/meeting-documents"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4A4F0-CB2B-4C93-BD14-845F66F9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STG(09)26</vt:lpstr>
      <vt:lpstr>STG(09)26</vt:lpstr>
    </vt:vector>
  </TitlesOfParts>
  <Company>ERO</Company>
  <LinksUpToDate>false</LinksUpToDate>
  <CharactersWithSpaces>2947</CharactersWithSpaces>
  <SharedDoc>false</SharedDoc>
  <HLinks>
    <vt:vector size="12" baseType="variant">
      <vt:variant>
        <vt:i4>6684734</vt:i4>
      </vt:variant>
      <vt:variant>
        <vt:i4>3</vt:i4>
      </vt:variant>
      <vt:variant>
        <vt:i4>0</vt:i4>
      </vt:variant>
      <vt:variant>
        <vt:i4>5</vt:i4>
      </vt:variant>
      <vt:variant>
        <vt:lpwstr>http://tractool.seamcat.org/wiki/Manual/Algorithms/Basics/AzimuthsAndElevationBetweenLinks</vt:lpwstr>
      </vt:variant>
      <vt:variant>
        <vt:lpwstr>CalculationofantennaazimuthsandelevationsILT-VLRpath</vt:lpwstr>
      </vt:variant>
      <vt:variant>
        <vt:i4>7209066</vt:i4>
      </vt:variant>
      <vt:variant>
        <vt:i4>0</vt:i4>
      </vt:variant>
      <vt:variant>
        <vt:i4>0</vt:i4>
      </vt:variant>
      <vt:variant>
        <vt:i4>5</vt:i4>
      </vt:variant>
      <vt:variant>
        <vt:lpwstr>http://tractool.seamcat.org/wiki/Manual/Algorithms/Basics/AzimuthsAndElevationBetweenLinks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STG(09)26</dc:title>
  <dc:subject/>
  <dc:creator>Jean-Philippe Kermoal (ERO)</dc:creator>
  <cp:keywords/>
  <dc:description/>
  <cp:lastModifiedBy>Jean-Philippe Kermoal</cp:lastModifiedBy>
  <cp:revision>13</cp:revision>
  <cp:lastPrinted>2012-10-01T08:50:00Z</cp:lastPrinted>
  <dcterms:created xsi:type="dcterms:W3CDTF">2013-11-30T15:20:00Z</dcterms:created>
  <dcterms:modified xsi:type="dcterms:W3CDTF">2013-12-02T13:21:00Z</dcterms:modified>
</cp:coreProperties>
</file>