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51" w:rsidRPr="001275B5" w:rsidRDefault="00754F51">
      <w:pPr>
        <w:rPr>
          <w:sz w:val="24"/>
          <w:szCs w:val="24"/>
        </w:rPr>
      </w:pPr>
    </w:p>
    <w:p w:rsidR="003E6D88" w:rsidRPr="00D73BBD" w:rsidRDefault="003E6D88" w:rsidP="003E6D88">
      <w:pPr>
        <w:jc w:val="right"/>
        <w:rPr>
          <w:b/>
          <w:sz w:val="24"/>
          <w:szCs w:val="24"/>
        </w:rPr>
      </w:pPr>
      <w:proofErr w:type="gramStart"/>
      <w:r w:rsidRPr="00D73BBD">
        <w:rPr>
          <w:b/>
          <w:sz w:val="24"/>
          <w:szCs w:val="24"/>
        </w:rPr>
        <w:t>STG(</w:t>
      </w:r>
      <w:proofErr w:type="gramEnd"/>
      <w:r w:rsidRPr="00D73BBD">
        <w:rPr>
          <w:b/>
          <w:sz w:val="24"/>
          <w:szCs w:val="24"/>
        </w:rPr>
        <w:t>1</w:t>
      </w:r>
      <w:r w:rsidR="002E17E6" w:rsidRPr="00D73BBD">
        <w:rPr>
          <w:b/>
          <w:sz w:val="24"/>
          <w:szCs w:val="24"/>
        </w:rPr>
        <w:t>3</w:t>
      </w:r>
      <w:r w:rsidRPr="00D73BBD">
        <w:rPr>
          <w:b/>
          <w:sz w:val="24"/>
          <w:szCs w:val="24"/>
        </w:rPr>
        <w:t>)</w:t>
      </w:r>
      <w:r w:rsidR="00605EEC">
        <w:rPr>
          <w:b/>
          <w:sz w:val="24"/>
          <w:szCs w:val="24"/>
        </w:rPr>
        <w:t>4</w:t>
      </w:r>
      <w:r w:rsidR="002C66A7">
        <w:rPr>
          <w:b/>
          <w:sz w:val="24"/>
          <w:szCs w:val="24"/>
        </w:rPr>
        <w:t>6</w:t>
      </w:r>
    </w:p>
    <w:p w:rsidR="003E6D88" w:rsidRPr="00D73BBD" w:rsidRDefault="003E6D88" w:rsidP="003E6D88">
      <w:pPr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900"/>
        <w:gridCol w:w="1983"/>
        <w:gridCol w:w="2551"/>
      </w:tblGrid>
      <w:tr w:rsidR="003E6D88" w:rsidRPr="00D73BBD" w:rsidTr="008D6571">
        <w:trPr>
          <w:cantSplit/>
        </w:trPr>
        <w:tc>
          <w:tcPr>
            <w:tcW w:w="6663" w:type="dxa"/>
            <w:gridSpan w:val="3"/>
          </w:tcPr>
          <w:p w:rsidR="003E6D88" w:rsidRPr="00D73BBD" w:rsidRDefault="003B7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5pt;height:65.95pt" fillcolor="window">
                  <v:imagedata r:id="rId9" o:title=""/>
                </v:shape>
              </w:pict>
            </w:r>
          </w:p>
          <w:p w:rsidR="008D6571" w:rsidRPr="00D73BBD" w:rsidRDefault="008D6571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E6D88" w:rsidRPr="00D73BBD" w:rsidRDefault="003E6D88">
            <w:pPr>
              <w:rPr>
                <w:sz w:val="24"/>
                <w:szCs w:val="24"/>
              </w:rPr>
            </w:pPr>
          </w:p>
        </w:tc>
      </w:tr>
      <w:tr w:rsidR="003E6D88" w:rsidRPr="00D73BBD" w:rsidTr="008D6571">
        <w:tc>
          <w:tcPr>
            <w:tcW w:w="6663" w:type="dxa"/>
            <w:gridSpan w:val="3"/>
          </w:tcPr>
          <w:p w:rsidR="003E6D88" w:rsidRPr="00D73BBD" w:rsidRDefault="00B209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STG #3</w:t>
            </w:r>
            <w:r w:rsidR="00DE7027">
              <w:rPr>
                <w:b/>
                <w:sz w:val="24"/>
                <w:szCs w:val="24"/>
              </w:rPr>
              <w:t>6</w:t>
            </w:r>
          </w:p>
          <w:p w:rsidR="003E6D88" w:rsidRPr="00D73BBD" w:rsidRDefault="003E6D88">
            <w:pPr>
              <w:rPr>
                <w:b/>
                <w:sz w:val="24"/>
                <w:szCs w:val="24"/>
              </w:rPr>
            </w:pPr>
            <w:r w:rsidRPr="00D73BBD">
              <w:rPr>
                <w:b/>
                <w:sz w:val="24"/>
                <w:szCs w:val="24"/>
              </w:rPr>
              <w:t>WGSE - SEAMCAT Technical Group</w:t>
            </w:r>
          </w:p>
          <w:p w:rsidR="003E6D88" w:rsidRPr="00D73BBD" w:rsidRDefault="00DE702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BNetzA</w:t>
            </w:r>
            <w:proofErr w:type="spellEnd"/>
            <w:r w:rsidR="003E6D88" w:rsidRPr="00D73BB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Mainz</w:t>
            </w:r>
          </w:p>
          <w:p w:rsidR="003E6D88" w:rsidRPr="00D73BBD" w:rsidRDefault="00DE7027" w:rsidP="00EF42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– 6 December</w:t>
            </w:r>
            <w:r w:rsidR="00EF420F">
              <w:rPr>
                <w:b/>
                <w:sz w:val="24"/>
                <w:szCs w:val="24"/>
              </w:rPr>
              <w:t xml:space="preserve"> </w:t>
            </w:r>
            <w:r w:rsidR="0042780E" w:rsidRPr="00D73BBD">
              <w:rPr>
                <w:b/>
                <w:sz w:val="24"/>
                <w:szCs w:val="24"/>
              </w:rPr>
              <w:t>201</w:t>
            </w:r>
            <w:r w:rsidR="002E17E6" w:rsidRPr="00D73B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E6D88" w:rsidRPr="00D73BBD" w:rsidRDefault="003E6D88">
            <w:pPr>
              <w:rPr>
                <w:sz w:val="24"/>
                <w:szCs w:val="24"/>
              </w:rPr>
            </w:pPr>
          </w:p>
          <w:p w:rsidR="003E6D88" w:rsidRPr="00D73BBD" w:rsidRDefault="003E6D88">
            <w:pPr>
              <w:rPr>
                <w:sz w:val="24"/>
                <w:szCs w:val="24"/>
              </w:rPr>
            </w:pPr>
          </w:p>
          <w:p w:rsidR="003E6D88" w:rsidRPr="00D73BBD" w:rsidRDefault="003E6D88">
            <w:pPr>
              <w:rPr>
                <w:sz w:val="24"/>
                <w:szCs w:val="24"/>
              </w:rPr>
            </w:pPr>
          </w:p>
        </w:tc>
      </w:tr>
      <w:tr w:rsidR="003E6D88" w:rsidRPr="00D73BBD" w:rsidTr="003C3ABE">
        <w:trPr>
          <w:cantSplit/>
          <w:trHeight w:val="513"/>
        </w:trPr>
        <w:tc>
          <w:tcPr>
            <w:tcW w:w="92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88" w:rsidRPr="00D73BBD" w:rsidRDefault="003E6D88">
            <w:pPr>
              <w:ind w:left="993" w:hanging="993"/>
              <w:rPr>
                <w:b/>
                <w:sz w:val="24"/>
                <w:szCs w:val="24"/>
              </w:rPr>
            </w:pPr>
          </w:p>
          <w:p w:rsidR="003E6D88" w:rsidRPr="00D73BBD" w:rsidRDefault="003E6D88">
            <w:pPr>
              <w:ind w:left="993" w:hanging="993"/>
              <w:rPr>
                <w:b/>
                <w:sz w:val="24"/>
                <w:szCs w:val="24"/>
              </w:rPr>
            </w:pPr>
            <w:r w:rsidRPr="00D73BBD">
              <w:rPr>
                <w:b/>
                <w:sz w:val="24"/>
                <w:szCs w:val="24"/>
              </w:rPr>
              <w:t xml:space="preserve">Date Issued: </w:t>
            </w:r>
            <w:r w:rsidR="00C57E7D">
              <w:rPr>
                <w:sz w:val="24"/>
                <w:szCs w:val="24"/>
              </w:rPr>
              <w:t>4</w:t>
            </w:r>
            <w:r w:rsidR="009E6A92">
              <w:rPr>
                <w:sz w:val="24"/>
                <w:szCs w:val="24"/>
              </w:rPr>
              <w:t xml:space="preserve"> </w:t>
            </w:r>
            <w:r w:rsidR="002C66A7">
              <w:rPr>
                <w:sz w:val="24"/>
                <w:szCs w:val="24"/>
              </w:rPr>
              <w:t>December</w:t>
            </w:r>
            <w:r w:rsidR="00DE7027">
              <w:rPr>
                <w:sz w:val="24"/>
                <w:szCs w:val="24"/>
              </w:rPr>
              <w:t xml:space="preserve"> </w:t>
            </w:r>
            <w:r w:rsidR="002E17E6" w:rsidRPr="00D73BBD">
              <w:rPr>
                <w:sz w:val="24"/>
                <w:szCs w:val="24"/>
              </w:rPr>
              <w:t>2013</w:t>
            </w:r>
          </w:p>
          <w:p w:rsidR="003E6D88" w:rsidRPr="00D73BBD" w:rsidRDefault="003E6D88">
            <w:pPr>
              <w:ind w:left="993" w:hanging="993"/>
              <w:rPr>
                <w:b/>
                <w:sz w:val="24"/>
                <w:szCs w:val="24"/>
              </w:rPr>
            </w:pPr>
          </w:p>
          <w:p w:rsidR="003E6D88" w:rsidRPr="00D73BBD" w:rsidRDefault="003E6D88">
            <w:pPr>
              <w:ind w:left="993" w:hanging="993"/>
              <w:rPr>
                <w:b/>
                <w:sz w:val="24"/>
                <w:szCs w:val="24"/>
              </w:rPr>
            </w:pPr>
            <w:r w:rsidRPr="00D73BBD">
              <w:rPr>
                <w:b/>
                <w:sz w:val="24"/>
                <w:szCs w:val="24"/>
              </w:rPr>
              <w:t xml:space="preserve">Source : </w:t>
            </w:r>
            <w:r w:rsidRPr="00D73BBD">
              <w:rPr>
                <w:b/>
                <w:sz w:val="24"/>
                <w:szCs w:val="24"/>
              </w:rPr>
              <w:tab/>
            </w:r>
            <w:r w:rsidR="00C57E7D">
              <w:rPr>
                <w:sz w:val="24"/>
                <w:szCs w:val="24"/>
              </w:rPr>
              <w:t>ECO</w:t>
            </w:r>
          </w:p>
          <w:p w:rsidR="003E6D88" w:rsidRPr="00D73BBD" w:rsidRDefault="003E6D88">
            <w:pPr>
              <w:ind w:left="993" w:hanging="993"/>
              <w:rPr>
                <w:b/>
                <w:sz w:val="24"/>
                <w:szCs w:val="24"/>
              </w:rPr>
            </w:pPr>
          </w:p>
          <w:p w:rsidR="003E6D88" w:rsidRPr="00D73BBD" w:rsidRDefault="003E6D88" w:rsidP="00A55044">
            <w:pPr>
              <w:ind w:left="993" w:hanging="993"/>
              <w:rPr>
                <w:sz w:val="24"/>
                <w:szCs w:val="24"/>
              </w:rPr>
            </w:pPr>
            <w:r w:rsidRPr="00D73BBD">
              <w:rPr>
                <w:b/>
                <w:sz w:val="24"/>
                <w:szCs w:val="24"/>
              </w:rPr>
              <w:t xml:space="preserve">Subject: </w:t>
            </w:r>
            <w:r w:rsidRPr="00D73BBD">
              <w:rPr>
                <w:sz w:val="24"/>
                <w:szCs w:val="24"/>
              </w:rPr>
              <w:tab/>
            </w:r>
            <w:r w:rsidR="002C66A7" w:rsidRPr="002C66A7">
              <w:rPr>
                <w:sz w:val="24"/>
                <w:szCs w:val="24"/>
              </w:rPr>
              <w:t>consideration on the "import legacy scenario" from SEAMCAT-2 (.txt file)</w:t>
            </w:r>
          </w:p>
        </w:tc>
      </w:tr>
      <w:tr w:rsidR="003E6D88" w:rsidRPr="00D73BBD" w:rsidTr="003C3ABE">
        <w:trPr>
          <w:cantSplit/>
          <w:trHeight w:val="649"/>
        </w:trPr>
        <w:tc>
          <w:tcPr>
            <w:tcW w:w="92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88" w:rsidRPr="00D73BBD" w:rsidRDefault="003E6D88">
            <w:pPr>
              <w:pStyle w:val="BodyText"/>
              <w:spacing w:after="0"/>
              <w:ind w:left="993" w:hanging="993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DE7027">
              <w:rPr>
                <w:rFonts w:ascii="Calibri" w:hAnsi="Calibri"/>
                <w:b/>
                <w:szCs w:val="24"/>
                <w:lang w:val="en-GB" w:eastAsia="de-DE"/>
              </w:rPr>
              <w:t>Document:</w:t>
            </w:r>
            <w:r w:rsidRPr="00D73BBD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DE7027">
              <w:rPr>
                <w:rFonts w:ascii="Calibri" w:hAnsi="Calibri"/>
                <w:szCs w:val="24"/>
                <w:lang w:val="en-GB" w:eastAsia="de-DE"/>
              </w:rPr>
              <w:t xml:space="preserve">for </w:t>
            </w:r>
            <w:r w:rsidR="003C3ABE" w:rsidRPr="00DE7027">
              <w:rPr>
                <w:rFonts w:ascii="Calibri" w:hAnsi="Calibri"/>
                <w:szCs w:val="24"/>
                <w:lang w:val="en-GB" w:eastAsia="de-DE"/>
              </w:rPr>
              <w:t>discussion</w:t>
            </w:r>
          </w:p>
        </w:tc>
      </w:tr>
      <w:tr w:rsidR="003C3ABE" w:rsidRPr="00D73BBD" w:rsidTr="003C3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34" w:type="dxa"/>
          <w:cantSplit/>
          <w:trHeight w:hRule="exact" w:val="654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3ABE" w:rsidRPr="00D73BBD" w:rsidRDefault="003C3ABE" w:rsidP="00F53C6E">
            <w:pPr>
              <w:rPr>
                <w:sz w:val="24"/>
                <w:szCs w:val="24"/>
              </w:rPr>
            </w:pPr>
            <w:r w:rsidRPr="00D73BBD">
              <w:rPr>
                <w:sz w:val="24"/>
                <w:szCs w:val="24"/>
              </w:rPr>
              <w:t>Password protection required?  (Y/N)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C3ABE" w:rsidRPr="00D73BBD" w:rsidRDefault="003C3ABE" w:rsidP="00F53C6E">
            <w:pPr>
              <w:jc w:val="center"/>
              <w:rPr>
                <w:sz w:val="24"/>
                <w:szCs w:val="24"/>
              </w:rPr>
            </w:pPr>
            <w:r w:rsidRPr="00D73BBD">
              <w:rPr>
                <w:sz w:val="24"/>
                <w:szCs w:val="24"/>
              </w:rPr>
              <w:t>N</w:t>
            </w:r>
          </w:p>
        </w:tc>
      </w:tr>
    </w:tbl>
    <w:p w:rsidR="003E6D88" w:rsidRPr="00D73BBD" w:rsidRDefault="003E6D88" w:rsidP="00B839C2">
      <w:pPr>
        <w:ind w:left="142"/>
        <w:rPr>
          <w:sz w:val="24"/>
          <w:szCs w:val="24"/>
        </w:rPr>
      </w:pPr>
    </w:p>
    <w:p w:rsidR="002D4052" w:rsidRPr="00C74C65" w:rsidRDefault="00C57E7D" w:rsidP="002D4052">
      <w:pPr>
        <w:pStyle w:val="Heading4"/>
        <w:rPr>
          <w:rFonts w:ascii="Calibri" w:hAnsi="Calibri" w:cs="Calibri"/>
        </w:rPr>
      </w:pPr>
      <w:r w:rsidRPr="00C74C65">
        <w:rPr>
          <w:rFonts w:ascii="Calibri" w:hAnsi="Calibri" w:cs="Calibri"/>
        </w:rPr>
        <w:t>Proposal</w:t>
      </w:r>
    </w:p>
    <w:p w:rsidR="002C66A7" w:rsidRDefault="002C66A7" w:rsidP="00844633"/>
    <w:p w:rsidR="002C66A7" w:rsidRDefault="002C66A7" w:rsidP="002C66A7">
      <w:r>
        <w:t>Dear STG colleagues,</w:t>
      </w:r>
    </w:p>
    <w:p w:rsidR="002C66A7" w:rsidRDefault="002C66A7" w:rsidP="002C66A7"/>
    <w:p w:rsidR="002C66A7" w:rsidRDefault="002C66A7" w:rsidP="002C66A7">
      <w:r>
        <w:t xml:space="preserve">The developer is currently restructuring SEAMCAT to facilitate the development of the EPP (Event Processing Plugin). As part of this task, the </w:t>
      </w:r>
      <w:proofErr w:type="gramStart"/>
      <w:r>
        <w:t>code are</w:t>
      </w:r>
      <w:proofErr w:type="gramEnd"/>
      <w:r>
        <w:t xml:space="preserve"> being cleaned up from non-used variables. </w:t>
      </w:r>
    </w:p>
    <w:p w:rsidR="002C66A7" w:rsidRDefault="002C66A7" w:rsidP="002C66A7"/>
    <w:p w:rsidR="002C66A7" w:rsidRDefault="002C66A7" w:rsidP="002C66A7">
      <w:r>
        <w:t xml:space="preserve">We went across the question of what to do with importing legacy scenario (.txt from SEAMCAT-2). This feature allows users to open workspace made something like 10 years ago? </w:t>
      </w:r>
    </w:p>
    <w:p w:rsidR="002C66A7" w:rsidRDefault="002C66A7" w:rsidP="002C66A7"/>
    <w:p w:rsidR="002C66A7" w:rsidRDefault="002C66A7" w:rsidP="002C66A7">
      <w:r>
        <w:t>Does it make any sense in maintaining this part of the code?</w:t>
      </w:r>
    </w:p>
    <w:p w:rsidR="002C66A7" w:rsidRDefault="002C66A7" w:rsidP="002C66A7"/>
    <w:p w:rsidR="002C66A7" w:rsidRDefault="002C66A7" w:rsidP="002C66A7">
      <w:r>
        <w:t>I would like to get your views on this so that a decision can be made at the next physical (or earlier) on whether we keep the “import legacy Scenario” or not.</w:t>
      </w:r>
    </w:p>
    <w:p w:rsidR="002C66A7" w:rsidRDefault="002C66A7" w:rsidP="002C66A7"/>
    <w:p w:rsidR="002C66A7" w:rsidRDefault="002C66A7" w:rsidP="002C66A7">
      <w:r>
        <w:t>Best regards</w:t>
      </w:r>
    </w:p>
    <w:p w:rsidR="002C66A7" w:rsidRDefault="002C66A7" w:rsidP="002C66A7">
      <w:r>
        <w:t>Jean-Philippe</w:t>
      </w:r>
    </w:p>
    <w:p w:rsidR="002C66A7" w:rsidRDefault="002C66A7" w:rsidP="002C66A7"/>
    <w:p w:rsidR="002C66A7" w:rsidRDefault="002C66A7" w:rsidP="002C66A7">
      <w:r>
        <w:t>PS1: I have checked the ECODOCDB.dk and I cannot find any workspaces that old.</w:t>
      </w:r>
    </w:p>
    <w:p w:rsidR="002C66A7" w:rsidRDefault="002C66A7" w:rsidP="002C66A7">
      <w:r>
        <w:t>PS2: does anyone have some old SEAMCAT-2 file?</w:t>
      </w:r>
    </w:p>
    <w:p w:rsidR="002C66A7" w:rsidRDefault="002C66A7" w:rsidP="002C66A7"/>
    <w:p w:rsidR="002C66A7" w:rsidRDefault="002C66A7" w:rsidP="002C66A7">
      <w:pPr>
        <w:pStyle w:val="Heading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Responses from STG members</w:t>
      </w:r>
    </w:p>
    <w:p w:rsidR="002C66A7" w:rsidRPr="002C66A7" w:rsidRDefault="002C66A7" w:rsidP="002C66A7">
      <w:pPr>
        <w:rPr>
          <w:b/>
        </w:rPr>
      </w:pPr>
      <w:r>
        <w:rPr>
          <w:b/>
        </w:rPr>
        <w:t>Germany</w:t>
      </w:r>
    </w:p>
    <w:p w:rsidR="002C66A7" w:rsidRDefault="002C66A7" w:rsidP="002C66A7"/>
    <w:p w:rsidR="002C66A7" w:rsidRDefault="002C66A7" w:rsidP="002C66A7">
      <w:r>
        <w:t>Dear Jean-Philippe,</w:t>
      </w:r>
    </w:p>
    <w:p w:rsidR="002C66A7" w:rsidRDefault="002C66A7" w:rsidP="002C66A7"/>
    <w:p w:rsidR="002C66A7" w:rsidRDefault="002C66A7" w:rsidP="002C66A7">
      <w:r>
        <w:t xml:space="preserve">I think that the legacy imports (library and scenario) are something of yesteryear. </w:t>
      </w:r>
    </w:p>
    <w:p w:rsidR="002C66A7" w:rsidRDefault="002C66A7" w:rsidP="002C66A7">
      <w:r>
        <w:t>When we went from SEAMCAT-2 to SEAMCAT-3 it did make sense to enable the users to work with scenarios created "just before"</w:t>
      </w:r>
    </w:p>
    <w:p w:rsidR="002C66A7" w:rsidRDefault="002C66A7" w:rsidP="002C66A7">
      <w:r>
        <w:t>Now, as we are going to SEAMCAT-5, I cannot see any reason why to keep this feature.</w:t>
      </w:r>
    </w:p>
    <w:p w:rsidR="002C66A7" w:rsidRDefault="002C66A7" w:rsidP="002C66A7">
      <w:r>
        <w:t xml:space="preserve">In my opinion there is no need to wait until the next physical meeting in December. </w:t>
      </w:r>
    </w:p>
    <w:p w:rsidR="002C66A7" w:rsidRDefault="002C66A7" w:rsidP="002C66A7">
      <w:r>
        <w:t>If nobody opposes - let say in the next few days -, move it out in order to speed up the development.</w:t>
      </w:r>
    </w:p>
    <w:p w:rsidR="002C66A7" w:rsidRDefault="002C66A7" w:rsidP="002C66A7"/>
    <w:p w:rsidR="002C66A7" w:rsidRDefault="002C66A7" w:rsidP="002C66A7">
      <w:r>
        <w:t>Br,</w:t>
      </w:r>
    </w:p>
    <w:p w:rsidR="002C66A7" w:rsidRDefault="002C66A7" w:rsidP="002C66A7">
      <w:r>
        <w:t>Karl</w:t>
      </w:r>
    </w:p>
    <w:p w:rsidR="002C66A7" w:rsidRDefault="002C66A7" w:rsidP="002C66A7"/>
    <w:p w:rsidR="002C66A7" w:rsidRPr="002C66A7" w:rsidRDefault="002C66A7" w:rsidP="002C66A7">
      <w:pPr>
        <w:rPr>
          <w:b/>
        </w:rPr>
      </w:pPr>
      <w:r w:rsidRPr="002C66A7">
        <w:rPr>
          <w:b/>
        </w:rPr>
        <w:t>France</w:t>
      </w:r>
    </w:p>
    <w:p w:rsidR="002C66A7" w:rsidRDefault="002C66A7" w:rsidP="002C66A7">
      <w:r>
        <w:t>Hi Karl and Jean-Philippe,</w:t>
      </w:r>
    </w:p>
    <w:p w:rsidR="002C66A7" w:rsidRDefault="002C66A7" w:rsidP="002C66A7">
      <w:r>
        <w:t xml:space="preserve"> </w:t>
      </w:r>
    </w:p>
    <w:p w:rsidR="002C66A7" w:rsidRDefault="002C66A7" w:rsidP="002C66A7">
      <w:r>
        <w:t xml:space="preserve">I do share Karl’s view. If people wants to run a “very old” scenario, they can run old version of </w:t>
      </w:r>
      <w:proofErr w:type="spellStart"/>
      <w:r>
        <w:t>seamcat</w:t>
      </w:r>
      <w:proofErr w:type="spellEnd"/>
      <w:r>
        <w:t xml:space="preserve"> they still have to see the parameter settings of the old scenario and they can use this parameter settings to create a new scenario (with the new version of </w:t>
      </w:r>
      <w:proofErr w:type="spellStart"/>
      <w:r>
        <w:t>Seamcat</w:t>
      </w:r>
      <w:proofErr w:type="spellEnd"/>
      <w:r>
        <w:t xml:space="preserve">) and use the “same” parameter setting with the new scenario which fits with the new or current version of </w:t>
      </w:r>
      <w:proofErr w:type="spellStart"/>
      <w:r>
        <w:t>Seamcat</w:t>
      </w:r>
      <w:proofErr w:type="spellEnd"/>
      <w:r>
        <w:t xml:space="preserve">. </w:t>
      </w:r>
    </w:p>
    <w:p w:rsidR="002C66A7" w:rsidRDefault="002C66A7" w:rsidP="002C66A7">
      <w:r>
        <w:t xml:space="preserve">From version “I” to “I+1” it makes sense as Karl said to enable the compatibility between both versions… from “I” to “I+N” when N increases it will considerably slowdown any update of </w:t>
      </w:r>
      <w:proofErr w:type="spellStart"/>
      <w:r>
        <w:t>Seamcat</w:t>
      </w:r>
      <w:proofErr w:type="spellEnd"/>
      <w:r>
        <w:t xml:space="preserve"> software if we focus on compatibility of a long range </w:t>
      </w:r>
      <w:proofErr w:type="spellStart"/>
      <w:r>
        <w:t>Seamcat</w:t>
      </w:r>
      <w:proofErr w:type="spellEnd"/>
      <w:r>
        <w:t xml:space="preserve"> versions… One time, the user needs to do something from its own.</w:t>
      </w:r>
    </w:p>
    <w:p w:rsidR="002C66A7" w:rsidRDefault="002C66A7" w:rsidP="002C66A7">
      <w:r>
        <w:t xml:space="preserve"> </w:t>
      </w:r>
    </w:p>
    <w:p w:rsidR="002C66A7" w:rsidRDefault="002C66A7" w:rsidP="002C66A7">
      <w:r>
        <w:t xml:space="preserve">Just one question: do you intend to keep “as download” the old versions of </w:t>
      </w:r>
      <w:proofErr w:type="spellStart"/>
      <w:r>
        <w:t>seamcat</w:t>
      </w:r>
      <w:proofErr w:type="spellEnd"/>
      <w:r>
        <w:t xml:space="preserve"> in the ECO Website? </w:t>
      </w:r>
      <w:proofErr w:type="gramStart"/>
      <w:r>
        <w:t>(to help people to migrate their “very old” scenarios” to new format)?</w:t>
      </w:r>
      <w:proofErr w:type="gramEnd"/>
    </w:p>
    <w:p w:rsidR="002C66A7" w:rsidRDefault="002C66A7" w:rsidP="002C66A7">
      <w:r>
        <w:t xml:space="preserve"> </w:t>
      </w:r>
    </w:p>
    <w:p w:rsidR="002C66A7" w:rsidRPr="002C66A7" w:rsidRDefault="002C66A7" w:rsidP="002C66A7">
      <w:proofErr w:type="gramStart"/>
      <w:r>
        <w:t>Heykel.</w:t>
      </w:r>
      <w:proofErr w:type="gramEnd"/>
    </w:p>
    <w:p w:rsidR="002C66A7" w:rsidRDefault="002C66A7" w:rsidP="002C66A7"/>
    <w:p w:rsidR="002C66A7" w:rsidRPr="002C66A7" w:rsidRDefault="002C66A7" w:rsidP="002C66A7">
      <w:pPr>
        <w:rPr>
          <w:b/>
        </w:rPr>
      </w:pPr>
      <w:r w:rsidRPr="002C66A7">
        <w:rPr>
          <w:b/>
        </w:rPr>
        <w:t>Switzerland</w:t>
      </w:r>
    </w:p>
    <w:p w:rsidR="002C66A7" w:rsidRDefault="002C66A7" w:rsidP="002C66A7"/>
    <w:p w:rsidR="002C66A7" w:rsidRDefault="002C66A7" w:rsidP="002C66A7">
      <w:r>
        <w:t>Dear Jen-Philippe</w:t>
      </w:r>
    </w:p>
    <w:p w:rsidR="002C66A7" w:rsidRDefault="002C66A7" w:rsidP="002C66A7">
      <w:r>
        <w:t>Dear all</w:t>
      </w:r>
    </w:p>
    <w:p w:rsidR="002C66A7" w:rsidRDefault="002C66A7" w:rsidP="002C66A7"/>
    <w:p w:rsidR="002C66A7" w:rsidRDefault="002C66A7" w:rsidP="002C66A7">
      <w:r>
        <w:t xml:space="preserve">In our view there is no need to keep the importing feature for legacy scenario: First it is felt that probably very few legacy scenario of interest float around and second the legacy versions of SEAMCAT are available from the “Archived Products” area at </w:t>
      </w:r>
    </w:p>
    <w:p w:rsidR="002C66A7" w:rsidRDefault="002C66A7" w:rsidP="002C66A7"/>
    <w:p w:rsidR="002C66A7" w:rsidRDefault="002C66A7" w:rsidP="002C66A7">
      <w:r>
        <w:t>http://www.cept.org/eco/eco-tools-and-services/seamcat-spectrum-engineering-advanced-monte-carlo-analysis-tool/product-download/archived-products</w:t>
      </w:r>
    </w:p>
    <w:p w:rsidR="002C66A7" w:rsidRDefault="002C66A7" w:rsidP="002C66A7"/>
    <w:p w:rsidR="002C66A7" w:rsidRDefault="002C66A7" w:rsidP="002C66A7">
      <w:r>
        <w:t>At least in this way legacy scenarios could be opened in a previous SEAMCAT version.</w:t>
      </w:r>
    </w:p>
    <w:p w:rsidR="002C66A7" w:rsidRDefault="002C66A7" w:rsidP="002C66A7"/>
    <w:p w:rsidR="002C66A7" w:rsidRDefault="002C66A7" w:rsidP="002C66A7">
      <w:r>
        <w:t>Best regards</w:t>
      </w:r>
    </w:p>
    <w:p w:rsidR="002C66A7" w:rsidRDefault="002C66A7" w:rsidP="002C66A7">
      <w:r>
        <w:t>Bernhard Solomita</w:t>
      </w:r>
    </w:p>
    <w:p w:rsidR="002C66A7" w:rsidRPr="00C74C65" w:rsidRDefault="002C66A7" w:rsidP="002C66A7">
      <w:pPr>
        <w:pStyle w:val="Heading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Action</w:t>
      </w:r>
    </w:p>
    <w:p w:rsidR="002C66A7" w:rsidRDefault="002C66A7" w:rsidP="002C66A7"/>
    <w:p w:rsidR="002C66A7" w:rsidRDefault="002C66A7" w:rsidP="002C66A7">
      <w:r>
        <w:t xml:space="preserve">The </w:t>
      </w:r>
      <w:r w:rsidRPr="002C66A7">
        <w:t>"import legacy scenario" from SEAMCAT-2 (.txt file)</w:t>
      </w:r>
      <w:r>
        <w:t xml:space="preserve"> will be removed</w:t>
      </w:r>
      <w:r w:rsidR="006F4215">
        <w:t xml:space="preserve"> (</w:t>
      </w:r>
      <w:hyperlink r:id="rId10" w:history="1">
        <w:r w:rsidR="006F4215" w:rsidRPr="006F4215">
          <w:rPr>
            <w:rStyle w:val="Hyperlink"/>
            <w:rFonts w:ascii="Calibri" w:hAnsi="Calibri"/>
          </w:rPr>
          <w:t>Ticket #1111</w:t>
        </w:r>
      </w:hyperlink>
      <w:bookmarkStart w:id="0" w:name="_GoBack"/>
      <w:bookmarkEnd w:id="0"/>
      <w:r w:rsidR="006F4215">
        <w:t>)</w:t>
      </w:r>
    </w:p>
    <w:p w:rsidR="002C66A7" w:rsidRDefault="002C66A7" w:rsidP="002C66A7"/>
    <w:sectPr w:rsidR="002C66A7" w:rsidSect="007E7889">
      <w:pgSz w:w="12240" w:h="15840"/>
      <w:pgMar w:top="1440" w:right="851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70" w:rsidRDefault="003B7670">
      <w:r>
        <w:separator/>
      </w:r>
    </w:p>
  </w:endnote>
  <w:endnote w:type="continuationSeparator" w:id="0">
    <w:p w:rsidR="003B7670" w:rsidRDefault="003B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70" w:rsidRDefault="003B7670">
      <w:r>
        <w:separator/>
      </w:r>
    </w:p>
  </w:footnote>
  <w:footnote w:type="continuationSeparator" w:id="0">
    <w:p w:rsidR="003B7670" w:rsidRDefault="003B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9EE"/>
    <w:multiLevelType w:val="multilevel"/>
    <w:tmpl w:val="19B2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477D9"/>
    <w:multiLevelType w:val="hybridMultilevel"/>
    <w:tmpl w:val="483EF16A"/>
    <w:lvl w:ilvl="0" w:tplc="7A2447D4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A558A"/>
    <w:multiLevelType w:val="hybridMultilevel"/>
    <w:tmpl w:val="8E5CE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7F82"/>
    <w:multiLevelType w:val="hybridMultilevel"/>
    <w:tmpl w:val="1E88B9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206C99"/>
    <w:multiLevelType w:val="hybridMultilevel"/>
    <w:tmpl w:val="4BE4F198"/>
    <w:lvl w:ilvl="0" w:tplc="CCF44E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419ED"/>
    <w:multiLevelType w:val="multilevel"/>
    <w:tmpl w:val="6DE6ABBA"/>
    <w:lvl w:ilvl="0">
      <w:start w:val="1"/>
      <w:numFmt w:val="decimal"/>
      <w:lvlText w:val="%1)"/>
      <w:lvlJc w:val="left"/>
      <w:pPr>
        <w:tabs>
          <w:tab w:val="num" w:pos="2062"/>
        </w:tabs>
        <w:ind w:left="1702" w:firstLine="0"/>
      </w:pPr>
    </w:lvl>
    <w:lvl w:ilvl="1">
      <w:start w:val="1"/>
      <w:numFmt w:val="decimal"/>
      <w:lvlText w:val="%1.%2)"/>
      <w:lvlJc w:val="left"/>
      <w:pPr>
        <w:tabs>
          <w:tab w:val="num" w:pos="2782"/>
        </w:tabs>
        <w:ind w:left="2422" w:hanging="360"/>
      </w:pPr>
    </w:lvl>
    <w:lvl w:ilvl="2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3142"/>
        </w:tabs>
        <w:ind w:left="3142" w:hanging="360"/>
      </w:pPr>
    </w:lvl>
    <w:lvl w:ilvl="4">
      <w:start w:val="1"/>
      <w:numFmt w:val="lowerLetter"/>
      <w:lvlText w:val="(%5)"/>
      <w:lvlJc w:val="left"/>
      <w:pPr>
        <w:tabs>
          <w:tab w:val="num" w:pos="3502"/>
        </w:tabs>
        <w:ind w:left="3502" w:hanging="360"/>
      </w:pPr>
    </w:lvl>
    <w:lvl w:ilvl="5">
      <w:start w:val="1"/>
      <w:numFmt w:val="lowerRoman"/>
      <w:lvlText w:val="(%6)"/>
      <w:lvlJc w:val="left"/>
      <w:pPr>
        <w:tabs>
          <w:tab w:val="num" w:pos="3862"/>
        </w:tabs>
        <w:ind w:left="3862" w:hanging="360"/>
      </w:pPr>
    </w:lvl>
    <w:lvl w:ilvl="6">
      <w:start w:val="1"/>
      <w:numFmt w:val="decimal"/>
      <w:lvlText w:val="%7."/>
      <w:lvlJc w:val="left"/>
      <w:pPr>
        <w:tabs>
          <w:tab w:val="num" w:pos="4222"/>
        </w:tabs>
        <w:ind w:left="4222" w:hanging="360"/>
      </w:pPr>
    </w:lvl>
    <w:lvl w:ilvl="7">
      <w:start w:val="1"/>
      <w:numFmt w:val="lowerLetter"/>
      <w:lvlText w:val="%8."/>
      <w:lvlJc w:val="left"/>
      <w:pPr>
        <w:tabs>
          <w:tab w:val="num" w:pos="4582"/>
        </w:tabs>
        <w:ind w:left="4582" w:hanging="360"/>
      </w:pPr>
    </w:lvl>
    <w:lvl w:ilvl="8">
      <w:start w:val="1"/>
      <w:numFmt w:val="lowerRoman"/>
      <w:lvlText w:val="%9."/>
      <w:lvlJc w:val="left"/>
      <w:pPr>
        <w:tabs>
          <w:tab w:val="num" w:pos="4942"/>
        </w:tabs>
        <w:ind w:left="4942" w:hanging="360"/>
      </w:pPr>
    </w:lvl>
  </w:abstractNum>
  <w:abstractNum w:abstractNumId="6">
    <w:nsid w:val="31472886"/>
    <w:multiLevelType w:val="hybridMultilevel"/>
    <w:tmpl w:val="923C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17A35"/>
    <w:multiLevelType w:val="hybridMultilevel"/>
    <w:tmpl w:val="2DEC1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25DB2"/>
    <w:multiLevelType w:val="hybridMultilevel"/>
    <w:tmpl w:val="625E4478"/>
    <w:lvl w:ilvl="0" w:tplc="DAB86D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05FFC"/>
    <w:multiLevelType w:val="hybridMultilevel"/>
    <w:tmpl w:val="FF54F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365D8"/>
    <w:multiLevelType w:val="hybridMultilevel"/>
    <w:tmpl w:val="CC6251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DED1516"/>
    <w:multiLevelType w:val="hybridMultilevel"/>
    <w:tmpl w:val="221E5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F03B2"/>
    <w:multiLevelType w:val="hybridMultilevel"/>
    <w:tmpl w:val="D966A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96C"/>
    <w:rsid w:val="0000743D"/>
    <w:rsid w:val="00015D2D"/>
    <w:rsid w:val="00017080"/>
    <w:rsid w:val="00024B7A"/>
    <w:rsid w:val="00024F18"/>
    <w:rsid w:val="000346E4"/>
    <w:rsid w:val="000463C3"/>
    <w:rsid w:val="00047C70"/>
    <w:rsid w:val="00056243"/>
    <w:rsid w:val="00060AB1"/>
    <w:rsid w:val="00061237"/>
    <w:rsid w:val="0006195A"/>
    <w:rsid w:val="000668D8"/>
    <w:rsid w:val="00067158"/>
    <w:rsid w:val="000676E7"/>
    <w:rsid w:val="00070C42"/>
    <w:rsid w:val="00071EC4"/>
    <w:rsid w:val="00072093"/>
    <w:rsid w:val="00075218"/>
    <w:rsid w:val="00081F46"/>
    <w:rsid w:val="00082AA4"/>
    <w:rsid w:val="000864DF"/>
    <w:rsid w:val="000870FB"/>
    <w:rsid w:val="00096F13"/>
    <w:rsid w:val="000A01AD"/>
    <w:rsid w:val="000A09FA"/>
    <w:rsid w:val="000A1C85"/>
    <w:rsid w:val="000A783B"/>
    <w:rsid w:val="000A7F78"/>
    <w:rsid w:val="000B266E"/>
    <w:rsid w:val="000B547C"/>
    <w:rsid w:val="000C0614"/>
    <w:rsid w:val="000C3454"/>
    <w:rsid w:val="000C52AE"/>
    <w:rsid w:val="000C538E"/>
    <w:rsid w:val="000C63A7"/>
    <w:rsid w:val="000C67EE"/>
    <w:rsid w:val="000C6C22"/>
    <w:rsid w:val="000E3BEF"/>
    <w:rsid w:val="000F65F6"/>
    <w:rsid w:val="001117D1"/>
    <w:rsid w:val="001123C2"/>
    <w:rsid w:val="001171C7"/>
    <w:rsid w:val="0012492C"/>
    <w:rsid w:val="001275B5"/>
    <w:rsid w:val="00133BBF"/>
    <w:rsid w:val="001377D0"/>
    <w:rsid w:val="001455F7"/>
    <w:rsid w:val="00157728"/>
    <w:rsid w:val="0015799F"/>
    <w:rsid w:val="00160C96"/>
    <w:rsid w:val="001629CC"/>
    <w:rsid w:val="001674EB"/>
    <w:rsid w:val="0017178C"/>
    <w:rsid w:val="001719CF"/>
    <w:rsid w:val="001726DF"/>
    <w:rsid w:val="00181D4C"/>
    <w:rsid w:val="00183297"/>
    <w:rsid w:val="00185AB8"/>
    <w:rsid w:val="00190C25"/>
    <w:rsid w:val="001962A2"/>
    <w:rsid w:val="001A6E66"/>
    <w:rsid w:val="001B0B20"/>
    <w:rsid w:val="001B12AF"/>
    <w:rsid w:val="001B74C1"/>
    <w:rsid w:val="001C2343"/>
    <w:rsid w:val="001C4A8D"/>
    <w:rsid w:val="001E1A71"/>
    <w:rsid w:val="001E718E"/>
    <w:rsid w:val="001F037F"/>
    <w:rsid w:val="001F1028"/>
    <w:rsid w:val="001F1F83"/>
    <w:rsid w:val="002009BE"/>
    <w:rsid w:val="00203A29"/>
    <w:rsid w:val="002052F4"/>
    <w:rsid w:val="00211EC3"/>
    <w:rsid w:val="0021704A"/>
    <w:rsid w:val="0022113C"/>
    <w:rsid w:val="00222794"/>
    <w:rsid w:val="002232D2"/>
    <w:rsid w:val="00231C47"/>
    <w:rsid w:val="00232DB8"/>
    <w:rsid w:val="002330A0"/>
    <w:rsid w:val="002369F6"/>
    <w:rsid w:val="00243972"/>
    <w:rsid w:val="00251BEF"/>
    <w:rsid w:val="00253F66"/>
    <w:rsid w:val="002544AC"/>
    <w:rsid w:val="00256CE8"/>
    <w:rsid w:val="00262473"/>
    <w:rsid w:val="002637AE"/>
    <w:rsid w:val="002664F4"/>
    <w:rsid w:val="00267720"/>
    <w:rsid w:val="00273249"/>
    <w:rsid w:val="00276BB3"/>
    <w:rsid w:val="00281E03"/>
    <w:rsid w:val="002862FD"/>
    <w:rsid w:val="002916CD"/>
    <w:rsid w:val="002A2BD0"/>
    <w:rsid w:val="002A5436"/>
    <w:rsid w:val="002A7670"/>
    <w:rsid w:val="002B2863"/>
    <w:rsid w:val="002B6225"/>
    <w:rsid w:val="002C1884"/>
    <w:rsid w:val="002C2EC3"/>
    <w:rsid w:val="002C66A7"/>
    <w:rsid w:val="002D4052"/>
    <w:rsid w:val="002D68FC"/>
    <w:rsid w:val="002D742B"/>
    <w:rsid w:val="002D7B91"/>
    <w:rsid w:val="002E0529"/>
    <w:rsid w:val="002E0865"/>
    <w:rsid w:val="002E17E6"/>
    <w:rsid w:val="002E211B"/>
    <w:rsid w:val="002E29A2"/>
    <w:rsid w:val="002F3CEF"/>
    <w:rsid w:val="002F4E66"/>
    <w:rsid w:val="0030048F"/>
    <w:rsid w:val="00302F24"/>
    <w:rsid w:val="003063BE"/>
    <w:rsid w:val="00306C51"/>
    <w:rsid w:val="00314562"/>
    <w:rsid w:val="0031612A"/>
    <w:rsid w:val="00321CD7"/>
    <w:rsid w:val="00323D49"/>
    <w:rsid w:val="003346D0"/>
    <w:rsid w:val="00346321"/>
    <w:rsid w:val="003479C1"/>
    <w:rsid w:val="00351843"/>
    <w:rsid w:val="003561E0"/>
    <w:rsid w:val="00360549"/>
    <w:rsid w:val="00360C70"/>
    <w:rsid w:val="0036461E"/>
    <w:rsid w:val="00366730"/>
    <w:rsid w:val="00377940"/>
    <w:rsid w:val="00381E06"/>
    <w:rsid w:val="00386EE1"/>
    <w:rsid w:val="00395A6F"/>
    <w:rsid w:val="00395BAD"/>
    <w:rsid w:val="003A091A"/>
    <w:rsid w:val="003A3AA6"/>
    <w:rsid w:val="003A40F7"/>
    <w:rsid w:val="003A631A"/>
    <w:rsid w:val="003A766A"/>
    <w:rsid w:val="003B1998"/>
    <w:rsid w:val="003B2BC0"/>
    <w:rsid w:val="003B7670"/>
    <w:rsid w:val="003C3ABE"/>
    <w:rsid w:val="003C79AE"/>
    <w:rsid w:val="003D5321"/>
    <w:rsid w:val="003E6D88"/>
    <w:rsid w:val="003E6E80"/>
    <w:rsid w:val="003F5C4B"/>
    <w:rsid w:val="003F6817"/>
    <w:rsid w:val="004058A9"/>
    <w:rsid w:val="00407962"/>
    <w:rsid w:val="00410EE0"/>
    <w:rsid w:val="004132AD"/>
    <w:rsid w:val="00413394"/>
    <w:rsid w:val="00423284"/>
    <w:rsid w:val="004241DC"/>
    <w:rsid w:val="004242FF"/>
    <w:rsid w:val="0042780E"/>
    <w:rsid w:val="00435FD4"/>
    <w:rsid w:val="004431E8"/>
    <w:rsid w:val="00453E2C"/>
    <w:rsid w:val="00453F9F"/>
    <w:rsid w:val="00455FF9"/>
    <w:rsid w:val="00460BA6"/>
    <w:rsid w:val="00470795"/>
    <w:rsid w:val="00471FC9"/>
    <w:rsid w:val="004731BB"/>
    <w:rsid w:val="00482BBA"/>
    <w:rsid w:val="0048519F"/>
    <w:rsid w:val="00485D07"/>
    <w:rsid w:val="004936CF"/>
    <w:rsid w:val="0049393B"/>
    <w:rsid w:val="004B220A"/>
    <w:rsid w:val="004C24BB"/>
    <w:rsid w:val="004E5B94"/>
    <w:rsid w:val="004E71D7"/>
    <w:rsid w:val="00512FDA"/>
    <w:rsid w:val="00513078"/>
    <w:rsid w:val="005138A9"/>
    <w:rsid w:val="00514D08"/>
    <w:rsid w:val="00520056"/>
    <w:rsid w:val="00530AA6"/>
    <w:rsid w:val="0053166E"/>
    <w:rsid w:val="0053320E"/>
    <w:rsid w:val="00541410"/>
    <w:rsid w:val="00544321"/>
    <w:rsid w:val="0054510F"/>
    <w:rsid w:val="00550B5D"/>
    <w:rsid w:val="00550C2C"/>
    <w:rsid w:val="005511F8"/>
    <w:rsid w:val="005518FC"/>
    <w:rsid w:val="00556882"/>
    <w:rsid w:val="00556E7D"/>
    <w:rsid w:val="00562E88"/>
    <w:rsid w:val="00573A5F"/>
    <w:rsid w:val="00575E45"/>
    <w:rsid w:val="00581531"/>
    <w:rsid w:val="005925E4"/>
    <w:rsid w:val="005944F8"/>
    <w:rsid w:val="00597A74"/>
    <w:rsid w:val="005A0C62"/>
    <w:rsid w:val="005A2EAB"/>
    <w:rsid w:val="005A7D51"/>
    <w:rsid w:val="005A7FEA"/>
    <w:rsid w:val="005B00C6"/>
    <w:rsid w:val="005B0DB2"/>
    <w:rsid w:val="005B125A"/>
    <w:rsid w:val="005B43EF"/>
    <w:rsid w:val="005B609F"/>
    <w:rsid w:val="005D018E"/>
    <w:rsid w:val="005D7EDD"/>
    <w:rsid w:val="005E07E3"/>
    <w:rsid w:val="005E4F08"/>
    <w:rsid w:val="005F04C4"/>
    <w:rsid w:val="005F08A3"/>
    <w:rsid w:val="005F5954"/>
    <w:rsid w:val="00602361"/>
    <w:rsid w:val="00602F3C"/>
    <w:rsid w:val="00605EEC"/>
    <w:rsid w:val="00605FAF"/>
    <w:rsid w:val="00606613"/>
    <w:rsid w:val="00616D5F"/>
    <w:rsid w:val="00622214"/>
    <w:rsid w:val="00622EC5"/>
    <w:rsid w:val="00634F70"/>
    <w:rsid w:val="00635B4B"/>
    <w:rsid w:val="00640EA4"/>
    <w:rsid w:val="00643B59"/>
    <w:rsid w:val="006444CB"/>
    <w:rsid w:val="0064618B"/>
    <w:rsid w:val="00652D5B"/>
    <w:rsid w:val="006616FB"/>
    <w:rsid w:val="00665917"/>
    <w:rsid w:val="006661E1"/>
    <w:rsid w:val="0066733F"/>
    <w:rsid w:val="00670166"/>
    <w:rsid w:val="00676828"/>
    <w:rsid w:val="00681C63"/>
    <w:rsid w:val="00683C9D"/>
    <w:rsid w:val="00685112"/>
    <w:rsid w:val="006851E8"/>
    <w:rsid w:val="00687D5B"/>
    <w:rsid w:val="00690535"/>
    <w:rsid w:val="00693293"/>
    <w:rsid w:val="0069774F"/>
    <w:rsid w:val="006A16E0"/>
    <w:rsid w:val="006A1A80"/>
    <w:rsid w:val="006A1ABA"/>
    <w:rsid w:val="006A35D1"/>
    <w:rsid w:val="006B11D1"/>
    <w:rsid w:val="006B248D"/>
    <w:rsid w:val="006C41A9"/>
    <w:rsid w:val="006C4D1E"/>
    <w:rsid w:val="006D21C2"/>
    <w:rsid w:val="006D3D0D"/>
    <w:rsid w:val="006D785D"/>
    <w:rsid w:val="006E0E09"/>
    <w:rsid w:val="006E38A4"/>
    <w:rsid w:val="006F3327"/>
    <w:rsid w:val="006F3836"/>
    <w:rsid w:val="006F4215"/>
    <w:rsid w:val="006F72FF"/>
    <w:rsid w:val="00700E3C"/>
    <w:rsid w:val="00703A90"/>
    <w:rsid w:val="00706FE5"/>
    <w:rsid w:val="0072356A"/>
    <w:rsid w:val="00724775"/>
    <w:rsid w:val="00724995"/>
    <w:rsid w:val="0073046B"/>
    <w:rsid w:val="00731E15"/>
    <w:rsid w:val="007379EE"/>
    <w:rsid w:val="00747421"/>
    <w:rsid w:val="007476A5"/>
    <w:rsid w:val="007477BB"/>
    <w:rsid w:val="00754F51"/>
    <w:rsid w:val="00757B3D"/>
    <w:rsid w:val="0076034B"/>
    <w:rsid w:val="00760DFF"/>
    <w:rsid w:val="00761D5A"/>
    <w:rsid w:val="007664E2"/>
    <w:rsid w:val="007739C2"/>
    <w:rsid w:val="0077528D"/>
    <w:rsid w:val="00775CAD"/>
    <w:rsid w:val="0078109B"/>
    <w:rsid w:val="00781F3F"/>
    <w:rsid w:val="00782992"/>
    <w:rsid w:val="0078348D"/>
    <w:rsid w:val="0078597E"/>
    <w:rsid w:val="00795AB2"/>
    <w:rsid w:val="00796368"/>
    <w:rsid w:val="007A1D74"/>
    <w:rsid w:val="007B2517"/>
    <w:rsid w:val="007C2D5B"/>
    <w:rsid w:val="007C46C5"/>
    <w:rsid w:val="007D4AD0"/>
    <w:rsid w:val="007E04C5"/>
    <w:rsid w:val="007E41EF"/>
    <w:rsid w:val="007E7889"/>
    <w:rsid w:val="007F18DB"/>
    <w:rsid w:val="007F4325"/>
    <w:rsid w:val="00800AEE"/>
    <w:rsid w:val="00801956"/>
    <w:rsid w:val="00806155"/>
    <w:rsid w:val="008073BF"/>
    <w:rsid w:val="008111A7"/>
    <w:rsid w:val="00811654"/>
    <w:rsid w:val="0082572C"/>
    <w:rsid w:val="00826152"/>
    <w:rsid w:val="00830BC9"/>
    <w:rsid w:val="00832D06"/>
    <w:rsid w:val="00834ECE"/>
    <w:rsid w:val="00836BEF"/>
    <w:rsid w:val="008376A0"/>
    <w:rsid w:val="00837724"/>
    <w:rsid w:val="00837A3A"/>
    <w:rsid w:val="00837D1C"/>
    <w:rsid w:val="0084228C"/>
    <w:rsid w:val="00844633"/>
    <w:rsid w:val="0085668E"/>
    <w:rsid w:val="0086653F"/>
    <w:rsid w:val="00866CD5"/>
    <w:rsid w:val="008674D5"/>
    <w:rsid w:val="00870B5A"/>
    <w:rsid w:val="00874AE8"/>
    <w:rsid w:val="00875354"/>
    <w:rsid w:val="00875990"/>
    <w:rsid w:val="0088000F"/>
    <w:rsid w:val="0088599C"/>
    <w:rsid w:val="0088766D"/>
    <w:rsid w:val="008878E9"/>
    <w:rsid w:val="00892D37"/>
    <w:rsid w:val="00895804"/>
    <w:rsid w:val="008972EA"/>
    <w:rsid w:val="008A2F21"/>
    <w:rsid w:val="008A467B"/>
    <w:rsid w:val="008B3D8A"/>
    <w:rsid w:val="008B54F0"/>
    <w:rsid w:val="008B7F65"/>
    <w:rsid w:val="008D0449"/>
    <w:rsid w:val="008D6571"/>
    <w:rsid w:val="008E09C2"/>
    <w:rsid w:val="008E630F"/>
    <w:rsid w:val="008E7184"/>
    <w:rsid w:val="008F401D"/>
    <w:rsid w:val="00910D4B"/>
    <w:rsid w:val="00911C90"/>
    <w:rsid w:val="0092027E"/>
    <w:rsid w:val="00932305"/>
    <w:rsid w:val="00942AFB"/>
    <w:rsid w:val="00944B7B"/>
    <w:rsid w:val="00944D13"/>
    <w:rsid w:val="0094677A"/>
    <w:rsid w:val="00946801"/>
    <w:rsid w:val="009526BC"/>
    <w:rsid w:val="00956135"/>
    <w:rsid w:val="00957626"/>
    <w:rsid w:val="0096222E"/>
    <w:rsid w:val="0097172F"/>
    <w:rsid w:val="00974157"/>
    <w:rsid w:val="00976AE6"/>
    <w:rsid w:val="00980D61"/>
    <w:rsid w:val="00982B3B"/>
    <w:rsid w:val="009846B4"/>
    <w:rsid w:val="00987235"/>
    <w:rsid w:val="0099730F"/>
    <w:rsid w:val="009976DB"/>
    <w:rsid w:val="009A172D"/>
    <w:rsid w:val="009A39C4"/>
    <w:rsid w:val="009A78FA"/>
    <w:rsid w:val="009B2A70"/>
    <w:rsid w:val="009B5823"/>
    <w:rsid w:val="009B737A"/>
    <w:rsid w:val="009C6C77"/>
    <w:rsid w:val="009D66A0"/>
    <w:rsid w:val="009E0E50"/>
    <w:rsid w:val="009E13E1"/>
    <w:rsid w:val="009E1EB3"/>
    <w:rsid w:val="009E6A92"/>
    <w:rsid w:val="009F10C0"/>
    <w:rsid w:val="009F2AA9"/>
    <w:rsid w:val="009F5449"/>
    <w:rsid w:val="009F74EB"/>
    <w:rsid w:val="00A0109C"/>
    <w:rsid w:val="00A01C10"/>
    <w:rsid w:val="00A01C8B"/>
    <w:rsid w:val="00A02866"/>
    <w:rsid w:val="00A06590"/>
    <w:rsid w:val="00A069BE"/>
    <w:rsid w:val="00A11D81"/>
    <w:rsid w:val="00A16D5D"/>
    <w:rsid w:val="00A21C6F"/>
    <w:rsid w:val="00A2305B"/>
    <w:rsid w:val="00A2333E"/>
    <w:rsid w:val="00A24B9B"/>
    <w:rsid w:val="00A27282"/>
    <w:rsid w:val="00A32556"/>
    <w:rsid w:val="00A338D7"/>
    <w:rsid w:val="00A4292A"/>
    <w:rsid w:val="00A44AB5"/>
    <w:rsid w:val="00A46CE5"/>
    <w:rsid w:val="00A51765"/>
    <w:rsid w:val="00A53374"/>
    <w:rsid w:val="00A55044"/>
    <w:rsid w:val="00A61BEA"/>
    <w:rsid w:val="00A61E92"/>
    <w:rsid w:val="00A62628"/>
    <w:rsid w:val="00A640A6"/>
    <w:rsid w:val="00A657D6"/>
    <w:rsid w:val="00A66B58"/>
    <w:rsid w:val="00A7043E"/>
    <w:rsid w:val="00A749BF"/>
    <w:rsid w:val="00A77707"/>
    <w:rsid w:val="00A83538"/>
    <w:rsid w:val="00A90A3F"/>
    <w:rsid w:val="00A90C4F"/>
    <w:rsid w:val="00A929C8"/>
    <w:rsid w:val="00A938FC"/>
    <w:rsid w:val="00A945A4"/>
    <w:rsid w:val="00AA71FB"/>
    <w:rsid w:val="00AB37B3"/>
    <w:rsid w:val="00AB497B"/>
    <w:rsid w:val="00AB6F55"/>
    <w:rsid w:val="00AC15B4"/>
    <w:rsid w:val="00AC612C"/>
    <w:rsid w:val="00AD00CE"/>
    <w:rsid w:val="00AD40C1"/>
    <w:rsid w:val="00AE1708"/>
    <w:rsid w:val="00AE2168"/>
    <w:rsid w:val="00AF183D"/>
    <w:rsid w:val="00B04ACA"/>
    <w:rsid w:val="00B0755A"/>
    <w:rsid w:val="00B1202D"/>
    <w:rsid w:val="00B12E87"/>
    <w:rsid w:val="00B13168"/>
    <w:rsid w:val="00B15813"/>
    <w:rsid w:val="00B20930"/>
    <w:rsid w:val="00B209D6"/>
    <w:rsid w:val="00B236B3"/>
    <w:rsid w:val="00B31250"/>
    <w:rsid w:val="00B33A10"/>
    <w:rsid w:val="00B453B4"/>
    <w:rsid w:val="00B52B71"/>
    <w:rsid w:val="00B64FA6"/>
    <w:rsid w:val="00B66482"/>
    <w:rsid w:val="00B75D63"/>
    <w:rsid w:val="00B77626"/>
    <w:rsid w:val="00B839C2"/>
    <w:rsid w:val="00B855E4"/>
    <w:rsid w:val="00B86ACE"/>
    <w:rsid w:val="00B8793B"/>
    <w:rsid w:val="00B97D03"/>
    <w:rsid w:val="00BA0E4F"/>
    <w:rsid w:val="00BA28BF"/>
    <w:rsid w:val="00BB002B"/>
    <w:rsid w:val="00BB2F47"/>
    <w:rsid w:val="00BB31B3"/>
    <w:rsid w:val="00BB5FE7"/>
    <w:rsid w:val="00BD0015"/>
    <w:rsid w:val="00BD1991"/>
    <w:rsid w:val="00BD2687"/>
    <w:rsid w:val="00BD3A33"/>
    <w:rsid w:val="00BD4543"/>
    <w:rsid w:val="00BD6BBE"/>
    <w:rsid w:val="00BD6BFB"/>
    <w:rsid w:val="00BE105B"/>
    <w:rsid w:val="00BE1B52"/>
    <w:rsid w:val="00BE4019"/>
    <w:rsid w:val="00BE6DE5"/>
    <w:rsid w:val="00BF2990"/>
    <w:rsid w:val="00BF6F63"/>
    <w:rsid w:val="00C03604"/>
    <w:rsid w:val="00C04281"/>
    <w:rsid w:val="00C127D4"/>
    <w:rsid w:val="00C14E01"/>
    <w:rsid w:val="00C154D6"/>
    <w:rsid w:val="00C15D6B"/>
    <w:rsid w:val="00C217CC"/>
    <w:rsid w:val="00C264FD"/>
    <w:rsid w:val="00C27BCE"/>
    <w:rsid w:val="00C34850"/>
    <w:rsid w:val="00C3557F"/>
    <w:rsid w:val="00C363BC"/>
    <w:rsid w:val="00C5158D"/>
    <w:rsid w:val="00C51DF1"/>
    <w:rsid w:val="00C53DD5"/>
    <w:rsid w:val="00C54795"/>
    <w:rsid w:val="00C553B6"/>
    <w:rsid w:val="00C5622C"/>
    <w:rsid w:val="00C57E7D"/>
    <w:rsid w:val="00C601D5"/>
    <w:rsid w:val="00C6148E"/>
    <w:rsid w:val="00C61AD6"/>
    <w:rsid w:val="00C64660"/>
    <w:rsid w:val="00C64731"/>
    <w:rsid w:val="00C700EA"/>
    <w:rsid w:val="00C713F4"/>
    <w:rsid w:val="00C74C65"/>
    <w:rsid w:val="00C830FF"/>
    <w:rsid w:val="00C8564A"/>
    <w:rsid w:val="00C8762E"/>
    <w:rsid w:val="00C87A33"/>
    <w:rsid w:val="00C87C00"/>
    <w:rsid w:val="00C90EA6"/>
    <w:rsid w:val="00CA230C"/>
    <w:rsid w:val="00CA32EC"/>
    <w:rsid w:val="00CA70EB"/>
    <w:rsid w:val="00CB4E30"/>
    <w:rsid w:val="00CC4306"/>
    <w:rsid w:val="00CC6BF8"/>
    <w:rsid w:val="00CD0FDB"/>
    <w:rsid w:val="00CD6148"/>
    <w:rsid w:val="00CE3071"/>
    <w:rsid w:val="00CE6CD7"/>
    <w:rsid w:val="00CE767B"/>
    <w:rsid w:val="00CF0321"/>
    <w:rsid w:val="00CF4AD3"/>
    <w:rsid w:val="00D01AF5"/>
    <w:rsid w:val="00D03B50"/>
    <w:rsid w:val="00D16C1E"/>
    <w:rsid w:val="00D2194E"/>
    <w:rsid w:val="00D25755"/>
    <w:rsid w:val="00D260E8"/>
    <w:rsid w:val="00D27319"/>
    <w:rsid w:val="00D30287"/>
    <w:rsid w:val="00D316B3"/>
    <w:rsid w:val="00D32E72"/>
    <w:rsid w:val="00D33398"/>
    <w:rsid w:val="00D41ACC"/>
    <w:rsid w:val="00D46508"/>
    <w:rsid w:val="00D50635"/>
    <w:rsid w:val="00D55713"/>
    <w:rsid w:val="00D607A8"/>
    <w:rsid w:val="00D6281D"/>
    <w:rsid w:val="00D62F89"/>
    <w:rsid w:val="00D64C91"/>
    <w:rsid w:val="00D64CB5"/>
    <w:rsid w:val="00D658D2"/>
    <w:rsid w:val="00D6702D"/>
    <w:rsid w:val="00D73BBD"/>
    <w:rsid w:val="00D7477C"/>
    <w:rsid w:val="00D76DCD"/>
    <w:rsid w:val="00D77DBA"/>
    <w:rsid w:val="00D806AA"/>
    <w:rsid w:val="00D81C03"/>
    <w:rsid w:val="00D8435B"/>
    <w:rsid w:val="00D84AA9"/>
    <w:rsid w:val="00D87200"/>
    <w:rsid w:val="00DA5E27"/>
    <w:rsid w:val="00DA714A"/>
    <w:rsid w:val="00DA7A16"/>
    <w:rsid w:val="00DB4AFF"/>
    <w:rsid w:val="00DB7218"/>
    <w:rsid w:val="00DB7601"/>
    <w:rsid w:val="00DB7F6C"/>
    <w:rsid w:val="00DC0C9E"/>
    <w:rsid w:val="00DC1D6F"/>
    <w:rsid w:val="00DC2BD6"/>
    <w:rsid w:val="00DC3853"/>
    <w:rsid w:val="00DD15D3"/>
    <w:rsid w:val="00DD2178"/>
    <w:rsid w:val="00DD35EE"/>
    <w:rsid w:val="00DD4F33"/>
    <w:rsid w:val="00DD715E"/>
    <w:rsid w:val="00DE24A8"/>
    <w:rsid w:val="00DE2F9A"/>
    <w:rsid w:val="00DE3528"/>
    <w:rsid w:val="00DE3F0C"/>
    <w:rsid w:val="00DE7027"/>
    <w:rsid w:val="00DE7D95"/>
    <w:rsid w:val="00DF10F1"/>
    <w:rsid w:val="00DF1DB3"/>
    <w:rsid w:val="00E00987"/>
    <w:rsid w:val="00E06FEA"/>
    <w:rsid w:val="00E07110"/>
    <w:rsid w:val="00E144D9"/>
    <w:rsid w:val="00E22C9A"/>
    <w:rsid w:val="00E32361"/>
    <w:rsid w:val="00E36F15"/>
    <w:rsid w:val="00E402A3"/>
    <w:rsid w:val="00E452D2"/>
    <w:rsid w:val="00E63D5A"/>
    <w:rsid w:val="00E64678"/>
    <w:rsid w:val="00E7134C"/>
    <w:rsid w:val="00E723EC"/>
    <w:rsid w:val="00E72430"/>
    <w:rsid w:val="00E7477C"/>
    <w:rsid w:val="00E77D37"/>
    <w:rsid w:val="00E83EA5"/>
    <w:rsid w:val="00E8682C"/>
    <w:rsid w:val="00E91C04"/>
    <w:rsid w:val="00E9348B"/>
    <w:rsid w:val="00EA215F"/>
    <w:rsid w:val="00EA24A5"/>
    <w:rsid w:val="00EA6600"/>
    <w:rsid w:val="00EB0C02"/>
    <w:rsid w:val="00EB2752"/>
    <w:rsid w:val="00EC0822"/>
    <w:rsid w:val="00EC4D23"/>
    <w:rsid w:val="00ED5689"/>
    <w:rsid w:val="00ED6753"/>
    <w:rsid w:val="00ED74B9"/>
    <w:rsid w:val="00EF4067"/>
    <w:rsid w:val="00EF420F"/>
    <w:rsid w:val="00EF6199"/>
    <w:rsid w:val="00F147FB"/>
    <w:rsid w:val="00F2400A"/>
    <w:rsid w:val="00F32376"/>
    <w:rsid w:val="00F32782"/>
    <w:rsid w:val="00F36A8F"/>
    <w:rsid w:val="00F4015C"/>
    <w:rsid w:val="00F43CCB"/>
    <w:rsid w:val="00F46D52"/>
    <w:rsid w:val="00F513E4"/>
    <w:rsid w:val="00F53C6E"/>
    <w:rsid w:val="00F60BDC"/>
    <w:rsid w:val="00F6134A"/>
    <w:rsid w:val="00F75AC4"/>
    <w:rsid w:val="00F8496C"/>
    <w:rsid w:val="00F86522"/>
    <w:rsid w:val="00F878AD"/>
    <w:rsid w:val="00F90CE1"/>
    <w:rsid w:val="00F9148A"/>
    <w:rsid w:val="00F91886"/>
    <w:rsid w:val="00FA03EE"/>
    <w:rsid w:val="00FA0BB7"/>
    <w:rsid w:val="00FA1C4C"/>
    <w:rsid w:val="00FB0ECD"/>
    <w:rsid w:val="00FB5925"/>
    <w:rsid w:val="00FC7A84"/>
    <w:rsid w:val="00FD1477"/>
    <w:rsid w:val="00FD1563"/>
    <w:rsid w:val="00FD3FC3"/>
    <w:rsid w:val="00FD456D"/>
    <w:rsid w:val="00FD7568"/>
    <w:rsid w:val="00FE09BB"/>
    <w:rsid w:val="00FE1B52"/>
    <w:rsid w:val="00FE2330"/>
    <w:rsid w:val="00FE59C5"/>
    <w:rsid w:val="00FE6DFC"/>
    <w:rsid w:val="00FF55BE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027"/>
    <w:pPr>
      <w:keepNext/>
    </w:pPr>
    <w:rPr>
      <w:rFonts w:ascii="Calibri" w:hAnsi="Calibri"/>
      <w:sz w:val="22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562E88"/>
    <w:p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444CB"/>
    <w:pPr>
      <w:jc w:val="right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6444CB"/>
    <w:pPr>
      <w:outlineLvl w:val="3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E83EA5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44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44C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6444CB"/>
  </w:style>
  <w:style w:type="paragraph" w:customStyle="1" w:styleId="Marco">
    <w:name w:val="Marco"/>
    <w:basedOn w:val="BodyText2"/>
    <w:rsid w:val="006444CB"/>
    <w:pPr>
      <w:spacing w:before="240" w:after="360" w:line="240" w:lineRule="auto"/>
      <w:jc w:val="center"/>
    </w:pPr>
    <w:rPr>
      <w:b/>
      <w:sz w:val="24"/>
    </w:rPr>
  </w:style>
  <w:style w:type="paragraph" w:styleId="BodyText2">
    <w:name w:val="Body Text 2"/>
    <w:basedOn w:val="Normal"/>
    <w:rsid w:val="006444CB"/>
    <w:pPr>
      <w:spacing w:after="120" w:line="480" w:lineRule="auto"/>
    </w:pPr>
  </w:style>
  <w:style w:type="paragraph" w:styleId="BodyText">
    <w:name w:val="Body Text"/>
    <w:basedOn w:val="Normal"/>
    <w:rsid w:val="00E83EA5"/>
    <w:pPr>
      <w:spacing w:after="120"/>
    </w:pPr>
    <w:rPr>
      <w:rFonts w:ascii="New York" w:hAnsi="New York"/>
      <w:sz w:val="24"/>
      <w:lang w:val="en-US" w:eastAsia="en-US"/>
    </w:rPr>
  </w:style>
  <w:style w:type="character" w:styleId="Hyperlink">
    <w:name w:val="Hyperlink"/>
    <w:rsid w:val="00024F18"/>
    <w:rPr>
      <w:rFonts w:ascii="Verdana" w:hAnsi="Verdana" w:hint="default"/>
      <w:color w:val="639ACE"/>
      <w:u w:val="single"/>
    </w:rPr>
  </w:style>
  <w:style w:type="character" w:styleId="FollowedHyperlink">
    <w:name w:val="FollowedHyperlink"/>
    <w:rsid w:val="00A21C6F"/>
    <w:rPr>
      <w:color w:val="800080"/>
      <w:u w:val="single"/>
    </w:rPr>
  </w:style>
  <w:style w:type="table" w:styleId="TableGrid">
    <w:name w:val="Table Grid"/>
    <w:basedOn w:val="TableNormal"/>
    <w:rsid w:val="00FD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2E88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apple-converted-space">
    <w:name w:val="apple-converted-space"/>
    <w:basedOn w:val="DefaultParagraphFont"/>
    <w:rsid w:val="00562E88"/>
  </w:style>
  <w:style w:type="character" w:styleId="FootnoteReference">
    <w:name w:val="footnote reference"/>
    <w:rsid w:val="00683C9D"/>
    <w:rPr>
      <w:vertAlign w:val="superscript"/>
    </w:rPr>
  </w:style>
  <w:style w:type="paragraph" w:customStyle="1" w:styleId="Funote">
    <w:name w:val="Fußnote"/>
    <w:basedOn w:val="FootnoteText"/>
    <w:link w:val="FunoteZchn"/>
    <w:qFormat/>
    <w:rsid w:val="00683C9D"/>
    <w:rPr>
      <w:sz w:val="18"/>
      <w:szCs w:val="18"/>
    </w:rPr>
  </w:style>
  <w:style w:type="character" w:customStyle="1" w:styleId="FootnoteTextChar">
    <w:name w:val="Footnote Text Char"/>
    <w:link w:val="FootnoteText"/>
    <w:semiHidden/>
    <w:rsid w:val="00683C9D"/>
    <w:rPr>
      <w:rFonts w:ascii="Calibri" w:hAnsi="Calibri"/>
      <w:sz w:val="22"/>
      <w:lang w:val="en-GB"/>
    </w:rPr>
  </w:style>
  <w:style w:type="character" w:customStyle="1" w:styleId="FunoteZchn">
    <w:name w:val="Fußnote Zchn"/>
    <w:link w:val="Funote"/>
    <w:rsid w:val="00683C9D"/>
    <w:rPr>
      <w:rFonts w:ascii="Calibri" w:hAnsi="Calibri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ractool.seamcat.org/ticket/11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63304-7B61-4A0B-AA1E-76521842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STG(09)26</vt:lpstr>
      <vt:lpstr>STG(09)26</vt:lpstr>
    </vt:vector>
  </TitlesOfParts>
  <Company>ERO</Company>
  <LinksUpToDate>false</LinksUpToDate>
  <CharactersWithSpaces>3259</CharactersWithSpaces>
  <SharedDoc>false</SharedDoc>
  <HLinks>
    <vt:vector size="12" baseType="variant">
      <vt:variant>
        <vt:i4>6684734</vt:i4>
      </vt:variant>
      <vt:variant>
        <vt:i4>3</vt:i4>
      </vt:variant>
      <vt:variant>
        <vt:i4>0</vt:i4>
      </vt:variant>
      <vt:variant>
        <vt:i4>5</vt:i4>
      </vt:variant>
      <vt:variant>
        <vt:lpwstr>http://tractool.seamcat.org/wiki/Manual/Algorithms/Basics/AzimuthsAndElevationBetweenLinks</vt:lpwstr>
      </vt:variant>
      <vt:variant>
        <vt:lpwstr>CalculationofantennaazimuthsandelevationsILT-VLRpath</vt:lpwstr>
      </vt:variant>
      <vt:variant>
        <vt:i4>7209066</vt:i4>
      </vt:variant>
      <vt:variant>
        <vt:i4>0</vt:i4>
      </vt:variant>
      <vt:variant>
        <vt:i4>0</vt:i4>
      </vt:variant>
      <vt:variant>
        <vt:i4>5</vt:i4>
      </vt:variant>
      <vt:variant>
        <vt:lpwstr>http://tractool.seamcat.org/wiki/Manual/Algorithms/Basics/AzimuthsAndElevationBetweenLinks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STG(09)26</dc:title>
  <dc:subject/>
  <dc:creator>Jean-Philippe Kermoal (ERO)</dc:creator>
  <cp:keywords/>
  <dc:description/>
  <cp:lastModifiedBy>Jean-Philippe Kermoal</cp:lastModifiedBy>
  <cp:revision>52</cp:revision>
  <cp:lastPrinted>2012-10-01T08:50:00Z</cp:lastPrinted>
  <dcterms:created xsi:type="dcterms:W3CDTF">2013-10-30T09:10:00Z</dcterms:created>
  <dcterms:modified xsi:type="dcterms:W3CDTF">2013-12-04T09:49:00Z</dcterms:modified>
</cp:coreProperties>
</file>