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51" w:rsidRPr="001275B5" w:rsidRDefault="00754F51">
      <w:pPr>
        <w:rPr>
          <w:sz w:val="24"/>
          <w:szCs w:val="24"/>
        </w:rPr>
      </w:pPr>
    </w:p>
    <w:p w:rsidR="003E6D88" w:rsidRPr="00D73BBD" w:rsidRDefault="003E6D88" w:rsidP="003E6D88">
      <w:pPr>
        <w:jc w:val="right"/>
        <w:rPr>
          <w:b/>
          <w:sz w:val="24"/>
          <w:szCs w:val="24"/>
        </w:rPr>
      </w:pPr>
      <w:r w:rsidRPr="00D73BBD">
        <w:rPr>
          <w:b/>
          <w:sz w:val="24"/>
          <w:szCs w:val="24"/>
        </w:rPr>
        <w:t>STG(1</w:t>
      </w:r>
      <w:r w:rsidR="00CD7C13">
        <w:rPr>
          <w:b/>
          <w:sz w:val="24"/>
          <w:szCs w:val="24"/>
        </w:rPr>
        <w:t>4</w:t>
      </w:r>
      <w:r w:rsidRPr="00D73BBD">
        <w:rPr>
          <w:b/>
          <w:sz w:val="24"/>
          <w:szCs w:val="24"/>
        </w:rPr>
        <w:t>)</w:t>
      </w:r>
      <w:r w:rsidR="00140695">
        <w:rPr>
          <w:b/>
          <w:sz w:val="24"/>
          <w:szCs w:val="24"/>
        </w:rPr>
        <w:t>35</w:t>
      </w:r>
      <w:bookmarkStart w:id="0" w:name="_GoBack"/>
      <w:bookmarkEnd w:id="0"/>
    </w:p>
    <w:p w:rsidR="003E6D88" w:rsidRPr="00D73BBD" w:rsidRDefault="003E6D88" w:rsidP="003E6D88">
      <w:pPr>
        <w:jc w:val="center"/>
        <w:rPr>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900"/>
        <w:gridCol w:w="1983"/>
        <w:gridCol w:w="2551"/>
      </w:tblGrid>
      <w:tr w:rsidR="003E6D88" w:rsidRPr="00D73BBD" w:rsidTr="008D6571">
        <w:trPr>
          <w:cantSplit/>
        </w:trPr>
        <w:tc>
          <w:tcPr>
            <w:tcW w:w="6663" w:type="dxa"/>
            <w:gridSpan w:val="3"/>
          </w:tcPr>
          <w:p w:rsidR="003E6D88" w:rsidRPr="00D73BBD" w:rsidRDefault="007B1B8F">
            <w:pPr>
              <w:rPr>
                <w:b/>
                <w:sz w:val="24"/>
                <w:szCs w:val="24"/>
              </w:rPr>
            </w:pPr>
            <w:r>
              <w:rPr>
                <w:b/>
                <w:noProof/>
                <w:sz w:val="24"/>
                <w:szCs w:val="24"/>
                <w:lang w:eastAsia="en-GB"/>
              </w:rPr>
              <w:drawing>
                <wp:inline distT="0" distB="0" distL="0" distR="0">
                  <wp:extent cx="1630680" cy="8394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30680" cy="839470"/>
                          </a:xfrm>
                          <a:prstGeom prst="rect">
                            <a:avLst/>
                          </a:prstGeom>
                          <a:noFill/>
                          <a:ln w="9525">
                            <a:noFill/>
                            <a:miter lim="800000"/>
                            <a:headEnd/>
                            <a:tailEnd/>
                          </a:ln>
                        </pic:spPr>
                      </pic:pic>
                    </a:graphicData>
                  </a:graphic>
                </wp:inline>
              </w:drawing>
            </w:r>
          </w:p>
          <w:p w:rsidR="008D6571" w:rsidRPr="00D73BBD" w:rsidRDefault="008D6571">
            <w:pPr>
              <w:rPr>
                <w:b/>
                <w:sz w:val="24"/>
                <w:szCs w:val="24"/>
              </w:rPr>
            </w:pPr>
          </w:p>
        </w:tc>
        <w:tc>
          <w:tcPr>
            <w:tcW w:w="2551" w:type="dxa"/>
          </w:tcPr>
          <w:p w:rsidR="003E6D88" w:rsidRPr="00D73BBD" w:rsidRDefault="003E6D88">
            <w:pPr>
              <w:rPr>
                <w:sz w:val="24"/>
                <w:szCs w:val="24"/>
              </w:rPr>
            </w:pPr>
          </w:p>
        </w:tc>
      </w:tr>
      <w:tr w:rsidR="003E6D88" w:rsidRPr="00D73BBD" w:rsidTr="008D6571">
        <w:tc>
          <w:tcPr>
            <w:tcW w:w="6663" w:type="dxa"/>
            <w:gridSpan w:val="3"/>
          </w:tcPr>
          <w:p w:rsidR="003E6D88" w:rsidRPr="00D73BBD" w:rsidRDefault="00B209D6">
            <w:pPr>
              <w:rPr>
                <w:b/>
                <w:sz w:val="24"/>
                <w:szCs w:val="24"/>
              </w:rPr>
            </w:pPr>
            <w:r>
              <w:rPr>
                <w:b/>
                <w:sz w:val="24"/>
                <w:szCs w:val="24"/>
              </w:rPr>
              <w:t>STG #3</w:t>
            </w:r>
            <w:r w:rsidR="00CF29FC">
              <w:rPr>
                <w:b/>
                <w:sz w:val="24"/>
                <w:szCs w:val="24"/>
              </w:rPr>
              <w:t>9</w:t>
            </w:r>
          </w:p>
          <w:p w:rsidR="00E45776" w:rsidRPr="00E45776" w:rsidRDefault="00E45776" w:rsidP="00E45776">
            <w:pPr>
              <w:rPr>
                <w:b/>
                <w:sz w:val="24"/>
                <w:szCs w:val="24"/>
              </w:rPr>
            </w:pPr>
            <w:r w:rsidRPr="00E45776">
              <w:rPr>
                <w:b/>
                <w:sz w:val="24"/>
                <w:szCs w:val="24"/>
              </w:rPr>
              <w:t>WGSE - SEAMCAT Technical Group</w:t>
            </w:r>
          </w:p>
          <w:p w:rsidR="00E45776" w:rsidRPr="00E45776" w:rsidRDefault="00D55DC8" w:rsidP="00E45776">
            <w:pPr>
              <w:rPr>
                <w:b/>
                <w:sz w:val="24"/>
                <w:szCs w:val="24"/>
              </w:rPr>
            </w:pPr>
            <w:r>
              <w:rPr>
                <w:b/>
                <w:sz w:val="24"/>
                <w:szCs w:val="24"/>
              </w:rPr>
              <w:t>Copenhagen</w:t>
            </w:r>
            <w:r w:rsidR="00E45776">
              <w:rPr>
                <w:b/>
                <w:sz w:val="24"/>
                <w:szCs w:val="24"/>
              </w:rPr>
              <w:t xml:space="preserve">, </w:t>
            </w:r>
            <w:r>
              <w:rPr>
                <w:b/>
                <w:sz w:val="24"/>
                <w:szCs w:val="24"/>
              </w:rPr>
              <w:t>ECO</w:t>
            </w:r>
          </w:p>
          <w:p w:rsidR="00E45776" w:rsidRPr="00D73BBD" w:rsidRDefault="007B1B8F" w:rsidP="00E45776">
            <w:pPr>
              <w:rPr>
                <w:b/>
                <w:sz w:val="24"/>
                <w:szCs w:val="24"/>
              </w:rPr>
            </w:pPr>
            <w:r>
              <w:rPr>
                <w:b/>
                <w:sz w:val="24"/>
                <w:szCs w:val="24"/>
              </w:rPr>
              <w:t>10-11 June</w:t>
            </w:r>
            <w:r w:rsidR="00E45776">
              <w:rPr>
                <w:b/>
                <w:sz w:val="24"/>
                <w:szCs w:val="24"/>
              </w:rPr>
              <w:t xml:space="preserve"> 2014</w:t>
            </w:r>
          </w:p>
          <w:p w:rsidR="003E6D88" w:rsidRPr="00D73BBD" w:rsidRDefault="003E6D88" w:rsidP="00EF420F">
            <w:pPr>
              <w:rPr>
                <w:b/>
                <w:sz w:val="24"/>
                <w:szCs w:val="24"/>
              </w:rPr>
            </w:pPr>
          </w:p>
        </w:tc>
        <w:tc>
          <w:tcPr>
            <w:tcW w:w="2551" w:type="dxa"/>
          </w:tcPr>
          <w:p w:rsidR="003E6D88" w:rsidRPr="00D73BBD" w:rsidRDefault="003E6D88">
            <w:pPr>
              <w:rPr>
                <w:sz w:val="24"/>
                <w:szCs w:val="24"/>
              </w:rPr>
            </w:pPr>
          </w:p>
          <w:p w:rsidR="003E6D88" w:rsidRPr="00D73BBD" w:rsidRDefault="003E6D88">
            <w:pPr>
              <w:rPr>
                <w:sz w:val="24"/>
                <w:szCs w:val="24"/>
              </w:rPr>
            </w:pPr>
          </w:p>
          <w:p w:rsidR="003E6D88" w:rsidRPr="00D73BBD" w:rsidRDefault="003E6D88">
            <w:pPr>
              <w:rPr>
                <w:sz w:val="24"/>
                <w:szCs w:val="24"/>
              </w:rPr>
            </w:pPr>
          </w:p>
        </w:tc>
      </w:tr>
      <w:tr w:rsidR="003E6D88" w:rsidRPr="00D73BBD" w:rsidTr="003C3ABE">
        <w:trPr>
          <w:cantSplit/>
          <w:trHeight w:val="513"/>
        </w:trPr>
        <w:tc>
          <w:tcPr>
            <w:tcW w:w="9214" w:type="dxa"/>
            <w:gridSpan w:val="4"/>
            <w:tcMar>
              <w:top w:w="0" w:type="dxa"/>
              <w:left w:w="108" w:type="dxa"/>
              <w:bottom w:w="0" w:type="dxa"/>
              <w:right w:w="108" w:type="dxa"/>
            </w:tcMar>
            <w:vAlign w:val="center"/>
          </w:tcPr>
          <w:p w:rsidR="003E6D88" w:rsidRPr="00D73BBD" w:rsidRDefault="003E6D88">
            <w:pPr>
              <w:ind w:left="993" w:hanging="993"/>
              <w:rPr>
                <w:b/>
                <w:sz w:val="24"/>
                <w:szCs w:val="24"/>
              </w:rPr>
            </w:pPr>
          </w:p>
          <w:p w:rsidR="003E6D88" w:rsidRPr="00D73BBD" w:rsidRDefault="003E6D88">
            <w:pPr>
              <w:ind w:left="993" w:hanging="993"/>
              <w:rPr>
                <w:b/>
                <w:sz w:val="24"/>
                <w:szCs w:val="24"/>
              </w:rPr>
            </w:pPr>
            <w:r w:rsidRPr="00D73BBD">
              <w:rPr>
                <w:b/>
                <w:sz w:val="24"/>
                <w:szCs w:val="24"/>
              </w:rPr>
              <w:t xml:space="preserve">Date Issued: </w:t>
            </w:r>
            <w:r w:rsidR="0014110A">
              <w:rPr>
                <w:b/>
                <w:sz w:val="24"/>
                <w:szCs w:val="24"/>
              </w:rPr>
              <w:t>17 April 2014</w:t>
            </w:r>
          </w:p>
          <w:p w:rsidR="003E6D88" w:rsidRPr="00D73BBD" w:rsidRDefault="003E6D88">
            <w:pPr>
              <w:ind w:left="993" w:hanging="993"/>
              <w:rPr>
                <w:b/>
                <w:sz w:val="24"/>
                <w:szCs w:val="24"/>
              </w:rPr>
            </w:pPr>
          </w:p>
          <w:p w:rsidR="003E6D88" w:rsidRDefault="003E6D88">
            <w:pPr>
              <w:ind w:left="993" w:hanging="993"/>
              <w:rPr>
                <w:b/>
                <w:sz w:val="24"/>
                <w:szCs w:val="24"/>
              </w:rPr>
            </w:pPr>
            <w:r w:rsidRPr="00D73BBD">
              <w:rPr>
                <w:b/>
                <w:sz w:val="24"/>
                <w:szCs w:val="24"/>
              </w:rPr>
              <w:t xml:space="preserve">Source : </w:t>
            </w:r>
            <w:r w:rsidRPr="00D73BBD">
              <w:rPr>
                <w:b/>
                <w:sz w:val="24"/>
                <w:szCs w:val="24"/>
              </w:rPr>
              <w:tab/>
            </w:r>
            <w:r w:rsidR="00CF29FC">
              <w:rPr>
                <w:b/>
                <w:sz w:val="24"/>
                <w:szCs w:val="24"/>
              </w:rPr>
              <w:t>Karl Koch</w:t>
            </w:r>
          </w:p>
          <w:p w:rsidR="00CF29FC" w:rsidRPr="00D73BBD" w:rsidRDefault="00CF29FC">
            <w:pPr>
              <w:ind w:left="993" w:hanging="993"/>
              <w:rPr>
                <w:b/>
                <w:sz w:val="24"/>
                <w:szCs w:val="24"/>
              </w:rPr>
            </w:pPr>
          </w:p>
          <w:p w:rsidR="003E6D88" w:rsidRPr="00D73BBD" w:rsidRDefault="003E6D88" w:rsidP="00CF29FC">
            <w:pPr>
              <w:ind w:left="993" w:hanging="993"/>
              <w:rPr>
                <w:sz w:val="24"/>
                <w:szCs w:val="24"/>
              </w:rPr>
            </w:pPr>
            <w:r w:rsidRPr="00D73BBD">
              <w:rPr>
                <w:b/>
                <w:sz w:val="24"/>
                <w:szCs w:val="24"/>
              </w:rPr>
              <w:t xml:space="preserve">Subject: </w:t>
            </w:r>
            <w:r w:rsidRPr="00D73BBD">
              <w:rPr>
                <w:sz w:val="24"/>
                <w:szCs w:val="24"/>
              </w:rPr>
              <w:tab/>
            </w:r>
            <w:r w:rsidR="00CF29FC">
              <w:rPr>
                <w:sz w:val="24"/>
                <w:szCs w:val="24"/>
              </w:rPr>
              <w:t>blocking in case co-channel is simulated</w:t>
            </w:r>
          </w:p>
        </w:tc>
      </w:tr>
      <w:tr w:rsidR="003E6D88" w:rsidRPr="00D73BBD" w:rsidTr="003C3ABE">
        <w:trPr>
          <w:cantSplit/>
          <w:trHeight w:val="649"/>
        </w:trPr>
        <w:tc>
          <w:tcPr>
            <w:tcW w:w="9214" w:type="dxa"/>
            <w:gridSpan w:val="4"/>
            <w:tcMar>
              <w:top w:w="0" w:type="dxa"/>
              <w:left w:w="108" w:type="dxa"/>
              <w:bottom w:w="0" w:type="dxa"/>
              <w:right w:w="108" w:type="dxa"/>
            </w:tcMar>
            <w:vAlign w:val="center"/>
          </w:tcPr>
          <w:p w:rsidR="003E6D88" w:rsidRPr="00D73BBD" w:rsidRDefault="003E6D88">
            <w:pPr>
              <w:pStyle w:val="BodyText"/>
              <w:spacing w:after="0"/>
              <w:ind w:left="993" w:hanging="993"/>
              <w:rPr>
                <w:rFonts w:ascii="Times New Roman" w:hAnsi="Times New Roman"/>
                <w:b/>
                <w:szCs w:val="24"/>
                <w:lang w:val="en-GB"/>
              </w:rPr>
            </w:pPr>
            <w:r w:rsidRPr="00DE7027">
              <w:rPr>
                <w:rFonts w:ascii="Calibri" w:hAnsi="Calibri"/>
                <w:b/>
                <w:szCs w:val="24"/>
                <w:lang w:val="en-GB" w:eastAsia="de-DE"/>
              </w:rPr>
              <w:t>Document:</w:t>
            </w:r>
            <w:r w:rsidRPr="00D73BBD">
              <w:rPr>
                <w:rFonts w:ascii="Times New Roman" w:hAnsi="Times New Roman"/>
                <w:szCs w:val="24"/>
                <w:lang w:val="en-GB"/>
              </w:rPr>
              <w:t xml:space="preserve"> </w:t>
            </w:r>
            <w:r w:rsidRPr="00625F27">
              <w:rPr>
                <w:rFonts w:ascii="Calibri" w:hAnsi="Calibri"/>
                <w:strike/>
                <w:szCs w:val="24"/>
                <w:lang w:val="en-GB" w:eastAsia="de-DE"/>
              </w:rPr>
              <w:t xml:space="preserve">for </w:t>
            </w:r>
            <w:r w:rsidR="003C3ABE" w:rsidRPr="00625F27">
              <w:rPr>
                <w:rFonts w:ascii="Calibri" w:hAnsi="Calibri"/>
                <w:strike/>
                <w:szCs w:val="24"/>
                <w:lang w:val="en-GB" w:eastAsia="de-DE"/>
              </w:rPr>
              <w:t>discussion</w:t>
            </w:r>
            <w:r w:rsidR="00E45776" w:rsidRPr="00625F27">
              <w:rPr>
                <w:rFonts w:ascii="Calibri" w:hAnsi="Calibri"/>
                <w:strike/>
                <w:szCs w:val="24"/>
                <w:lang w:val="en-GB" w:eastAsia="de-DE"/>
              </w:rPr>
              <w:t>/for information</w:t>
            </w:r>
            <w:r w:rsidR="00E45776">
              <w:rPr>
                <w:rFonts w:ascii="Calibri" w:hAnsi="Calibri"/>
                <w:szCs w:val="24"/>
                <w:lang w:val="en-GB" w:eastAsia="de-DE"/>
              </w:rPr>
              <w:t>/for action</w:t>
            </w:r>
          </w:p>
        </w:tc>
      </w:tr>
      <w:tr w:rsidR="003C3ABE" w:rsidRPr="00D73BBD" w:rsidTr="003C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534" w:type="dxa"/>
          <w:cantSplit/>
          <w:trHeight w:hRule="exact" w:val="654"/>
        </w:trPr>
        <w:tc>
          <w:tcPr>
            <w:tcW w:w="3780" w:type="dxa"/>
            <w:tcBorders>
              <w:top w:val="nil"/>
              <w:left w:val="nil"/>
              <w:bottom w:val="nil"/>
              <w:right w:val="single" w:sz="4" w:space="0" w:color="auto"/>
            </w:tcBorders>
            <w:vAlign w:val="center"/>
          </w:tcPr>
          <w:p w:rsidR="003C3ABE" w:rsidRPr="00D73BBD" w:rsidRDefault="003C3ABE" w:rsidP="00F53C6E">
            <w:pPr>
              <w:rPr>
                <w:sz w:val="24"/>
                <w:szCs w:val="24"/>
              </w:rPr>
            </w:pPr>
            <w:r w:rsidRPr="00D73BBD">
              <w:rPr>
                <w:sz w:val="24"/>
                <w:szCs w:val="24"/>
              </w:rPr>
              <w:t>Password protection required?  (Y/N)</w:t>
            </w:r>
          </w:p>
        </w:tc>
        <w:tc>
          <w:tcPr>
            <w:tcW w:w="900" w:type="dxa"/>
            <w:tcBorders>
              <w:left w:val="single" w:sz="4" w:space="0" w:color="auto"/>
            </w:tcBorders>
            <w:vAlign w:val="center"/>
          </w:tcPr>
          <w:p w:rsidR="003C3ABE" w:rsidRPr="00D73BBD" w:rsidRDefault="003C3ABE" w:rsidP="00F53C6E">
            <w:pPr>
              <w:jc w:val="center"/>
              <w:rPr>
                <w:sz w:val="24"/>
                <w:szCs w:val="24"/>
              </w:rPr>
            </w:pPr>
            <w:r w:rsidRPr="00D73BBD">
              <w:rPr>
                <w:sz w:val="24"/>
                <w:szCs w:val="24"/>
              </w:rPr>
              <w:t>N</w:t>
            </w:r>
          </w:p>
        </w:tc>
      </w:tr>
    </w:tbl>
    <w:p w:rsidR="00E45776" w:rsidRDefault="00E45776" w:rsidP="00B839C2">
      <w:pPr>
        <w:ind w:left="142"/>
        <w:rPr>
          <w:sz w:val="24"/>
          <w:szCs w:val="24"/>
        </w:rPr>
      </w:pPr>
    </w:p>
    <w:tbl>
      <w:tblPr>
        <w:tblW w:w="99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E45776" w:rsidRPr="00477EF3" w:rsidTr="00E45776">
        <w:trPr>
          <w:cantSplit/>
          <w:trHeight w:val="446"/>
        </w:trPr>
        <w:tc>
          <w:tcPr>
            <w:tcW w:w="9924" w:type="dxa"/>
          </w:tcPr>
          <w:p w:rsidR="00E45776" w:rsidRPr="00625F27" w:rsidRDefault="00E45776" w:rsidP="00E45776">
            <w:pPr>
              <w:pStyle w:val="Kopfzeile1"/>
              <w:jc w:val="both"/>
              <w:rPr>
                <w:rFonts w:asciiTheme="minorHAnsi" w:hAnsiTheme="minorHAnsi"/>
                <w:lang w:val="en-GB"/>
              </w:rPr>
            </w:pPr>
            <w:r w:rsidRPr="00625F27">
              <w:rPr>
                <w:rFonts w:asciiTheme="minorHAnsi" w:hAnsiTheme="minorHAnsi"/>
                <w:lang w:val="en-GB"/>
              </w:rPr>
              <w:t xml:space="preserve">Summary: </w:t>
            </w:r>
          </w:p>
          <w:p w:rsidR="00E45776" w:rsidRDefault="00EF62B5" w:rsidP="00CF29FC">
            <w:pPr>
              <w:pStyle w:val="Kopfzeile1"/>
              <w:jc w:val="both"/>
              <w:rPr>
                <w:rFonts w:asciiTheme="minorHAnsi" w:hAnsiTheme="minorHAnsi"/>
                <w:b w:val="0"/>
                <w:lang w:val="en-GB"/>
              </w:rPr>
            </w:pPr>
            <w:r>
              <w:rPr>
                <w:rFonts w:asciiTheme="minorHAnsi" w:hAnsiTheme="minorHAnsi"/>
                <w:b w:val="0"/>
                <w:lang w:val="en-GB"/>
              </w:rPr>
              <w:t>In case co-channel is (e.g. randomly) simulated the current implementation calculates also the iRSS</w:t>
            </w:r>
            <w:r w:rsidRPr="00EF62B5">
              <w:rPr>
                <w:rFonts w:asciiTheme="minorHAnsi" w:hAnsiTheme="minorHAnsi"/>
                <w:b w:val="0"/>
                <w:vertAlign w:val="subscript"/>
                <w:lang w:val="en-GB"/>
              </w:rPr>
              <w:t>block</w:t>
            </w:r>
            <w:r w:rsidR="00605717">
              <w:rPr>
                <w:rFonts w:asciiTheme="minorHAnsi" w:hAnsiTheme="minorHAnsi"/>
                <w:b w:val="0"/>
                <w:vertAlign w:val="subscript"/>
                <w:lang w:val="en-GB"/>
              </w:rPr>
              <w:t>ing</w:t>
            </w:r>
            <w:r>
              <w:rPr>
                <w:rFonts w:asciiTheme="minorHAnsi" w:hAnsiTheme="minorHAnsi"/>
                <w:b w:val="0"/>
                <w:vertAlign w:val="subscript"/>
                <w:lang w:val="en-GB"/>
              </w:rPr>
              <w:t xml:space="preserve"> </w:t>
            </w:r>
            <w:r>
              <w:rPr>
                <w:rFonts w:asciiTheme="minorHAnsi" w:hAnsiTheme="minorHAnsi"/>
                <w:b w:val="0"/>
                <w:lang w:val="en-GB"/>
              </w:rPr>
              <w:t xml:space="preserve">taking the values defined by the blocking mask. </w:t>
            </w:r>
            <w:r w:rsidR="00375A62">
              <w:rPr>
                <w:rFonts w:asciiTheme="minorHAnsi" w:hAnsiTheme="minorHAnsi"/>
                <w:b w:val="0"/>
                <w:lang w:val="en-GB"/>
              </w:rPr>
              <w:t>Depending on the values of the blocking mask this causes wrong results.</w:t>
            </w:r>
          </w:p>
          <w:p w:rsidR="00375A62" w:rsidRPr="00EF62B5" w:rsidRDefault="00375A62" w:rsidP="00CF29FC">
            <w:pPr>
              <w:pStyle w:val="Kopfzeile1"/>
              <w:jc w:val="both"/>
              <w:rPr>
                <w:rFonts w:asciiTheme="minorHAnsi" w:hAnsiTheme="minorHAnsi"/>
                <w:b w:val="0"/>
                <w:lang w:val="en-GB"/>
              </w:rPr>
            </w:pPr>
          </w:p>
        </w:tc>
      </w:tr>
      <w:tr w:rsidR="00E45776" w:rsidRPr="00477EF3" w:rsidTr="00E45776">
        <w:trPr>
          <w:cantSplit/>
          <w:trHeight w:val="443"/>
        </w:trPr>
        <w:tc>
          <w:tcPr>
            <w:tcW w:w="9924" w:type="dxa"/>
          </w:tcPr>
          <w:p w:rsidR="00E45776" w:rsidRPr="00625F27" w:rsidRDefault="00E45776" w:rsidP="00E45776">
            <w:pPr>
              <w:pStyle w:val="Kopfzeile1"/>
              <w:jc w:val="both"/>
              <w:rPr>
                <w:rFonts w:asciiTheme="minorHAnsi" w:hAnsiTheme="minorHAnsi"/>
                <w:lang w:val="en-GB"/>
              </w:rPr>
            </w:pPr>
            <w:r w:rsidRPr="00625F27">
              <w:rPr>
                <w:rFonts w:asciiTheme="minorHAnsi" w:hAnsiTheme="minorHAnsi"/>
                <w:lang w:val="en-GB"/>
              </w:rPr>
              <w:t xml:space="preserve">Proposal: </w:t>
            </w:r>
          </w:p>
          <w:p w:rsidR="00E45776" w:rsidRDefault="00375A62" w:rsidP="00375A62">
            <w:pPr>
              <w:pStyle w:val="Kopfzeile1"/>
              <w:numPr>
                <w:ilvl w:val="0"/>
                <w:numId w:val="12"/>
              </w:numPr>
              <w:jc w:val="both"/>
              <w:rPr>
                <w:rFonts w:asciiTheme="minorHAnsi" w:hAnsiTheme="minorHAnsi"/>
                <w:b w:val="0"/>
                <w:lang w:val="en-GB"/>
              </w:rPr>
            </w:pPr>
            <w:r w:rsidRPr="00375A62">
              <w:rPr>
                <w:rFonts w:asciiTheme="minorHAnsi" w:hAnsiTheme="minorHAnsi"/>
                <w:b w:val="0"/>
                <w:lang w:val="en-GB"/>
              </w:rPr>
              <w:t>STG i</w:t>
            </w:r>
            <w:r>
              <w:rPr>
                <w:rFonts w:asciiTheme="minorHAnsi" w:hAnsiTheme="minorHAnsi"/>
                <w:b w:val="0"/>
                <w:lang w:val="en-GB"/>
              </w:rPr>
              <w:t>s invited to consider the necessary changes of the implemented blocking calculation by excluding the overlapping frequency ranges of the VLR bandwidth and the ILT bandwidth</w:t>
            </w:r>
            <w:r w:rsidR="00987507">
              <w:rPr>
                <w:rStyle w:val="FootnoteReference"/>
                <w:rFonts w:asciiTheme="minorHAnsi" w:hAnsiTheme="minorHAnsi"/>
                <w:b w:val="0"/>
                <w:lang w:val="en-GB"/>
              </w:rPr>
              <w:footnoteReference w:id="1"/>
            </w:r>
            <w:r w:rsidR="00987507">
              <w:rPr>
                <w:rFonts w:asciiTheme="minorHAnsi" w:hAnsiTheme="minorHAnsi"/>
                <w:b w:val="0"/>
                <w:lang w:val="en-GB"/>
              </w:rPr>
              <w:t>.</w:t>
            </w:r>
          </w:p>
          <w:p w:rsidR="00375A62" w:rsidRDefault="00375A62" w:rsidP="00375A62">
            <w:pPr>
              <w:pStyle w:val="Kopfzeile1"/>
              <w:numPr>
                <w:ilvl w:val="0"/>
                <w:numId w:val="12"/>
              </w:numPr>
              <w:jc w:val="both"/>
              <w:rPr>
                <w:rFonts w:asciiTheme="minorHAnsi" w:hAnsiTheme="minorHAnsi"/>
                <w:b w:val="0"/>
                <w:lang w:val="en-GB"/>
              </w:rPr>
            </w:pPr>
            <w:r>
              <w:rPr>
                <w:rFonts w:asciiTheme="minorHAnsi" w:hAnsiTheme="minorHAnsi"/>
                <w:b w:val="0"/>
                <w:lang w:val="en-GB"/>
              </w:rPr>
              <w:t xml:space="preserve">At least the </w:t>
            </w:r>
            <w:hyperlink r:id="rId10" w:history="1">
              <w:r w:rsidRPr="00375A62">
                <w:rPr>
                  <w:rStyle w:val="Hyperlink"/>
                  <w:rFonts w:asciiTheme="minorHAnsi" w:hAnsiTheme="minorHAnsi"/>
                  <w:b w:val="0"/>
                  <w:lang w:val="en-GB"/>
                </w:rPr>
                <w:t>User Manual</w:t>
              </w:r>
            </w:hyperlink>
            <w:r>
              <w:rPr>
                <w:rFonts w:asciiTheme="minorHAnsi" w:hAnsiTheme="minorHAnsi"/>
                <w:b w:val="0"/>
                <w:lang w:val="en-GB"/>
              </w:rPr>
              <w:t xml:space="preserve"> shall </w:t>
            </w:r>
            <w:proofErr w:type="gramStart"/>
            <w:r>
              <w:rPr>
                <w:rFonts w:asciiTheme="minorHAnsi" w:hAnsiTheme="minorHAnsi"/>
                <w:b w:val="0"/>
                <w:lang w:val="en-GB"/>
              </w:rPr>
              <w:t>modified</w:t>
            </w:r>
            <w:proofErr w:type="gramEnd"/>
            <w:r>
              <w:rPr>
                <w:rFonts w:asciiTheme="minorHAnsi" w:hAnsiTheme="minorHAnsi"/>
                <w:b w:val="0"/>
                <w:lang w:val="en-GB"/>
              </w:rPr>
              <w:t xml:space="preserve"> accordingly.</w:t>
            </w:r>
          </w:p>
          <w:p w:rsidR="00375A62" w:rsidRPr="00375A62" w:rsidRDefault="00375A62" w:rsidP="00375A62">
            <w:pPr>
              <w:pStyle w:val="Kopfzeile1"/>
              <w:jc w:val="both"/>
              <w:rPr>
                <w:rFonts w:asciiTheme="minorHAnsi" w:hAnsiTheme="minorHAnsi"/>
                <w:b w:val="0"/>
                <w:lang w:val="en-GB"/>
              </w:rPr>
            </w:pPr>
          </w:p>
        </w:tc>
      </w:tr>
      <w:tr w:rsidR="00E45776" w:rsidRPr="00477EF3" w:rsidTr="00E45776">
        <w:trPr>
          <w:cantSplit/>
          <w:trHeight w:val="431"/>
        </w:trPr>
        <w:tc>
          <w:tcPr>
            <w:tcW w:w="9924" w:type="dxa"/>
          </w:tcPr>
          <w:p w:rsidR="00E45776" w:rsidRPr="00625F27" w:rsidRDefault="00E45776" w:rsidP="00E45776">
            <w:pPr>
              <w:pStyle w:val="Kopfzeile1"/>
              <w:jc w:val="both"/>
              <w:rPr>
                <w:rFonts w:asciiTheme="minorHAnsi" w:hAnsiTheme="minorHAnsi"/>
                <w:szCs w:val="22"/>
                <w:lang w:val="en-GB"/>
              </w:rPr>
            </w:pPr>
            <w:r w:rsidRPr="00625F27">
              <w:rPr>
                <w:rFonts w:asciiTheme="minorHAnsi" w:hAnsiTheme="minorHAnsi"/>
                <w:szCs w:val="22"/>
                <w:lang w:val="en-GB"/>
              </w:rPr>
              <w:t xml:space="preserve">Background: </w:t>
            </w:r>
          </w:p>
          <w:p w:rsidR="00E45776" w:rsidRPr="00625F27" w:rsidRDefault="00375A62" w:rsidP="00CF29FC">
            <w:pPr>
              <w:pStyle w:val="Kopfzeile1"/>
              <w:jc w:val="both"/>
              <w:rPr>
                <w:rFonts w:asciiTheme="minorHAnsi" w:hAnsiTheme="minorHAnsi"/>
                <w:b w:val="0"/>
                <w:szCs w:val="22"/>
                <w:lang w:val="en-GB"/>
              </w:rPr>
            </w:pPr>
            <w:r>
              <w:rPr>
                <w:rFonts w:asciiTheme="minorHAnsi" w:hAnsiTheme="minorHAnsi"/>
                <w:b w:val="0"/>
                <w:szCs w:val="22"/>
                <w:lang w:val="en-GB"/>
              </w:rPr>
              <w:t>See below</w:t>
            </w:r>
          </w:p>
        </w:tc>
      </w:tr>
    </w:tbl>
    <w:p w:rsidR="00E45776" w:rsidRDefault="00E45776" w:rsidP="00534AE6">
      <w:pPr>
        <w:keepNext w:val="0"/>
        <w:ind w:left="142"/>
        <w:rPr>
          <w:sz w:val="24"/>
          <w:szCs w:val="24"/>
        </w:rPr>
      </w:pPr>
    </w:p>
    <w:p w:rsidR="00534AE6" w:rsidRDefault="00534AE6" w:rsidP="00534AE6">
      <w:pPr>
        <w:keepNext w:val="0"/>
        <w:widowControl w:val="0"/>
      </w:pPr>
      <w:r>
        <w:t>.</w:t>
      </w:r>
    </w:p>
    <w:p w:rsidR="003B0667" w:rsidRDefault="003B0667" w:rsidP="00534AE6">
      <w:pPr>
        <w:keepNext w:val="0"/>
        <w:widowControl w:val="0"/>
      </w:pPr>
    </w:p>
    <w:p w:rsidR="003B0667" w:rsidRDefault="003B0667" w:rsidP="00534AE6">
      <w:pPr>
        <w:keepNext w:val="0"/>
        <w:widowControl w:val="0"/>
      </w:pPr>
    </w:p>
    <w:p w:rsidR="00987507" w:rsidRDefault="00987507" w:rsidP="00534AE6">
      <w:pPr>
        <w:keepNext w:val="0"/>
        <w:widowControl w:val="0"/>
      </w:pPr>
    </w:p>
    <w:p w:rsidR="00987507" w:rsidRDefault="00987507" w:rsidP="00534AE6">
      <w:pPr>
        <w:keepNext w:val="0"/>
        <w:widowControl w:val="0"/>
      </w:pPr>
    </w:p>
    <w:p w:rsidR="00987507" w:rsidRDefault="00987507" w:rsidP="00534AE6">
      <w:pPr>
        <w:keepNext w:val="0"/>
        <w:widowControl w:val="0"/>
      </w:pPr>
    </w:p>
    <w:p w:rsidR="00987507" w:rsidRDefault="00987507" w:rsidP="00987507">
      <w:pPr>
        <w:pStyle w:val="Heading6"/>
      </w:pPr>
      <w:r>
        <w:lastRenderedPageBreak/>
        <w:t>Background</w:t>
      </w:r>
    </w:p>
    <w:p w:rsidR="00987507" w:rsidRDefault="00987507" w:rsidP="00987507">
      <w:r>
        <w:t xml:space="preserve">Without thinking about the possible co-channel situation, </w:t>
      </w:r>
      <w:r w:rsidR="00115286">
        <w:t xml:space="preserve">which might occur if for instance </w:t>
      </w:r>
      <w:r>
        <w:t>the frequencies are randomly distributed, usually one defines for the wanted frequency range of the bandwidth of the VLR a blocking attenuation of 0 dB.</w:t>
      </w:r>
      <w:r w:rsidR="00115286">
        <w:t xml:space="preserve"> This is e.g. also done for the default blocking mask for PMSE below:</w:t>
      </w:r>
      <w:r w:rsidR="00DA4D60">
        <w:br/>
      </w:r>
    </w:p>
    <w:p w:rsidR="00115286" w:rsidRDefault="00115286" w:rsidP="00115286">
      <w:pPr>
        <w:jc w:val="center"/>
      </w:pPr>
      <w:r>
        <w:rPr>
          <w:noProof/>
          <w:lang w:eastAsia="en-GB"/>
        </w:rPr>
        <w:drawing>
          <wp:inline distT="0" distB="0" distL="0" distR="0">
            <wp:extent cx="4109398" cy="2568374"/>
            <wp:effectExtent l="19050" t="0" r="5402"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109974" cy="2568734"/>
                    </a:xfrm>
                    <a:prstGeom prst="rect">
                      <a:avLst/>
                    </a:prstGeom>
                  </pic:spPr>
                </pic:pic>
              </a:graphicData>
            </a:graphic>
          </wp:inline>
        </w:drawing>
      </w:r>
    </w:p>
    <w:p w:rsidR="00115286" w:rsidRDefault="00115286" w:rsidP="00115286">
      <w:pPr>
        <w:jc w:val="center"/>
      </w:pPr>
      <w:r>
        <w:t>Figure 1: default blocking mask PMSE</w:t>
      </w:r>
    </w:p>
    <w:p w:rsidR="00115286" w:rsidRDefault="00115286" w:rsidP="00115286">
      <w:pPr>
        <w:jc w:val="center"/>
      </w:pPr>
    </w:p>
    <w:p w:rsidR="00115286" w:rsidRDefault="00115286" w:rsidP="00115286">
      <w:pPr>
        <w:rPr>
          <w:rFonts w:asciiTheme="minorHAnsi" w:hAnsiTheme="minorHAnsi"/>
        </w:rPr>
      </w:pPr>
      <w:r>
        <w:t xml:space="preserve">SEAMCAT calculates the resulting </w:t>
      </w:r>
      <w:r>
        <w:rPr>
          <w:rFonts w:asciiTheme="minorHAnsi" w:hAnsiTheme="minorHAnsi"/>
        </w:rPr>
        <w:t>iRSS</w:t>
      </w:r>
      <w:r w:rsidRPr="00EF62B5">
        <w:rPr>
          <w:rFonts w:asciiTheme="minorHAnsi" w:hAnsiTheme="minorHAnsi"/>
          <w:vertAlign w:val="subscript"/>
        </w:rPr>
        <w:t>block</w:t>
      </w:r>
      <w:r w:rsidR="00605717">
        <w:rPr>
          <w:rFonts w:asciiTheme="minorHAnsi" w:hAnsiTheme="minorHAnsi"/>
          <w:vertAlign w:val="subscript"/>
        </w:rPr>
        <w:t>ing</w:t>
      </w:r>
      <w:r>
        <w:rPr>
          <w:rFonts w:asciiTheme="minorHAnsi" w:hAnsiTheme="minorHAnsi"/>
          <w:vertAlign w:val="subscript"/>
        </w:rPr>
        <w:t xml:space="preserve"> </w:t>
      </w:r>
      <w:r>
        <w:rPr>
          <w:rFonts w:asciiTheme="minorHAnsi" w:hAnsiTheme="minorHAnsi"/>
        </w:rPr>
        <w:t>as follows:</w:t>
      </w:r>
    </w:p>
    <w:p w:rsidR="00115286" w:rsidRPr="00115286" w:rsidRDefault="00115286" w:rsidP="00115286">
      <w:r>
        <w:rPr>
          <w:noProof/>
          <w:lang w:eastAsia="en-GB"/>
        </w:rPr>
        <w:drawing>
          <wp:inline distT="0" distB="0" distL="0" distR="0">
            <wp:extent cx="6090920" cy="1644015"/>
            <wp:effectExtent l="19050" t="0" r="508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090920" cy="1644015"/>
                    </a:xfrm>
                    <a:prstGeom prst="rect">
                      <a:avLst/>
                    </a:prstGeom>
                  </pic:spPr>
                </pic:pic>
              </a:graphicData>
            </a:graphic>
          </wp:inline>
        </w:drawing>
      </w:r>
    </w:p>
    <w:p w:rsidR="00115286" w:rsidRDefault="00115286" w:rsidP="00115286"/>
    <w:p w:rsidR="00115286" w:rsidRDefault="00115286" w:rsidP="00115286">
      <w:r>
        <w:t xml:space="preserve">It is obvious that in case </w:t>
      </w:r>
      <w:r>
        <w:rPr>
          <w:noProof/>
          <w:lang w:eastAsia="en-GB"/>
        </w:rPr>
        <w:drawing>
          <wp:inline distT="0" distB="0" distL="0" distR="0">
            <wp:extent cx="870938" cy="221627"/>
            <wp:effectExtent l="19050" t="0" r="5362"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871690" cy="221818"/>
                    </a:xfrm>
                    <a:prstGeom prst="rect">
                      <a:avLst/>
                    </a:prstGeom>
                    <a:noFill/>
                    <a:ln w="9525">
                      <a:noFill/>
                      <a:miter lim="800000"/>
                      <a:headEnd/>
                      <a:tailEnd/>
                    </a:ln>
                  </pic:spPr>
                </pic:pic>
              </a:graphicData>
            </a:graphic>
          </wp:inline>
        </w:drawing>
      </w:r>
      <w:r w:rsidR="00605717">
        <w:t>is within the range -0.1 ... 0.1the total power of the ILT is used for the calculation of the impact due to blocking.</w:t>
      </w:r>
    </w:p>
    <w:p w:rsidR="00605717" w:rsidRDefault="00605717" w:rsidP="00115286"/>
    <w:p w:rsidR="00605717" w:rsidRDefault="00605717" w:rsidP="00115286">
      <w:r>
        <w:t>As a workaround for the current implementation one could define the blocking values accordingly, for instance as shown below:</w:t>
      </w:r>
      <w:r w:rsidR="00DA4D60">
        <w:br/>
      </w:r>
    </w:p>
    <w:p w:rsidR="00605717" w:rsidRDefault="00605717" w:rsidP="00605717">
      <w:pPr>
        <w:jc w:val="center"/>
        <w:rPr>
          <w:lang w:val="en-US"/>
        </w:rPr>
      </w:pPr>
      <w:r>
        <w:rPr>
          <w:noProof/>
          <w:lang w:eastAsia="en-GB"/>
        </w:rPr>
        <w:lastRenderedPageBreak/>
        <w:drawing>
          <wp:inline distT="0" distB="0" distL="0" distR="0">
            <wp:extent cx="4355058" cy="2799550"/>
            <wp:effectExtent l="19050" t="0" r="7392"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355668" cy="2799942"/>
                    </a:xfrm>
                    <a:prstGeom prst="rect">
                      <a:avLst/>
                    </a:prstGeom>
                  </pic:spPr>
                </pic:pic>
              </a:graphicData>
            </a:graphic>
          </wp:inline>
        </w:drawing>
      </w:r>
    </w:p>
    <w:p w:rsidR="00605717" w:rsidRDefault="00605717" w:rsidP="00605717">
      <w:pPr>
        <w:jc w:val="center"/>
      </w:pPr>
      <w:r>
        <w:t>Figure 2: modified blocking mask PMSE</w:t>
      </w:r>
    </w:p>
    <w:p w:rsidR="00A76469" w:rsidRDefault="00A76469" w:rsidP="00605717">
      <w:pPr>
        <w:jc w:val="center"/>
      </w:pPr>
    </w:p>
    <w:p w:rsidR="00A76469" w:rsidRDefault="00A76469" w:rsidP="00A76469">
      <w:pPr>
        <w:pStyle w:val="Heading6"/>
      </w:pPr>
      <w:r>
        <w:t>Remark</w:t>
      </w:r>
    </w:p>
    <w:p w:rsidR="00A76469" w:rsidRDefault="00494353" w:rsidP="00A76469">
      <w:pPr>
        <w:rPr>
          <w:lang w:val="en-US"/>
        </w:rPr>
      </w:pPr>
      <w:r>
        <w:t xml:space="preserve">The proposed </w:t>
      </w:r>
      <w:r>
        <w:rPr>
          <w:lang w:val="en-US"/>
        </w:rPr>
        <w:t>algorithm</w:t>
      </w:r>
      <w:r w:rsidRPr="00987507">
        <w:rPr>
          <w:lang w:val="en-US"/>
        </w:rPr>
        <w:t xml:space="preserve"> for the calculation of an integrated blocking value</w:t>
      </w:r>
      <w:r>
        <w:rPr>
          <w:lang w:val="en-US"/>
        </w:rPr>
        <w:t xml:space="preserve"> </w:t>
      </w:r>
      <w:r w:rsidR="001E79CE">
        <w:rPr>
          <w:lang w:val="en-US"/>
        </w:rPr>
        <w:t xml:space="preserve">which </w:t>
      </w:r>
      <w:r w:rsidR="00AF1374">
        <w:rPr>
          <w:lang w:val="en-US"/>
        </w:rPr>
        <w:t>tak</w:t>
      </w:r>
      <w:r w:rsidR="001E79CE">
        <w:rPr>
          <w:lang w:val="en-US"/>
        </w:rPr>
        <w:t>es</w:t>
      </w:r>
      <w:r w:rsidR="00AF1374">
        <w:rPr>
          <w:lang w:val="en-US"/>
        </w:rPr>
        <w:t xml:space="preserve"> account of the bandwidth of the ILT and the shape of the blocking mask </w:t>
      </w:r>
      <w:r>
        <w:rPr>
          <w:lang w:val="en-US"/>
        </w:rPr>
        <w:t>(</w:t>
      </w:r>
      <w:r w:rsidR="00AF1374" w:rsidRPr="001E79CE">
        <w:rPr>
          <w:i/>
          <w:lang w:val="en-US"/>
        </w:rPr>
        <w:t xml:space="preserve">action point from the last STG meeting, </w:t>
      </w:r>
      <w:r w:rsidRPr="001E79CE">
        <w:rPr>
          <w:i/>
          <w:lang w:val="en-US"/>
        </w:rPr>
        <w:t>not yet approved by STG</w:t>
      </w:r>
      <w:r w:rsidR="009B153F">
        <w:rPr>
          <w:i/>
          <w:lang w:val="en-US"/>
        </w:rPr>
        <w:t>;</w:t>
      </w:r>
      <w:r w:rsidR="00FC4CCD" w:rsidRPr="001E79CE">
        <w:rPr>
          <w:i/>
          <w:lang w:val="en-US"/>
        </w:rPr>
        <w:t xml:space="preserve"> cross-check with ANFR is pending</w:t>
      </w:r>
      <w:r>
        <w:rPr>
          <w:lang w:val="en-US"/>
        </w:rPr>
        <w:t>) goes a step further. It additionally considers the overlapping ranges of both bandwidths, of the VLR as well as the ILT. The result in terms of user defined blocking response is shown below</w:t>
      </w:r>
      <w:r w:rsidR="001053B2">
        <w:rPr>
          <w:lang w:val="en-US"/>
        </w:rPr>
        <w:t xml:space="preserve"> for one example</w:t>
      </w:r>
      <w:r>
        <w:rPr>
          <w:lang w:val="en-US"/>
        </w:rPr>
        <w:t>:</w:t>
      </w:r>
    </w:p>
    <w:p w:rsidR="00494353" w:rsidRDefault="00494353" w:rsidP="00A76469">
      <w:r>
        <w:rPr>
          <w:noProof/>
          <w:lang w:eastAsia="en-GB"/>
        </w:rPr>
        <w:lastRenderedPageBreak/>
        <w:drawing>
          <wp:inline distT="0" distB="0" distL="0" distR="0">
            <wp:extent cx="6090920" cy="4564380"/>
            <wp:effectExtent l="19050" t="0" r="508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6090920" cy="4564380"/>
                    </a:xfrm>
                    <a:prstGeom prst="rect">
                      <a:avLst/>
                    </a:prstGeom>
                  </pic:spPr>
                </pic:pic>
              </a:graphicData>
            </a:graphic>
          </wp:inline>
        </w:drawing>
      </w:r>
    </w:p>
    <w:p w:rsidR="00494353" w:rsidRDefault="00494353" w:rsidP="00494353">
      <w:pPr>
        <w:jc w:val="center"/>
      </w:pPr>
      <w:r>
        <w:t>Figure 3: example of integrated blocking values</w:t>
      </w:r>
    </w:p>
    <w:p w:rsidR="00494353" w:rsidRDefault="00494353" w:rsidP="00494353"/>
    <w:p w:rsidR="00494353" w:rsidRDefault="00494353" w:rsidP="00494353">
      <w:r>
        <w:t xml:space="preserve">The algorithm takes </w:t>
      </w:r>
      <w:r w:rsidR="001053B2">
        <w:t xml:space="preserve">for the range "to be protected" </w:t>
      </w:r>
      <w:r>
        <w:t xml:space="preserve">the value of the origin blocking mask at an offset of 0 MHz, but </w:t>
      </w:r>
      <w:r w:rsidR="001053B2">
        <w:t xml:space="preserve">uses </w:t>
      </w:r>
      <w:r>
        <w:t>at least 100 dB.</w:t>
      </w:r>
    </w:p>
    <w:p w:rsidR="003C01A8" w:rsidRDefault="003C01A8" w:rsidP="00494353"/>
    <w:p w:rsidR="003C01A8" w:rsidRDefault="00071024" w:rsidP="00494353">
      <w:r>
        <w:t xml:space="preserve">Similar to </w:t>
      </w:r>
      <w:r w:rsidR="001053B2">
        <w:t>this method</w:t>
      </w:r>
      <w:r>
        <w:t xml:space="preserve">, the current implementation of the blocking calculation could be modified. For this, the bandwidth of the ILT is required, in case </w:t>
      </w:r>
      <w:r w:rsidR="003C01A8">
        <w:t>a</w:t>
      </w:r>
      <w:r>
        <w:t xml:space="preserve">symmetrical emission masks additionally the lower and upper frequency ranges of the ILT bandwidth. </w:t>
      </w:r>
    </w:p>
    <w:p w:rsidR="003C01A8" w:rsidRDefault="003C01A8" w:rsidP="00494353"/>
    <w:p w:rsidR="00071024" w:rsidRDefault="00071024" w:rsidP="00494353">
      <w:r>
        <w:t xml:space="preserve">The EPP providing the proposed algorithm generates </w:t>
      </w:r>
      <w:r w:rsidR="001053B2">
        <w:t>the latter</w:t>
      </w:r>
      <w:r>
        <w:t xml:space="preserve"> values</w:t>
      </w:r>
      <w:r w:rsidR="00AE783B">
        <w:t xml:space="preserve"> with the proposal for the calculation of the ILT bandwidth</w:t>
      </w:r>
      <w:r w:rsidR="00DC133A">
        <w:t xml:space="preserve"> (see below)</w:t>
      </w:r>
      <w:r w:rsidR="00AE783B">
        <w:t>.</w:t>
      </w:r>
    </w:p>
    <w:p w:rsidR="00DC133A" w:rsidRDefault="00DC133A" w:rsidP="00494353">
      <w:r>
        <w:rPr>
          <w:noProof/>
          <w:lang w:eastAsia="en-GB"/>
        </w:rPr>
        <w:lastRenderedPageBreak/>
        <w:drawing>
          <wp:inline distT="0" distB="0" distL="0" distR="0">
            <wp:extent cx="6090920" cy="3195955"/>
            <wp:effectExtent l="19050" t="0" r="508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090920" cy="3195955"/>
                    </a:xfrm>
                    <a:prstGeom prst="rect">
                      <a:avLst/>
                    </a:prstGeom>
                  </pic:spPr>
                </pic:pic>
              </a:graphicData>
            </a:graphic>
          </wp:inline>
        </w:drawing>
      </w:r>
      <w:r>
        <w:rPr>
          <w:noProof/>
          <w:lang w:eastAsia="en-GB"/>
        </w:rPr>
        <w:drawing>
          <wp:inline distT="0" distB="0" distL="0" distR="0">
            <wp:extent cx="6090920" cy="3186430"/>
            <wp:effectExtent l="19050" t="0" r="508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090920" cy="3186430"/>
                    </a:xfrm>
                    <a:prstGeom prst="rect">
                      <a:avLst/>
                    </a:prstGeom>
                  </pic:spPr>
                </pic:pic>
              </a:graphicData>
            </a:graphic>
          </wp:inline>
        </w:drawing>
      </w:r>
    </w:p>
    <w:p w:rsidR="00071024" w:rsidRDefault="00071024" w:rsidP="00494353"/>
    <w:p w:rsidR="00EB51A0" w:rsidRPr="00A76469" w:rsidRDefault="00EB51A0" w:rsidP="00494353"/>
    <w:p w:rsidR="00605717" w:rsidRPr="00605717" w:rsidRDefault="00605717" w:rsidP="003C01A8">
      <w:pPr>
        <w:rPr>
          <w:lang w:val="en-US"/>
        </w:rPr>
      </w:pPr>
    </w:p>
    <w:sectPr w:rsidR="00605717" w:rsidRPr="00605717" w:rsidSect="007E7889">
      <w:pgSz w:w="12240" w:h="15840"/>
      <w:pgMar w:top="1440" w:right="851" w:bottom="144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2E" w:rsidRDefault="00EC662E">
      <w:r>
        <w:separator/>
      </w:r>
    </w:p>
  </w:endnote>
  <w:endnote w:type="continuationSeparator" w:id="0">
    <w:p w:rsidR="00EC662E" w:rsidRDefault="00EC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2E" w:rsidRDefault="00EC662E">
      <w:r>
        <w:separator/>
      </w:r>
    </w:p>
  </w:footnote>
  <w:footnote w:type="continuationSeparator" w:id="0">
    <w:p w:rsidR="00EC662E" w:rsidRDefault="00EC662E">
      <w:r>
        <w:continuationSeparator/>
      </w:r>
    </w:p>
  </w:footnote>
  <w:footnote w:id="1">
    <w:p w:rsidR="00987507" w:rsidRPr="00987507" w:rsidRDefault="00987507" w:rsidP="00987507">
      <w:pPr>
        <w:pStyle w:val="Funote"/>
        <w:rPr>
          <w:lang w:val="en-US"/>
        </w:rPr>
      </w:pPr>
      <w:r w:rsidRPr="00987507">
        <w:rPr>
          <w:rStyle w:val="FootnoteReference"/>
        </w:rPr>
        <w:footnoteRef/>
      </w:r>
      <w:r w:rsidRPr="00987507">
        <w:t xml:space="preserve"> </w:t>
      </w:r>
      <w:r w:rsidRPr="00987507">
        <w:rPr>
          <w:lang w:val="en-US"/>
        </w:rPr>
        <w:t>Th</w:t>
      </w:r>
      <w:r w:rsidR="00494353">
        <w:rPr>
          <w:lang w:val="en-US"/>
        </w:rPr>
        <w:t>e separately proposed algorithm</w:t>
      </w:r>
      <w:r w:rsidRPr="00987507">
        <w:rPr>
          <w:lang w:val="en-US"/>
        </w:rPr>
        <w:t xml:space="preserve"> for the calculation of an integrated blocking value takes account of this.</w:t>
      </w:r>
    </w:p>
    <w:p w:rsidR="00987507" w:rsidRPr="00987507" w:rsidRDefault="00987507">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736"/>
    <w:multiLevelType w:val="hybridMultilevel"/>
    <w:tmpl w:val="6310BF9A"/>
    <w:lvl w:ilvl="0" w:tplc="CDEC7B30">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104139EE"/>
    <w:multiLevelType w:val="multilevel"/>
    <w:tmpl w:val="19B2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477D9"/>
    <w:multiLevelType w:val="hybridMultilevel"/>
    <w:tmpl w:val="483EF16A"/>
    <w:lvl w:ilvl="0" w:tplc="7A2447D4">
      <w:start w:val="1"/>
      <w:numFmt w:val="bullet"/>
      <w:lvlText w:val=""/>
      <w:lvlJc w:val="left"/>
      <w:pPr>
        <w:tabs>
          <w:tab w:val="num" w:pos="1077"/>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377F82"/>
    <w:multiLevelType w:val="hybridMultilevel"/>
    <w:tmpl w:val="1E88B9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5C419ED"/>
    <w:multiLevelType w:val="multilevel"/>
    <w:tmpl w:val="6DE6ABBA"/>
    <w:lvl w:ilvl="0">
      <w:start w:val="1"/>
      <w:numFmt w:val="decimal"/>
      <w:lvlText w:val="%1)"/>
      <w:lvlJc w:val="left"/>
      <w:pPr>
        <w:tabs>
          <w:tab w:val="num" w:pos="2062"/>
        </w:tabs>
        <w:ind w:left="1702" w:firstLine="0"/>
      </w:pPr>
    </w:lvl>
    <w:lvl w:ilvl="1">
      <w:start w:val="1"/>
      <w:numFmt w:val="decimal"/>
      <w:lvlText w:val="%1.%2)"/>
      <w:lvlJc w:val="left"/>
      <w:pPr>
        <w:tabs>
          <w:tab w:val="num" w:pos="2782"/>
        </w:tabs>
        <w:ind w:left="2422" w:hanging="360"/>
      </w:pPr>
    </w:lvl>
    <w:lvl w:ilvl="2">
      <w:start w:val="1"/>
      <w:numFmt w:val="bullet"/>
      <w:lvlText w:val=""/>
      <w:lvlJc w:val="left"/>
      <w:pPr>
        <w:tabs>
          <w:tab w:val="num" w:pos="2782"/>
        </w:tabs>
        <w:ind w:left="2782" w:hanging="360"/>
      </w:pPr>
      <w:rPr>
        <w:rFonts w:ascii="Symbol" w:hAnsi="Symbol" w:hint="default"/>
      </w:rPr>
    </w:lvl>
    <w:lvl w:ilvl="3">
      <w:start w:val="1"/>
      <w:numFmt w:val="decimal"/>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Roman"/>
      <w:lvlText w:val="(%6)"/>
      <w:lvlJc w:val="left"/>
      <w:pPr>
        <w:tabs>
          <w:tab w:val="num" w:pos="3862"/>
        </w:tabs>
        <w:ind w:left="3862" w:hanging="360"/>
      </w:pPr>
    </w:lvl>
    <w:lvl w:ilvl="6">
      <w:start w:val="1"/>
      <w:numFmt w:val="decimal"/>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Roman"/>
      <w:lvlText w:val="%9."/>
      <w:lvlJc w:val="left"/>
      <w:pPr>
        <w:tabs>
          <w:tab w:val="num" w:pos="4942"/>
        </w:tabs>
        <w:ind w:left="4942" w:hanging="360"/>
      </w:pPr>
    </w:lvl>
  </w:abstractNum>
  <w:abstractNum w:abstractNumId="5">
    <w:nsid w:val="31472886"/>
    <w:multiLevelType w:val="hybridMultilevel"/>
    <w:tmpl w:val="923CA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64504D"/>
    <w:multiLevelType w:val="hybridMultilevel"/>
    <w:tmpl w:val="AA784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3317A35"/>
    <w:multiLevelType w:val="hybridMultilevel"/>
    <w:tmpl w:val="2DEC1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D25DB2"/>
    <w:multiLevelType w:val="hybridMultilevel"/>
    <w:tmpl w:val="625E4478"/>
    <w:lvl w:ilvl="0" w:tplc="DAB86D6C">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8365D8"/>
    <w:multiLevelType w:val="hybridMultilevel"/>
    <w:tmpl w:val="CC6251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DED1516"/>
    <w:multiLevelType w:val="hybridMultilevel"/>
    <w:tmpl w:val="221E5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5F03B2"/>
    <w:multiLevelType w:val="hybridMultilevel"/>
    <w:tmpl w:val="D966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3"/>
  </w:num>
  <w:num w:numId="5">
    <w:abstractNumId w:val="7"/>
  </w:num>
  <w:num w:numId="6">
    <w:abstractNumId w:val="5"/>
  </w:num>
  <w:num w:numId="7">
    <w:abstractNumId w:val="1"/>
  </w:num>
  <w:num w:numId="8">
    <w:abstractNumId w:val="11"/>
  </w:num>
  <w:num w:numId="9">
    <w:abstractNumId w:val="10"/>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496C"/>
    <w:rsid w:val="00005B5F"/>
    <w:rsid w:val="0000743D"/>
    <w:rsid w:val="00015D2D"/>
    <w:rsid w:val="00017080"/>
    <w:rsid w:val="00024B7A"/>
    <w:rsid w:val="00024F18"/>
    <w:rsid w:val="00032CE4"/>
    <w:rsid w:val="000346E4"/>
    <w:rsid w:val="000463C3"/>
    <w:rsid w:val="00047C70"/>
    <w:rsid w:val="00056243"/>
    <w:rsid w:val="00060AB1"/>
    <w:rsid w:val="00061237"/>
    <w:rsid w:val="0006195A"/>
    <w:rsid w:val="000668D8"/>
    <w:rsid w:val="00067158"/>
    <w:rsid w:val="000676E7"/>
    <w:rsid w:val="00070C42"/>
    <w:rsid w:val="00071024"/>
    <w:rsid w:val="00071EC4"/>
    <w:rsid w:val="00075218"/>
    <w:rsid w:val="00081F46"/>
    <w:rsid w:val="00082AA4"/>
    <w:rsid w:val="000864DF"/>
    <w:rsid w:val="000870FB"/>
    <w:rsid w:val="00096F13"/>
    <w:rsid w:val="000A01AD"/>
    <w:rsid w:val="000A09FA"/>
    <w:rsid w:val="000A1C85"/>
    <w:rsid w:val="000A783B"/>
    <w:rsid w:val="000A7F78"/>
    <w:rsid w:val="000B266E"/>
    <w:rsid w:val="000C0614"/>
    <w:rsid w:val="000C3454"/>
    <w:rsid w:val="000C52AE"/>
    <w:rsid w:val="000C538E"/>
    <w:rsid w:val="000C63A7"/>
    <w:rsid w:val="000C67EE"/>
    <w:rsid w:val="000C6C22"/>
    <w:rsid w:val="000E3BEF"/>
    <w:rsid w:val="000F65F6"/>
    <w:rsid w:val="001053B2"/>
    <w:rsid w:val="00115286"/>
    <w:rsid w:val="0012492C"/>
    <w:rsid w:val="001275B5"/>
    <w:rsid w:val="00133BBF"/>
    <w:rsid w:val="00136589"/>
    <w:rsid w:val="001377D0"/>
    <w:rsid w:val="00140695"/>
    <w:rsid w:val="0014110A"/>
    <w:rsid w:val="0015799F"/>
    <w:rsid w:val="00160C96"/>
    <w:rsid w:val="001629CC"/>
    <w:rsid w:val="0016591D"/>
    <w:rsid w:val="001674EB"/>
    <w:rsid w:val="0017178C"/>
    <w:rsid w:val="001719CF"/>
    <w:rsid w:val="001726DF"/>
    <w:rsid w:val="00183297"/>
    <w:rsid w:val="00190C25"/>
    <w:rsid w:val="001962A2"/>
    <w:rsid w:val="001A6E66"/>
    <w:rsid w:val="001B0B20"/>
    <w:rsid w:val="001B12AF"/>
    <w:rsid w:val="001B74C1"/>
    <w:rsid w:val="001C4A8D"/>
    <w:rsid w:val="001E1A71"/>
    <w:rsid w:val="001E718E"/>
    <w:rsid w:val="001E79CE"/>
    <w:rsid w:val="001F037F"/>
    <w:rsid w:val="001F1F83"/>
    <w:rsid w:val="002009BE"/>
    <w:rsid w:val="00203A29"/>
    <w:rsid w:val="00204F64"/>
    <w:rsid w:val="002052F4"/>
    <w:rsid w:val="00211EC3"/>
    <w:rsid w:val="0021704A"/>
    <w:rsid w:val="0022113C"/>
    <w:rsid w:val="00222794"/>
    <w:rsid w:val="00231C47"/>
    <w:rsid w:val="00232DB8"/>
    <w:rsid w:val="002330A0"/>
    <w:rsid w:val="002369F6"/>
    <w:rsid w:val="00246A52"/>
    <w:rsid w:val="00251BEF"/>
    <w:rsid w:val="00253F66"/>
    <w:rsid w:val="002544AC"/>
    <w:rsid w:val="00256CE8"/>
    <w:rsid w:val="00262473"/>
    <w:rsid w:val="002637AE"/>
    <w:rsid w:val="002664F4"/>
    <w:rsid w:val="00267720"/>
    <w:rsid w:val="00273249"/>
    <w:rsid w:val="00276BB3"/>
    <w:rsid w:val="00281E03"/>
    <w:rsid w:val="002862FD"/>
    <w:rsid w:val="002916CD"/>
    <w:rsid w:val="002A2BD0"/>
    <w:rsid w:val="002A5436"/>
    <w:rsid w:val="002A7670"/>
    <w:rsid w:val="002B2863"/>
    <w:rsid w:val="002C1884"/>
    <w:rsid w:val="002C2EC3"/>
    <w:rsid w:val="002D4052"/>
    <w:rsid w:val="002D68FC"/>
    <w:rsid w:val="002D742B"/>
    <w:rsid w:val="002D7B91"/>
    <w:rsid w:val="002E17E6"/>
    <w:rsid w:val="002E211B"/>
    <w:rsid w:val="002E29A2"/>
    <w:rsid w:val="002F3CEF"/>
    <w:rsid w:val="002F4E66"/>
    <w:rsid w:val="0030048F"/>
    <w:rsid w:val="00302F24"/>
    <w:rsid w:val="003063BE"/>
    <w:rsid w:val="00306C51"/>
    <w:rsid w:val="00314562"/>
    <w:rsid w:val="00321CD7"/>
    <w:rsid w:val="00346321"/>
    <w:rsid w:val="003479C1"/>
    <w:rsid w:val="00351843"/>
    <w:rsid w:val="003561E0"/>
    <w:rsid w:val="00360549"/>
    <w:rsid w:val="00360C70"/>
    <w:rsid w:val="0036461E"/>
    <w:rsid w:val="00366730"/>
    <w:rsid w:val="00375A62"/>
    <w:rsid w:val="00377940"/>
    <w:rsid w:val="00381E06"/>
    <w:rsid w:val="00386EE1"/>
    <w:rsid w:val="00395A6F"/>
    <w:rsid w:val="00395BAD"/>
    <w:rsid w:val="003A091A"/>
    <w:rsid w:val="003A3AA6"/>
    <w:rsid w:val="003A40F7"/>
    <w:rsid w:val="003A631A"/>
    <w:rsid w:val="003B0667"/>
    <w:rsid w:val="003B1998"/>
    <w:rsid w:val="003C01A8"/>
    <w:rsid w:val="003C3ABE"/>
    <w:rsid w:val="003C79AE"/>
    <w:rsid w:val="003D5321"/>
    <w:rsid w:val="003E6D88"/>
    <w:rsid w:val="003E6E80"/>
    <w:rsid w:val="003F5C4B"/>
    <w:rsid w:val="003F6817"/>
    <w:rsid w:val="004058A9"/>
    <w:rsid w:val="00407962"/>
    <w:rsid w:val="004132AD"/>
    <w:rsid w:val="00413394"/>
    <w:rsid w:val="00423284"/>
    <w:rsid w:val="004241DC"/>
    <w:rsid w:val="004242FF"/>
    <w:rsid w:val="0042780E"/>
    <w:rsid w:val="00435FD4"/>
    <w:rsid w:val="004431E8"/>
    <w:rsid w:val="00450067"/>
    <w:rsid w:val="00453F9F"/>
    <w:rsid w:val="00460BA6"/>
    <w:rsid w:val="00470795"/>
    <w:rsid w:val="00471FC9"/>
    <w:rsid w:val="004731BB"/>
    <w:rsid w:val="00482BBA"/>
    <w:rsid w:val="0048519F"/>
    <w:rsid w:val="00485D07"/>
    <w:rsid w:val="004936CF"/>
    <w:rsid w:val="00494353"/>
    <w:rsid w:val="004B220A"/>
    <w:rsid w:val="004B2C75"/>
    <w:rsid w:val="004C24BB"/>
    <w:rsid w:val="004E5B94"/>
    <w:rsid w:val="004E71D7"/>
    <w:rsid w:val="00512FDA"/>
    <w:rsid w:val="00513078"/>
    <w:rsid w:val="005138A9"/>
    <w:rsid w:val="00514D08"/>
    <w:rsid w:val="00520056"/>
    <w:rsid w:val="00530AA6"/>
    <w:rsid w:val="0053166E"/>
    <w:rsid w:val="0053320E"/>
    <w:rsid w:val="00534AE6"/>
    <w:rsid w:val="00541410"/>
    <w:rsid w:val="00544321"/>
    <w:rsid w:val="00550B5D"/>
    <w:rsid w:val="00550C2C"/>
    <w:rsid w:val="005511F8"/>
    <w:rsid w:val="005518FC"/>
    <w:rsid w:val="00553E60"/>
    <w:rsid w:val="00556882"/>
    <w:rsid w:val="00573A5F"/>
    <w:rsid w:val="00575E45"/>
    <w:rsid w:val="005925E4"/>
    <w:rsid w:val="005944F8"/>
    <w:rsid w:val="00597A74"/>
    <w:rsid w:val="005A0C62"/>
    <w:rsid w:val="005A2EAB"/>
    <w:rsid w:val="005A7D51"/>
    <w:rsid w:val="005A7FEA"/>
    <w:rsid w:val="005B00C6"/>
    <w:rsid w:val="005B125A"/>
    <w:rsid w:val="005B43EF"/>
    <w:rsid w:val="005B609F"/>
    <w:rsid w:val="005B7F03"/>
    <w:rsid w:val="005D018E"/>
    <w:rsid w:val="005D7EDD"/>
    <w:rsid w:val="005E07E3"/>
    <w:rsid w:val="005E4F08"/>
    <w:rsid w:val="005F5954"/>
    <w:rsid w:val="00602361"/>
    <w:rsid w:val="00602F3C"/>
    <w:rsid w:val="00605717"/>
    <w:rsid w:val="00605FAF"/>
    <w:rsid w:val="00616D5F"/>
    <w:rsid w:val="00622214"/>
    <w:rsid w:val="00625F27"/>
    <w:rsid w:val="00633C57"/>
    <w:rsid w:val="00634F70"/>
    <w:rsid w:val="00635B4B"/>
    <w:rsid w:val="00643B59"/>
    <w:rsid w:val="0064618B"/>
    <w:rsid w:val="00652D5B"/>
    <w:rsid w:val="006616FB"/>
    <w:rsid w:val="00665917"/>
    <w:rsid w:val="006661E1"/>
    <w:rsid w:val="0066733F"/>
    <w:rsid w:val="00670166"/>
    <w:rsid w:val="00676828"/>
    <w:rsid w:val="00681C63"/>
    <w:rsid w:val="00685112"/>
    <w:rsid w:val="00687D5B"/>
    <w:rsid w:val="00693293"/>
    <w:rsid w:val="0069774F"/>
    <w:rsid w:val="006A1A80"/>
    <w:rsid w:val="006A1ABA"/>
    <w:rsid w:val="006A35D1"/>
    <w:rsid w:val="006B11D1"/>
    <w:rsid w:val="006B248D"/>
    <w:rsid w:val="006D0958"/>
    <w:rsid w:val="006D21C2"/>
    <w:rsid w:val="006D3D0D"/>
    <w:rsid w:val="006D785D"/>
    <w:rsid w:val="006E0E09"/>
    <w:rsid w:val="006E38A4"/>
    <w:rsid w:val="006F3327"/>
    <w:rsid w:val="006F3836"/>
    <w:rsid w:val="006F72FF"/>
    <w:rsid w:val="00703A90"/>
    <w:rsid w:val="00706FE5"/>
    <w:rsid w:val="0072356A"/>
    <w:rsid w:val="00724775"/>
    <w:rsid w:val="0073046B"/>
    <w:rsid w:val="00731E15"/>
    <w:rsid w:val="007379EE"/>
    <w:rsid w:val="007476A5"/>
    <w:rsid w:val="007477BB"/>
    <w:rsid w:val="00754A91"/>
    <w:rsid w:val="00754F51"/>
    <w:rsid w:val="00757B3D"/>
    <w:rsid w:val="00760DFF"/>
    <w:rsid w:val="00761D5A"/>
    <w:rsid w:val="007664E2"/>
    <w:rsid w:val="007739C2"/>
    <w:rsid w:val="0077528D"/>
    <w:rsid w:val="00775CAD"/>
    <w:rsid w:val="0078109B"/>
    <w:rsid w:val="0078348D"/>
    <w:rsid w:val="0078597E"/>
    <w:rsid w:val="00796368"/>
    <w:rsid w:val="007A1D74"/>
    <w:rsid w:val="007B1B8F"/>
    <w:rsid w:val="007C2D5B"/>
    <w:rsid w:val="007E04C5"/>
    <w:rsid w:val="007E41EF"/>
    <w:rsid w:val="007E7889"/>
    <w:rsid w:val="007F18DB"/>
    <w:rsid w:val="007F4325"/>
    <w:rsid w:val="00800AEE"/>
    <w:rsid w:val="00801956"/>
    <w:rsid w:val="00806155"/>
    <w:rsid w:val="008073BF"/>
    <w:rsid w:val="008111A7"/>
    <w:rsid w:val="00811654"/>
    <w:rsid w:val="00826152"/>
    <w:rsid w:val="00832D06"/>
    <w:rsid w:val="00834ECE"/>
    <w:rsid w:val="00836BEF"/>
    <w:rsid w:val="008376A0"/>
    <w:rsid w:val="00837724"/>
    <w:rsid w:val="00837A3A"/>
    <w:rsid w:val="00837D1C"/>
    <w:rsid w:val="0084228C"/>
    <w:rsid w:val="0085668E"/>
    <w:rsid w:val="0086653F"/>
    <w:rsid w:val="00866CD5"/>
    <w:rsid w:val="008674D5"/>
    <w:rsid w:val="00874AE8"/>
    <w:rsid w:val="00875354"/>
    <w:rsid w:val="00875990"/>
    <w:rsid w:val="0088000F"/>
    <w:rsid w:val="0088599C"/>
    <w:rsid w:val="0088766D"/>
    <w:rsid w:val="008878E9"/>
    <w:rsid w:val="00892D37"/>
    <w:rsid w:val="00895804"/>
    <w:rsid w:val="008972EA"/>
    <w:rsid w:val="008A467B"/>
    <w:rsid w:val="008B3D8A"/>
    <w:rsid w:val="008B7F65"/>
    <w:rsid w:val="008D0449"/>
    <w:rsid w:val="008D6571"/>
    <w:rsid w:val="008E0145"/>
    <w:rsid w:val="008E09C2"/>
    <w:rsid w:val="008E7184"/>
    <w:rsid w:val="00910D4B"/>
    <w:rsid w:val="00911C90"/>
    <w:rsid w:val="0092027E"/>
    <w:rsid w:val="00932305"/>
    <w:rsid w:val="00942AFB"/>
    <w:rsid w:val="00944B7B"/>
    <w:rsid w:val="00944D13"/>
    <w:rsid w:val="0094677A"/>
    <w:rsid w:val="00946801"/>
    <w:rsid w:val="009526BC"/>
    <w:rsid w:val="00956135"/>
    <w:rsid w:val="00957626"/>
    <w:rsid w:val="0097172F"/>
    <w:rsid w:val="00974157"/>
    <w:rsid w:val="00976AE6"/>
    <w:rsid w:val="00980D61"/>
    <w:rsid w:val="00982B3B"/>
    <w:rsid w:val="009846B4"/>
    <w:rsid w:val="00987507"/>
    <w:rsid w:val="00996DDE"/>
    <w:rsid w:val="0099730F"/>
    <w:rsid w:val="009976DB"/>
    <w:rsid w:val="009A172D"/>
    <w:rsid w:val="009A39C4"/>
    <w:rsid w:val="009A78FA"/>
    <w:rsid w:val="009B153F"/>
    <w:rsid w:val="009B2A70"/>
    <w:rsid w:val="009B5823"/>
    <w:rsid w:val="009B737A"/>
    <w:rsid w:val="009C6C77"/>
    <w:rsid w:val="009D4993"/>
    <w:rsid w:val="009D66A0"/>
    <w:rsid w:val="009E0E50"/>
    <w:rsid w:val="009E13E1"/>
    <w:rsid w:val="009E1EB3"/>
    <w:rsid w:val="009E6A92"/>
    <w:rsid w:val="009F10C0"/>
    <w:rsid w:val="009F2AA9"/>
    <w:rsid w:val="009F5449"/>
    <w:rsid w:val="009F74EB"/>
    <w:rsid w:val="00A01C10"/>
    <w:rsid w:val="00A01C8B"/>
    <w:rsid w:val="00A02866"/>
    <w:rsid w:val="00A06590"/>
    <w:rsid w:val="00A069BE"/>
    <w:rsid w:val="00A11D81"/>
    <w:rsid w:val="00A16D5D"/>
    <w:rsid w:val="00A21C6F"/>
    <w:rsid w:val="00A2305B"/>
    <w:rsid w:val="00A2333E"/>
    <w:rsid w:val="00A24B9B"/>
    <w:rsid w:val="00A27282"/>
    <w:rsid w:val="00A32556"/>
    <w:rsid w:val="00A4292A"/>
    <w:rsid w:val="00A44AB5"/>
    <w:rsid w:val="00A46CE5"/>
    <w:rsid w:val="00A51765"/>
    <w:rsid w:val="00A53374"/>
    <w:rsid w:val="00A60DB0"/>
    <w:rsid w:val="00A61BEA"/>
    <w:rsid w:val="00A61E92"/>
    <w:rsid w:val="00A62628"/>
    <w:rsid w:val="00A640A6"/>
    <w:rsid w:val="00A657D6"/>
    <w:rsid w:val="00A66B58"/>
    <w:rsid w:val="00A7043E"/>
    <w:rsid w:val="00A749BF"/>
    <w:rsid w:val="00A76469"/>
    <w:rsid w:val="00A77707"/>
    <w:rsid w:val="00A83538"/>
    <w:rsid w:val="00A90A3F"/>
    <w:rsid w:val="00A90C4F"/>
    <w:rsid w:val="00A929C8"/>
    <w:rsid w:val="00A938FC"/>
    <w:rsid w:val="00A945A4"/>
    <w:rsid w:val="00AA71FB"/>
    <w:rsid w:val="00AB37B3"/>
    <w:rsid w:val="00AB497B"/>
    <w:rsid w:val="00AB6F55"/>
    <w:rsid w:val="00AC15B4"/>
    <w:rsid w:val="00AC612C"/>
    <w:rsid w:val="00AD00CE"/>
    <w:rsid w:val="00AD40C1"/>
    <w:rsid w:val="00AE1708"/>
    <w:rsid w:val="00AE2168"/>
    <w:rsid w:val="00AE783B"/>
    <w:rsid w:val="00AF1374"/>
    <w:rsid w:val="00B04ACA"/>
    <w:rsid w:val="00B1202D"/>
    <w:rsid w:val="00B12E87"/>
    <w:rsid w:val="00B13168"/>
    <w:rsid w:val="00B15813"/>
    <w:rsid w:val="00B20930"/>
    <w:rsid w:val="00B209D6"/>
    <w:rsid w:val="00B236B3"/>
    <w:rsid w:val="00B31250"/>
    <w:rsid w:val="00B33A10"/>
    <w:rsid w:val="00B453B4"/>
    <w:rsid w:val="00B52B71"/>
    <w:rsid w:val="00B571B8"/>
    <w:rsid w:val="00B64FA6"/>
    <w:rsid w:val="00B66482"/>
    <w:rsid w:val="00B75D63"/>
    <w:rsid w:val="00B77626"/>
    <w:rsid w:val="00B839C2"/>
    <w:rsid w:val="00B86ACE"/>
    <w:rsid w:val="00B8793B"/>
    <w:rsid w:val="00BA0E4F"/>
    <w:rsid w:val="00BA28BF"/>
    <w:rsid w:val="00BB002B"/>
    <w:rsid w:val="00BB2F47"/>
    <w:rsid w:val="00BB31B3"/>
    <w:rsid w:val="00BB5FE7"/>
    <w:rsid w:val="00BD0015"/>
    <w:rsid w:val="00BD1991"/>
    <w:rsid w:val="00BD2687"/>
    <w:rsid w:val="00BD3A33"/>
    <w:rsid w:val="00BD6BBE"/>
    <w:rsid w:val="00BD6BFB"/>
    <w:rsid w:val="00BE105B"/>
    <w:rsid w:val="00BE1B52"/>
    <w:rsid w:val="00BF2990"/>
    <w:rsid w:val="00BF6F63"/>
    <w:rsid w:val="00C03604"/>
    <w:rsid w:val="00C04281"/>
    <w:rsid w:val="00C127D4"/>
    <w:rsid w:val="00C14E01"/>
    <w:rsid w:val="00C154D6"/>
    <w:rsid w:val="00C15D6B"/>
    <w:rsid w:val="00C264FD"/>
    <w:rsid w:val="00C27BCE"/>
    <w:rsid w:val="00C34850"/>
    <w:rsid w:val="00C3557F"/>
    <w:rsid w:val="00C363BC"/>
    <w:rsid w:val="00C5158D"/>
    <w:rsid w:val="00C51DF1"/>
    <w:rsid w:val="00C53DD5"/>
    <w:rsid w:val="00C54795"/>
    <w:rsid w:val="00C553B6"/>
    <w:rsid w:val="00C5622C"/>
    <w:rsid w:val="00C601D5"/>
    <w:rsid w:val="00C6148E"/>
    <w:rsid w:val="00C61AD6"/>
    <w:rsid w:val="00C64660"/>
    <w:rsid w:val="00C8564A"/>
    <w:rsid w:val="00C8762E"/>
    <w:rsid w:val="00C87A33"/>
    <w:rsid w:val="00C90EA6"/>
    <w:rsid w:val="00CA230C"/>
    <w:rsid w:val="00CA70EB"/>
    <w:rsid w:val="00CB4E30"/>
    <w:rsid w:val="00CC4306"/>
    <w:rsid w:val="00CC6BF8"/>
    <w:rsid w:val="00CD0FDB"/>
    <w:rsid w:val="00CD6148"/>
    <w:rsid w:val="00CD7C13"/>
    <w:rsid w:val="00CE3071"/>
    <w:rsid w:val="00CE6CD7"/>
    <w:rsid w:val="00CE767B"/>
    <w:rsid w:val="00CF0321"/>
    <w:rsid w:val="00CF29FC"/>
    <w:rsid w:val="00CF4AD3"/>
    <w:rsid w:val="00D01AF5"/>
    <w:rsid w:val="00D03B50"/>
    <w:rsid w:val="00D16C1E"/>
    <w:rsid w:val="00D2194E"/>
    <w:rsid w:val="00D25755"/>
    <w:rsid w:val="00D260E8"/>
    <w:rsid w:val="00D27319"/>
    <w:rsid w:val="00D30287"/>
    <w:rsid w:val="00D316B3"/>
    <w:rsid w:val="00D32E72"/>
    <w:rsid w:val="00D33398"/>
    <w:rsid w:val="00D41ACC"/>
    <w:rsid w:val="00D46508"/>
    <w:rsid w:val="00D50635"/>
    <w:rsid w:val="00D55713"/>
    <w:rsid w:val="00D55DC8"/>
    <w:rsid w:val="00D607A8"/>
    <w:rsid w:val="00D6281D"/>
    <w:rsid w:val="00D62F89"/>
    <w:rsid w:val="00D64C91"/>
    <w:rsid w:val="00D64CB5"/>
    <w:rsid w:val="00D658D2"/>
    <w:rsid w:val="00D6702D"/>
    <w:rsid w:val="00D73BBD"/>
    <w:rsid w:val="00D7477C"/>
    <w:rsid w:val="00D76DCD"/>
    <w:rsid w:val="00D77DBA"/>
    <w:rsid w:val="00D806AA"/>
    <w:rsid w:val="00D81C03"/>
    <w:rsid w:val="00D8435B"/>
    <w:rsid w:val="00D84AA9"/>
    <w:rsid w:val="00D87200"/>
    <w:rsid w:val="00DA4D60"/>
    <w:rsid w:val="00DA5E27"/>
    <w:rsid w:val="00DA714A"/>
    <w:rsid w:val="00DA7A16"/>
    <w:rsid w:val="00DB4AFF"/>
    <w:rsid w:val="00DB7218"/>
    <w:rsid w:val="00DB7601"/>
    <w:rsid w:val="00DB7F6C"/>
    <w:rsid w:val="00DC0C9E"/>
    <w:rsid w:val="00DC133A"/>
    <w:rsid w:val="00DC1D6F"/>
    <w:rsid w:val="00DC2BD6"/>
    <w:rsid w:val="00DC3853"/>
    <w:rsid w:val="00DD15D3"/>
    <w:rsid w:val="00DD2178"/>
    <w:rsid w:val="00DD35EE"/>
    <w:rsid w:val="00DD4F33"/>
    <w:rsid w:val="00DD715E"/>
    <w:rsid w:val="00DE2F9A"/>
    <w:rsid w:val="00DE3528"/>
    <w:rsid w:val="00DE3F0C"/>
    <w:rsid w:val="00DE7027"/>
    <w:rsid w:val="00DE7D95"/>
    <w:rsid w:val="00DF10F1"/>
    <w:rsid w:val="00DF1DB3"/>
    <w:rsid w:val="00E00987"/>
    <w:rsid w:val="00E04852"/>
    <w:rsid w:val="00E07110"/>
    <w:rsid w:val="00E22C9A"/>
    <w:rsid w:val="00E32361"/>
    <w:rsid w:val="00E36F15"/>
    <w:rsid w:val="00E452D2"/>
    <w:rsid w:val="00E45776"/>
    <w:rsid w:val="00E60A22"/>
    <w:rsid w:val="00E63D5A"/>
    <w:rsid w:val="00E64678"/>
    <w:rsid w:val="00E723EC"/>
    <w:rsid w:val="00E72430"/>
    <w:rsid w:val="00E83EA5"/>
    <w:rsid w:val="00E8682C"/>
    <w:rsid w:val="00E91C04"/>
    <w:rsid w:val="00E9348B"/>
    <w:rsid w:val="00EA215F"/>
    <w:rsid w:val="00EA24A5"/>
    <w:rsid w:val="00EB0C02"/>
    <w:rsid w:val="00EB2752"/>
    <w:rsid w:val="00EB51A0"/>
    <w:rsid w:val="00EB70E9"/>
    <w:rsid w:val="00EC0822"/>
    <w:rsid w:val="00EC4D23"/>
    <w:rsid w:val="00EC662E"/>
    <w:rsid w:val="00ED5689"/>
    <w:rsid w:val="00ED6753"/>
    <w:rsid w:val="00EF34CF"/>
    <w:rsid w:val="00EF4067"/>
    <w:rsid w:val="00EF420F"/>
    <w:rsid w:val="00EF6199"/>
    <w:rsid w:val="00EF62B5"/>
    <w:rsid w:val="00EF6801"/>
    <w:rsid w:val="00F147FB"/>
    <w:rsid w:val="00F2400A"/>
    <w:rsid w:val="00F32376"/>
    <w:rsid w:val="00F32782"/>
    <w:rsid w:val="00F36A8F"/>
    <w:rsid w:val="00F4015C"/>
    <w:rsid w:val="00F43CCB"/>
    <w:rsid w:val="00F46D52"/>
    <w:rsid w:val="00F513E4"/>
    <w:rsid w:val="00F53C6E"/>
    <w:rsid w:val="00F60BDC"/>
    <w:rsid w:val="00F6134A"/>
    <w:rsid w:val="00F75AC4"/>
    <w:rsid w:val="00F8496C"/>
    <w:rsid w:val="00F86522"/>
    <w:rsid w:val="00F878AD"/>
    <w:rsid w:val="00F90CE1"/>
    <w:rsid w:val="00F9148A"/>
    <w:rsid w:val="00F91886"/>
    <w:rsid w:val="00FA03EE"/>
    <w:rsid w:val="00FA0BB7"/>
    <w:rsid w:val="00FA1C4C"/>
    <w:rsid w:val="00FA20C3"/>
    <w:rsid w:val="00FB0ECD"/>
    <w:rsid w:val="00FB5925"/>
    <w:rsid w:val="00FC4CCD"/>
    <w:rsid w:val="00FC7A84"/>
    <w:rsid w:val="00FD1477"/>
    <w:rsid w:val="00FD3FC3"/>
    <w:rsid w:val="00FD456D"/>
    <w:rsid w:val="00FD7568"/>
    <w:rsid w:val="00FE09BB"/>
    <w:rsid w:val="00FE1B52"/>
    <w:rsid w:val="00FE2330"/>
    <w:rsid w:val="00FE59C5"/>
    <w:rsid w:val="00FE6DFC"/>
    <w:rsid w:val="00FF55BE"/>
    <w:rsid w:val="00FF6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027"/>
    <w:pPr>
      <w:keepNext/>
    </w:pPr>
    <w:rPr>
      <w:rFonts w:ascii="Calibri" w:hAnsi="Calibri"/>
      <w:sz w:val="22"/>
      <w:lang w:val="en-GB"/>
    </w:rPr>
  </w:style>
  <w:style w:type="paragraph" w:styleId="Heading3">
    <w:name w:val="heading 3"/>
    <w:basedOn w:val="Normal"/>
    <w:next w:val="Normal"/>
    <w:qFormat/>
    <w:rsid w:val="00204F64"/>
    <w:pPr>
      <w:jc w:val="right"/>
      <w:outlineLvl w:val="2"/>
    </w:pPr>
    <w:rPr>
      <w:rFonts w:ascii="Arial" w:hAnsi="Arial"/>
      <w:b/>
      <w:sz w:val="24"/>
    </w:rPr>
  </w:style>
  <w:style w:type="paragraph" w:styleId="Heading4">
    <w:name w:val="heading 4"/>
    <w:basedOn w:val="Normal"/>
    <w:next w:val="Normal"/>
    <w:qFormat/>
    <w:rsid w:val="00204F64"/>
    <w:pPr>
      <w:outlineLvl w:val="3"/>
    </w:pPr>
    <w:rPr>
      <w:rFonts w:ascii="Arial" w:hAnsi="Arial"/>
      <w:b/>
      <w:sz w:val="24"/>
    </w:rPr>
  </w:style>
  <w:style w:type="paragraph" w:styleId="Heading6">
    <w:name w:val="heading 6"/>
    <w:basedOn w:val="Normal"/>
    <w:next w:val="Normal"/>
    <w:qFormat/>
    <w:rsid w:val="00E83EA5"/>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4F64"/>
    <w:pPr>
      <w:tabs>
        <w:tab w:val="center" w:pos="4153"/>
        <w:tab w:val="right" w:pos="8306"/>
      </w:tabs>
    </w:pPr>
  </w:style>
  <w:style w:type="paragraph" w:styleId="Footer">
    <w:name w:val="footer"/>
    <w:basedOn w:val="Normal"/>
    <w:rsid w:val="00204F64"/>
    <w:pPr>
      <w:tabs>
        <w:tab w:val="center" w:pos="4153"/>
        <w:tab w:val="right" w:pos="8306"/>
      </w:tabs>
    </w:pPr>
  </w:style>
  <w:style w:type="paragraph" w:styleId="FootnoteText">
    <w:name w:val="footnote text"/>
    <w:basedOn w:val="Normal"/>
    <w:link w:val="FootnoteTextChar"/>
    <w:semiHidden/>
    <w:rsid w:val="00204F64"/>
  </w:style>
  <w:style w:type="paragraph" w:customStyle="1" w:styleId="Marco">
    <w:name w:val="Marco"/>
    <w:basedOn w:val="BodyText2"/>
    <w:rsid w:val="00204F64"/>
    <w:pPr>
      <w:spacing w:before="240" w:after="360" w:line="240" w:lineRule="auto"/>
      <w:jc w:val="center"/>
    </w:pPr>
    <w:rPr>
      <w:b/>
      <w:sz w:val="24"/>
    </w:rPr>
  </w:style>
  <w:style w:type="paragraph" w:styleId="BodyText2">
    <w:name w:val="Body Text 2"/>
    <w:basedOn w:val="Normal"/>
    <w:rsid w:val="00204F64"/>
    <w:pPr>
      <w:spacing w:after="120" w:line="480" w:lineRule="auto"/>
    </w:pPr>
  </w:style>
  <w:style w:type="paragraph" w:styleId="BodyText">
    <w:name w:val="Body Text"/>
    <w:basedOn w:val="Normal"/>
    <w:rsid w:val="00E83EA5"/>
    <w:pPr>
      <w:spacing w:after="120"/>
    </w:pPr>
    <w:rPr>
      <w:rFonts w:ascii="New York" w:hAnsi="New York"/>
      <w:sz w:val="24"/>
      <w:lang w:val="en-US" w:eastAsia="en-US"/>
    </w:rPr>
  </w:style>
  <w:style w:type="character" w:styleId="Hyperlink">
    <w:name w:val="Hyperlink"/>
    <w:rsid w:val="00024F18"/>
    <w:rPr>
      <w:rFonts w:ascii="Verdana" w:hAnsi="Verdana" w:hint="default"/>
      <w:color w:val="639ACE"/>
      <w:u w:val="single"/>
    </w:rPr>
  </w:style>
  <w:style w:type="character" w:styleId="FollowedHyperlink">
    <w:name w:val="FollowedHyperlink"/>
    <w:rsid w:val="00A21C6F"/>
    <w:rPr>
      <w:color w:val="800080"/>
      <w:u w:val="single"/>
    </w:rPr>
  </w:style>
  <w:style w:type="table" w:styleId="TableGrid">
    <w:name w:val="Table Grid"/>
    <w:basedOn w:val="TableNormal"/>
    <w:rsid w:val="00FD3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fzeile1">
    <w:name w:val="Kopfzeile1"/>
    <w:basedOn w:val="Header"/>
    <w:rsid w:val="00E45776"/>
    <w:pPr>
      <w:keepNext w:val="0"/>
      <w:tabs>
        <w:tab w:val="clear" w:pos="4153"/>
        <w:tab w:val="clear" w:pos="8306"/>
        <w:tab w:val="center" w:pos="4536"/>
        <w:tab w:val="right" w:pos="9072"/>
      </w:tabs>
    </w:pPr>
    <w:rPr>
      <w:rFonts w:ascii="Arial" w:hAnsi="Arial"/>
      <w:b/>
      <w:lang w:val="nb-NO"/>
    </w:rPr>
  </w:style>
  <w:style w:type="paragraph" w:styleId="BalloonText">
    <w:name w:val="Balloon Text"/>
    <w:basedOn w:val="Normal"/>
    <w:link w:val="BalloonTextChar"/>
    <w:rsid w:val="007B1B8F"/>
    <w:rPr>
      <w:rFonts w:ascii="Tahoma" w:hAnsi="Tahoma" w:cs="Tahoma"/>
      <w:sz w:val="16"/>
      <w:szCs w:val="16"/>
    </w:rPr>
  </w:style>
  <w:style w:type="character" w:customStyle="1" w:styleId="BalloonTextChar">
    <w:name w:val="Balloon Text Char"/>
    <w:basedOn w:val="DefaultParagraphFont"/>
    <w:link w:val="BalloonText"/>
    <w:rsid w:val="007B1B8F"/>
    <w:rPr>
      <w:rFonts w:ascii="Tahoma" w:hAnsi="Tahoma" w:cs="Tahoma"/>
      <w:sz w:val="16"/>
      <w:szCs w:val="16"/>
      <w:lang w:val="en-GB"/>
    </w:rPr>
  </w:style>
  <w:style w:type="character" w:styleId="FootnoteReference">
    <w:name w:val="footnote reference"/>
    <w:basedOn w:val="DefaultParagraphFont"/>
    <w:rsid w:val="00987507"/>
    <w:rPr>
      <w:vertAlign w:val="superscript"/>
    </w:rPr>
  </w:style>
  <w:style w:type="paragraph" w:customStyle="1" w:styleId="Funote">
    <w:name w:val="Fußnote"/>
    <w:basedOn w:val="FootnoteText"/>
    <w:link w:val="FunoteZchn"/>
    <w:qFormat/>
    <w:rsid w:val="00987507"/>
    <w:rPr>
      <w:sz w:val="16"/>
      <w:szCs w:val="16"/>
    </w:rPr>
  </w:style>
  <w:style w:type="character" w:customStyle="1" w:styleId="FootnoteTextChar">
    <w:name w:val="Footnote Text Char"/>
    <w:basedOn w:val="DefaultParagraphFont"/>
    <w:link w:val="FootnoteText"/>
    <w:semiHidden/>
    <w:rsid w:val="00987507"/>
    <w:rPr>
      <w:rFonts w:ascii="Calibri" w:hAnsi="Calibri"/>
      <w:sz w:val="22"/>
      <w:lang w:val="en-GB"/>
    </w:rPr>
  </w:style>
  <w:style w:type="character" w:customStyle="1" w:styleId="FunoteZchn">
    <w:name w:val="Fußnote Zchn"/>
    <w:basedOn w:val="FootnoteTextChar"/>
    <w:link w:val="Funote"/>
    <w:rsid w:val="00987507"/>
    <w:rPr>
      <w:rFonts w:ascii="Calibri" w:hAnsi="Calibri"/>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7460">
      <w:bodyDiv w:val="1"/>
      <w:marLeft w:val="0"/>
      <w:marRight w:val="0"/>
      <w:marTop w:val="0"/>
      <w:marBottom w:val="0"/>
      <w:divBdr>
        <w:top w:val="none" w:sz="0" w:space="0" w:color="auto"/>
        <w:left w:val="none" w:sz="0" w:space="0" w:color="auto"/>
        <w:bottom w:val="none" w:sz="0" w:space="0" w:color="auto"/>
        <w:right w:val="none" w:sz="0" w:space="0" w:color="auto"/>
      </w:divBdr>
    </w:div>
    <w:div w:id="615260928">
      <w:bodyDiv w:val="1"/>
      <w:marLeft w:val="0"/>
      <w:marRight w:val="0"/>
      <w:marTop w:val="0"/>
      <w:marBottom w:val="0"/>
      <w:divBdr>
        <w:top w:val="none" w:sz="0" w:space="0" w:color="auto"/>
        <w:left w:val="none" w:sz="0" w:space="0" w:color="auto"/>
        <w:bottom w:val="none" w:sz="0" w:space="0" w:color="auto"/>
        <w:right w:val="none" w:sz="0" w:space="0" w:color="auto"/>
      </w:divBdr>
    </w:div>
    <w:div w:id="14066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tractool.seamcat.org/wiki/Manual/Algorithms/Basics/BlockingAttenu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D21B5-25D6-4305-8EC8-98D9AA27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404</Words>
  <Characters>2305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STG(09)26</vt:lpstr>
      <vt:lpstr>STG(09)26</vt:lpstr>
    </vt:vector>
  </TitlesOfParts>
  <Company>ERO</Company>
  <LinksUpToDate>false</LinksUpToDate>
  <CharactersWithSpaces>2704</CharactersWithSpaces>
  <SharedDoc>false</SharedDoc>
  <HLinks>
    <vt:vector size="6" baseType="variant">
      <vt:variant>
        <vt:i4>6357114</vt:i4>
      </vt:variant>
      <vt:variant>
        <vt:i4>0</vt:i4>
      </vt:variant>
      <vt:variant>
        <vt:i4>0</vt:i4>
      </vt:variant>
      <vt:variant>
        <vt:i4>5</vt:i4>
      </vt:variant>
      <vt:variant>
        <vt:lpwstr>http://tractool.seamcat.org/ticket/1172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STG(09)26</dc:title>
  <dc:creator>Jean-Philippe Kermoal (ERO)</dc:creator>
  <cp:lastModifiedBy>Jean-Philippe Kermoal</cp:lastModifiedBy>
  <cp:revision>19</cp:revision>
  <cp:lastPrinted>2012-10-01T07:50:00Z</cp:lastPrinted>
  <dcterms:created xsi:type="dcterms:W3CDTF">2014-04-17T11:18:00Z</dcterms:created>
  <dcterms:modified xsi:type="dcterms:W3CDTF">2014-06-10T11:15:00Z</dcterms:modified>
</cp:coreProperties>
</file>