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CC" w:rsidRPr="001275B5" w:rsidRDefault="00A309CC" w:rsidP="00A309CC">
      <w:pPr>
        <w:jc w:val="right"/>
        <w:rPr>
          <w:b/>
        </w:rPr>
      </w:pPr>
      <w:proofErr w:type="gramStart"/>
      <w:r w:rsidRPr="001275B5">
        <w:rPr>
          <w:b/>
        </w:rPr>
        <w:t>STG(</w:t>
      </w:r>
      <w:proofErr w:type="gramEnd"/>
      <w:r w:rsidRPr="001275B5">
        <w:rPr>
          <w:b/>
        </w:rPr>
        <w:t>11)</w:t>
      </w:r>
      <w:r>
        <w:rPr>
          <w:b/>
        </w:rPr>
        <w:t>67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551"/>
      </w:tblGrid>
      <w:tr w:rsidR="00A309CC" w:rsidRPr="001275B5" w:rsidTr="00AA750E">
        <w:trPr>
          <w:cantSplit/>
        </w:trPr>
        <w:tc>
          <w:tcPr>
            <w:tcW w:w="6663" w:type="dxa"/>
          </w:tcPr>
          <w:p w:rsidR="00A309CC" w:rsidRPr="001275B5" w:rsidRDefault="00A309CC" w:rsidP="00A309CC">
            <w:pPr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>
                  <wp:extent cx="1630680" cy="8394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A309CC" w:rsidRPr="001275B5" w:rsidRDefault="00A309CC" w:rsidP="00AA750E"/>
        </w:tc>
      </w:tr>
      <w:tr w:rsidR="00A309CC" w:rsidRPr="001275B5" w:rsidTr="00AA750E">
        <w:tc>
          <w:tcPr>
            <w:tcW w:w="6663" w:type="dxa"/>
          </w:tcPr>
          <w:p w:rsidR="00A309CC" w:rsidRPr="00407BEE" w:rsidRDefault="00A309CC" w:rsidP="00AA750E">
            <w:pPr>
              <w:rPr>
                <w:b/>
                <w:lang w:val="en-GB"/>
              </w:rPr>
            </w:pPr>
            <w:r w:rsidRPr="00407BEE">
              <w:rPr>
                <w:b/>
                <w:lang w:val="en-GB"/>
              </w:rPr>
              <w:t>STG #3</w:t>
            </w:r>
            <w:r>
              <w:rPr>
                <w:b/>
                <w:lang w:val="en-GB"/>
              </w:rPr>
              <w:t>1</w:t>
            </w:r>
          </w:p>
          <w:p w:rsidR="00A309CC" w:rsidRPr="00407BEE" w:rsidRDefault="00A309CC" w:rsidP="00AA750E">
            <w:pPr>
              <w:rPr>
                <w:b/>
                <w:lang w:val="en-GB"/>
              </w:rPr>
            </w:pPr>
            <w:r w:rsidRPr="00407BEE">
              <w:rPr>
                <w:b/>
                <w:lang w:val="en-GB"/>
              </w:rPr>
              <w:t>WGSE - SEAMCAT Technical Group</w:t>
            </w:r>
          </w:p>
          <w:p w:rsidR="00A309CC" w:rsidRPr="00407BEE" w:rsidRDefault="00A309CC" w:rsidP="00AA750E">
            <w:pPr>
              <w:rPr>
                <w:b/>
                <w:lang w:val="en-GB"/>
              </w:rPr>
            </w:pPr>
            <w:r w:rsidRPr="00407BEE">
              <w:rPr>
                <w:b/>
                <w:lang w:val="en-GB"/>
              </w:rPr>
              <w:t>ECO, Copenhagen</w:t>
            </w:r>
          </w:p>
          <w:p w:rsidR="00A309CC" w:rsidRPr="001275B5" w:rsidRDefault="00B27632" w:rsidP="00A309CC">
            <w:pPr>
              <w:rPr>
                <w:b/>
              </w:rPr>
            </w:pPr>
            <w:proofErr w:type="spellStart"/>
            <w:r w:rsidRPr="00B27632">
              <w:rPr>
                <w:b/>
                <w:shd w:val="clear" w:color="auto" w:fill="FFFF00"/>
              </w:rPr>
              <w:t>Webmeeting</w:t>
            </w:r>
            <w:proofErr w:type="spellEnd"/>
            <w:r w:rsidRPr="00B27632">
              <w:rPr>
                <w:b/>
                <w:shd w:val="clear" w:color="auto" w:fill="FFFF00"/>
              </w:rPr>
              <w:t>: date</w:t>
            </w:r>
          </w:p>
        </w:tc>
        <w:tc>
          <w:tcPr>
            <w:tcW w:w="2551" w:type="dxa"/>
          </w:tcPr>
          <w:p w:rsidR="00A309CC" w:rsidRPr="001275B5" w:rsidRDefault="00A309CC" w:rsidP="00AA750E"/>
          <w:p w:rsidR="00A309CC" w:rsidRPr="001275B5" w:rsidRDefault="00A309CC" w:rsidP="00AA750E"/>
          <w:p w:rsidR="00A309CC" w:rsidRPr="001275B5" w:rsidRDefault="00A309CC" w:rsidP="00AA750E"/>
        </w:tc>
      </w:tr>
      <w:tr w:rsidR="00A309CC" w:rsidRPr="00407BEE" w:rsidTr="00AA750E">
        <w:trPr>
          <w:cantSplit/>
          <w:trHeight w:val="513"/>
        </w:trPr>
        <w:tc>
          <w:tcPr>
            <w:tcW w:w="92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CC" w:rsidRPr="00407BEE" w:rsidRDefault="00A309CC" w:rsidP="00AA750E">
            <w:pPr>
              <w:ind w:left="993" w:hanging="993"/>
              <w:rPr>
                <w:b/>
                <w:lang w:val="en-GB"/>
              </w:rPr>
            </w:pPr>
            <w:r w:rsidRPr="00407BEE">
              <w:rPr>
                <w:b/>
                <w:lang w:val="en-GB"/>
              </w:rPr>
              <w:t xml:space="preserve">Date Issued: </w:t>
            </w:r>
            <w:r w:rsidRPr="00A309CC">
              <w:rPr>
                <w:lang w:val="en-GB"/>
              </w:rPr>
              <w:t>07/11/2011</w:t>
            </w:r>
          </w:p>
          <w:p w:rsidR="00A309CC" w:rsidRPr="00407BEE" w:rsidRDefault="00A309CC" w:rsidP="00AA750E">
            <w:pPr>
              <w:ind w:left="993" w:hanging="993"/>
              <w:rPr>
                <w:b/>
                <w:lang w:val="en-GB"/>
              </w:rPr>
            </w:pPr>
            <w:r w:rsidRPr="00407BEE">
              <w:rPr>
                <w:b/>
                <w:lang w:val="en-GB"/>
              </w:rPr>
              <w:t xml:space="preserve">Source : </w:t>
            </w:r>
            <w:r w:rsidRPr="00407BEE">
              <w:rPr>
                <w:b/>
                <w:lang w:val="en-GB"/>
              </w:rPr>
              <w:tab/>
            </w:r>
            <w:r w:rsidRPr="00A309CC">
              <w:rPr>
                <w:lang w:val="en-GB"/>
              </w:rPr>
              <w:t>SE24</w:t>
            </w:r>
          </w:p>
          <w:p w:rsidR="00A309CC" w:rsidRPr="00407BEE" w:rsidRDefault="00A309CC" w:rsidP="00AA750E">
            <w:pPr>
              <w:ind w:left="993" w:hanging="993"/>
              <w:rPr>
                <w:lang w:val="en-GB"/>
              </w:rPr>
            </w:pPr>
            <w:r w:rsidRPr="00407BEE">
              <w:rPr>
                <w:b/>
                <w:lang w:val="en-GB"/>
              </w:rPr>
              <w:t xml:space="preserve">Subject: </w:t>
            </w:r>
            <w:r w:rsidRPr="00407BEE">
              <w:rPr>
                <w:lang w:val="en-GB"/>
              </w:rPr>
              <w:tab/>
            </w:r>
            <w:r w:rsidRPr="00A309CC">
              <w:rPr>
                <w:lang w:val="en-GB"/>
              </w:rPr>
              <w:t>Liaison Statement to STG on the implementation of LDC and LBT within SEAMCAT</w:t>
            </w:r>
          </w:p>
        </w:tc>
      </w:tr>
    </w:tbl>
    <w:p w:rsidR="00A309CC" w:rsidRDefault="00A309CC"/>
    <w:p w:rsidR="00617669" w:rsidRDefault="00617669">
      <w:r>
        <w:t>Dear Jean-Philippe,</w:t>
      </w:r>
    </w:p>
    <w:p w:rsidR="00617669" w:rsidRDefault="00617669">
      <w:r>
        <w:t xml:space="preserve">During its 62th meeting (27-28 October 2011), SE24 discussed the possible implementation of a time domain Monte Carlo feature in SEAMCAT in order to simulate the coexistence of </w:t>
      </w:r>
      <w:r w:rsidR="00C713F6">
        <w:t>Duty Cycle (</w:t>
      </w:r>
      <w:r>
        <w:t>DC</w:t>
      </w:r>
      <w:r w:rsidR="00C713F6">
        <w:t>)</w:t>
      </w:r>
      <w:r>
        <w:t xml:space="preserve"> and </w:t>
      </w:r>
      <w:r w:rsidR="00C713F6">
        <w:t>Listen Before Talk (</w:t>
      </w:r>
      <w:r>
        <w:t>LBT</w:t>
      </w:r>
      <w:r w:rsidR="00C713F6">
        <w:t>)</w:t>
      </w:r>
      <w:r>
        <w:t xml:space="preserve"> applications in the time d</w:t>
      </w:r>
      <w:bookmarkStart w:id="0" w:name="_GoBack"/>
      <w:bookmarkEnd w:id="0"/>
      <w:r>
        <w:t xml:space="preserve">omain. Several work items in the scope of SE24 include consideration on DC (work items SE24_23, SE24_37, SE24_41…); therefore there is an interest within SE24 to conduct simulations considering the temporal aspect using SEAMCAT tool.SE24 would like to get guidance on the current possibility to reflect the </w:t>
      </w:r>
      <w:r w:rsidR="00C713F6">
        <w:t xml:space="preserve">listening and </w:t>
      </w:r>
      <w:r>
        <w:t>temporal aspects in the simulations and the possible procedure to implement further such module</w:t>
      </w:r>
      <w:r w:rsidR="00C713F6">
        <w:t>s</w:t>
      </w:r>
      <w:r>
        <w:t xml:space="preserve"> in the tool. </w:t>
      </w:r>
    </w:p>
    <w:p w:rsidR="00617669" w:rsidRDefault="00617669">
      <w:r>
        <w:t xml:space="preserve">STG may need to note that some calculations are currently conducted in SE24 considering aspects in the time domain in the framework of work item SE24_23. Those calculations are partly based on </w:t>
      </w:r>
      <w:smartTag w:uri="urn:schemas-microsoft-com:office:smarttags" w:element="place">
        <w:r>
          <w:t>Monte Carlo</w:t>
        </w:r>
      </w:smartTag>
      <w:r>
        <w:t xml:space="preserve"> approach. The contents of these </w:t>
      </w:r>
      <w:hyperlink r:id="rId6" w:history="1">
        <w:r w:rsidRPr="00CF22D1">
          <w:rPr>
            <w:rStyle w:val="Hyperlink"/>
          </w:rPr>
          <w:t>calculations</w:t>
        </w:r>
      </w:hyperlink>
      <w:r>
        <w:t xml:space="preserve"> could be </w:t>
      </w:r>
      <w:r w:rsidR="00C713F6">
        <w:t xml:space="preserve">possibly </w:t>
      </w:r>
      <w:r>
        <w:t xml:space="preserve">used in the process of developing </w:t>
      </w:r>
      <w:r w:rsidR="00C713F6">
        <w:t>additional</w:t>
      </w:r>
      <w:r>
        <w:t xml:space="preserve"> specification</w:t>
      </w:r>
      <w:r w:rsidR="00C713F6">
        <w:t>s</w:t>
      </w:r>
      <w:r>
        <w:t xml:space="preserve"> for DC</w:t>
      </w:r>
      <w:r w:rsidR="00C713F6">
        <w:t xml:space="preserve"> and LBT</w:t>
      </w:r>
      <w:r>
        <w:t>.</w:t>
      </w:r>
    </w:p>
    <w:p w:rsidR="00617669" w:rsidRDefault="00617669">
      <w:r>
        <w:t>STG may need to note that there is currently limited resource available within SE24 to allocate to the possible support in implementing a temporal component within SEAMCAT due to the current workload of the group. However, guidance from STG would be appreciated on this matter.</w:t>
      </w:r>
    </w:p>
    <w:p w:rsidR="00617669" w:rsidRDefault="00617669">
      <w:r>
        <w:t>Best regards,</w:t>
      </w:r>
    </w:p>
    <w:p w:rsidR="00617669" w:rsidRDefault="00617669">
      <w:r>
        <w:t>Marc Le Devendec</w:t>
      </w:r>
    </w:p>
    <w:sectPr w:rsidR="00617669" w:rsidSect="00793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D1"/>
    <w:rsid w:val="00035A55"/>
    <w:rsid w:val="0030071B"/>
    <w:rsid w:val="0038196B"/>
    <w:rsid w:val="00617669"/>
    <w:rsid w:val="006D6A0D"/>
    <w:rsid w:val="0079374E"/>
    <w:rsid w:val="00A309CC"/>
    <w:rsid w:val="00A93A7A"/>
    <w:rsid w:val="00B27632"/>
    <w:rsid w:val="00B50DFC"/>
    <w:rsid w:val="00C713F6"/>
    <w:rsid w:val="00C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4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F22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F22D1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A309CC"/>
    <w:pPr>
      <w:spacing w:after="120" w:line="240" w:lineRule="auto"/>
    </w:pPr>
    <w:rPr>
      <w:rFonts w:ascii="New York" w:eastAsia="Times New Roman" w:hAnsi="New York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309CC"/>
    <w:rPr>
      <w:rFonts w:ascii="New York" w:eastAsia="Times New Roman" w:hAnsi="New York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C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4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F22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F22D1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A309CC"/>
    <w:pPr>
      <w:spacing w:after="120" w:line="240" w:lineRule="auto"/>
    </w:pPr>
    <w:rPr>
      <w:rFonts w:ascii="New York" w:eastAsia="Times New Roman" w:hAnsi="New York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309CC"/>
    <w:rPr>
      <w:rFonts w:ascii="New York" w:eastAsia="Times New Roman" w:hAnsi="New York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C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pt.org/Documents/se-24/2697/DG02_LBT_TD_MC-Analysis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Jean-Philippe,</vt:lpstr>
    </vt:vector>
  </TitlesOfParts>
  <Company>ERO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Jean-Philippe,</dc:title>
  <dc:subject/>
  <dc:creator>ERO</dc:creator>
  <cp:keywords/>
  <dc:description/>
  <cp:lastModifiedBy>Jean-Philippe Kermoal</cp:lastModifiedBy>
  <cp:revision>5</cp:revision>
  <dcterms:created xsi:type="dcterms:W3CDTF">2011-10-28T09:53:00Z</dcterms:created>
  <dcterms:modified xsi:type="dcterms:W3CDTF">2011-11-08T08:38:00Z</dcterms:modified>
</cp:coreProperties>
</file>