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0" w:type="dxa"/>
        <w:tblLayout w:type="fixed"/>
        <w:tblCellMar>
          <w:left w:w="70" w:type="dxa"/>
          <w:right w:w="70" w:type="dxa"/>
        </w:tblCellMar>
        <w:tblLook w:val="0000"/>
      </w:tblPr>
      <w:tblGrid>
        <w:gridCol w:w="5529"/>
        <w:gridCol w:w="1134"/>
        <w:gridCol w:w="2976"/>
      </w:tblGrid>
      <w:tr w:rsidR="005F2C7C">
        <w:trPr>
          <w:cantSplit/>
        </w:trPr>
        <w:tc>
          <w:tcPr>
            <w:tcW w:w="5529" w:type="dxa"/>
            <w:tcBorders>
              <w:top w:val="nil"/>
              <w:left w:val="nil"/>
              <w:bottom w:val="nil"/>
              <w:right w:val="nil"/>
            </w:tcBorders>
          </w:tcPr>
          <w:p w:rsidR="005F2C7C" w:rsidRDefault="005F2C7C" w:rsidP="003662C1">
            <w:pPr>
              <w:ind w:right="282"/>
              <w:rPr>
                <w:rFonts w:ascii="Arial" w:hAnsi="Arial" w:cs="Arial"/>
                <w:sz w:val="22"/>
                <w:szCs w:val="22"/>
              </w:rPr>
            </w:pPr>
            <w:r>
              <w:rPr>
                <w:rFonts w:ascii="Arial" w:hAnsi="Arial" w:cs="Arial"/>
                <w:sz w:val="22"/>
                <w:szCs w:val="22"/>
              </w:rPr>
              <w:t>Annex7</w:t>
            </w:r>
          </w:p>
          <w:p w:rsidR="005F2C7C" w:rsidRDefault="005F2C7C" w:rsidP="003662C1">
            <w:pPr>
              <w:ind w:right="282"/>
              <w:rPr>
                <w:rFonts w:ascii="Arial" w:hAnsi="Arial" w:cs="Arial"/>
                <w:b/>
                <w:sz w:val="22"/>
                <w:szCs w:val="22"/>
              </w:rPr>
            </w:pPr>
          </w:p>
        </w:tc>
        <w:tc>
          <w:tcPr>
            <w:tcW w:w="1134" w:type="dxa"/>
            <w:tcBorders>
              <w:top w:val="nil"/>
              <w:left w:val="nil"/>
              <w:bottom w:val="nil"/>
              <w:right w:val="nil"/>
            </w:tcBorders>
          </w:tcPr>
          <w:p w:rsidR="005F2C7C" w:rsidRDefault="005F2C7C">
            <w:pPr>
              <w:ind w:right="282"/>
              <w:jc w:val="both"/>
              <w:rPr>
                <w:rFonts w:ascii="Arial" w:hAnsi="Arial" w:cs="Arial"/>
                <w:sz w:val="22"/>
                <w:szCs w:val="22"/>
              </w:rPr>
            </w:pPr>
          </w:p>
        </w:tc>
        <w:tc>
          <w:tcPr>
            <w:tcW w:w="2976" w:type="dxa"/>
            <w:tcBorders>
              <w:top w:val="nil"/>
              <w:left w:val="nil"/>
              <w:bottom w:val="nil"/>
              <w:right w:val="nil"/>
            </w:tcBorders>
          </w:tcPr>
          <w:p w:rsidR="005F2C7C" w:rsidRDefault="005F2C7C">
            <w:pPr>
              <w:ind w:right="282"/>
              <w:jc w:val="both"/>
              <w:rPr>
                <w:rFonts w:ascii="Arial" w:hAnsi="Arial" w:cs="Arial"/>
                <w:sz w:val="22"/>
                <w:szCs w:val="22"/>
              </w:rPr>
            </w:pPr>
            <w:r w:rsidRPr="00EB0160">
              <w:rPr>
                <w:rFonts w:ascii="Arial" w:hAnsi="Arial" w:cs="Arial"/>
                <w:b/>
                <w:noProof/>
                <w:sz w:val="22"/>
                <w:szCs w:val="22"/>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17pt;height:60.75pt;visibility:visible">
                  <v:imagedata r:id="rId7" o:title=""/>
                </v:shape>
              </w:pict>
            </w:r>
          </w:p>
        </w:tc>
      </w:tr>
      <w:tr w:rsidR="005F2C7C">
        <w:trPr>
          <w:cantSplit/>
        </w:trPr>
        <w:tc>
          <w:tcPr>
            <w:tcW w:w="5529" w:type="dxa"/>
            <w:tcBorders>
              <w:top w:val="nil"/>
              <w:left w:val="nil"/>
              <w:bottom w:val="nil"/>
              <w:right w:val="nil"/>
            </w:tcBorders>
          </w:tcPr>
          <w:p w:rsidR="005F2C7C" w:rsidRPr="00284AC7" w:rsidRDefault="005F2C7C">
            <w:pPr>
              <w:rPr>
                <w:rFonts w:ascii="Arial" w:hAnsi="Arial" w:cs="Arial"/>
                <w:sz w:val="22"/>
                <w:szCs w:val="22"/>
                <w:u w:val="single"/>
              </w:rPr>
            </w:pPr>
            <w:r w:rsidRPr="00284AC7">
              <w:rPr>
                <w:rFonts w:ascii="Arial" w:hAnsi="Arial" w:cs="Arial"/>
                <w:sz w:val="22"/>
                <w:szCs w:val="22"/>
                <w:u w:val="single"/>
              </w:rPr>
              <w:t>To:</w:t>
            </w:r>
          </w:p>
          <w:p w:rsidR="005F2C7C" w:rsidRDefault="005F2C7C">
            <w:pPr>
              <w:rPr>
                <w:rFonts w:ascii="Arial" w:hAnsi="Arial" w:cs="Arial"/>
                <w:sz w:val="22"/>
                <w:szCs w:val="22"/>
              </w:rPr>
            </w:pPr>
          </w:p>
          <w:p w:rsidR="005F2C7C" w:rsidRPr="00E42074" w:rsidRDefault="005F2C7C">
            <w:pPr>
              <w:rPr>
                <w:rFonts w:ascii="Arial" w:hAnsi="Arial" w:cs="Arial"/>
                <w:sz w:val="22"/>
                <w:szCs w:val="22"/>
              </w:rPr>
            </w:pPr>
            <w:r w:rsidRPr="00E42074">
              <w:rPr>
                <w:rFonts w:ascii="Arial" w:hAnsi="Arial" w:cs="Arial"/>
                <w:sz w:val="22"/>
                <w:szCs w:val="22"/>
              </w:rPr>
              <w:t xml:space="preserve">Mr. </w:t>
            </w:r>
            <w:r>
              <w:rPr>
                <w:rFonts w:ascii="Arial" w:hAnsi="Arial" w:cs="Arial"/>
                <w:sz w:val="22"/>
                <w:szCs w:val="22"/>
              </w:rPr>
              <w:t>Jean-Philippe Kermoal</w:t>
            </w:r>
          </w:p>
          <w:p w:rsidR="005F2C7C" w:rsidRDefault="005F2C7C">
            <w:pPr>
              <w:rPr>
                <w:rFonts w:ascii="Arial" w:hAnsi="Arial" w:cs="Arial"/>
                <w:sz w:val="22"/>
                <w:szCs w:val="22"/>
              </w:rPr>
            </w:pPr>
          </w:p>
          <w:p w:rsidR="005F2C7C" w:rsidRPr="00E42074" w:rsidRDefault="005F2C7C">
            <w:pPr>
              <w:rPr>
                <w:rFonts w:ascii="Arial" w:hAnsi="Arial" w:cs="Arial"/>
                <w:sz w:val="22"/>
                <w:szCs w:val="22"/>
              </w:rPr>
            </w:pPr>
            <w:r>
              <w:rPr>
                <w:rFonts w:ascii="Arial" w:hAnsi="Arial" w:cs="Arial"/>
                <w:sz w:val="22"/>
                <w:szCs w:val="22"/>
              </w:rPr>
              <w:t>Chairman STG</w:t>
            </w:r>
          </w:p>
          <w:p w:rsidR="005F2C7C" w:rsidRPr="001A71D4" w:rsidRDefault="005F2C7C" w:rsidP="004B7E6B">
            <w:pPr>
              <w:rPr>
                <w:rFonts w:ascii="Arial" w:hAnsi="Arial" w:cs="Arial"/>
                <w:sz w:val="22"/>
                <w:szCs w:val="22"/>
              </w:rPr>
            </w:pPr>
          </w:p>
        </w:tc>
        <w:tc>
          <w:tcPr>
            <w:tcW w:w="1134" w:type="dxa"/>
            <w:tcBorders>
              <w:top w:val="nil"/>
              <w:left w:val="nil"/>
              <w:bottom w:val="nil"/>
              <w:right w:val="nil"/>
            </w:tcBorders>
          </w:tcPr>
          <w:p w:rsidR="005F2C7C" w:rsidRPr="001A71D4" w:rsidRDefault="005F2C7C">
            <w:pPr>
              <w:jc w:val="both"/>
              <w:rPr>
                <w:rFonts w:ascii="Arial" w:hAnsi="Arial" w:cs="Arial"/>
                <w:sz w:val="22"/>
                <w:szCs w:val="22"/>
              </w:rPr>
            </w:pPr>
          </w:p>
        </w:tc>
        <w:tc>
          <w:tcPr>
            <w:tcW w:w="2976" w:type="dxa"/>
            <w:tcBorders>
              <w:top w:val="nil"/>
              <w:left w:val="nil"/>
              <w:bottom w:val="nil"/>
              <w:right w:val="nil"/>
            </w:tcBorders>
          </w:tcPr>
          <w:p w:rsidR="005F2C7C" w:rsidRPr="001A71D4" w:rsidRDefault="005F2C7C">
            <w:pPr>
              <w:jc w:val="both"/>
              <w:rPr>
                <w:rFonts w:ascii="Arial" w:hAnsi="Arial" w:cs="Arial"/>
                <w:color w:val="000000"/>
                <w:sz w:val="22"/>
                <w:szCs w:val="22"/>
              </w:rPr>
            </w:pPr>
          </w:p>
          <w:p w:rsidR="005F2C7C" w:rsidRPr="001A71D4" w:rsidRDefault="005F2C7C">
            <w:pPr>
              <w:jc w:val="both"/>
              <w:rPr>
                <w:rFonts w:ascii="Arial" w:hAnsi="Arial" w:cs="Arial"/>
                <w:sz w:val="22"/>
                <w:szCs w:val="22"/>
              </w:rPr>
            </w:pPr>
          </w:p>
        </w:tc>
      </w:tr>
      <w:tr w:rsidR="005F2C7C">
        <w:trPr>
          <w:cantSplit/>
        </w:trPr>
        <w:tc>
          <w:tcPr>
            <w:tcW w:w="6663" w:type="dxa"/>
            <w:gridSpan w:val="2"/>
            <w:tcBorders>
              <w:top w:val="nil"/>
              <w:left w:val="nil"/>
              <w:bottom w:val="nil"/>
              <w:right w:val="nil"/>
            </w:tcBorders>
          </w:tcPr>
          <w:p w:rsidR="005F2C7C" w:rsidRPr="001A71D4" w:rsidRDefault="005F2C7C" w:rsidP="003662C1">
            <w:pPr>
              <w:rPr>
                <w:rFonts w:ascii="Arial" w:hAnsi="Arial" w:cs="Arial"/>
                <w:sz w:val="22"/>
                <w:szCs w:val="22"/>
              </w:rPr>
            </w:pPr>
          </w:p>
          <w:p w:rsidR="005F2C7C" w:rsidRPr="001A71D4" w:rsidRDefault="005F2C7C" w:rsidP="003662C1">
            <w:pPr>
              <w:rPr>
                <w:rFonts w:ascii="Arial" w:hAnsi="Arial" w:cs="Arial"/>
                <w:sz w:val="22"/>
                <w:szCs w:val="22"/>
              </w:rPr>
            </w:pPr>
          </w:p>
        </w:tc>
        <w:tc>
          <w:tcPr>
            <w:tcW w:w="2976" w:type="dxa"/>
            <w:tcBorders>
              <w:top w:val="nil"/>
              <w:left w:val="nil"/>
              <w:bottom w:val="nil"/>
              <w:right w:val="nil"/>
            </w:tcBorders>
          </w:tcPr>
          <w:p w:rsidR="005F2C7C" w:rsidRDefault="005F2C7C" w:rsidP="00C82422">
            <w:pPr>
              <w:jc w:val="right"/>
              <w:rPr>
                <w:rFonts w:ascii="Arial" w:hAnsi="Arial" w:cs="Arial"/>
                <w:sz w:val="22"/>
                <w:szCs w:val="22"/>
              </w:rPr>
            </w:pPr>
            <w:r>
              <w:rPr>
                <w:rFonts w:ascii="Arial" w:hAnsi="Arial" w:cs="Arial"/>
                <w:sz w:val="22"/>
                <w:szCs w:val="22"/>
              </w:rPr>
              <w:t>Date: 28 August 2012</w:t>
            </w:r>
          </w:p>
        </w:tc>
      </w:tr>
      <w:tr w:rsidR="005F2C7C">
        <w:trPr>
          <w:cantSplit/>
        </w:trPr>
        <w:tc>
          <w:tcPr>
            <w:tcW w:w="9639" w:type="dxa"/>
            <w:gridSpan w:val="3"/>
            <w:tcBorders>
              <w:top w:val="nil"/>
              <w:left w:val="nil"/>
              <w:bottom w:val="nil"/>
              <w:right w:val="nil"/>
            </w:tcBorders>
          </w:tcPr>
          <w:p w:rsidR="005F2C7C" w:rsidRDefault="005F2C7C" w:rsidP="003662C1">
            <w:pPr>
              <w:rPr>
                <w:rFonts w:ascii="Arial" w:hAnsi="Arial" w:cs="Arial"/>
                <w:sz w:val="22"/>
                <w:szCs w:val="22"/>
              </w:rPr>
            </w:pPr>
            <w:r>
              <w:rPr>
                <w:rFonts w:ascii="Arial" w:hAnsi="Arial" w:cs="Arial"/>
                <w:sz w:val="22"/>
                <w:szCs w:val="22"/>
              </w:rPr>
              <w:t>Source:</w:t>
            </w:r>
            <w:r>
              <w:rPr>
                <w:rFonts w:ascii="Arial" w:hAnsi="Arial" w:cs="Arial"/>
                <w:sz w:val="22"/>
                <w:szCs w:val="22"/>
              </w:rPr>
              <w:tab/>
              <w:t>Project Team SE PT 2</w:t>
            </w:r>
            <w:smartTag w:uri="urn:schemas-microsoft-com:office:smarttags" w:element="PersonName">
              <w:r>
                <w:rPr>
                  <w:rFonts w:ascii="Arial" w:hAnsi="Arial" w:cs="Arial"/>
                  <w:sz w:val="22"/>
                  <w:szCs w:val="22"/>
                </w:rPr>
                <w:t>4</w:t>
              </w:r>
            </w:smartTag>
          </w:p>
          <w:p w:rsidR="005F2C7C" w:rsidRDefault="005F2C7C" w:rsidP="003662C1">
            <w:pPr>
              <w:rPr>
                <w:rFonts w:ascii="Arial" w:hAnsi="Arial" w:cs="Arial"/>
                <w:sz w:val="22"/>
                <w:szCs w:val="22"/>
              </w:rPr>
            </w:pPr>
          </w:p>
        </w:tc>
      </w:tr>
      <w:tr w:rsidR="005F2C7C">
        <w:trPr>
          <w:cantSplit/>
        </w:trPr>
        <w:tc>
          <w:tcPr>
            <w:tcW w:w="9639" w:type="dxa"/>
            <w:gridSpan w:val="3"/>
            <w:tcBorders>
              <w:top w:val="nil"/>
              <w:left w:val="nil"/>
              <w:bottom w:val="nil"/>
              <w:right w:val="nil"/>
            </w:tcBorders>
          </w:tcPr>
          <w:p w:rsidR="005F2C7C" w:rsidRDefault="005F2C7C" w:rsidP="003662C1">
            <w:pPr>
              <w:rPr>
                <w:rFonts w:ascii="Arial" w:hAnsi="Arial" w:cs="Arial"/>
                <w:sz w:val="22"/>
                <w:szCs w:val="22"/>
              </w:rPr>
            </w:pPr>
          </w:p>
          <w:p w:rsidR="005F2C7C" w:rsidRPr="00A7759D" w:rsidRDefault="005F2C7C" w:rsidP="003662C1">
            <w:pPr>
              <w:rPr>
                <w:rFonts w:ascii="Arial" w:hAnsi="Arial" w:cs="Arial"/>
                <w:b/>
                <w:bCs/>
                <w:sz w:val="22"/>
                <w:szCs w:val="22"/>
              </w:rPr>
            </w:pPr>
            <w:r>
              <w:rPr>
                <w:rFonts w:ascii="Arial" w:hAnsi="Arial" w:cs="Arial"/>
                <w:b/>
                <w:bCs/>
                <w:sz w:val="22"/>
                <w:szCs w:val="22"/>
              </w:rPr>
              <w:t>Subject:         SEAMCAT</w:t>
            </w:r>
          </w:p>
          <w:p w:rsidR="005F2C7C" w:rsidRDefault="005F2C7C" w:rsidP="00E14332">
            <w:pPr>
              <w:ind w:left="1430"/>
              <w:rPr>
                <w:rFonts w:ascii="Arial" w:hAnsi="Arial" w:cs="Arial"/>
                <w:b/>
                <w:bCs/>
                <w:sz w:val="22"/>
                <w:szCs w:val="22"/>
              </w:rPr>
            </w:pPr>
            <w:r w:rsidRPr="00A7759D">
              <w:rPr>
                <w:rFonts w:ascii="Arial" w:hAnsi="Arial" w:cs="Arial"/>
                <w:b/>
                <w:bCs/>
                <w:sz w:val="22"/>
                <w:szCs w:val="22"/>
              </w:rPr>
              <w:tab/>
            </w:r>
            <w:r>
              <w:rPr>
                <w:rFonts w:ascii="Arial" w:hAnsi="Arial" w:cs="Arial"/>
                <w:b/>
                <w:bCs/>
                <w:sz w:val="22"/>
                <w:szCs w:val="22"/>
              </w:rPr>
              <w:t xml:space="preserve"> </w:t>
            </w:r>
          </w:p>
          <w:p w:rsidR="005F2C7C" w:rsidRDefault="005F2C7C" w:rsidP="003662C1">
            <w:pPr>
              <w:spacing w:after="120"/>
              <w:rPr>
                <w:rFonts w:ascii="Arial" w:hAnsi="Arial" w:cs="Arial"/>
                <w:b/>
                <w:sz w:val="22"/>
                <w:szCs w:val="22"/>
              </w:rPr>
            </w:pPr>
          </w:p>
        </w:tc>
      </w:tr>
      <w:tr w:rsidR="005F2C7C">
        <w:trPr>
          <w:cantSplit/>
        </w:trPr>
        <w:tc>
          <w:tcPr>
            <w:tcW w:w="9639" w:type="dxa"/>
            <w:gridSpan w:val="3"/>
            <w:tcBorders>
              <w:top w:val="nil"/>
              <w:left w:val="nil"/>
              <w:bottom w:val="nil"/>
              <w:right w:val="nil"/>
            </w:tcBorders>
          </w:tcPr>
          <w:p w:rsidR="005F2C7C" w:rsidRDefault="005F2C7C" w:rsidP="003662C1">
            <w:pPr>
              <w:spacing w:after="120"/>
              <w:rPr>
                <w:rFonts w:ascii="Arial" w:hAnsi="Arial" w:cs="Arial"/>
                <w:sz w:val="22"/>
                <w:szCs w:val="22"/>
              </w:rPr>
            </w:pPr>
          </w:p>
        </w:tc>
      </w:tr>
    </w:tbl>
    <w:p w:rsidR="005F2C7C" w:rsidRDefault="005F2C7C" w:rsidP="00881985">
      <w:pPr>
        <w:rPr>
          <w:rFonts w:ascii="Arial" w:hAnsi="Arial" w:cs="Arial"/>
          <w:sz w:val="22"/>
          <w:szCs w:val="22"/>
          <w:lang w:eastAsia="en-GB"/>
        </w:rPr>
      </w:pPr>
    </w:p>
    <w:p w:rsidR="005F2C7C" w:rsidRDefault="005F2C7C" w:rsidP="004B7E6B">
      <w:pPr>
        <w:rPr>
          <w:lang w:eastAsia="en-GB"/>
        </w:rPr>
      </w:pPr>
      <w:r>
        <w:rPr>
          <w:lang w:eastAsia="en-GB"/>
        </w:rPr>
        <w:t>Dear Jean-Philippe,</w:t>
      </w:r>
      <w:bookmarkStart w:id="0" w:name="_GoBack"/>
      <w:bookmarkEnd w:id="0"/>
    </w:p>
    <w:p w:rsidR="005F2C7C" w:rsidRDefault="005F2C7C" w:rsidP="004B7E6B">
      <w:pPr>
        <w:rPr>
          <w:lang w:eastAsia="en-GB"/>
        </w:rPr>
      </w:pPr>
    </w:p>
    <w:p w:rsidR="005F2C7C" w:rsidRDefault="005F2C7C" w:rsidP="004B7E6B">
      <w:pPr>
        <w:rPr>
          <w:lang w:eastAsia="en-GB"/>
        </w:rPr>
      </w:pPr>
      <w:r>
        <w:rPr>
          <w:lang w:eastAsia="en-GB"/>
        </w:rPr>
        <w:t>During its last meeting (25-26 June 2012) SE2</w:t>
      </w:r>
      <w:smartTag w:uri="urn:schemas-microsoft-com:office:smarttags" w:element="PersonName">
        <w:r>
          <w:rPr>
            <w:lang w:eastAsia="en-GB"/>
          </w:rPr>
          <w:t>4</w:t>
        </w:r>
      </w:smartTag>
      <w:r>
        <w:rPr>
          <w:lang w:eastAsia="en-GB"/>
        </w:rPr>
        <w:t xml:space="preserve"> considered the liaison statement from STG (</w:t>
      </w:r>
      <w:r w:rsidRPr="004B7E6B">
        <w:rPr>
          <w:lang w:eastAsia="en-GB"/>
        </w:rPr>
        <w:t>M65_02</w:t>
      </w:r>
      <w:r>
        <w:rPr>
          <w:lang w:eastAsia="en-GB"/>
        </w:rPr>
        <w:t>R0_SE2</w:t>
      </w:r>
      <w:smartTag w:uri="urn:schemas-microsoft-com:office:smarttags" w:element="PersonName">
        <w:r>
          <w:rPr>
            <w:lang w:eastAsia="en-GB"/>
          </w:rPr>
          <w:t>4</w:t>
        </w:r>
      </w:smartTag>
      <w:r w:rsidRPr="004B7E6B">
        <w:rPr>
          <w:lang w:eastAsia="en-GB"/>
        </w:rPr>
        <w:t xml:space="preserve">) </w:t>
      </w:r>
      <w:r>
        <w:rPr>
          <w:lang w:eastAsia="en-GB"/>
        </w:rPr>
        <w:t>and since then SE2</w:t>
      </w:r>
      <w:smartTag w:uri="urn:schemas-microsoft-com:office:smarttags" w:element="PersonName">
        <w:r>
          <w:rPr>
            <w:lang w:eastAsia="en-GB"/>
          </w:rPr>
          <w:t>4</w:t>
        </w:r>
      </w:smartTag>
      <w:r>
        <w:rPr>
          <w:lang w:eastAsia="en-GB"/>
        </w:rPr>
        <w:t xml:space="preserve"> discussed via correspondence the next steps. Below we tried to summarise the relevant items which were reviewed and confirmed at this SE2</w:t>
      </w:r>
      <w:smartTag w:uri="urn:schemas-microsoft-com:office:smarttags" w:element="PersonName">
        <w:r>
          <w:rPr>
            <w:lang w:eastAsia="en-GB"/>
          </w:rPr>
          <w:t>4</w:t>
        </w:r>
      </w:smartTag>
      <w:r>
        <w:rPr>
          <w:lang w:eastAsia="en-GB"/>
        </w:rPr>
        <w:t xml:space="preserve"> meeting (27-28 August 2012).</w:t>
      </w:r>
    </w:p>
    <w:p w:rsidR="005F2C7C" w:rsidRDefault="005F2C7C" w:rsidP="004B7E6B">
      <w:pPr>
        <w:rPr>
          <w:szCs w:val="22"/>
          <w:lang w:eastAsia="en-GB"/>
        </w:rPr>
      </w:pPr>
    </w:p>
    <w:p w:rsidR="005F2C7C" w:rsidRPr="004B7E6B" w:rsidRDefault="005F2C7C" w:rsidP="00D3777B">
      <w:pPr>
        <w:rPr>
          <w:b/>
        </w:rPr>
      </w:pPr>
      <w:r>
        <w:rPr>
          <w:b/>
        </w:rPr>
        <w:t xml:space="preserve">Spectrum sensing with LBT- </w:t>
      </w:r>
      <w:r w:rsidRPr="004B7E6B">
        <w:rPr>
          <w:b/>
        </w:rPr>
        <w:t>Channel access techniques:</w:t>
      </w:r>
    </w:p>
    <w:p w:rsidR="005F2C7C" w:rsidRDefault="005F2C7C" w:rsidP="00D3777B">
      <w:pPr>
        <w:numPr>
          <w:ilvl w:val="0"/>
          <w:numId w:val="22"/>
        </w:numPr>
      </w:pPr>
      <w:r>
        <w:t xml:space="preserve">In your LS you suggested that SE24 should use the “cognitive feature” currently implemented in SEAMCAT in order to analyse LBT effects  </w:t>
      </w:r>
    </w:p>
    <w:p w:rsidR="005F2C7C" w:rsidRPr="004B7E6B" w:rsidRDefault="005F2C7C" w:rsidP="00D3777B">
      <w:pPr>
        <w:numPr>
          <w:ilvl w:val="0"/>
          <w:numId w:val="22"/>
        </w:numPr>
      </w:pPr>
      <w:r>
        <w:t>This is seen as appropriate, as long as the LBT is a simple “energy detector” which needs to detect the “victim link transmitter”; but t</w:t>
      </w:r>
      <w:r w:rsidRPr="004B7E6B">
        <w:t xml:space="preserve">he </w:t>
      </w:r>
      <w:r>
        <w:t>intension in SE2</w:t>
      </w:r>
      <w:smartTag w:uri="urn:schemas-microsoft-com:office:smarttags" w:element="PersonName">
        <w:r>
          <w:t>4</w:t>
        </w:r>
      </w:smartTag>
      <w:r>
        <w:t xml:space="preserve"> was more to analyse on channel-access level the </w:t>
      </w:r>
      <w:r w:rsidRPr="004B7E6B">
        <w:t>coexistence b</w:t>
      </w:r>
      <w:r>
        <w:t xml:space="preserve">etween different SRD techniques; we assume that this </w:t>
      </w:r>
      <w:r w:rsidRPr="004B7E6B">
        <w:t xml:space="preserve">can not easily be assesses with </w:t>
      </w:r>
      <w:r>
        <w:t xml:space="preserve">generic </w:t>
      </w:r>
      <w:r w:rsidRPr="004B7E6B">
        <w:t>SEAMCAT</w:t>
      </w:r>
      <w:r>
        <w:t xml:space="preserve"> simulations</w:t>
      </w:r>
      <w:r w:rsidRPr="004B7E6B">
        <w:t xml:space="preserve">, because the coexistence </w:t>
      </w:r>
      <w:r>
        <w:t>would be normally based</w:t>
      </w:r>
      <w:r w:rsidRPr="004B7E6B">
        <w:t xml:space="preserve"> on some harmonised channel access techniques (e.g. 802.11</w:t>
      </w:r>
      <w:r>
        <w:t xml:space="preserve"> </w:t>
      </w:r>
      <w:r w:rsidRPr="004B7E6B">
        <w:t>at 2.</w:t>
      </w:r>
      <w:smartTag w:uri="urn:schemas-microsoft-com:office:smarttags" w:element="PersonName">
        <w:r w:rsidRPr="004B7E6B">
          <w:t>4</w:t>
        </w:r>
      </w:smartTag>
      <w:r w:rsidRPr="004B7E6B">
        <w:t xml:space="preserve"> GHz). The simulation of a dynamic LBT as it is used in 802.11 (CSMA/CD) is not only the issue of defining a power threshold; the timing, the retries, all this </w:t>
      </w:r>
      <w:r>
        <w:t xml:space="preserve">would </w:t>
      </w:r>
      <w:r w:rsidRPr="004B7E6B">
        <w:t>needs to be specified.</w:t>
      </w:r>
      <w:r>
        <w:t xml:space="preserve"> An input contribution to SE2</w:t>
      </w:r>
      <w:smartTag w:uri="urn:schemas-microsoft-com:office:smarttags" w:element="PersonName">
        <w:r>
          <w:t>4</w:t>
        </w:r>
      </w:smartTag>
      <w:r>
        <w:t xml:space="preserve"> (M66_10R0_SE2</w:t>
      </w:r>
      <w:smartTag w:uri="urn:schemas-microsoft-com:office:smarttags" w:element="PersonName">
        <w:r>
          <w:t>4</w:t>
        </w:r>
      </w:smartTag>
      <w:r>
        <w:t>) includes a Java- Simulation, that considers those techniques.</w:t>
      </w:r>
    </w:p>
    <w:p w:rsidR="005F2C7C" w:rsidRPr="004B7E6B" w:rsidRDefault="005F2C7C" w:rsidP="00D3777B">
      <w:pPr>
        <w:numPr>
          <w:ilvl w:val="0"/>
          <w:numId w:val="22"/>
        </w:numPr>
      </w:pPr>
      <w:r w:rsidRPr="004B7E6B">
        <w:t>It is not clear if it is appropriate to implement such detailed channel access techniques into SEAMCAT.</w:t>
      </w:r>
      <w:r>
        <w:t xml:space="preserve"> Possibly as a plugin</w:t>
      </w:r>
      <w:r w:rsidRPr="004B7E6B">
        <w:t xml:space="preserve">? </w:t>
      </w:r>
      <w:r>
        <w:t>This</w:t>
      </w:r>
      <w:r w:rsidRPr="004B7E6B">
        <w:t xml:space="preserve"> would be a totally new approach in SEAMCAT. Each interfering transmitter would needs to "measure" the received power of all other interfering transmitters, </w:t>
      </w:r>
      <w:r>
        <w:t xml:space="preserve"> </w:t>
      </w:r>
      <w:r w:rsidRPr="004B7E6B">
        <w:t xml:space="preserve">that would </w:t>
      </w:r>
      <w:r>
        <w:t xml:space="preserve">possibly </w:t>
      </w:r>
      <w:r w:rsidRPr="004B7E6B">
        <w:t xml:space="preserve">require a new power vector. </w:t>
      </w:r>
    </w:p>
    <w:p w:rsidR="005F2C7C" w:rsidRPr="004B7E6B" w:rsidRDefault="005F2C7C" w:rsidP="00D3777B">
      <w:pPr>
        <w:numPr>
          <w:ilvl w:val="0"/>
          <w:numId w:val="22"/>
        </w:numPr>
      </w:pPr>
      <w:r w:rsidRPr="004B7E6B">
        <w:t>SE2</w:t>
      </w:r>
      <w:smartTag w:uri="urn:schemas-microsoft-com:office:smarttags" w:element="PersonName">
        <w:r w:rsidRPr="004B7E6B">
          <w:t>4</w:t>
        </w:r>
      </w:smartTag>
      <w:r w:rsidRPr="004B7E6B">
        <w:t xml:space="preserve"> believes that such a possible new implementation </w:t>
      </w:r>
      <w:r>
        <w:t>may</w:t>
      </w:r>
      <w:r w:rsidRPr="004B7E6B">
        <w:t xml:space="preserve"> be an issue just in the long term. </w:t>
      </w:r>
    </w:p>
    <w:p w:rsidR="005F2C7C" w:rsidRDefault="005F2C7C" w:rsidP="004B7E6B">
      <w:pPr>
        <w:rPr>
          <w:b/>
        </w:rPr>
      </w:pPr>
    </w:p>
    <w:p w:rsidR="005F2C7C" w:rsidRDefault="005F2C7C" w:rsidP="004B7E6B">
      <w:pPr>
        <w:rPr>
          <w:b/>
        </w:rPr>
      </w:pPr>
    </w:p>
    <w:p w:rsidR="005F2C7C" w:rsidRPr="004B7E6B" w:rsidRDefault="005F2C7C" w:rsidP="004B7E6B">
      <w:pPr>
        <w:rPr>
          <w:b/>
        </w:rPr>
      </w:pPr>
      <w:r>
        <w:rPr>
          <w:b/>
        </w:rPr>
        <w:t xml:space="preserve">Duty Cycle in the </w:t>
      </w:r>
      <w:r w:rsidRPr="004B7E6B">
        <w:rPr>
          <w:b/>
        </w:rPr>
        <w:t>None mode:</w:t>
      </w:r>
    </w:p>
    <w:p w:rsidR="005F2C7C" w:rsidRDefault="005F2C7C" w:rsidP="004B7E6B">
      <w:pPr>
        <w:numPr>
          <w:ilvl w:val="0"/>
          <w:numId w:val="19"/>
        </w:numPr>
      </w:pPr>
      <w:r>
        <w:t xml:space="preserve">We understand from your suggestions that one solution in the None mode is to consider the duty cycle as a cumulative power distribution of the interfering transmitter; </w:t>
      </w:r>
    </w:p>
    <w:p w:rsidR="005F2C7C" w:rsidRDefault="005F2C7C" w:rsidP="004B7E6B">
      <w:pPr>
        <w:numPr>
          <w:ilvl w:val="0"/>
          <w:numId w:val="19"/>
        </w:numPr>
      </w:pPr>
      <w:r>
        <w:t>The new solution you mentioned in your LS was to introduce a new input field for the DC in the “None” mode; we appreciate this new approach, but we think the consideration of the Duty Cycle in the Tx power definition is sufficient.</w:t>
      </w:r>
    </w:p>
    <w:p w:rsidR="005F2C7C" w:rsidRDefault="005F2C7C" w:rsidP="00D23466"/>
    <w:p w:rsidR="005F2C7C" w:rsidRPr="004B7E6B" w:rsidRDefault="005F2C7C" w:rsidP="00D23466">
      <w:r>
        <w:rPr>
          <w:b/>
        </w:rPr>
        <w:t xml:space="preserve">Duty Cycle in the </w:t>
      </w:r>
      <w:r w:rsidRPr="004B7E6B">
        <w:rPr>
          <w:b/>
        </w:rPr>
        <w:t>Uniform density mode</w:t>
      </w:r>
      <w:r>
        <w:rPr>
          <w:b/>
        </w:rPr>
        <w:t>:</w:t>
      </w:r>
    </w:p>
    <w:p w:rsidR="005F2C7C" w:rsidRDefault="005F2C7C" w:rsidP="004B7E6B">
      <w:pPr>
        <w:numPr>
          <w:ilvl w:val="0"/>
          <w:numId w:val="19"/>
        </w:numPr>
      </w:pPr>
      <w:r>
        <w:t>Within SE2</w:t>
      </w:r>
      <w:smartTag w:uri="urn:schemas-microsoft-com:office:smarttags" w:element="PersonName">
        <w:r>
          <w:t>4</w:t>
        </w:r>
      </w:smartTag>
      <w:r>
        <w:t xml:space="preserve"> concerns and questions were raised on the practical relevance and correctness of the Duty Cycle consideration in the uniform density mode.</w:t>
      </w:r>
    </w:p>
    <w:p w:rsidR="005F2C7C" w:rsidRPr="004B7E6B" w:rsidRDefault="005F2C7C" w:rsidP="004B7E6B">
      <w:pPr>
        <w:numPr>
          <w:ilvl w:val="0"/>
          <w:numId w:val="19"/>
        </w:numPr>
      </w:pPr>
      <w:r>
        <w:t xml:space="preserve">The </w:t>
      </w:r>
      <w:r w:rsidRPr="004B7E6B">
        <w:t xml:space="preserve">correlation between User density, Duty cycle, Active transmitters and simulation radius </w:t>
      </w:r>
      <w:r>
        <w:t>in the uniform density mode is possibly causing confusion. E</w:t>
      </w:r>
      <w:r w:rsidRPr="004B7E6B">
        <w:t xml:space="preserve">specially the prediction of the number of active transmitters (e.g. which no of active transmitters for uniform density 100, and Duty Cycle 1%, see Table below). </w:t>
      </w:r>
    </w:p>
    <w:p w:rsidR="005F2C7C" w:rsidRPr="004B7E6B" w:rsidRDefault="005F2C7C" w:rsidP="004B7E6B"/>
    <w:p w:rsidR="005F2C7C" w:rsidRPr="004B7E6B" w:rsidRDefault="005F2C7C" w:rsidP="004B7E6B">
      <w:pPr>
        <w:jc w:val="center"/>
        <w:rPr>
          <w:rStyle w:val="CaptionChar"/>
        </w:rPr>
      </w:pPr>
      <w:r w:rsidRPr="004B7E6B">
        <w:rPr>
          <w:vertAlign w:val="superscript"/>
        </w:rPr>
        <w:object w:dxaOrig="6038" w:dyaOrig="2013">
          <v:shape id="_x0000_i1026" type="#_x0000_t75" style="width:268.5pt;height:96.75pt" o:ole="">
            <v:imagedata r:id="rId8" o:title=""/>
          </v:shape>
          <o:OLEObject Type="Embed" ProgID="Excel.Sheet.8" ShapeID="_x0000_i1026" DrawAspect="Content" ObjectID="_1407826275" r:id="rId9"/>
        </w:object>
      </w:r>
    </w:p>
    <w:p w:rsidR="005F2C7C" w:rsidRPr="004B7E6B" w:rsidRDefault="005F2C7C" w:rsidP="004B7E6B">
      <w:pPr>
        <w:rPr>
          <w:vertAlign w:val="superscript"/>
        </w:rPr>
      </w:pPr>
      <w:r w:rsidRPr="004B7E6B">
        <w:t xml:space="preserve">Table </w:t>
      </w:r>
      <w:fldSimple w:instr=" SEQ Table \* ARABIC ">
        <w:r w:rsidRPr="004B7E6B">
          <w:rPr>
            <w:noProof/>
          </w:rPr>
          <w:t>3</w:t>
        </w:r>
      </w:fldSimple>
      <w:r w:rsidRPr="004B7E6B">
        <w:t xml:space="preserve">: </w:t>
      </w:r>
      <w:r>
        <w:t xml:space="preserve">Example </w:t>
      </w:r>
      <w:r w:rsidRPr="004B7E6B">
        <w:t>Calculation of Simulation radius in the uniform density mode (embedded as excel-file)</w:t>
      </w:r>
    </w:p>
    <w:p w:rsidR="005F2C7C" w:rsidRPr="004B7E6B" w:rsidRDefault="005F2C7C" w:rsidP="004B7E6B"/>
    <w:p w:rsidR="005F2C7C" w:rsidRPr="004B7E6B" w:rsidRDefault="005F2C7C" w:rsidP="004B7E6B">
      <w:pPr>
        <w:numPr>
          <w:ilvl w:val="0"/>
          <w:numId w:val="20"/>
        </w:numPr>
      </w:pPr>
      <w:r w:rsidRPr="004B7E6B">
        <w:t>In document M66_03 a comparison between the none and uniform density mode is provided, where the simulation radius was fixed</w:t>
      </w:r>
      <w:r>
        <w:t xml:space="preserve"> </w:t>
      </w:r>
      <w:r w:rsidRPr="004B7E6B">
        <w:t xml:space="preserve">and the number of active devices was reduced according to the formula Rsimu^2=active/(pi*act*DC*dens)). Under this assumption the uniform density mode, the none mode and a manual analysis shows the same results. </w:t>
      </w:r>
    </w:p>
    <w:p w:rsidR="005F2C7C" w:rsidRPr="004B7E6B" w:rsidRDefault="005F2C7C" w:rsidP="004B7E6B">
      <w:pPr>
        <w:numPr>
          <w:ilvl w:val="0"/>
          <w:numId w:val="20"/>
        </w:numPr>
      </w:pPr>
      <w:r w:rsidRPr="004B7E6B">
        <w:t>SE2</w:t>
      </w:r>
      <w:smartTag w:uri="urn:schemas-microsoft-com:office:smarttags" w:element="PersonName">
        <w:r w:rsidRPr="004B7E6B">
          <w:t>4</w:t>
        </w:r>
      </w:smartTag>
      <w:r w:rsidRPr="004B7E6B">
        <w:t xml:space="preserve"> believes that SEAMCAT provide</w:t>
      </w:r>
      <w:r>
        <w:t>s accurate</w:t>
      </w:r>
      <w:r w:rsidRPr="004B7E6B">
        <w:t xml:space="preserve"> results, as long as the user sets the input parameter correctly; but more guidance </w:t>
      </w:r>
      <w:r>
        <w:t>may</w:t>
      </w:r>
      <w:r w:rsidRPr="004B7E6B">
        <w:t xml:space="preserve"> be provided </w:t>
      </w:r>
      <w:r>
        <w:t xml:space="preserve">in the SEAMCAT handbook </w:t>
      </w:r>
      <w:r w:rsidRPr="004B7E6B">
        <w:t>by STG on the uniform density mode.</w:t>
      </w:r>
    </w:p>
    <w:p w:rsidR="005F2C7C" w:rsidRPr="004B7E6B" w:rsidRDefault="005F2C7C" w:rsidP="004B7E6B"/>
    <w:p w:rsidR="005F2C7C" w:rsidRPr="004B7E6B" w:rsidRDefault="005F2C7C" w:rsidP="004B7E6B">
      <w:pPr>
        <w:rPr>
          <w:b/>
        </w:rPr>
      </w:pPr>
    </w:p>
    <w:p w:rsidR="005F2C7C" w:rsidRPr="004B7E6B" w:rsidRDefault="005F2C7C" w:rsidP="004B7E6B">
      <w:pPr>
        <w:rPr>
          <w:b/>
        </w:rPr>
      </w:pPr>
      <w:r w:rsidRPr="004B7E6B">
        <w:rPr>
          <w:b/>
        </w:rPr>
        <w:t>Consideration of time pattern:</w:t>
      </w:r>
    </w:p>
    <w:p w:rsidR="005F2C7C" w:rsidRPr="004B7E6B" w:rsidRDefault="005F2C7C" w:rsidP="004B7E6B">
      <w:pPr>
        <w:numPr>
          <w:ilvl w:val="0"/>
          <w:numId w:val="21"/>
        </w:numPr>
      </w:pPr>
      <w:r w:rsidRPr="004B7E6B">
        <w:t>SE2</w:t>
      </w:r>
      <w:smartTag w:uri="urn:schemas-microsoft-com:office:smarttags" w:element="PersonName">
        <w:r w:rsidRPr="004B7E6B">
          <w:t>4</w:t>
        </w:r>
      </w:smartTag>
      <w:r w:rsidRPr="004B7E6B">
        <w:t xml:space="preserve"> also discussed the consideration of specific time pattern of the victim and interfering system (frame length, etc) in SEAMCAT and we received certain correction factors proposals for SEAMCAT in order to reflect this effects</w:t>
      </w:r>
      <w:r>
        <w:t>.</w:t>
      </w:r>
      <w:r w:rsidRPr="004B7E6B">
        <w:t xml:space="preserve"> </w:t>
      </w:r>
    </w:p>
    <w:p w:rsidR="005F2C7C" w:rsidRPr="004B7E6B" w:rsidRDefault="005F2C7C" w:rsidP="004B7E6B">
      <w:pPr>
        <w:numPr>
          <w:ilvl w:val="0"/>
          <w:numId w:val="21"/>
        </w:numPr>
      </w:pPr>
      <w:r>
        <w:t>F</w:t>
      </w:r>
      <w:r w:rsidRPr="004B7E6B">
        <w:t>or example</w:t>
      </w:r>
      <w:r>
        <w:t xml:space="preserve"> (source M66_03R0_SE2</w:t>
      </w:r>
      <w:smartTag w:uri="urn:schemas-microsoft-com:office:smarttags" w:element="PersonName">
        <w:r>
          <w:t>4</w:t>
        </w:r>
      </w:smartTag>
      <w:r>
        <w:t>)</w:t>
      </w:r>
      <w:r w:rsidRPr="004B7E6B">
        <w:t>: The adjustment factor could be used in Seamcat on the  probability of transmitting. Suppose T</w:t>
      </w:r>
      <w:r w:rsidRPr="004B7E6B">
        <w:rPr>
          <w:vertAlign w:val="subscript"/>
        </w:rPr>
        <w:t>INT</w:t>
      </w:r>
      <w:r w:rsidRPr="004B7E6B">
        <w:t xml:space="preserve"> is the interferer packet length and T</w:t>
      </w:r>
      <w:r w:rsidRPr="004B7E6B">
        <w:rPr>
          <w:vertAlign w:val="subscript"/>
        </w:rPr>
        <w:t>VICT</w:t>
      </w:r>
      <w:r w:rsidRPr="004B7E6B">
        <w:t xml:space="preserve"> is the victim packet length, </w:t>
      </w:r>
      <w:r w:rsidRPr="004B7E6B">
        <w:rPr>
          <w:rFonts w:cs="Calibri"/>
        </w:rPr>
        <w:t xml:space="preserve">Where </w:t>
      </w:r>
      <w:r w:rsidRPr="004B7E6B">
        <w:rPr>
          <w:rFonts w:cs="Calibri"/>
          <w:i/>
        </w:rPr>
        <w:t>DC</w:t>
      </w:r>
      <w:r w:rsidRPr="004B7E6B">
        <w:rPr>
          <w:rFonts w:cs="Calibri"/>
          <w:i/>
          <w:vertAlign w:val="subscript"/>
        </w:rPr>
        <w:t>INT</w:t>
      </w:r>
      <w:r w:rsidRPr="004B7E6B">
        <w:rPr>
          <w:rFonts w:cs="Calibri"/>
        </w:rPr>
        <w:t xml:space="preserve"> is the interferer duty cycle, and </w:t>
      </w:r>
      <w:r w:rsidRPr="004B7E6B">
        <w:rPr>
          <w:rFonts w:cs="Calibri"/>
          <w:i/>
        </w:rPr>
        <w:t>R</w:t>
      </w:r>
      <w:r w:rsidRPr="004B7E6B">
        <w:rPr>
          <w:rFonts w:cs="Calibri"/>
        </w:rPr>
        <w:t xml:space="preserve"> is the rush hour factor.</w:t>
      </w:r>
      <w:r w:rsidRPr="004B7E6B">
        <w:t xml:space="preserve"> Then </w:t>
      </w:r>
      <w:r>
        <w:t>it has been proposed within SE2</w:t>
      </w:r>
      <w:smartTag w:uri="urn:schemas-microsoft-com:office:smarttags" w:element="PersonName">
        <w:r>
          <w:t>4</w:t>
        </w:r>
      </w:smartTag>
      <w:r>
        <w:t xml:space="preserve"> that the following </w:t>
      </w:r>
      <w:r w:rsidRPr="004B7E6B">
        <w:t xml:space="preserve">factor </w:t>
      </w:r>
      <w:r>
        <w:t>might</w:t>
      </w:r>
      <w:r w:rsidRPr="004B7E6B">
        <w:t xml:space="preserve"> be applied </w:t>
      </w:r>
      <w:r>
        <w:t>as</w:t>
      </w:r>
      <w:r w:rsidRPr="004B7E6B">
        <w:t xml:space="preserve"> the probability of the </w:t>
      </w:r>
      <w:r>
        <w:t xml:space="preserve">transmitting </w:t>
      </w:r>
      <w:r w:rsidRPr="004B7E6B">
        <w:t>interferer:</w:t>
      </w:r>
      <w:r w:rsidRPr="004B7E6B">
        <w:rPr>
          <w:rFonts w:cs="Calibri"/>
        </w:rPr>
        <w:t xml:space="preserve"> </w:t>
      </w:r>
      <w:r w:rsidRPr="004B7E6B">
        <w:rPr>
          <w:rFonts w:cs="Calibri"/>
          <w:position w:val="-26"/>
        </w:rPr>
        <w:object w:dxaOrig="2680" w:dyaOrig="600">
          <v:shape id="_x0000_i1027" type="#_x0000_t75" style="width:134.25pt;height:31.5pt" o:ole="">
            <v:imagedata r:id="rId10" o:title=""/>
          </v:shape>
          <o:OLEObject Type="Embed" ProgID="Equation.3" ShapeID="_x0000_i1027" DrawAspect="Content" ObjectID="_1407826276" r:id="rId11"/>
        </w:object>
      </w:r>
      <w:r w:rsidRPr="004B7E6B">
        <w:rPr>
          <w:rFonts w:cs="Calibri"/>
        </w:rPr>
        <w:t xml:space="preserve"> ; </w:t>
      </w:r>
      <w:r>
        <w:rPr>
          <w:rFonts w:cs="Calibri"/>
        </w:rPr>
        <w:t>this should be further examined and validated.</w:t>
      </w:r>
    </w:p>
    <w:p w:rsidR="005F2C7C" w:rsidRPr="004B7E6B" w:rsidRDefault="005F2C7C" w:rsidP="004B7E6B">
      <w:pPr>
        <w:numPr>
          <w:ilvl w:val="0"/>
          <w:numId w:val="21"/>
        </w:numPr>
      </w:pPr>
      <w:r>
        <w:t xml:space="preserve">For the time being we believe </w:t>
      </w:r>
      <w:r w:rsidRPr="004B7E6B">
        <w:t xml:space="preserve">that such an approach should be considered on a case by case basis </w:t>
      </w:r>
      <w:r>
        <w:t>when doing particular studies. Further consideration is required within SE2</w:t>
      </w:r>
      <w:smartTag w:uri="urn:schemas-microsoft-com:office:smarttags" w:element="PersonName">
        <w:r>
          <w:t>4</w:t>
        </w:r>
      </w:smartTag>
      <w:r>
        <w:t xml:space="preserve"> in order to validate such a correction before being in a position to propose to STG any generic implementation of such an adjustment factor in SEAMCAT. </w:t>
      </w:r>
    </w:p>
    <w:p w:rsidR="005F2C7C" w:rsidRPr="004B7E6B" w:rsidRDefault="005F2C7C" w:rsidP="004B7E6B"/>
    <w:p w:rsidR="005F2C7C" w:rsidRDefault="005F2C7C" w:rsidP="004B7E6B">
      <w:pPr>
        <w:rPr>
          <w:lang w:eastAsia="en-GB"/>
        </w:rPr>
      </w:pPr>
    </w:p>
    <w:p w:rsidR="005F2C7C" w:rsidRPr="00D8284A" w:rsidRDefault="005F2C7C" w:rsidP="004B7E6B">
      <w:r>
        <w:t>SE 2</w:t>
      </w:r>
      <w:smartTag w:uri="urn:schemas-microsoft-com:office:smarttags" w:element="PersonName">
        <w:r>
          <w:t>4</w:t>
        </w:r>
      </w:smartTag>
      <w:r>
        <w:t xml:space="preserve"> would appreciate to receive guidance from STG on the points raised above. </w:t>
      </w:r>
    </w:p>
    <w:p w:rsidR="005F2C7C" w:rsidRPr="00D8284A" w:rsidRDefault="005F2C7C" w:rsidP="004B7E6B"/>
    <w:p w:rsidR="005F2C7C" w:rsidRDefault="005F2C7C" w:rsidP="004B7E6B">
      <w:pPr>
        <w:rPr>
          <w:lang w:eastAsia="en-GB"/>
        </w:rPr>
      </w:pPr>
      <w:r>
        <w:rPr>
          <w:lang w:eastAsia="en-GB"/>
        </w:rPr>
        <w:t>Kind regards</w:t>
      </w:r>
    </w:p>
    <w:p w:rsidR="005F2C7C" w:rsidRDefault="005F2C7C" w:rsidP="004B7E6B">
      <w:pPr>
        <w:rPr>
          <w:lang w:eastAsia="en-GB"/>
        </w:rPr>
      </w:pPr>
    </w:p>
    <w:p w:rsidR="005F2C7C" w:rsidRDefault="005F2C7C" w:rsidP="004B7E6B">
      <w:pPr>
        <w:rPr>
          <w:lang w:eastAsia="en-GB"/>
        </w:rPr>
      </w:pPr>
      <w:r>
        <w:rPr>
          <w:lang w:eastAsia="en-GB"/>
        </w:rPr>
        <w:t>Ralf Kallenborn</w:t>
      </w:r>
    </w:p>
    <w:p w:rsidR="005F2C7C" w:rsidRDefault="005F2C7C" w:rsidP="004B7E6B">
      <w:pPr>
        <w:rPr>
          <w:lang w:eastAsia="en-GB"/>
        </w:rPr>
      </w:pPr>
    </w:p>
    <w:p w:rsidR="005F2C7C" w:rsidRDefault="005F2C7C" w:rsidP="004B7E6B">
      <w:pPr>
        <w:rPr>
          <w:lang w:eastAsia="en-GB"/>
        </w:rPr>
      </w:pPr>
      <w:r>
        <w:rPr>
          <w:lang w:eastAsia="en-GB"/>
        </w:rPr>
        <w:t>Chairman SE 2</w:t>
      </w:r>
      <w:smartTag w:uri="urn:schemas-microsoft-com:office:smarttags" w:element="PersonName">
        <w:r>
          <w:rPr>
            <w:lang w:eastAsia="en-GB"/>
          </w:rPr>
          <w:t>4</w:t>
        </w:r>
      </w:smartTag>
    </w:p>
    <w:p w:rsidR="005F2C7C" w:rsidRDefault="005F2C7C" w:rsidP="00194D4B">
      <w:pPr>
        <w:ind w:left="502"/>
        <w:rPr>
          <w:rFonts w:ascii="Arial" w:hAnsi="Arial" w:cs="Arial"/>
          <w:sz w:val="22"/>
          <w:szCs w:val="22"/>
          <w:lang w:eastAsia="en-GB"/>
        </w:rPr>
      </w:pPr>
    </w:p>
    <w:p w:rsidR="005F2C7C" w:rsidRDefault="005F2C7C" w:rsidP="00194D4B">
      <w:pPr>
        <w:ind w:left="502"/>
        <w:rPr>
          <w:rFonts w:ascii="Arial" w:hAnsi="Arial" w:cs="Arial"/>
          <w:sz w:val="22"/>
          <w:szCs w:val="22"/>
          <w:lang w:eastAsia="en-GB"/>
        </w:rPr>
      </w:pPr>
      <w:r w:rsidRPr="002F2983">
        <w:rPr>
          <w:rFonts w:ascii="Arial" w:hAnsi="Arial" w:cs="Arial"/>
          <w:sz w:val="22"/>
          <w:szCs w:val="22"/>
          <w:lang w:eastAsia="en-GB"/>
        </w:rPr>
        <w:object w:dxaOrig="9072" w:dyaOrig="276">
          <v:shape id="_x0000_i1028" type="#_x0000_t75" style="width:453.75pt;height:13.5pt" o:ole="">
            <v:imagedata r:id="rId12" o:title=""/>
          </v:shape>
          <o:OLEObject Type="Embed" ProgID="Word.Document.8" ShapeID="_x0000_i1028" DrawAspect="Content" ObjectID="_1407826277" r:id="rId13">
            <o:FieldCodes>\s</o:FieldCodes>
          </o:OLEObject>
        </w:object>
      </w:r>
    </w:p>
    <w:p w:rsidR="005F2C7C" w:rsidRDefault="005F2C7C" w:rsidP="00194D4B">
      <w:pPr>
        <w:ind w:left="502"/>
        <w:rPr>
          <w:rFonts w:ascii="Arial" w:hAnsi="Arial" w:cs="Arial"/>
          <w:sz w:val="22"/>
          <w:szCs w:val="22"/>
          <w:lang w:eastAsia="en-GB"/>
        </w:rPr>
      </w:pPr>
    </w:p>
    <w:p w:rsidR="005F2C7C" w:rsidRDefault="005F2C7C" w:rsidP="00194D4B">
      <w:pPr>
        <w:ind w:left="502"/>
        <w:rPr>
          <w:rFonts w:ascii="Arial" w:hAnsi="Arial" w:cs="Arial"/>
          <w:sz w:val="22"/>
          <w:szCs w:val="22"/>
          <w:lang w:eastAsia="en-GB"/>
        </w:rPr>
      </w:pPr>
    </w:p>
    <w:p w:rsidR="005F2C7C" w:rsidRPr="001A71D4" w:rsidRDefault="005F2C7C" w:rsidP="00B30E9E">
      <w:pPr>
        <w:rPr>
          <w:rFonts w:ascii="Arial" w:hAnsi="Arial" w:cs="Arial"/>
          <w:sz w:val="22"/>
          <w:szCs w:val="22"/>
          <w:lang w:eastAsia="en-GB"/>
        </w:rPr>
      </w:pPr>
    </w:p>
    <w:sectPr w:rsidR="005F2C7C" w:rsidRPr="001A71D4" w:rsidSect="00677D75">
      <w:headerReference w:type="first" r:id="rId14"/>
      <w:pgSz w:w="11906" w:h="16838"/>
      <w:pgMar w:top="1417" w:right="1417" w:bottom="113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C7C" w:rsidRDefault="005F2C7C">
      <w:r>
        <w:separator/>
      </w:r>
    </w:p>
  </w:endnote>
  <w:endnote w:type="continuationSeparator" w:id="0">
    <w:p w:rsidR="005F2C7C" w:rsidRDefault="005F2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C7C" w:rsidRDefault="005F2C7C">
      <w:r>
        <w:separator/>
      </w:r>
    </w:p>
  </w:footnote>
  <w:footnote w:type="continuationSeparator" w:id="0">
    <w:p w:rsidR="005F2C7C" w:rsidRDefault="005F2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C7C" w:rsidRPr="00E42074" w:rsidRDefault="005F2C7C">
    <w:pPr>
      <w:pStyle w:val="Header"/>
      <w:jc w:val="right"/>
      <w:rPr>
        <w:rFonts w:ascii="Arial" w:hAnsi="Arial" w:cs="Arial"/>
        <w:b/>
        <w:sz w:val="24"/>
        <w:szCs w:val="24"/>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16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80D2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FC551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5056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21096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36F7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0E4C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80A9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1C49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C84236"/>
    <w:lvl w:ilvl="0">
      <w:start w:val="1"/>
      <w:numFmt w:val="bullet"/>
      <w:lvlText w:val=""/>
      <w:lvlJc w:val="left"/>
      <w:pPr>
        <w:tabs>
          <w:tab w:val="num" w:pos="360"/>
        </w:tabs>
        <w:ind w:left="360" w:hanging="360"/>
      </w:pPr>
      <w:rPr>
        <w:rFonts w:ascii="Symbol" w:hAnsi="Symbol" w:hint="default"/>
      </w:rPr>
    </w:lvl>
  </w:abstractNum>
  <w:abstractNum w:abstractNumId="10">
    <w:nsid w:val="0F83454C"/>
    <w:multiLevelType w:val="hybridMultilevel"/>
    <w:tmpl w:val="5EFC76EC"/>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1">
    <w:nsid w:val="16C962DB"/>
    <w:multiLevelType w:val="hybridMultilevel"/>
    <w:tmpl w:val="77BE2AFE"/>
    <w:lvl w:ilvl="0" w:tplc="91C2216C">
      <w:start w:val="5"/>
      <w:numFmt w:val="bullet"/>
      <w:lvlText w:val="-"/>
      <w:lvlJc w:val="left"/>
      <w:pPr>
        <w:tabs>
          <w:tab w:val="num" w:pos="1087"/>
        </w:tabs>
        <w:ind w:left="1087" w:hanging="360"/>
      </w:pPr>
      <w:rPr>
        <w:rFonts w:ascii="Arial" w:eastAsia="Times New Roman" w:hAnsi="Arial" w:hint="default"/>
      </w:rPr>
    </w:lvl>
    <w:lvl w:ilvl="1" w:tplc="040C0003" w:tentative="1">
      <w:start w:val="1"/>
      <w:numFmt w:val="bullet"/>
      <w:lvlText w:val="o"/>
      <w:lvlJc w:val="left"/>
      <w:pPr>
        <w:tabs>
          <w:tab w:val="num" w:pos="1807"/>
        </w:tabs>
        <w:ind w:left="1807" w:hanging="360"/>
      </w:pPr>
      <w:rPr>
        <w:rFonts w:ascii="Courier New" w:hAnsi="Courier New" w:hint="default"/>
      </w:rPr>
    </w:lvl>
    <w:lvl w:ilvl="2" w:tplc="040C0005" w:tentative="1">
      <w:start w:val="1"/>
      <w:numFmt w:val="bullet"/>
      <w:lvlText w:val=""/>
      <w:lvlJc w:val="left"/>
      <w:pPr>
        <w:tabs>
          <w:tab w:val="num" w:pos="2527"/>
        </w:tabs>
        <w:ind w:left="2527" w:hanging="360"/>
      </w:pPr>
      <w:rPr>
        <w:rFonts w:ascii="Wingdings" w:hAnsi="Wingdings" w:hint="default"/>
      </w:rPr>
    </w:lvl>
    <w:lvl w:ilvl="3" w:tplc="040C0001" w:tentative="1">
      <w:start w:val="1"/>
      <w:numFmt w:val="bullet"/>
      <w:lvlText w:val=""/>
      <w:lvlJc w:val="left"/>
      <w:pPr>
        <w:tabs>
          <w:tab w:val="num" w:pos="3247"/>
        </w:tabs>
        <w:ind w:left="3247" w:hanging="360"/>
      </w:pPr>
      <w:rPr>
        <w:rFonts w:ascii="Symbol" w:hAnsi="Symbol" w:hint="default"/>
      </w:rPr>
    </w:lvl>
    <w:lvl w:ilvl="4" w:tplc="040C0003" w:tentative="1">
      <w:start w:val="1"/>
      <w:numFmt w:val="bullet"/>
      <w:lvlText w:val="o"/>
      <w:lvlJc w:val="left"/>
      <w:pPr>
        <w:tabs>
          <w:tab w:val="num" w:pos="3967"/>
        </w:tabs>
        <w:ind w:left="3967" w:hanging="360"/>
      </w:pPr>
      <w:rPr>
        <w:rFonts w:ascii="Courier New" w:hAnsi="Courier New" w:hint="default"/>
      </w:rPr>
    </w:lvl>
    <w:lvl w:ilvl="5" w:tplc="040C0005" w:tentative="1">
      <w:start w:val="1"/>
      <w:numFmt w:val="bullet"/>
      <w:lvlText w:val=""/>
      <w:lvlJc w:val="left"/>
      <w:pPr>
        <w:tabs>
          <w:tab w:val="num" w:pos="4687"/>
        </w:tabs>
        <w:ind w:left="4687" w:hanging="360"/>
      </w:pPr>
      <w:rPr>
        <w:rFonts w:ascii="Wingdings" w:hAnsi="Wingdings" w:hint="default"/>
      </w:rPr>
    </w:lvl>
    <w:lvl w:ilvl="6" w:tplc="040C0001" w:tentative="1">
      <w:start w:val="1"/>
      <w:numFmt w:val="bullet"/>
      <w:lvlText w:val=""/>
      <w:lvlJc w:val="left"/>
      <w:pPr>
        <w:tabs>
          <w:tab w:val="num" w:pos="5407"/>
        </w:tabs>
        <w:ind w:left="5407" w:hanging="360"/>
      </w:pPr>
      <w:rPr>
        <w:rFonts w:ascii="Symbol" w:hAnsi="Symbol" w:hint="default"/>
      </w:rPr>
    </w:lvl>
    <w:lvl w:ilvl="7" w:tplc="040C0003" w:tentative="1">
      <w:start w:val="1"/>
      <w:numFmt w:val="bullet"/>
      <w:lvlText w:val="o"/>
      <w:lvlJc w:val="left"/>
      <w:pPr>
        <w:tabs>
          <w:tab w:val="num" w:pos="6127"/>
        </w:tabs>
        <w:ind w:left="6127" w:hanging="360"/>
      </w:pPr>
      <w:rPr>
        <w:rFonts w:ascii="Courier New" w:hAnsi="Courier New" w:hint="default"/>
      </w:rPr>
    </w:lvl>
    <w:lvl w:ilvl="8" w:tplc="040C0005" w:tentative="1">
      <w:start w:val="1"/>
      <w:numFmt w:val="bullet"/>
      <w:lvlText w:val=""/>
      <w:lvlJc w:val="left"/>
      <w:pPr>
        <w:tabs>
          <w:tab w:val="num" w:pos="6847"/>
        </w:tabs>
        <w:ind w:left="6847" w:hanging="360"/>
      </w:pPr>
      <w:rPr>
        <w:rFonts w:ascii="Wingdings" w:hAnsi="Wingdings" w:hint="default"/>
      </w:rPr>
    </w:lvl>
  </w:abstractNum>
  <w:abstractNum w:abstractNumId="12">
    <w:nsid w:val="1ADA49EA"/>
    <w:multiLevelType w:val="hybridMultilevel"/>
    <w:tmpl w:val="D346C5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nsid w:val="3E910CCA"/>
    <w:multiLevelType w:val="hybridMultilevel"/>
    <w:tmpl w:val="C8842814"/>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5">
    <w:nsid w:val="4AB70D3B"/>
    <w:multiLevelType w:val="hybridMultilevel"/>
    <w:tmpl w:val="7FBE37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043F8E"/>
    <w:multiLevelType w:val="hybridMultilevel"/>
    <w:tmpl w:val="EE3E45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76B2EC5"/>
    <w:multiLevelType w:val="hybridMultilevel"/>
    <w:tmpl w:val="7210702A"/>
    <w:lvl w:ilvl="0" w:tplc="DCE62358">
      <w:start w:val="5"/>
      <w:numFmt w:val="bullet"/>
      <w:lvlText w:val="-"/>
      <w:lvlJc w:val="left"/>
      <w:pPr>
        <w:tabs>
          <w:tab w:val="num" w:pos="720"/>
        </w:tabs>
        <w:ind w:left="720" w:hanging="360"/>
      </w:pPr>
      <w:rPr>
        <w:rFonts w:ascii="Arial" w:eastAsia="Times New Roman" w:hAnsi="Arial"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DD11C6"/>
    <w:multiLevelType w:val="hybridMultilevel"/>
    <w:tmpl w:val="823C99F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F0714AE"/>
    <w:multiLevelType w:val="hybridMultilevel"/>
    <w:tmpl w:val="F2E6E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3"/>
  </w:num>
  <w:num w:numId="4">
    <w:abstractNumId w:val="10"/>
  </w:num>
  <w:num w:numId="5">
    <w:abstractNumId w:val="14"/>
  </w:num>
  <w:num w:numId="6">
    <w:abstractNumId w:val="18"/>
  </w:num>
  <w:num w:numId="7">
    <w:abstractNumId w:val="11"/>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5"/>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82D"/>
    <w:rsid w:val="000035E9"/>
    <w:rsid w:val="0001441F"/>
    <w:rsid w:val="00017039"/>
    <w:rsid w:val="00020A81"/>
    <w:rsid w:val="00026132"/>
    <w:rsid w:val="0007218E"/>
    <w:rsid w:val="000902E2"/>
    <w:rsid w:val="000D63C4"/>
    <w:rsid w:val="000E2A51"/>
    <w:rsid w:val="000F1355"/>
    <w:rsid w:val="000F50C6"/>
    <w:rsid w:val="001649D4"/>
    <w:rsid w:val="001742E2"/>
    <w:rsid w:val="00194D4B"/>
    <w:rsid w:val="001A71D4"/>
    <w:rsid w:val="001D0F43"/>
    <w:rsid w:val="001D0F9F"/>
    <w:rsid w:val="002024B5"/>
    <w:rsid w:val="00205417"/>
    <w:rsid w:val="00216B87"/>
    <w:rsid w:val="002350C9"/>
    <w:rsid w:val="00237D12"/>
    <w:rsid w:val="00253BE8"/>
    <w:rsid w:val="002652B1"/>
    <w:rsid w:val="002803A5"/>
    <w:rsid w:val="00284AC7"/>
    <w:rsid w:val="002C23F6"/>
    <w:rsid w:val="002C43AF"/>
    <w:rsid w:val="002D7C44"/>
    <w:rsid w:val="002E1D67"/>
    <w:rsid w:val="002E5E85"/>
    <w:rsid w:val="002F2983"/>
    <w:rsid w:val="00304791"/>
    <w:rsid w:val="00323F3C"/>
    <w:rsid w:val="00332212"/>
    <w:rsid w:val="00333EA7"/>
    <w:rsid w:val="0035536B"/>
    <w:rsid w:val="00357141"/>
    <w:rsid w:val="0036119A"/>
    <w:rsid w:val="003662C1"/>
    <w:rsid w:val="003748FA"/>
    <w:rsid w:val="00387DD5"/>
    <w:rsid w:val="00392DA8"/>
    <w:rsid w:val="003977A3"/>
    <w:rsid w:val="003A1463"/>
    <w:rsid w:val="003D4CDC"/>
    <w:rsid w:val="003E08C9"/>
    <w:rsid w:val="003E6CED"/>
    <w:rsid w:val="004109DF"/>
    <w:rsid w:val="00423C89"/>
    <w:rsid w:val="00425543"/>
    <w:rsid w:val="00434644"/>
    <w:rsid w:val="00445682"/>
    <w:rsid w:val="00450FFA"/>
    <w:rsid w:val="004734E3"/>
    <w:rsid w:val="00491BDB"/>
    <w:rsid w:val="004A1095"/>
    <w:rsid w:val="004B7717"/>
    <w:rsid w:val="004B7E6B"/>
    <w:rsid w:val="004D186E"/>
    <w:rsid w:val="004E6FEB"/>
    <w:rsid w:val="00517663"/>
    <w:rsid w:val="00520A59"/>
    <w:rsid w:val="005310E2"/>
    <w:rsid w:val="0053325F"/>
    <w:rsid w:val="00534360"/>
    <w:rsid w:val="00537008"/>
    <w:rsid w:val="005619AA"/>
    <w:rsid w:val="005C0D50"/>
    <w:rsid w:val="005C6A48"/>
    <w:rsid w:val="005D2AA6"/>
    <w:rsid w:val="005D4980"/>
    <w:rsid w:val="005F2C7C"/>
    <w:rsid w:val="0060420E"/>
    <w:rsid w:val="00604C39"/>
    <w:rsid w:val="00617047"/>
    <w:rsid w:val="006222C2"/>
    <w:rsid w:val="0064215C"/>
    <w:rsid w:val="0065176B"/>
    <w:rsid w:val="00672EF0"/>
    <w:rsid w:val="0067601D"/>
    <w:rsid w:val="00677D75"/>
    <w:rsid w:val="0068124B"/>
    <w:rsid w:val="00684DFC"/>
    <w:rsid w:val="006856F1"/>
    <w:rsid w:val="00686F15"/>
    <w:rsid w:val="006B0193"/>
    <w:rsid w:val="006D0C46"/>
    <w:rsid w:val="006D648F"/>
    <w:rsid w:val="0070127D"/>
    <w:rsid w:val="00702677"/>
    <w:rsid w:val="00713F98"/>
    <w:rsid w:val="007245E7"/>
    <w:rsid w:val="00724994"/>
    <w:rsid w:val="00745F59"/>
    <w:rsid w:val="00764FB4"/>
    <w:rsid w:val="00771EB6"/>
    <w:rsid w:val="007928F3"/>
    <w:rsid w:val="0079366C"/>
    <w:rsid w:val="007B4A4B"/>
    <w:rsid w:val="007B6A19"/>
    <w:rsid w:val="007C5AEB"/>
    <w:rsid w:val="007C6527"/>
    <w:rsid w:val="007E4F52"/>
    <w:rsid w:val="007F6C43"/>
    <w:rsid w:val="00804E78"/>
    <w:rsid w:val="0081565F"/>
    <w:rsid w:val="00832035"/>
    <w:rsid w:val="008373AE"/>
    <w:rsid w:val="008448BA"/>
    <w:rsid w:val="00870E17"/>
    <w:rsid w:val="00881985"/>
    <w:rsid w:val="008D71B0"/>
    <w:rsid w:val="008E4279"/>
    <w:rsid w:val="008E6162"/>
    <w:rsid w:val="008E73F9"/>
    <w:rsid w:val="009372FD"/>
    <w:rsid w:val="00957C96"/>
    <w:rsid w:val="00964907"/>
    <w:rsid w:val="00971C59"/>
    <w:rsid w:val="009836FB"/>
    <w:rsid w:val="00A16F49"/>
    <w:rsid w:val="00A22A63"/>
    <w:rsid w:val="00A247C6"/>
    <w:rsid w:val="00A3333C"/>
    <w:rsid w:val="00A441BF"/>
    <w:rsid w:val="00A47959"/>
    <w:rsid w:val="00A60826"/>
    <w:rsid w:val="00A61BB7"/>
    <w:rsid w:val="00A75033"/>
    <w:rsid w:val="00A7759D"/>
    <w:rsid w:val="00A85E66"/>
    <w:rsid w:val="00AA0573"/>
    <w:rsid w:val="00AA4CAA"/>
    <w:rsid w:val="00AA60F0"/>
    <w:rsid w:val="00AC44D6"/>
    <w:rsid w:val="00B103A2"/>
    <w:rsid w:val="00B15794"/>
    <w:rsid w:val="00B30E9E"/>
    <w:rsid w:val="00B41BBF"/>
    <w:rsid w:val="00B51F64"/>
    <w:rsid w:val="00B52770"/>
    <w:rsid w:val="00B72248"/>
    <w:rsid w:val="00B76E19"/>
    <w:rsid w:val="00B85580"/>
    <w:rsid w:val="00BC0A9E"/>
    <w:rsid w:val="00BC6ECF"/>
    <w:rsid w:val="00BD2A6C"/>
    <w:rsid w:val="00C0126A"/>
    <w:rsid w:val="00C1261E"/>
    <w:rsid w:val="00C2117E"/>
    <w:rsid w:val="00C26A48"/>
    <w:rsid w:val="00C46530"/>
    <w:rsid w:val="00C7119A"/>
    <w:rsid w:val="00C72365"/>
    <w:rsid w:val="00C73F33"/>
    <w:rsid w:val="00C82422"/>
    <w:rsid w:val="00C90A87"/>
    <w:rsid w:val="00C9792D"/>
    <w:rsid w:val="00CA3861"/>
    <w:rsid w:val="00CA78F8"/>
    <w:rsid w:val="00CB25C6"/>
    <w:rsid w:val="00CB64C7"/>
    <w:rsid w:val="00CB6B84"/>
    <w:rsid w:val="00CC1A84"/>
    <w:rsid w:val="00CE38A2"/>
    <w:rsid w:val="00CE77E6"/>
    <w:rsid w:val="00CF024E"/>
    <w:rsid w:val="00CF5E90"/>
    <w:rsid w:val="00D00833"/>
    <w:rsid w:val="00D00DC0"/>
    <w:rsid w:val="00D1795F"/>
    <w:rsid w:val="00D23466"/>
    <w:rsid w:val="00D3777B"/>
    <w:rsid w:val="00D436B4"/>
    <w:rsid w:val="00D631E0"/>
    <w:rsid w:val="00D8284A"/>
    <w:rsid w:val="00DB27AF"/>
    <w:rsid w:val="00DC30DB"/>
    <w:rsid w:val="00DC6856"/>
    <w:rsid w:val="00DD1368"/>
    <w:rsid w:val="00DD7CD9"/>
    <w:rsid w:val="00DF302B"/>
    <w:rsid w:val="00E068CB"/>
    <w:rsid w:val="00E07DDF"/>
    <w:rsid w:val="00E11265"/>
    <w:rsid w:val="00E14332"/>
    <w:rsid w:val="00E16834"/>
    <w:rsid w:val="00E42074"/>
    <w:rsid w:val="00E557CC"/>
    <w:rsid w:val="00E76348"/>
    <w:rsid w:val="00E91235"/>
    <w:rsid w:val="00EA6375"/>
    <w:rsid w:val="00EB0160"/>
    <w:rsid w:val="00EE1AC2"/>
    <w:rsid w:val="00EE2F7F"/>
    <w:rsid w:val="00F255EA"/>
    <w:rsid w:val="00F514F5"/>
    <w:rsid w:val="00F54BB8"/>
    <w:rsid w:val="00F6181E"/>
    <w:rsid w:val="00F64830"/>
    <w:rsid w:val="00F72FAE"/>
    <w:rsid w:val="00F735B3"/>
    <w:rsid w:val="00F74293"/>
    <w:rsid w:val="00F8182D"/>
    <w:rsid w:val="00F950CA"/>
    <w:rsid w:val="00FA2B4B"/>
    <w:rsid w:val="00FA5607"/>
    <w:rsid w:val="00FB29AF"/>
    <w:rsid w:val="00FB5465"/>
    <w:rsid w:val="00FF0E56"/>
    <w:rsid w:val="00FF35B4"/>
    <w:rsid w:val="00FF722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80"/>
    <w:rPr>
      <w:sz w:val="20"/>
      <w:szCs w:val="20"/>
      <w:lang w:val="en-GB"/>
    </w:rPr>
  </w:style>
  <w:style w:type="paragraph" w:styleId="Heading3">
    <w:name w:val="heading 3"/>
    <w:basedOn w:val="Normal"/>
    <w:next w:val="Normal"/>
    <w:link w:val="Heading3Char"/>
    <w:uiPriority w:val="99"/>
    <w:qFormat/>
    <w:rsid w:val="00832035"/>
    <w:pPr>
      <w:keepNext/>
      <w:jc w:val="right"/>
      <w:outlineLvl w:val="2"/>
    </w:pPr>
    <w:rPr>
      <w:rFonts w:ascii="Arial" w:hAnsi="Arial"/>
      <w:b/>
      <w:sz w:val="24"/>
    </w:rPr>
  </w:style>
  <w:style w:type="paragraph" w:styleId="Heading4">
    <w:name w:val="heading 4"/>
    <w:basedOn w:val="Normal"/>
    <w:next w:val="Normal"/>
    <w:link w:val="Heading4Char"/>
    <w:uiPriority w:val="99"/>
    <w:qFormat/>
    <w:rsid w:val="00832035"/>
    <w:pPr>
      <w:keepNext/>
      <w:outlineLvl w:val="3"/>
    </w:pPr>
    <w:rPr>
      <w:rFonts w:ascii="Arial" w:hAnsi="Arial"/>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33EA7"/>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333EA7"/>
    <w:rPr>
      <w:rFonts w:ascii="Calibri" w:hAnsi="Calibri" w:cs="Times New Roman"/>
      <w:b/>
      <w:bCs/>
      <w:sz w:val="28"/>
      <w:szCs w:val="28"/>
      <w:lang w:val="en-GB" w:eastAsia="de-DE"/>
    </w:rPr>
  </w:style>
  <w:style w:type="paragraph" w:styleId="BalloonText">
    <w:name w:val="Balloon Text"/>
    <w:basedOn w:val="Normal"/>
    <w:link w:val="BalloonTextChar"/>
    <w:uiPriority w:val="99"/>
    <w:rsid w:val="008320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3EA7"/>
    <w:rPr>
      <w:rFonts w:cs="Times New Roman"/>
      <w:sz w:val="2"/>
      <w:lang w:val="en-GB" w:eastAsia="de-DE"/>
    </w:rPr>
  </w:style>
  <w:style w:type="paragraph" w:styleId="FootnoteText">
    <w:name w:val="footnote text"/>
    <w:basedOn w:val="Normal"/>
    <w:link w:val="FootnoteTextChar"/>
    <w:uiPriority w:val="99"/>
    <w:semiHidden/>
    <w:rsid w:val="00832035"/>
  </w:style>
  <w:style w:type="character" w:customStyle="1" w:styleId="FootnoteTextChar">
    <w:name w:val="Footnote Text Char"/>
    <w:basedOn w:val="DefaultParagraphFont"/>
    <w:link w:val="FootnoteText"/>
    <w:uiPriority w:val="99"/>
    <w:semiHidden/>
    <w:locked/>
    <w:rsid w:val="00333EA7"/>
    <w:rPr>
      <w:rFonts w:cs="Times New Roman"/>
      <w:sz w:val="20"/>
      <w:szCs w:val="20"/>
      <w:lang w:val="en-GB" w:eastAsia="de-DE"/>
    </w:rPr>
  </w:style>
  <w:style w:type="paragraph" w:styleId="Header">
    <w:name w:val="header"/>
    <w:basedOn w:val="Normal"/>
    <w:link w:val="HeaderChar"/>
    <w:uiPriority w:val="99"/>
    <w:semiHidden/>
    <w:rsid w:val="00832035"/>
    <w:pPr>
      <w:tabs>
        <w:tab w:val="center" w:pos="4320"/>
        <w:tab w:val="right" w:pos="8640"/>
      </w:tabs>
    </w:pPr>
    <w:rPr>
      <w:lang w:val="en-US" w:eastAsia="en-GB"/>
    </w:rPr>
  </w:style>
  <w:style w:type="character" w:customStyle="1" w:styleId="HeaderChar">
    <w:name w:val="Header Char"/>
    <w:basedOn w:val="DefaultParagraphFont"/>
    <w:link w:val="Header"/>
    <w:uiPriority w:val="99"/>
    <w:semiHidden/>
    <w:locked/>
    <w:rsid w:val="00333EA7"/>
    <w:rPr>
      <w:rFonts w:cs="Times New Roman"/>
      <w:sz w:val="20"/>
      <w:szCs w:val="20"/>
      <w:lang w:val="en-GB" w:eastAsia="de-DE"/>
    </w:rPr>
  </w:style>
  <w:style w:type="paragraph" w:styleId="Footer">
    <w:name w:val="footer"/>
    <w:basedOn w:val="Normal"/>
    <w:link w:val="FooterChar"/>
    <w:uiPriority w:val="99"/>
    <w:semiHidden/>
    <w:rsid w:val="00832035"/>
    <w:pPr>
      <w:tabs>
        <w:tab w:val="center" w:pos="4153"/>
        <w:tab w:val="right" w:pos="8306"/>
      </w:tabs>
    </w:pPr>
  </w:style>
  <w:style w:type="character" w:customStyle="1" w:styleId="FooterChar">
    <w:name w:val="Footer Char"/>
    <w:basedOn w:val="DefaultParagraphFont"/>
    <w:link w:val="Footer"/>
    <w:uiPriority w:val="99"/>
    <w:semiHidden/>
    <w:locked/>
    <w:rsid w:val="00333EA7"/>
    <w:rPr>
      <w:rFonts w:cs="Times New Roman"/>
      <w:sz w:val="20"/>
      <w:szCs w:val="20"/>
      <w:lang w:val="en-GB" w:eastAsia="de-DE"/>
    </w:rPr>
  </w:style>
  <w:style w:type="paragraph" w:customStyle="1" w:styleId="CharChar">
    <w:name w:val="Char Char"/>
    <w:basedOn w:val="Normal"/>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Normal"/>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DefaultParagraphFont"/>
    <w:uiPriority w:val="99"/>
    <w:semiHidden/>
    <w:rsid w:val="00832035"/>
    <w:rPr>
      <w:rFonts w:cs="Times New Roman"/>
      <w:color w:val="0000FF"/>
      <w:u w:val="single"/>
    </w:rPr>
  </w:style>
  <w:style w:type="character" w:styleId="FootnoteReference">
    <w:name w:val="footnote reference"/>
    <w:basedOn w:val="DefaultParagraphFont"/>
    <w:uiPriority w:val="99"/>
    <w:semiHidden/>
    <w:rsid w:val="00832035"/>
    <w:rPr>
      <w:rFonts w:cs="Times New Roman"/>
      <w:vertAlign w:val="superscript"/>
    </w:rPr>
  </w:style>
  <w:style w:type="paragraph" w:styleId="ListParagraph">
    <w:name w:val="List Paragraph"/>
    <w:basedOn w:val="Normal"/>
    <w:uiPriority w:val="99"/>
    <w:qFormat/>
    <w:rsid w:val="003D4CDC"/>
    <w:pPr>
      <w:ind w:left="720"/>
      <w:contextualSpacing/>
    </w:pPr>
  </w:style>
  <w:style w:type="character" w:customStyle="1" w:styleId="anti-spider">
    <w:name w:val="anti-spider"/>
    <w:basedOn w:val="DefaultParagraphFont"/>
    <w:uiPriority w:val="99"/>
    <w:rsid w:val="00B85580"/>
    <w:rPr>
      <w:rFonts w:cs="Times New Roman"/>
    </w:rPr>
  </w:style>
  <w:style w:type="table" w:styleId="TableGrid">
    <w:name w:val="Table Grid"/>
    <w:basedOn w:val="TableNormal"/>
    <w:uiPriority w:val="99"/>
    <w:locked/>
    <w:rsid w:val="00B527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FF0E56"/>
    <w:rPr>
      <w:rFonts w:cs="Times New Roman"/>
      <w:color w:val="800080"/>
      <w:u w:val="single"/>
    </w:rPr>
  </w:style>
  <w:style w:type="paragraph" w:styleId="Caption">
    <w:name w:val="caption"/>
    <w:aliases w:val="Ca"/>
    <w:basedOn w:val="Normal"/>
    <w:next w:val="Normal"/>
    <w:link w:val="CaptionChar"/>
    <w:uiPriority w:val="99"/>
    <w:qFormat/>
    <w:locked/>
    <w:rsid w:val="004B7E6B"/>
    <w:pPr>
      <w:spacing w:before="120" w:after="120"/>
    </w:pPr>
    <w:rPr>
      <w:b/>
      <w:lang w:val="fr-FR" w:eastAsia="fr-FR"/>
    </w:rPr>
  </w:style>
  <w:style w:type="character" w:customStyle="1" w:styleId="CaptionChar">
    <w:name w:val="Caption Char"/>
    <w:aliases w:val="Ca Char"/>
    <w:basedOn w:val="DefaultParagraphFont"/>
    <w:link w:val="Caption"/>
    <w:uiPriority w:val="99"/>
    <w:locked/>
    <w:rsid w:val="004B7E6B"/>
    <w:rPr>
      <w:rFonts w:cs="Times New Roman"/>
      <w:b/>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643</Words>
  <Characters>4054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M66_22R0_SE24</dc:title>
  <dc:subject/>
  <dc:creator>ralf</dc:creator>
  <cp:keywords/>
  <dc:description/>
  <cp:lastModifiedBy>Ralf Kallenborn</cp:lastModifiedBy>
  <cp:revision>3</cp:revision>
  <cp:lastPrinted>2010-11-08T10:24:00Z</cp:lastPrinted>
  <dcterms:created xsi:type="dcterms:W3CDTF">2012-08-28T08:56:00Z</dcterms:created>
  <dcterms:modified xsi:type="dcterms:W3CDTF">2012-08-30T08:05:00Z</dcterms:modified>
</cp:coreProperties>
</file>