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59676" w14:textId="77777777" w:rsidR="003C0BC1" w:rsidRPr="00D048B4" w:rsidRDefault="003C0BC1" w:rsidP="003C0BC1">
      <w:pPr>
        <w:rPr>
          <w:b/>
          <w:color w:val="FFFFFF"/>
          <w:szCs w:val="20"/>
          <w:lang w:val="en-GB"/>
        </w:rPr>
      </w:pPr>
      <w:r w:rsidRPr="00D048B4">
        <w:rPr>
          <w:b/>
          <w:color w:val="FFFFFF"/>
          <w:szCs w:val="20"/>
          <w:lang w:val="en-GB"/>
        </w:rPr>
        <w:t>O</w:t>
      </w:r>
    </w:p>
    <w:p w14:paraId="51130E20" w14:textId="409448D6" w:rsidR="003C0BC1" w:rsidRPr="00D048B4" w:rsidRDefault="003C0BC1" w:rsidP="003C0BC1">
      <w:pPr>
        <w:pStyle w:val="Funotentext"/>
        <w:widowControl w:val="0"/>
        <w:rPr>
          <w:rFonts w:cs="Arial"/>
          <w:lang w:val="en-GB"/>
        </w:rPr>
      </w:pPr>
    </w:p>
    <w:tbl>
      <w:tblPr>
        <w:tblW w:w="9360" w:type="dxa"/>
        <w:tblInd w:w="70" w:type="dxa"/>
        <w:tblLayout w:type="fixed"/>
        <w:tblCellMar>
          <w:left w:w="70" w:type="dxa"/>
          <w:right w:w="70" w:type="dxa"/>
        </w:tblCellMar>
        <w:tblLook w:val="0000" w:firstRow="0" w:lastRow="0" w:firstColumn="0" w:lastColumn="0" w:noHBand="0" w:noVBand="0"/>
      </w:tblPr>
      <w:tblGrid>
        <w:gridCol w:w="1768"/>
        <w:gridCol w:w="4352"/>
        <w:gridCol w:w="3240"/>
      </w:tblGrid>
      <w:tr w:rsidR="002C6DFC" w:rsidRPr="002C6DFC" w14:paraId="17329538" w14:textId="77777777" w:rsidTr="007362C7">
        <w:trPr>
          <w:cantSplit/>
        </w:trPr>
        <w:tc>
          <w:tcPr>
            <w:tcW w:w="6120" w:type="dxa"/>
            <w:gridSpan w:val="2"/>
          </w:tcPr>
          <w:p w14:paraId="32420115" w14:textId="7321F21E" w:rsidR="002C6DFC" w:rsidRPr="002C6DFC" w:rsidRDefault="002C6DFC" w:rsidP="002C6DFC">
            <w:pPr>
              <w:pStyle w:val="Funotentext"/>
              <w:widowControl w:val="0"/>
              <w:rPr>
                <w:rFonts w:cs="Arial"/>
                <w:b/>
                <w:lang w:val="en-GB"/>
              </w:rPr>
            </w:pPr>
            <w:r w:rsidRPr="002C6DFC">
              <w:rPr>
                <w:rFonts w:cs="Arial"/>
                <w:b/>
                <w:lang w:val="en-GB"/>
              </w:rPr>
              <w:br w:type="page"/>
            </w:r>
            <w:r w:rsidRPr="002C6DFC">
              <w:rPr>
                <w:rFonts w:cs="Arial"/>
                <w:b/>
                <w:bCs/>
                <w:lang w:val="de-DE"/>
              </w:rPr>
              <w:drawing>
                <wp:inline distT="0" distB="0" distL="0" distR="0" wp14:anchorId="05BE7DC7" wp14:editId="1EFD3689">
                  <wp:extent cx="1619250" cy="8382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tc>
        <w:tc>
          <w:tcPr>
            <w:tcW w:w="3240" w:type="dxa"/>
          </w:tcPr>
          <w:p w14:paraId="29305846" w14:textId="722EF3A8" w:rsidR="002C6DFC" w:rsidRPr="002C6DFC" w:rsidRDefault="002C6DFC" w:rsidP="002C6DFC">
            <w:pPr>
              <w:pStyle w:val="Funotentext"/>
              <w:widowControl w:val="0"/>
              <w:rPr>
                <w:rFonts w:cs="Arial"/>
                <w:b/>
                <w:lang w:val="en-GB"/>
              </w:rPr>
            </w:pPr>
            <w:r w:rsidRPr="002C6DFC">
              <w:rPr>
                <w:rFonts w:cs="Arial"/>
                <w:b/>
                <w:lang w:val="en-GB"/>
              </w:rPr>
              <w:t>Doc. ECC/SE(14)</w:t>
            </w:r>
            <w:r>
              <w:rPr>
                <w:rFonts w:cs="Arial"/>
                <w:b/>
                <w:lang w:val="en-GB"/>
              </w:rPr>
              <w:t>030</w:t>
            </w:r>
          </w:p>
          <w:p w14:paraId="3EB74082" w14:textId="77777777" w:rsidR="002C6DFC" w:rsidRPr="002C6DFC" w:rsidRDefault="002C6DFC" w:rsidP="002C6DFC">
            <w:pPr>
              <w:pStyle w:val="Funotentext"/>
              <w:widowControl w:val="0"/>
              <w:rPr>
                <w:rFonts w:cs="Arial"/>
                <w:b/>
                <w:lang w:val="en-GB"/>
              </w:rPr>
            </w:pPr>
          </w:p>
        </w:tc>
      </w:tr>
      <w:tr w:rsidR="002C6DFC" w:rsidRPr="002C6DFC" w14:paraId="7E3B0D56" w14:textId="77777777" w:rsidTr="007362C7">
        <w:trPr>
          <w:trHeight w:val="567"/>
        </w:trPr>
        <w:tc>
          <w:tcPr>
            <w:tcW w:w="6120" w:type="dxa"/>
            <w:gridSpan w:val="2"/>
            <w:tcMar>
              <w:top w:w="0" w:type="dxa"/>
              <w:left w:w="108" w:type="dxa"/>
              <w:bottom w:w="0" w:type="dxa"/>
              <w:right w:w="108" w:type="dxa"/>
            </w:tcMar>
            <w:vAlign w:val="center"/>
          </w:tcPr>
          <w:p w14:paraId="0A933E98" w14:textId="77777777" w:rsidR="002C6DFC" w:rsidRPr="002C6DFC" w:rsidRDefault="002C6DFC" w:rsidP="002C6DFC">
            <w:pPr>
              <w:pStyle w:val="Funotentext"/>
              <w:widowControl w:val="0"/>
              <w:rPr>
                <w:rFonts w:cs="Arial"/>
                <w:b/>
                <w:lang w:val="en-GB"/>
              </w:rPr>
            </w:pPr>
            <w:r w:rsidRPr="002C6DFC">
              <w:rPr>
                <w:rFonts w:cs="Arial"/>
                <w:b/>
                <w:lang w:val="en-GB"/>
              </w:rPr>
              <w:t>Working Group SE</w:t>
            </w:r>
          </w:p>
        </w:tc>
        <w:tc>
          <w:tcPr>
            <w:tcW w:w="3240" w:type="dxa"/>
            <w:tcMar>
              <w:top w:w="0" w:type="dxa"/>
              <w:left w:w="108" w:type="dxa"/>
              <w:bottom w:w="0" w:type="dxa"/>
              <w:right w:w="108" w:type="dxa"/>
            </w:tcMar>
            <w:vAlign w:val="center"/>
          </w:tcPr>
          <w:p w14:paraId="4DD4F801" w14:textId="77777777" w:rsidR="002C6DFC" w:rsidRPr="002C6DFC" w:rsidRDefault="002C6DFC" w:rsidP="002C6DFC">
            <w:pPr>
              <w:pStyle w:val="Funotentext"/>
              <w:widowControl w:val="0"/>
              <w:rPr>
                <w:rFonts w:cs="Arial"/>
                <w:lang w:val="en-GB"/>
              </w:rPr>
            </w:pPr>
          </w:p>
        </w:tc>
      </w:tr>
      <w:tr w:rsidR="002C6DFC" w:rsidRPr="002C6DFC" w14:paraId="488FF7FD" w14:textId="77777777" w:rsidTr="007362C7">
        <w:tc>
          <w:tcPr>
            <w:tcW w:w="6120" w:type="dxa"/>
            <w:gridSpan w:val="2"/>
            <w:tcMar>
              <w:top w:w="0" w:type="dxa"/>
              <w:left w:w="108" w:type="dxa"/>
              <w:bottom w:w="0" w:type="dxa"/>
              <w:right w:w="108" w:type="dxa"/>
            </w:tcMar>
            <w:vAlign w:val="center"/>
          </w:tcPr>
          <w:p w14:paraId="3A7B8751" w14:textId="77777777" w:rsidR="002C6DFC" w:rsidRPr="002C6DFC" w:rsidRDefault="002C6DFC" w:rsidP="002C6DFC">
            <w:pPr>
              <w:pStyle w:val="Funotentext"/>
              <w:widowControl w:val="0"/>
              <w:rPr>
                <w:rFonts w:cs="Arial"/>
                <w:b/>
                <w:lang w:val="en-GB"/>
              </w:rPr>
            </w:pPr>
          </w:p>
          <w:p w14:paraId="3002F7A2" w14:textId="77777777" w:rsidR="002C6DFC" w:rsidRPr="002C6DFC" w:rsidRDefault="002C6DFC" w:rsidP="002C6DFC">
            <w:pPr>
              <w:pStyle w:val="Funotentext"/>
              <w:widowControl w:val="0"/>
              <w:rPr>
                <w:rFonts w:cs="Arial"/>
                <w:b/>
                <w:lang w:val="en-GB"/>
              </w:rPr>
            </w:pPr>
            <w:r w:rsidRPr="002C6DFC">
              <w:rPr>
                <w:rFonts w:cs="Arial"/>
                <w:b/>
                <w:lang w:val="en-GB"/>
              </w:rPr>
              <w:t>66</w:t>
            </w:r>
            <w:r w:rsidRPr="002C6DFC">
              <w:rPr>
                <w:rFonts w:cs="Arial"/>
                <w:b/>
                <w:vertAlign w:val="superscript"/>
                <w:lang w:val="en-GB"/>
              </w:rPr>
              <w:t>th</w:t>
            </w:r>
            <w:r w:rsidRPr="002C6DFC">
              <w:rPr>
                <w:rFonts w:cs="Arial"/>
                <w:b/>
                <w:lang w:val="en-GB"/>
              </w:rPr>
              <w:t xml:space="preserve"> Meeting of WG SE</w:t>
            </w:r>
          </w:p>
          <w:p w14:paraId="7CE2C715" w14:textId="77777777" w:rsidR="002C6DFC" w:rsidRPr="002C6DFC" w:rsidRDefault="002C6DFC" w:rsidP="002C6DFC">
            <w:pPr>
              <w:pStyle w:val="Funotentext"/>
              <w:widowControl w:val="0"/>
              <w:rPr>
                <w:rFonts w:cs="Arial"/>
                <w:b/>
                <w:lang w:val="en-GB"/>
              </w:rPr>
            </w:pPr>
            <w:proofErr w:type="spellStart"/>
            <w:r w:rsidRPr="002C6DFC">
              <w:rPr>
                <w:rFonts w:cs="Arial"/>
                <w:b/>
                <w:iCs/>
                <w:lang w:val="en-GB"/>
              </w:rPr>
              <w:t>Sesimbra</w:t>
            </w:r>
            <w:proofErr w:type="spellEnd"/>
            <w:r w:rsidRPr="002C6DFC">
              <w:rPr>
                <w:rFonts w:cs="Arial"/>
                <w:b/>
                <w:iCs/>
                <w:lang w:val="en-GB"/>
              </w:rPr>
              <w:t>, Portugal</w:t>
            </w:r>
            <w:r w:rsidRPr="002C6DFC">
              <w:rPr>
                <w:rFonts w:cs="Arial"/>
                <w:b/>
                <w:lang w:val="en-GB"/>
              </w:rPr>
              <w:t>, 27 – 31 January</w:t>
            </w:r>
            <w:r w:rsidRPr="002C6DFC">
              <w:rPr>
                <w:rFonts w:cs="Arial"/>
                <w:b/>
                <w:bCs/>
                <w:lang w:val="en-GB"/>
              </w:rPr>
              <w:t xml:space="preserve"> 2014</w:t>
            </w:r>
          </w:p>
        </w:tc>
        <w:tc>
          <w:tcPr>
            <w:tcW w:w="3240" w:type="dxa"/>
            <w:tcMar>
              <w:top w:w="0" w:type="dxa"/>
              <w:left w:w="108" w:type="dxa"/>
              <w:bottom w:w="0" w:type="dxa"/>
              <w:right w:w="108" w:type="dxa"/>
            </w:tcMar>
            <w:vAlign w:val="center"/>
          </w:tcPr>
          <w:p w14:paraId="22FC6A8A" w14:textId="77777777" w:rsidR="002C6DFC" w:rsidRPr="002C6DFC" w:rsidRDefault="002C6DFC" w:rsidP="002C6DFC">
            <w:pPr>
              <w:pStyle w:val="Funotentext"/>
              <w:widowControl w:val="0"/>
              <w:rPr>
                <w:rFonts w:cs="Arial"/>
                <w:lang w:val="en-GB"/>
              </w:rPr>
            </w:pPr>
          </w:p>
        </w:tc>
      </w:tr>
      <w:tr w:rsidR="002C6DFC" w:rsidRPr="002C6DFC" w14:paraId="1577C4CD" w14:textId="77777777" w:rsidTr="007362C7">
        <w:tc>
          <w:tcPr>
            <w:tcW w:w="6120" w:type="dxa"/>
            <w:gridSpan w:val="2"/>
            <w:tcBorders>
              <w:bottom w:val="single" w:sz="2" w:space="0" w:color="auto"/>
            </w:tcBorders>
            <w:tcMar>
              <w:top w:w="0" w:type="dxa"/>
              <w:left w:w="108" w:type="dxa"/>
              <w:bottom w:w="0" w:type="dxa"/>
              <w:right w:w="108" w:type="dxa"/>
            </w:tcMar>
            <w:vAlign w:val="center"/>
          </w:tcPr>
          <w:p w14:paraId="5629862B" w14:textId="77777777" w:rsidR="002C6DFC" w:rsidRPr="002C6DFC" w:rsidRDefault="002C6DFC" w:rsidP="002C6DFC">
            <w:pPr>
              <w:pStyle w:val="Funotentext"/>
              <w:widowControl w:val="0"/>
              <w:rPr>
                <w:rFonts w:cs="Arial"/>
                <w:b/>
                <w:lang w:val="en-GB"/>
              </w:rPr>
            </w:pPr>
          </w:p>
        </w:tc>
        <w:tc>
          <w:tcPr>
            <w:tcW w:w="3240" w:type="dxa"/>
            <w:tcBorders>
              <w:bottom w:val="single" w:sz="2" w:space="0" w:color="auto"/>
            </w:tcBorders>
            <w:tcMar>
              <w:top w:w="0" w:type="dxa"/>
              <w:left w:w="108" w:type="dxa"/>
              <w:bottom w:w="0" w:type="dxa"/>
              <w:right w:w="108" w:type="dxa"/>
            </w:tcMar>
            <w:vAlign w:val="center"/>
          </w:tcPr>
          <w:p w14:paraId="120CF09F" w14:textId="77777777" w:rsidR="002C6DFC" w:rsidRPr="002C6DFC" w:rsidRDefault="002C6DFC" w:rsidP="002C6DFC">
            <w:pPr>
              <w:pStyle w:val="Funotentext"/>
              <w:widowControl w:val="0"/>
              <w:rPr>
                <w:rFonts w:cs="Arial"/>
                <w:lang w:val="en-GB"/>
              </w:rPr>
            </w:pPr>
          </w:p>
        </w:tc>
      </w:tr>
      <w:tr w:rsidR="002C6DFC" w:rsidRPr="002C6DFC" w14:paraId="00E72C7F" w14:textId="77777777" w:rsidTr="007362C7">
        <w:trPr>
          <w:trHeight w:val="454"/>
        </w:trPr>
        <w:tc>
          <w:tcPr>
            <w:tcW w:w="1768" w:type="dxa"/>
            <w:tcBorders>
              <w:top w:val="single" w:sz="2" w:space="0" w:color="auto"/>
            </w:tcBorders>
            <w:tcMar>
              <w:top w:w="0" w:type="dxa"/>
              <w:left w:w="108" w:type="dxa"/>
              <w:bottom w:w="0" w:type="dxa"/>
              <w:right w:w="108" w:type="dxa"/>
            </w:tcMar>
            <w:vAlign w:val="center"/>
          </w:tcPr>
          <w:p w14:paraId="2EC5B96D" w14:textId="77777777" w:rsidR="002C6DFC" w:rsidRPr="002C6DFC" w:rsidRDefault="002C6DFC" w:rsidP="002C6DFC">
            <w:pPr>
              <w:pStyle w:val="Funotentext"/>
              <w:widowControl w:val="0"/>
              <w:rPr>
                <w:rFonts w:cs="Arial"/>
                <w:b/>
                <w:lang w:val="en-GB"/>
              </w:rPr>
            </w:pPr>
            <w:r w:rsidRPr="002C6DFC">
              <w:rPr>
                <w:rFonts w:cs="Arial"/>
                <w:b/>
                <w:lang w:val="en-GB"/>
              </w:rPr>
              <w:t xml:space="preserve">Date issued: </w:t>
            </w:r>
          </w:p>
        </w:tc>
        <w:tc>
          <w:tcPr>
            <w:tcW w:w="7592" w:type="dxa"/>
            <w:gridSpan w:val="2"/>
            <w:tcBorders>
              <w:top w:val="single" w:sz="2" w:space="0" w:color="auto"/>
            </w:tcBorders>
            <w:tcMar>
              <w:top w:w="0" w:type="dxa"/>
              <w:left w:w="108" w:type="dxa"/>
              <w:bottom w:w="0" w:type="dxa"/>
              <w:right w:w="108" w:type="dxa"/>
            </w:tcMar>
            <w:vAlign w:val="center"/>
          </w:tcPr>
          <w:p w14:paraId="726752FA" w14:textId="251869F7" w:rsidR="002C6DFC" w:rsidRPr="002C6DFC" w:rsidRDefault="002C6DFC" w:rsidP="002C6DFC">
            <w:pPr>
              <w:pStyle w:val="Funotentext"/>
              <w:widowControl w:val="0"/>
              <w:rPr>
                <w:rFonts w:cs="Arial"/>
                <w:lang w:val="en-GB"/>
              </w:rPr>
            </w:pPr>
            <w:r>
              <w:rPr>
                <w:rFonts w:cs="Arial"/>
                <w:lang w:val="en-GB"/>
              </w:rPr>
              <w:t>21</w:t>
            </w:r>
            <w:r w:rsidRPr="00D048B4">
              <w:rPr>
                <w:rFonts w:cs="Arial"/>
                <w:lang w:val="en-GB"/>
              </w:rPr>
              <w:t xml:space="preserve"> </w:t>
            </w:r>
            <w:r>
              <w:rPr>
                <w:rFonts w:cs="Arial"/>
                <w:lang w:val="en-GB"/>
              </w:rPr>
              <w:t>January</w:t>
            </w:r>
            <w:r w:rsidRPr="00D048B4">
              <w:rPr>
                <w:rFonts w:cs="Arial"/>
                <w:lang w:val="en-GB"/>
              </w:rPr>
              <w:t xml:space="preserve"> 201</w:t>
            </w:r>
            <w:r>
              <w:rPr>
                <w:rFonts w:cs="Arial"/>
                <w:lang w:val="en-GB"/>
              </w:rPr>
              <w:t>4</w:t>
            </w:r>
          </w:p>
        </w:tc>
      </w:tr>
      <w:tr w:rsidR="002C6DFC" w:rsidRPr="002C6DFC" w14:paraId="4C08CE83" w14:textId="77777777" w:rsidTr="007362C7">
        <w:trPr>
          <w:trHeight w:val="454"/>
        </w:trPr>
        <w:tc>
          <w:tcPr>
            <w:tcW w:w="1768" w:type="dxa"/>
            <w:tcMar>
              <w:top w:w="0" w:type="dxa"/>
              <w:left w:w="108" w:type="dxa"/>
              <w:bottom w:w="0" w:type="dxa"/>
              <w:right w:w="108" w:type="dxa"/>
            </w:tcMar>
            <w:vAlign w:val="center"/>
          </w:tcPr>
          <w:p w14:paraId="3FA2B85D" w14:textId="77777777" w:rsidR="002C6DFC" w:rsidRPr="002C6DFC" w:rsidRDefault="002C6DFC" w:rsidP="002C6DFC">
            <w:pPr>
              <w:pStyle w:val="Funotentext"/>
              <w:widowControl w:val="0"/>
              <w:rPr>
                <w:rFonts w:cs="Arial"/>
                <w:b/>
                <w:lang w:val="en-GB"/>
              </w:rPr>
            </w:pPr>
            <w:r w:rsidRPr="002C6DFC">
              <w:rPr>
                <w:rFonts w:cs="Arial"/>
                <w:b/>
                <w:lang w:val="en-GB"/>
              </w:rPr>
              <w:t>Source:</w:t>
            </w:r>
          </w:p>
        </w:tc>
        <w:tc>
          <w:tcPr>
            <w:tcW w:w="7592" w:type="dxa"/>
            <w:gridSpan w:val="2"/>
            <w:tcMar>
              <w:top w:w="0" w:type="dxa"/>
              <w:left w:w="108" w:type="dxa"/>
              <w:bottom w:w="0" w:type="dxa"/>
              <w:right w:w="108" w:type="dxa"/>
            </w:tcMar>
            <w:vAlign w:val="center"/>
          </w:tcPr>
          <w:p w14:paraId="6087926A" w14:textId="4E17D490" w:rsidR="002C6DFC" w:rsidRPr="002C6DFC" w:rsidRDefault="002C6DFC" w:rsidP="002C6DFC">
            <w:pPr>
              <w:pStyle w:val="Funotentext"/>
              <w:widowControl w:val="0"/>
              <w:rPr>
                <w:rFonts w:cs="Arial"/>
                <w:lang w:val="en-GB"/>
              </w:rPr>
            </w:pPr>
            <w:r>
              <w:rPr>
                <w:rFonts w:cs="Arial"/>
                <w:lang w:val="en-GB"/>
              </w:rPr>
              <w:t>Inmarsat</w:t>
            </w:r>
          </w:p>
        </w:tc>
      </w:tr>
      <w:tr w:rsidR="002C6DFC" w:rsidRPr="002C6DFC" w14:paraId="3C27C971" w14:textId="77777777" w:rsidTr="007362C7">
        <w:trPr>
          <w:trHeight w:val="454"/>
        </w:trPr>
        <w:tc>
          <w:tcPr>
            <w:tcW w:w="1768" w:type="dxa"/>
            <w:tcBorders>
              <w:bottom w:val="single" w:sz="4" w:space="0" w:color="auto"/>
            </w:tcBorders>
            <w:tcMar>
              <w:top w:w="0" w:type="dxa"/>
              <w:left w:w="108" w:type="dxa"/>
              <w:bottom w:w="0" w:type="dxa"/>
              <w:right w:w="108" w:type="dxa"/>
            </w:tcMar>
            <w:vAlign w:val="center"/>
          </w:tcPr>
          <w:p w14:paraId="08E767E9" w14:textId="77777777" w:rsidR="002C6DFC" w:rsidRPr="002C6DFC" w:rsidRDefault="002C6DFC" w:rsidP="002C6DFC">
            <w:pPr>
              <w:pStyle w:val="Funotentext"/>
              <w:widowControl w:val="0"/>
              <w:rPr>
                <w:rFonts w:cs="Arial"/>
                <w:b/>
                <w:lang w:val="en-GB"/>
              </w:rPr>
            </w:pPr>
            <w:r w:rsidRPr="002C6DFC">
              <w:rPr>
                <w:rFonts w:cs="Arial"/>
                <w:b/>
                <w:lang w:val="en-GB"/>
              </w:rPr>
              <w:t>Subject:</w:t>
            </w:r>
          </w:p>
        </w:tc>
        <w:tc>
          <w:tcPr>
            <w:tcW w:w="7592" w:type="dxa"/>
            <w:gridSpan w:val="2"/>
            <w:tcBorders>
              <w:bottom w:val="single" w:sz="4" w:space="0" w:color="auto"/>
            </w:tcBorders>
            <w:tcMar>
              <w:top w:w="0" w:type="dxa"/>
              <w:left w:w="108" w:type="dxa"/>
              <w:bottom w:w="0" w:type="dxa"/>
              <w:right w:w="108" w:type="dxa"/>
            </w:tcMar>
            <w:vAlign w:val="center"/>
          </w:tcPr>
          <w:p w14:paraId="308A13D6" w14:textId="7D72F80A" w:rsidR="002C6DFC" w:rsidRPr="002C6DFC" w:rsidRDefault="002C6DFC" w:rsidP="002C6DFC">
            <w:pPr>
              <w:pStyle w:val="Funotentext"/>
              <w:widowControl w:val="0"/>
              <w:rPr>
                <w:rFonts w:cs="Arial"/>
                <w:lang w:val="en-GB"/>
              </w:rPr>
            </w:pPr>
            <w:r>
              <w:rPr>
                <w:rFonts w:cs="Arial"/>
                <w:lang w:val="en-GB"/>
              </w:rPr>
              <w:t xml:space="preserve">Proposed new Work Item on compatibility studies for the use of aeronautical CGC systems operating in the bands </w:t>
            </w:r>
            <w:r>
              <w:rPr>
                <w:rFonts w:cs="Arial"/>
                <w:bCs/>
                <w:lang w:val="en-GB"/>
              </w:rPr>
              <w:t xml:space="preserve">1980 – 2010 MHz and </w:t>
            </w:r>
            <w:r>
              <w:rPr>
                <w:rFonts w:cs="Arial"/>
                <w:bCs/>
                <w:lang w:val="en-GB"/>
              </w:rPr>
              <w:t>2</w:t>
            </w:r>
            <w:r>
              <w:rPr>
                <w:rFonts w:cs="Arial"/>
                <w:bCs/>
                <w:lang w:val="en-GB"/>
              </w:rPr>
              <w:t>170 – 2200 MHz</w:t>
            </w:r>
          </w:p>
        </w:tc>
      </w:tr>
    </w:tbl>
    <w:p w14:paraId="5D67BF94" w14:textId="77777777" w:rsidR="002C6DFC" w:rsidRPr="002C6DFC" w:rsidRDefault="002C6DFC" w:rsidP="002C6DFC">
      <w:pPr>
        <w:pStyle w:val="Funotentext"/>
        <w:widowControl w:val="0"/>
        <w:rPr>
          <w:rFonts w:cs="Arial"/>
          <w:b/>
          <w:bCs/>
          <w:lang w:val="en-GB"/>
        </w:rPr>
      </w:pPr>
    </w:p>
    <w:tbl>
      <w:tblPr>
        <w:tblW w:w="9360" w:type="dxa"/>
        <w:tblInd w:w="108" w:type="dxa"/>
        <w:tblLook w:val="01E0" w:firstRow="1" w:lastRow="1" w:firstColumn="1" w:lastColumn="1" w:noHBand="0" w:noVBand="0"/>
      </w:tblPr>
      <w:tblGrid>
        <w:gridCol w:w="4320"/>
        <w:gridCol w:w="5040"/>
      </w:tblGrid>
      <w:tr w:rsidR="002C6DFC" w:rsidRPr="002C6DFC" w14:paraId="75380602" w14:textId="77777777" w:rsidTr="007362C7">
        <w:tc>
          <w:tcPr>
            <w:tcW w:w="4320" w:type="dxa"/>
            <w:shd w:val="clear" w:color="auto" w:fill="auto"/>
          </w:tcPr>
          <w:p w14:paraId="702D6E33" w14:textId="77777777" w:rsidR="002C6DFC" w:rsidRPr="002C6DFC" w:rsidRDefault="002C6DFC" w:rsidP="002C6DFC">
            <w:pPr>
              <w:pStyle w:val="Funotentext"/>
              <w:widowControl w:val="0"/>
              <w:rPr>
                <w:rFonts w:cs="Arial"/>
                <w:lang w:val="en-GB"/>
              </w:rPr>
            </w:pPr>
            <w:r w:rsidRPr="002C6DFC">
              <w:rPr>
                <w:rFonts w:cs="Arial"/>
                <w:lang w:val="en-GB"/>
              </w:rPr>
              <w:t>Password protection required? (Y/N)</w:t>
            </w:r>
          </w:p>
          <w:p w14:paraId="19E987C7" w14:textId="77777777" w:rsidR="002C6DFC" w:rsidRPr="002C6DFC" w:rsidRDefault="002C6DFC" w:rsidP="002C6DFC">
            <w:pPr>
              <w:pStyle w:val="Funotentext"/>
              <w:widowControl w:val="0"/>
              <w:rPr>
                <w:rFonts w:cs="Arial"/>
                <w:bCs/>
                <w:lang w:val="en-GB"/>
              </w:rPr>
            </w:pPr>
          </w:p>
          <w:p w14:paraId="2F0A8A54" w14:textId="77777777" w:rsidR="002C6DFC" w:rsidRPr="002C6DFC" w:rsidRDefault="002C6DFC" w:rsidP="002C6DFC">
            <w:pPr>
              <w:pStyle w:val="Funotentext"/>
              <w:widowControl w:val="0"/>
              <w:rPr>
                <w:rFonts w:cs="Arial"/>
                <w:bCs/>
                <w:lang w:val="en-GB"/>
              </w:rPr>
            </w:pPr>
          </w:p>
          <w:p w14:paraId="4269725C" w14:textId="77777777" w:rsidR="002C6DFC" w:rsidRPr="002C6DFC" w:rsidRDefault="002C6DFC" w:rsidP="002C6DFC">
            <w:pPr>
              <w:pStyle w:val="Funotentext"/>
              <w:widowControl w:val="0"/>
              <w:rPr>
                <w:rFonts w:cs="Arial"/>
                <w:bCs/>
                <w:lang w:val="en-GB"/>
              </w:rPr>
            </w:pPr>
          </w:p>
        </w:tc>
        <w:tc>
          <w:tcPr>
            <w:tcW w:w="5040" w:type="dxa"/>
            <w:shd w:val="clear" w:color="auto" w:fill="auto"/>
          </w:tcPr>
          <w:p w14:paraId="625515F3" w14:textId="49F38728" w:rsidR="002C6DFC" w:rsidRPr="002C6DFC" w:rsidRDefault="002C6DFC" w:rsidP="002C6DFC">
            <w:pPr>
              <w:pStyle w:val="Funotentext"/>
              <w:widowControl w:val="0"/>
              <w:rPr>
                <w:rFonts w:cs="Arial"/>
                <w:b/>
                <w:bCs/>
                <w:lang w:val="en-GB"/>
              </w:rPr>
            </w:pPr>
            <w:r w:rsidRPr="002C6DFC">
              <w:rPr>
                <w:rFonts w:cs="Arial"/>
                <w:bCs/>
                <w:lang w:val="de-DE"/>
              </w:rPr>
              <mc:AlternateContent>
                <mc:Choice Requires="wps">
                  <w:drawing>
                    <wp:anchor distT="0" distB="0" distL="114300" distR="114300" simplePos="0" relativeHeight="251661312" behindDoc="0" locked="0" layoutInCell="1" allowOverlap="1" wp14:anchorId="6AD8443B" wp14:editId="05593283">
                      <wp:simplePos x="0" y="0"/>
                      <wp:positionH relativeFrom="column">
                        <wp:posOffset>-68580</wp:posOffset>
                      </wp:positionH>
                      <wp:positionV relativeFrom="paragraph">
                        <wp:posOffset>28575</wp:posOffset>
                      </wp:positionV>
                      <wp:extent cx="360045" cy="288290"/>
                      <wp:effectExtent l="9525" t="6985" r="11430" b="95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miter lim="800000"/>
                                <a:headEnd/>
                                <a:tailEnd/>
                              </a:ln>
                            </wps:spPr>
                            <wps:txbx>
                              <w:txbxContent>
                                <w:p w14:paraId="77EBF5CF" w14:textId="77777777" w:rsidR="002C6DFC" w:rsidRPr="00676739" w:rsidRDefault="002C6DFC" w:rsidP="002C6DFC">
                                  <w:pPr>
                                    <w:rPr>
                                      <w:b/>
                                      <w:lang w:val="de-DE"/>
                                    </w:rPr>
                                  </w:pPr>
                                  <w:r>
                                    <w:rPr>
                                      <w:b/>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5.4pt;margin-top:2.25pt;width:28.3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">
                      <v:textbox>
                        <w:txbxContent>
                          <w:p w14:paraId="77EBF5CF" w14:textId="77777777" w:rsidR="002C6DFC" w:rsidRPr="00676739" w:rsidRDefault="002C6DFC" w:rsidP="002C6DFC">
                            <w:pPr>
                              <w:rPr>
                                <w:b/>
                                <w:lang w:val="de-DE"/>
                              </w:rPr>
                            </w:pPr>
                            <w:r>
                              <w:rPr>
                                <w:b/>
                                <w:lang w:val="de-DE"/>
                              </w:rPr>
                              <w:t>N</w:t>
                            </w:r>
                          </w:p>
                        </w:txbxContent>
                      </v:textbox>
                    </v:shape>
                  </w:pict>
                </mc:Fallback>
              </mc:AlternateContent>
            </w:r>
          </w:p>
        </w:tc>
      </w:tr>
    </w:tbl>
    <w:p w14:paraId="4E221914" w14:textId="77777777" w:rsidR="002C6DFC" w:rsidRDefault="002C6DFC" w:rsidP="003C0BC1">
      <w:pPr>
        <w:pStyle w:val="Funotentext"/>
        <w:widowControl w:val="0"/>
        <w:rPr>
          <w:rFonts w:cs="Arial"/>
          <w:lang w:val="en-GB"/>
        </w:rPr>
      </w:pPr>
    </w:p>
    <w:p w14:paraId="0D28FAC5" w14:textId="77777777" w:rsidR="002C6DFC" w:rsidRPr="00D048B4" w:rsidRDefault="002C6DFC" w:rsidP="003C0BC1">
      <w:pPr>
        <w:pStyle w:val="Funotentext"/>
        <w:widowControl w:val="0"/>
        <w:rPr>
          <w:rFonts w:cs="Arial"/>
          <w:lang w:val="en-GB"/>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3C0BC1" w:rsidRPr="00D048B4" w14:paraId="596221A5" w14:textId="6D91CCC5" w:rsidTr="00D40C0D">
        <w:tc>
          <w:tcPr>
            <w:tcW w:w="9639" w:type="dxa"/>
            <w:tcBorders>
              <w:top w:val="single" w:sz="4" w:space="0" w:color="auto"/>
              <w:left w:val="single" w:sz="4" w:space="0" w:color="auto"/>
              <w:bottom w:val="nil"/>
              <w:right w:val="single" w:sz="4" w:space="0" w:color="auto"/>
            </w:tcBorders>
          </w:tcPr>
          <w:p w14:paraId="38F2E5AE" w14:textId="68C87733" w:rsidR="003C0BC1" w:rsidRPr="00D048B4" w:rsidRDefault="003C0BC1" w:rsidP="00D40C0D">
            <w:pPr>
              <w:rPr>
                <w:rFonts w:cs="Arial"/>
                <w:b/>
                <w:bCs/>
                <w:lang w:val="en-GB"/>
              </w:rPr>
            </w:pPr>
            <w:r w:rsidRPr="00D048B4">
              <w:rPr>
                <w:rFonts w:cs="Arial"/>
                <w:b/>
                <w:bCs/>
                <w:lang w:val="en-GB"/>
              </w:rPr>
              <w:t>Summary:</w:t>
            </w:r>
          </w:p>
        </w:tc>
      </w:tr>
      <w:tr w:rsidR="003C0BC1" w:rsidRPr="00D048B4" w14:paraId="51CE7406" w14:textId="03A1C4E8" w:rsidTr="00D40C0D">
        <w:tc>
          <w:tcPr>
            <w:tcW w:w="9639" w:type="dxa"/>
            <w:tcBorders>
              <w:top w:val="nil"/>
              <w:left w:val="single" w:sz="4" w:space="0" w:color="auto"/>
              <w:bottom w:val="single" w:sz="4" w:space="0" w:color="auto"/>
              <w:right w:val="single" w:sz="4" w:space="0" w:color="auto"/>
            </w:tcBorders>
          </w:tcPr>
          <w:p w14:paraId="15CDD7B0" w14:textId="77777777" w:rsidR="003C7B6E" w:rsidRDefault="003C7B6E" w:rsidP="003C0BC1">
            <w:pPr>
              <w:rPr>
                <w:rFonts w:cs="Arial"/>
                <w:bCs/>
                <w:lang w:val="en-GB"/>
              </w:rPr>
            </w:pPr>
          </w:p>
          <w:p w14:paraId="0A2D162C" w14:textId="31713F0B" w:rsidR="003C7B6E" w:rsidRDefault="00B7383F" w:rsidP="002125E3">
            <w:pPr>
              <w:rPr>
                <w:rFonts w:cs="Arial"/>
                <w:bCs/>
                <w:lang w:val="en-GB"/>
              </w:rPr>
            </w:pPr>
            <w:r>
              <w:rPr>
                <w:rFonts w:cs="Arial"/>
                <w:bCs/>
                <w:lang w:val="en-GB"/>
              </w:rPr>
              <w:t xml:space="preserve">MSS/CGC </w:t>
            </w:r>
            <w:r w:rsidR="00DB0BB3">
              <w:rPr>
                <w:rFonts w:cs="Arial"/>
                <w:bCs/>
                <w:lang w:val="en-GB"/>
              </w:rPr>
              <w:t xml:space="preserve">systems </w:t>
            </w:r>
            <w:r w:rsidR="00637635">
              <w:rPr>
                <w:rFonts w:cs="Arial"/>
                <w:bCs/>
                <w:lang w:val="en-GB"/>
              </w:rPr>
              <w:t xml:space="preserve">involving stations on aircraft </w:t>
            </w:r>
            <w:r w:rsidR="00DB0BB3">
              <w:rPr>
                <w:rFonts w:cs="Arial"/>
                <w:bCs/>
                <w:lang w:val="en-GB"/>
              </w:rPr>
              <w:t>in the 1</w:t>
            </w:r>
            <w:r w:rsidR="002C6DFC">
              <w:rPr>
                <w:rFonts w:cs="Arial"/>
                <w:bCs/>
                <w:lang w:val="en-GB"/>
              </w:rPr>
              <w:t> </w:t>
            </w:r>
            <w:r w:rsidR="00DB0BB3">
              <w:rPr>
                <w:rFonts w:cs="Arial"/>
                <w:bCs/>
                <w:lang w:val="en-GB"/>
              </w:rPr>
              <w:t xml:space="preserve">980 </w:t>
            </w:r>
            <w:r w:rsidR="002C6DFC">
              <w:rPr>
                <w:rFonts w:cs="Arial"/>
                <w:bCs/>
                <w:lang w:val="en-GB"/>
              </w:rPr>
              <w:t>–</w:t>
            </w:r>
            <w:r w:rsidR="00DB0BB3">
              <w:rPr>
                <w:rFonts w:cs="Arial"/>
                <w:bCs/>
                <w:lang w:val="en-GB"/>
              </w:rPr>
              <w:t xml:space="preserve"> 2</w:t>
            </w:r>
            <w:r w:rsidR="002C6DFC">
              <w:rPr>
                <w:rFonts w:cs="Arial"/>
                <w:bCs/>
                <w:lang w:val="en-GB"/>
              </w:rPr>
              <w:t> </w:t>
            </w:r>
            <w:r w:rsidR="00DB0BB3">
              <w:rPr>
                <w:rFonts w:cs="Arial"/>
                <w:bCs/>
                <w:lang w:val="en-GB"/>
              </w:rPr>
              <w:t xml:space="preserve">010 MHz and </w:t>
            </w:r>
            <w:r w:rsidR="00D938C6">
              <w:rPr>
                <w:rFonts w:cs="Arial"/>
                <w:bCs/>
                <w:lang w:val="en-GB"/>
              </w:rPr>
              <w:t>2</w:t>
            </w:r>
            <w:r w:rsidR="002C6DFC">
              <w:rPr>
                <w:rFonts w:cs="Arial"/>
                <w:bCs/>
                <w:lang w:val="en-GB"/>
              </w:rPr>
              <w:t> </w:t>
            </w:r>
            <w:r w:rsidR="00D938C6">
              <w:rPr>
                <w:rFonts w:cs="Arial"/>
                <w:bCs/>
                <w:lang w:val="en-GB"/>
              </w:rPr>
              <w:t>170</w:t>
            </w:r>
            <w:r w:rsidR="00DB0BB3">
              <w:rPr>
                <w:rFonts w:cs="Arial"/>
                <w:bCs/>
                <w:lang w:val="en-GB"/>
              </w:rPr>
              <w:t xml:space="preserve"> </w:t>
            </w:r>
            <w:r w:rsidR="002C6DFC">
              <w:rPr>
                <w:rFonts w:cs="Arial"/>
                <w:bCs/>
                <w:lang w:val="en-GB"/>
              </w:rPr>
              <w:t>–</w:t>
            </w:r>
            <w:r w:rsidR="00DB0BB3">
              <w:rPr>
                <w:rFonts w:cs="Arial"/>
                <w:bCs/>
                <w:lang w:val="en-GB"/>
              </w:rPr>
              <w:t xml:space="preserve"> 2</w:t>
            </w:r>
            <w:r w:rsidR="002C6DFC">
              <w:rPr>
                <w:rFonts w:cs="Arial"/>
                <w:bCs/>
                <w:lang w:val="en-GB"/>
              </w:rPr>
              <w:t> </w:t>
            </w:r>
            <w:r w:rsidR="00DB0BB3">
              <w:rPr>
                <w:rFonts w:cs="Arial"/>
                <w:bCs/>
                <w:lang w:val="en-GB"/>
              </w:rPr>
              <w:t xml:space="preserve">200 MHz bands are planned to be put in operation in the very </w:t>
            </w:r>
            <w:r w:rsidR="002125E3">
              <w:rPr>
                <w:rFonts w:cs="Arial"/>
                <w:bCs/>
                <w:lang w:val="en-GB"/>
              </w:rPr>
              <w:t xml:space="preserve">near future. Taking into account their characteristics and </w:t>
            </w:r>
            <w:r w:rsidR="0067366F">
              <w:rPr>
                <w:rFonts w:cs="Arial"/>
                <w:bCs/>
                <w:lang w:val="en-GB"/>
              </w:rPr>
              <w:t xml:space="preserve">the </w:t>
            </w:r>
            <w:r w:rsidR="002125E3">
              <w:rPr>
                <w:rFonts w:cs="Arial"/>
                <w:bCs/>
                <w:lang w:val="en-GB"/>
              </w:rPr>
              <w:t xml:space="preserve">geometry in which they will operate, compatibility studies with services operating in adjacent bands </w:t>
            </w:r>
            <w:r w:rsidR="0067366F">
              <w:rPr>
                <w:rFonts w:cs="Arial"/>
                <w:bCs/>
                <w:lang w:val="en-GB"/>
              </w:rPr>
              <w:t>are</w:t>
            </w:r>
            <w:r w:rsidR="002125E3">
              <w:rPr>
                <w:rFonts w:cs="Arial"/>
                <w:bCs/>
                <w:lang w:val="en-GB"/>
              </w:rPr>
              <w:t xml:space="preserve"> required to make sure that interference-free </w:t>
            </w:r>
            <w:r w:rsidR="0067366F">
              <w:rPr>
                <w:rFonts w:cs="Arial"/>
                <w:bCs/>
                <w:lang w:val="en-GB"/>
              </w:rPr>
              <w:t>conditions are guaranteed</w:t>
            </w:r>
            <w:r w:rsidR="002125E3">
              <w:rPr>
                <w:rFonts w:cs="Arial"/>
                <w:bCs/>
                <w:lang w:val="en-GB"/>
              </w:rPr>
              <w:t>.</w:t>
            </w:r>
          </w:p>
          <w:p w14:paraId="3B980396" w14:textId="186F8AD0" w:rsidR="002125E3" w:rsidRPr="00D048B4" w:rsidRDefault="002125E3" w:rsidP="002125E3">
            <w:pPr>
              <w:rPr>
                <w:rFonts w:cs="Arial"/>
                <w:bCs/>
                <w:lang w:val="en-GB"/>
              </w:rPr>
            </w:pPr>
          </w:p>
        </w:tc>
      </w:tr>
      <w:tr w:rsidR="003C0BC1" w:rsidRPr="00D048B4" w14:paraId="2B778EEE" w14:textId="455A9A2F" w:rsidTr="00D40C0D">
        <w:tc>
          <w:tcPr>
            <w:tcW w:w="9639" w:type="dxa"/>
            <w:tcBorders>
              <w:top w:val="single" w:sz="4" w:space="0" w:color="auto"/>
              <w:left w:val="single" w:sz="4" w:space="0" w:color="auto"/>
              <w:bottom w:val="nil"/>
              <w:right w:val="single" w:sz="4" w:space="0" w:color="auto"/>
            </w:tcBorders>
          </w:tcPr>
          <w:p w14:paraId="7845DE8C" w14:textId="081FC1CD" w:rsidR="003C0BC1" w:rsidRPr="00D048B4" w:rsidRDefault="003C0BC1" w:rsidP="00D40C0D">
            <w:pPr>
              <w:rPr>
                <w:rFonts w:cs="Arial"/>
                <w:b/>
                <w:bCs/>
                <w:lang w:val="en-GB"/>
              </w:rPr>
            </w:pPr>
            <w:r w:rsidRPr="00D048B4">
              <w:rPr>
                <w:rFonts w:cs="Arial"/>
                <w:b/>
                <w:bCs/>
                <w:lang w:val="en-GB"/>
              </w:rPr>
              <w:t>Proposal:</w:t>
            </w:r>
          </w:p>
        </w:tc>
      </w:tr>
      <w:tr w:rsidR="003C0BC1" w:rsidRPr="00D048B4" w14:paraId="280CF5AB" w14:textId="00B960F5" w:rsidTr="00D40C0D">
        <w:tc>
          <w:tcPr>
            <w:tcW w:w="9639" w:type="dxa"/>
            <w:tcBorders>
              <w:top w:val="nil"/>
              <w:left w:val="single" w:sz="4" w:space="0" w:color="auto"/>
              <w:bottom w:val="single" w:sz="4" w:space="0" w:color="auto"/>
              <w:right w:val="single" w:sz="4" w:space="0" w:color="auto"/>
            </w:tcBorders>
          </w:tcPr>
          <w:p w14:paraId="2E0F0D9B" w14:textId="77777777" w:rsidR="00687A9C" w:rsidRDefault="00687A9C" w:rsidP="003C0BC1">
            <w:pPr>
              <w:rPr>
                <w:rFonts w:cs="Arial"/>
                <w:bCs/>
                <w:lang w:val="en-GB"/>
              </w:rPr>
            </w:pPr>
          </w:p>
          <w:p w14:paraId="438440A4" w14:textId="5C2DE22D" w:rsidR="007C18AF" w:rsidRDefault="002125E3" w:rsidP="00647252">
            <w:pPr>
              <w:rPr>
                <w:rFonts w:cs="Arial"/>
                <w:bCs/>
                <w:lang w:val="en-GB"/>
              </w:rPr>
            </w:pPr>
            <w:r>
              <w:rPr>
                <w:rFonts w:cs="Arial"/>
                <w:bCs/>
                <w:lang w:val="en-GB"/>
              </w:rPr>
              <w:t xml:space="preserve">It is proposed that WG SE </w:t>
            </w:r>
            <w:r w:rsidR="00637635">
              <w:rPr>
                <w:rFonts w:cs="Arial"/>
                <w:bCs/>
                <w:lang w:val="en-GB"/>
              </w:rPr>
              <w:t xml:space="preserve">approves </w:t>
            </w:r>
            <w:r>
              <w:rPr>
                <w:rFonts w:cs="Arial"/>
                <w:bCs/>
                <w:lang w:val="en-GB"/>
              </w:rPr>
              <w:t>the creation of a new Work Item for the development of a new ECC Report covering the studie</w:t>
            </w:r>
            <w:r w:rsidR="00637635">
              <w:rPr>
                <w:rFonts w:cs="Arial"/>
                <w:bCs/>
                <w:lang w:val="en-GB"/>
              </w:rPr>
              <w:t>s</w:t>
            </w:r>
            <w:r>
              <w:rPr>
                <w:rFonts w:cs="Arial"/>
                <w:bCs/>
                <w:lang w:val="en-GB"/>
              </w:rPr>
              <w:t xml:space="preserve"> needed to make sure that </w:t>
            </w:r>
            <w:r w:rsidR="00637635">
              <w:rPr>
                <w:rFonts w:cs="Arial"/>
                <w:bCs/>
                <w:lang w:val="en-GB"/>
              </w:rPr>
              <w:t xml:space="preserve">aeronautical </w:t>
            </w:r>
            <w:r w:rsidR="00B7383F">
              <w:rPr>
                <w:rFonts w:cs="Arial"/>
                <w:bCs/>
                <w:lang w:val="en-GB"/>
              </w:rPr>
              <w:t xml:space="preserve">CGC </w:t>
            </w:r>
            <w:r>
              <w:rPr>
                <w:rFonts w:cs="Arial"/>
                <w:bCs/>
                <w:lang w:val="en-GB"/>
              </w:rPr>
              <w:t>systems operating in the 1</w:t>
            </w:r>
            <w:r w:rsidR="002C6DFC">
              <w:rPr>
                <w:rFonts w:cs="Arial"/>
                <w:bCs/>
                <w:lang w:val="en-GB"/>
              </w:rPr>
              <w:t> </w:t>
            </w:r>
            <w:r>
              <w:rPr>
                <w:rFonts w:cs="Arial"/>
                <w:bCs/>
                <w:lang w:val="en-GB"/>
              </w:rPr>
              <w:t>980</w:t>
            </w:r>
            <w:r w:rsidR="002C6DFC">
              <w:rPr>
                <w:rFonts w:cs="Arial"/>
                <w:bCs/>
                <w:lang w:val="en-GB"/>
              </w:rPr>
              <w:t> – </w:t>
            </w:r>
            <w:r>
              <w:rPr>
                <w:rFonts w:cs="Arial"/>
                <w:bCs/>
                <w:lang w:val="en-GB"/>
              </w:rPr>
              <w:t>2</w:t>
            </w:r>
            <w:r w:rsidR="002C6DFC">
              <w:rPr>
                <w:rFonts w:cs="Arial"/>
                <w:bCs/>
                <w:lang w:val="en-GB"/>
              </w:rPr>
              <w:t> </w:t>
            </w:r>
            <w:r>
              <w:rPr>
                <w:rFonts w:cs="Arial"/>
                <w:bCs/>
                <w:lang w:val="en-GB"/>
              </w:rPr>
              <w:t xml:space="preserve">010 MHz and </w:t>
            </w:r>
            <w:r w:rsidR="00D938C6">
              <w:rPr>
                <w:rFonts w:cs="Arial"/>
                <w:bCs/>
                <w:lang w:val="en-GB"/>
              </w:rPr>
              <w:t>2</w:t>
            </w:r>
            <w:r w:rsidR="002C6DFC">
              <w:rPr>
                <w:rFonts w:cs="Arial"/>
                <w:bCs/>
                <w:lang w:val="en-GB"/>
              </w:rPr>
              <w:t> </w:t>
            </w:r>
            <w:r w:rsidR="00D938C6">
              <w:rPr>
                <w:rFonts w:cs="Arial"/>
                <w:bCs/>
                <w:lang w:val="en-GB"/>
              </w:rPr>
              <w:t>170</w:t>
            </w:r>
            <w:r>
              <w:rPr>
                <w:rFonts w:cs="Arial"/>
                <w:bCs/>
                <w:lang w:val="en-GB"/>
              </w:rPr>
              <w:t xml:space="preserve"> </w:t>
            </w:r>
            <w:r w:rsidR="002C6DFC">
              <w:rPr>
                <w:rFonts w:cs="Arial"/>
                <w:bCs/>
                <w:lang w:val="en-GB"/>
              </w:rPr>
              <w:t>–</w:t>
            </w:r>
            <w:r>
              <w:rPr>
                <w:rFonts w:cs="Arial"/>
                <w:bCs/>
                <w:lang w:val="en-GB"/>
              </w:rPr>
              <w:t xml:space="preserve"> 2</w:t>
            </w:r>
            <w:r w:rsidR="002C6DFC">
              <w:rPr>
                <w:rFonts w:cs="Arial"/>
                <w:bCs/>
                <w:lang w:val="en-GB"/>
              </w:rPr>
              <w:t> </w:t>
            </w:r>
            <w:r>
              <w:rPr>
                <w:rFonts w:cs="Arial"/>
                <w:bCs/>
                <w:lang w:val="en-GB"/>
              </w:rPr>
              <w:t xml:space="preserve">200 MHz </w:t>
            </w:r>
            <w:r w:rsidR="0067366F">
              <w:rPr>
                <w:rFonts w:cs="Arial"/>
                <w:bCs/>
                <w:lang w:val="en-GB"/>
              </w:rPr>
              <w:t>will n</w:t>
            </w:r>
            <w:r>
              <w:rPr>
                <w:rFonts w:cs="Arial"/>
                <w:bCs/>
                <w:lang w:val="en-GB"/>
              </w:rPr>
              <w:t xml:space="preserve">ot cause harmful interference </w:t>
            </w:r>
            <w:r w:rsidR="0067366F">
              <w:rPr>
                <w:rFonts w:cs="Arial"/>
                <w:bCs/>
                <w:lang w:val="en-GB"/>
              </w:rPr>
              <w:t xml:space="preserve">to terrestrial </w:t>
            </w:r>
            <w:r>
              <w:rPr>
                <w:rFonts w:cs="Arial"/>
                <w:bCs/>
                <w:lang w:val="en-GB"/>
              </w:rPr>
              <w:t>systems operating in adjacent bands.</w:t>
            </w:r>
          </w:p>
          <w:p w14:paraId="75AA79BB" w14:textId="1608BEB2" w:rsidR="002125E3" w:rsidRPr="00D048B4" w:rsidRDefault="002125E3" w:rsidP="00647252">
            <w:pPr>
              <w:rPr>
                <w:rFonts w:cs="Arial"/>
                <w:bCs/>
                <w:lang w:val="en-GB"/>
              </w:rPr>
            </w:pPr>
          </w:p>
        </w:tc>
      </w:tr>
      <w:tr w:rsidR="003C0BC1" w:rsidRPr="00D048B4" w14:paraId="79776055" w14:textId="4F35CE1E" w:rsidTr="00D40C0D">
        <w:tc>
          <w:tcPr>
            <w:tcW w:w="9639" w:type="dxa"/>
            <w:tcBorders>
              <w:top w:val="single" w:sz="4" w:space="0" w:color="auto"/>
              <w:left w:val="single" w:sz="4" w:space="0" w:color="auto"/>
              <w:bottom w:val="nil"/>
              <w:right w:val="single" w:sz="4" w:space="0" w:color="auto"/>
            </w:tcBorders>
          </w:tcPr>
          <w:p w14:paraId="143968D5" w14:textId="5FD37B80" w:rsidR="003C0BC1" w:rsidRPr="00D048B4" w:rsidRDefault="003C0BC1" w:rsidP="00D40C0D">
            <w:pPr>
              <w:rPr>
                <w:rFonts w:cs="Arial"/>
                <w:b/>
                <w:bCs/>
                <w:lang w:val="en-GB"/>
              </w:rPr>
            </w:pPr>
            <w:r w:rsidRPr="00D048B4">
              <w:rPr>
                <w:rFonts w:cs="Arial"/>
                <w:b/>
                <w:bCs/>
                <w:lang w:val="en-GB"/>
              </w:rPr>
              <w:t>Background:</w:t>
            </w:r>
          </w:p>
        </w:tc>
      </w:tr>
      <w:tr w:rsidR="003C0BC1" w:rsidRPr="00D048B4" w14:paraId="53B17D26" w14:textId="0552BDE7" w:rsidTr="00D40C0D">
        <w:tc>
          <w:tcPr>
            <w:tcW w:w="9639" w:type="dxa"/>
            <w:tcBorders>
              <w:top w:val="nil"/>
              <w:left w:val="single" w:sz="4" w:space="0" w:color="auto"/>
              <w:bottom w:val="single" w:sz="4" w:space="0" w:color="auto"/>
              <w:right w:val="single" w:sz="4" w:space="0" w:color="auto"/>
            </w:tcBorders>
          </w:tcPr>
          <w:p w14:paraId="14D82D24" w14:textId="77777777" w:rsidR="003C7B6E" w:rsidRDefault="003C7B6E" w:rsidP="003C0BC1">
            <w:pPr>
              <w:rPr>
                <w:rFonts w:cs="Arial"/>
                <w:bCs/>
                <w:lang w:val="en-GB"/>
              </w:rPr>
            </w:pPr>
          </w:p>
          <w:p w14:paraId="4A4F16D4" w14:textId="608C4B02" w:rsidR="00687A9C" w:rsidRDefault="00E04A94" w:rsidP="00DB0BB3">
            <w:pPr>
              <w:rPr>
                <w:rFonts w:cs="Arial"/>
                <w:bCs/>
                <w:lang w:val="en-GB"/>
              </w:rPr>
            </w:pPr>
            <w:r>
              <w:rPr>
                <w:rFonts w:cs="Arial"/>
                <w:bCs/>
                <w:lang w:val="en-GB"/>
              </w:rPr>
              <w:t xml:space="preserve">There is currently a high demand for </w:t>
            </w:r>
            <w:r w:rsidR="0067366F">
              <w:rPr>
                <w:rFonts w:cs="Arial"/>
                <w:bCs/>
                <w:lang w:val="en-GB"/>
              </w:rPr>
              <w:t xml:space="preserve">the provision of </w:t>
            </w:r>
            <w:r>
              <w:rPr>
                <w:rFonts w:cs="Arial"/>
                <w:bCs/>
                <w:lang w:val="en-GB"/>
              </w:rPr>
              <w:t>broadband connectivity to</w:t>
            </w:r>
            <w:r w:rsidR="0067366F">
              <w:rPr>
                <w:rFonts w:cs="Arial"/>
                <w:bCs/>
                <w:lang w:val="en-GB"/>
              </w:rPr>
              <w:t xml:space="preserve"> passengers on board aircraft. R</w:t>
            </w:r>
            <w:r>
              <w:rPr>
                <w:rFonts w:cs="Arial"/>
                <w:bCs/>
                <w:lang w:val="en-GB"/>
              </w:rPr>
              <w:t xml:space="preserve">ecent industry developments suggest that various technologies might be used to meet </w:t>
            </w:r>
            <w:r w:rsidR="00637635">
              <w:rPr>
                <w:rFonts w:cs="Arial"/>
                <w:bCs/>
                <w:lang w:val="en-GB"/>
              </w:rPr>
              <w:t xml:space="preserve">this </w:t>
            </w:r>
            <w:r>
              <w:rPr>
                <w:rFonts w:cs="Arial"/>
                <w:bCs/>
                <w:lang w:val="en-GB"/>
              </w:rPr>
              <w:t>growing demand in the future. One of the systems that is planned to be put in operation in the coming year</w:t>
            </w:r>
            <w:r w:rsidR="00DB0BB3">
              <w:rPr>
                <w:rFonts w:cs="Arial"/>
                <w:bCs/>
                <w:lang w:val="en-GB"/>
              </w:rPr>
              <w:t>s</w:t>
            </w:r>
            <w:r>
              <w:rPr>
                <w:rFonts w:cs="Arial"/>
                <w:bCs/>
                <w:lang w:val="en-GB"/>
              </w:rPr>
              <w:t xml:space="preserve"> consists </w:t>
            </w:r>
            <w:r w:rsidR="00637635">
              <w:rPr>
                <w:rFonts w:cs="Arial"/>
                <w:bCs/>
                <w:lang w:val="en-GB"/>
              </w:rPr>
              <w:t xml:space="preserve">of </w:t>
            </w:r>
            <w:r>
              <w:rPr>
                <w:rFonts w:cs="Arial"/>
                <w:bCs/>
                <w:lang w:val="en-GB"/>
              </w:rPr>
              <w:t xml:space="preserve">an hybrid </w:t>
            </w:r>
            <w:r w:rsidR="0067366F">
              <w:rPr>
                <w:rFonts w:cs="Arial"/>
                <w:bCs/>
                <w:lang w:val="en-GB"/>
              </w:rPr>
              <w:t>architecture</w:t>
            </w:r>
            <w:r>
              <w:rPr>
                <w:rFonts w:cs="Arial"/>
                <w:bCs/>
                <w:lang w:val="en-GB"/>
              </w:rPr>
              <w:t xml:space="preserve"> composed by a satellite network and a Complementary Ground Component (CGC) operating in the 1 980 - 2 010 MHz and </w:t>
            </w:r>
            <w:r w:rsidR="00D938C6">
              <w:rPr>
                <w:rFonts w:cs="Arial"/>
                <w:bCs/>
                <w:lang w:val="en-GB"/>
              </w:rPr>
              <w:t>2 170</w:t>
            </w:r>
            <w:r w:rsidR="002C6DFC">
              <w:rPr>
                <w:rFonts w:cs="Arial"/>
                <w:bCs/>
                <w:lang w:val="en-GB"/>
              </w:rPr>
              <w:t xml:space="preserve"> </w:t>
            </w:r>
            <w:r>
              <w:rPr>
                <w:rFonts w:cs="Arial"/>
                <w:bCs/>
                <w:lang w:val="en-GB"/>
              </w:rPr>
              <w:t>- 2 200 MHz</w:t>
            </w:r>
            <w:r w:rsidR="00DB0BB3">
              <w:rPr>
                <w:rFonts w:cs="Arial"/>
                <w:bCs/>
                <w:lang w:val="en-GB"/>
              </w:rPr>
              <w:t xml:space="preserve"> bands.</w:t>
            </w:r>
          </w:p>
          <w:p w14:paraId="572BB222" w14:textId="77777777" w:rsidR="00DB0BB3" w:rsidRDefault="00DB0BB3" w:rsidP="00DB0BB3">
            <w:pPr>
              <w:rPr>
                <w:rFonts w:cs="Arial"/>
                <w:bCs/>
                <w:lang w:val="en-GB"/>
              </w:rPr>
            </w:pPr>
          </w:p>
          <w:p w14:paraId="6971F42E" w14:textId="6816E298" w:rsidR="00DB0BB3" w:rsidRPr="00D048B4" w:rsidRDefault="00DB0BB3" w:rsidP="005C2A02">
            <w:pPr>
              <w:rPr>
                <w:rFonts w:cs="Arial"/>
                <w:bCs/>
                <w:lang w:val="en-GB"/>
              </w:rPr>
            </w:pPr>
            <w:r>
              <w:rPr>
                <w:rFonts w:cs="Arial"/>
                <w:bCs/>
                <w:lang w:val="en-GB"/>
              </w:rPr>
              <w:t xml:space="preserve">SE 40 </w:t>
            </w:r>
            <w:r w:rsidR="002125E3">
              <w:rPr>
                <w:rFonts w:cs="Arial"/>
                <w:bCs/>
                <w:lang w:val="en-GB"/>
              </w:rPr>
              <w:t xml:space="preserve">recently </w:t>
            </w:r>
            <w:r>
              <w:rPr>
                <w:rFonts w:cs="Arial"/>
                <w:bCs/>
                <w:lang w:val="en-GB"/>
              </w:rPr>
              <w:t xml:space="preserve">developed </w:t>
            </w:r>
            <w:r w:rsidR="002125E3">
              <w:rPr>
                <w:rFonts w:cs="Arial"/>
                <w:bCs/>
                <w:lang w:val="en-GB"/>
              </w:rPr>
              <w:t>ECC Report 197 dealing with c</w:t>
            </w:r>
            <w:r w:rsidR="002125E3" w:rsidRPr="002125E3">
              <w:rPr>
                <w:rFonts w:cs="Arial"/>
                <w:bCs/>
                <w:lang w:val="en-GB"/>
              </w:rPr>
              <w:t xml:space="preserve">ompatibility studies </w:t>
            </w:r>
            <w:r w:rsidR="002125E3">
              <w:rPr>
                <w:rFonts w:cs="Arial"/>
                <w:bCs/>
                <w:lang w:val="en-GB"/>
              </w:rPr>
              <w:t>between</w:t>
            </w:r>
            <w:r w:rsidR="002125E3" w:rsidRPr="002125E3">
              <w:rPr>
                <w:rFonts w:cs="Arial"/>
                <w:bCs/>
                <w:lang w:val="en-GB"/>
              </w:rPr>
              <w:t xml:space="preserve"> </w:t>
            </w:r>
            <w:r w:rsidR="002125E3">
              <w:rPr>
                <w:rFonts w:cs="Arial"/>
                <w:bCs/>
                <w:lang w:val="en-GB"/>
              </w:rPr>
              <w:t xml:space="preserve">terrestrial </w:t>
            </w:r>
            <w:r w:rsidR="0067366F">
              <w:rPr>
                <w:rFonts w:cs="Arial"/>
                <w:bCs/>
                <w:lang w:val="en-GB"/>
              </w:rPr>
              <w:t>Mobile Satellite Service (</w:t>
            </w:r>
            <w:r w:rsidR="002125E3" w:rsidRPr="002125E3">
              <w:rPr>
                <w:rFonts w:cs="Arial"/>
                <w:bCs/>
                <w:lang w:val="en-GB"/>
              </w:rPr>
              <w:t>MSS</w:t>
            </w:r>
            <w:r w:rsidR="0067366F">
              <w:rPr>
                <w:rFonts w:cs="Arial"/>
                <w:bCs/>
                <w:lang w:val="en-GB"/>
              </w:rPr>
              <w:t>)</w:t>
            </w:r>
            <w:r w:rsidR="002125E3" w:rsidRPr="002125E3">
              <w:rPr>
                <w:rFonts w:cs="Arial"/>
                <w:bCs/>
                <w:lang w:val="en-GB"/>
              </w:rPr>
              <w:t xml:space="preserve"> </w:t>
            </w:r>
            <w:r w:rsidR="0067366F">
              <w:rPr>
                <w:rFonts w:cs="Arial"/>
                <w:bCs/>
                <w:lang w:val="en-GB"/>
              </w:rPr>
              <w:t xml:space="preserve">user </w:t>
            </w:r>
            <w:r w:rsidR="002125E3" w:rsidRPr="002125E3">
              <w:rPr>
                <w:rFonts w:cs="Arial"/>
                <w:bCs/>
                <w:lang w:val="en-GB"/>
              </w:rPr>
              <w:t>terminals transmitting to a satellite in the band 1</w:t>
            </w:r>
            <w:r w:rsidR="002125E3">
              <w:rPr>
                <w:rFonts w:cs="Arial"/>
                <w:bCs/>
                <w:lang w:val="en-GB"/>
              </w:rPr>
              <w:t xml:space="preserve"> </w:t>
            </w:r>
            <w:r w:rsidR="002125E3" w:rsidRPr="002125E3">
              <w:rPr>
                <w:rFonts w:cs="Arial"/>
                <w:bCs/>
                <w:lang w:val="en-GB"/>
              </w:rPr>
              <w:t>980</w:t>
            </w:r>
            <w:r w:rsidR="002125E3">
              <w:rPr>
                <w:rFonts w:cs="Arial"/>
                <w:bCs/>
                <w:lang w:val="en-GB"/>
              </w:rPr>
              <w:t xml:space="preserve"> </w:t>
            </w:r>
            <w:r w:rsidR="002125E3" w:rsidRPr="002125E3">
              <w:rPr>
                <w:rFonts w:cs="Arial"/>
                <w:bCs/>
                <w:lang w:val="en-GB"/>
              </w:rPr>
              <w:t>-</w:t>
            </w:r>
            <w:r w:rsidR="002125E3">
              <w:rPr>
                <w:rFonts w:cs="Arial"/>
                <w:bCs/>
                <w:lang w:val="en-GB"/>
              </w:rPr>
              <w:t xml:space="preserve"> </w:t>
            </w:r>
            <w:r w:rsidR="002125E3" w:rsidRPr="002125E3">
              <w:rPr>
                <w:rFonts w:cs="Arial"/>
                <w:bCs/>
                <w:lang w:val="en-GB"/>
              </w:rPr>
              <w:t>2</w:t>
            </w:r>
            <w:r w:rsidR="002125E3">
              <w:rPr>
                <w:rFonts w:cs="Arial"/>
                <w:bCs/>
                <w:lang w:val="en-GB"/>
              </w:rPr>
              <w:t xml:space="preserve"> </w:t>
            </w:r>
            <w:r w:rsidR="002125E3" w:rsidRPr="002125E3">
              <w:rPr>
                <w:rFonts w:cs="Arial"/>
                <w:bCs/>
                <w:lang w:val="en-GB"/>
              </w:rPr>
              <w:t>010 MHz and UMTS services</w:t>
            </w:r>
            <w:r w:rsidR="0067366F">
              <w:rPr>
                <w:rFonts w:cs="Arial"/>
                <w:bCs/>
                <w:lang w:val="en-GB"/>
              </w:rPr>
              <w:t xml:space="preserve"> operating in adjacent bands</w:t>
            </w:r>
            <w:r w:rsidR="002125E3">
              <w:rPr>
                <w:rFonts w:cs="Arial"/>
                <w:bCs/>
                <w:lang w:val="en-GB"/>
              </w:rPr>
              <w:t>.</w:t>
            </w:r>
            <w:r w:rsidR="00B7383F">
              <w:rPr>
                <w:rFonts w:cs="Arial"/>
                <w:bCs/>
                <w:lang w:val="en-GB"/>
              </w:rPr>
              <w:t xml:space="preserve">  However this Report </w:t>
            </w:r>
            <w:bookmarkStart w:id="0" w:name="_GoBack"/>
            <w:bookmarkEnd w:id="0"/>
            <w:r w:rsidR="00B7383F">
              <w:rPr>
                <w:rFonts w:cs="Arial"/>
                <w:bCs/>
                <w:lang w:val="en-GB"/>
              </w:rPr>
              <w:t>did not consider potential use of aeronautical CGC systems</w:t>
            </w:r>
            <w:r w:rsidR="005C2A02">
              <w:rPr>
                <w:rFonts w:cs="Arial"/>
                <w:bCs/>
                <w:lang w:val="en-GB"/>
              </w:rPr>
              <w:t>, which would introduce new interference scenarios</w:t>
            </w:r>
            <w:r w:rsidR="00B7383F">
              <w:rPr>
                <w:rFonts w:cs="Arial"/>
                <w:bCs/>
                <w:lang w:val="en-GB"/>
              </w:rPr>
              <w:t>.</w:t>
            </w:r>
          </w:p>
        </w:tc>
      </w:tr>
    </w:tbl>
    <w:p w14:paraId="5B1AFEFC" w14:textId="77777777" w:rsidR="003C0BC1" w:rsidRPr="00453F4C" w:rsidRDefault="003C0BC1" w:rsidP="003C0BC1">
      <w:pPr>
        <w:sectPr w:rsidR="003C0BC1" w:rsidRPr="00453F4C" w:rsidSect="002C6DFC">
          <w:footerReference w:type="even" r:id="rId11"/>
          <w:footerReference w:type="default" r:id="rId12"/>
          <w:pgSz w:w="11906" w:h="16838"/>
          <w:pgMar w:top="1440" w:right="1797" w:bottom="1440" w:left="1797" w:header="709" w:footer="709" w:gutter="0"/>
          <w:cols w:space="708"/>
          <w:titlePg/>
          <w:docGrid w:linePitch="360"/>
        </w:sectPr>
      </w:pPr>
    </w:p>
    <w:p w14:paraId="672391AC" w14:textId="3B27C870" w:rsidR="00B25463" w:rsidRDefault="0029448B" w:rsidP="0029448B">
      <w:pPr>
        <w:pStyle w:val="berschrift1"/>
      </w:pPr>
      <w:r w:rsidRPr="00D048B4">
        <w:lastRenderedPageBreak/>
        <w:t>I</w:t>
      </w:r>
      <w:r w:rsidR="00453F4C">
        <w:t>ntroduction</w:t>
      </w:r>
    </w:p>
    <w:p w14:paraId="640F67CA" w14:textId="4B11568D" w:rsidR="009A7EE9" w:rsidRDefault="004D422C" w:rsidP="00647252">
      <w:pPr>
        <w:pStyle w:val="ECCParagraph"/>
      </w:pPr>
      <w:r>
        <w:t xml:space="preserve">Mobile customers </w:t>
      </w:r>
      <w:r w:rsidR="009A7EE9" w:rsidRPr="009A7EE9">
        <w:t xml:space="preserve">expect to be connected everywhere, </w:t>
      </w:r>
      <w:r w:rsidR="00637635">
        <w:t>all the</w:t>
      </w:r>
      <w:r w:rsidR="00637635" w:rsidRPr="009A7EE9">
        <w:t xml:space="preserve"> </w:t>
      </w:r>
      <w:r w:rsidR="009A7EE9" w:rsidRPr="009A7EE9">
        <w:t>time, with all kind</w:t>
      </w:r>
      <w:r w:rsidR="00637635">
        <w:t>s</w:t>
      </w:r>
      <w:r w:rsidR="009A7EE9" w:rsidRPr="009A7EE9">
        <w:t xml:space="preserve"> of mobile devices. This includes the provision of broadband services on-board aircraft and European airlines have great interest </w:t>
      </w:r>
      <w:r w:rsidR="00637635">
        <w:t>in</w:t>
      </w:r>
      <w:r w:rsidR="00637635" w:rsidRPr="009A7EE9">
        <w:t xml:space="preserve"> </w:t>
      </w:r>
      <w:r w:rsidR="009A7EE9" w:rsidRPr="009A7EE9">
        <w:t>offer</w:t>
      </w:r>
      <w:r w:rsidR="00637635">
        <w:t>ing</w:t>
      </w:r>
      <w:r w:rsidR="009A7EE9" w:rsidRPr="009A7EE9">
        <w:t xml:space="preserve"> internet services to their flight passengers in their continental fleets as soon as possible. </w:t>
      </w:r>
    </w:p>
    <w:p w14:paraId="403FDAC2" w14:textId="1575971B" w:rsidR="007E609D" w:rsidRDefault="009A7EE9" w:rsidP="00647252">
      <w:pPr>
        <w:pStyle w:val="ECCParagraph"/>
      </w:pPr>
      <w:r>
        <w:t xml:space="preserve">There currently is a high demand for broadband connectivity for aircraft passengers, as </w:t>
      </w:r>
      <w:r w:rsidR="00E6506A">
        <w:t xml:space="preserve">is </w:t>
      </w:r>
      <w:r w:rsidR="00637635">
        <w:t xml:space="preserve">illustrated </w:t>
      </w:r>
      <w:r w:rsidR="00E6506A">
        <w:t>in</w:t>
      </w:r>
      <w:r>
        <w:t xml:space="preserve"> Figure 1 below. </w:t>
      </w:r>
      <w:r w:rsidR="00637635">
        <w:t>Satellite s</w:t>
      </w:r>
      <w:r>
        <w:t xml:space="preserve">ystems providing this service </w:t>
      </w:r>
      <w:r w:rsidR="004D422C">
        <w:t xml:space="preserve">are today </w:t>
      </w:r>
      <w:r>
        <w:t xml:space="preserve">operating in either the L-, Ku- or </w:t>
      </w:r>
      <w:proofErr w:type="spellStart"/>
      <w:r>
        <w:t>Ka</w:t>
      </w:r>
      <w:proofErr w:type="spellEnd"/>
      <w:r>
        <w:t xml:space="preserve">-band </w:t>
      </w:r>
      <w:r w:rsidR="004D422C">
        <w:t xml:space="preserve">and they </w:t>
      </w:r>
      <w:r>
        <w:t xml:space="preserve">are not able to meet </w:t>
      </w:r>
      <w:r w:rsidR="00637635">
        <w:t xml:space="preserve">the </w:t>
      </w:r>
      <w:r>
        <w:t xml:space="preserve">demand </w:t>
      </w:r>
      <w:r w:rsidR="00637635">
        <w:t xml:space="preserve">for </w:t>
      </w:r>
      <w:r>
        <w:t xml:space="preserve">all the different segments of this </w:t>
      </w:r>
      <w:r w:rsidR="004D422C">
        <w:t>market. Actually, airlines usually have various types of aircraft, depending on the routes they are intended to serve. If relatively big aircraft are employed for covering long-haul routes, smaller aeroplanes are used on a regional basis, in order to connect national and international hubs within few thousand miles.</w:t>
      </w:r>
    </w:p>
    <w:p w14:paraId="62986686" w14:textId="3EA37C36" w:rsidR="004D422C" w:rsidRDefault="004D422C" w:rsidP="00647252">
      <w:pPr>
        <w:pStyle w:val="ECCParagraph"/>
      </w:pPr>
      <w:r>
        <w:t>Considering that the bulk of those customers us</w:t>
      </w:r>
      <w:r w:rsidR="00637635">
        <w:t>e</w:t>
      </w:r>
      <w:r>
        <w:t xml:space="preserve"> such aircraft travels for business reasons, the need of connectivity on-the-move is of utmost importance. Due to the design of small planes, it is sometimes impossible to fit them with the components of a satellite system not suitable for their dimensions (e.g. </w:t>
      </w:r>
      <w:r w:rsidR="00E6506A">
        <w:t xml:space="preserve">due </w:t>
      </w:r>
      <w:r>
        <w:t xml:space="preserve">relatively </w:t>
      </w:r>
      <w:r w:rsidR="00B07446">
        <w:t>big antennas, heavy on-board components, etc.).</w:t>
      </w:r>
    </w:p>
    <w:p w14:paraId="40C6F75C" w14:textId="77777777" w:rsidR="00B07446" w:rsidRDefault="00B07446" w:rsidP="00647252">
      <w:pPr>
        <w:pStyle w:val="ECCParagraph"/>
        <w:rPr>
          <w:rFonts w:cs="Arial"/>
          <w:bCs/>
        </w:rPr>
      </w:pPr>
      <w:r>
        <w:rPr>
          <w:rFonts w:cs="Arial"/>
          <w:bCs/>
        </w:rPr>
        <w:t>Systems operating in the S-band therefore offer a very attractive alternative to such systems, as they are designed to employ small and light components, particularly suitable for aircraft used on short and medium-haul routes.</w:t>
      </w:r>
    </w:p>
    <w:p w14:paraId="603E2B59" w14:textId="3B22EB3E" w:rsidR="00B07446" w:rsidRDefault="00B07446" w:rsidP="00B07446">
      <w:pPr>
        <w:pStyle w:val="ECCParagraph"/>
        <w:rPr>
          <w:rFonts w:cs="Arial"/>
          <w:bCs/>
        </w:rPr>
      </w:pPr>
      <w:r>
        <w:rPr>
          <w:rFonts w:cs="Arial"/>
          <w:bCs/>
        </w:rPr>
        <w:t xml:space="preserve">Moreover, the existing </w:t>
      </w:r>
      <w:r w:rsidR="003C6E07">
        <w:rPr>
          <w:rFonts w:cs="Arial"/>
          <w:bCs/>
        </w:rPr>
        <w:t xml:space="preserve">Europe-wide </w:t>
      </w:r>
      <w:r>
        <w:rPr>
          <w:rFonts w:cs="Arial"/>
          <w:bCs/>
        </w:rPr>
        <w:t>regulatory framework seems particularly suitable for meeting the large demand in terms of throughput even with only 2x</w:t>
      </w:r>
      <w:r w:rsidR="00637635">
        <w:rPr>
          <w:rFonts w:cs="Arial"/>
          <w:bCs/>
        </w:rPr>
        <w:t>30</w:t>
      </w:r>
      <w:r>
        <w:rPr>
          <w:rFonts w:cs="Arial"/>
          <w:bCs/>
        </w:rPr>
        <w:t xml:space="preserve"> MHz of spectrum designated to the MSS (1 980 - 2 010 MHz (Earth-to-space) and </w:t>
      </w:r>
      <w:r w:rsidR="00D938C6">
        <w:rPr>
          <w:rFonts w:cs="Arial"/>
          <w:bCs/>
        </w:rPr>
        <w:t xml:space="preserve">2 170 </w:t>
      </w:r>
      <w:r w:rsidR="00C60FA1">
        <w:rPr>
          <w:rFonts w:cs="Arial"/>
          <w:bCs/>
        </w:rPr>
        <w:t>- 2 200 MHz (space-to-Earth)).</w:t>
      </w:r>
    </w:p>
    <w:p w14:paraId="695694D6" w14:textId="31F8D35C" w:rsidR="00737B2E" w:rsidRDefault="00737B2E" w:rsidP="00737B2E">
      <w:pPr>
        <w:pStyle w:val="ECCParagraph"/>
        <w:jc w:val="center"/>
        <w:rPr>
          <w:rFonts w:cs="Arial"/>
          <w:bCs/>
        </w:rPr>
      </w:pPr>
      <w:r>
        <w:rPr>
          <w:rFonts w:cs="Arial"/>
          <w:bCs/>
          <w:noProof/>
          <w:lang w:val="de-DE" w:eastAsia="de-DE"/>
        </w:rPr>
        <w:drawing>
          <wp:inline distT="0" distB="0" distL="0" distR="0" wp14:anchorId="6FF93300" wp14:editId="370D0FDA">
            <wp:extent cx="5308587" cy="2945080"/>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9939" cy="2945830"/>
                    </a:xfrm>
                    <a:prstGeom prst="rect">
                      <a:avLst/>
                    </a:prstGeom>
                    <a:noFill/>
                  </pic:spPr>
                </pic:pic>
              </a:graphicData>
            </a:graphic>
          </wp:inline>
        </w:drawing>
      </w:r>
    </w:p>
    <w:p w14:paraId="0B25E6F4" w14:textId="0A79F4CA" w:rsidR="00737B2E" w:rsidRDefault="00737B2E" w:rsidP="00737B2E">
      <w:pPr>
        <w:pStyle w:val="ECCParagraph"/>
        <w:jc w:val="center"/>
        <w:rPr>
          <w:rFonts w:cs="Arial"/>
          <w:b/>
          <w:bCs/>
          <w:color w:val="D3232A"/>
          <w:szCs w:val="20"/>
        </w:rPr>
      </w:pPr>
      <w:r>
        <w:rPr>
          <w:rFonts w:cs="Arial"/>
          <w:b/>
          <w:bCs/>
          <w:color w:val="D3232A"/>
          <w:szCs w:val="20"/>
        </w:rPr>
        <w:t xml:space="preserve">Figure 1: </w:t>
      </w:r>
      <w:r w:rsidRPr="00737B2E">
        <w:rPr>
          <w:rFonts w:cs="Arial"/>
          <w:b/>
          <w:bCs/>
          <w:color w:val="D3232A"/>
          <w:szCs w:val="20"/>
        </w:rPr>
        <w:t>Number of connected com</w:t>
      </w:r>
      <w:r>
        <w:rPr>
          <w:rFonts w:cs="Arial"/>
          <w:b/>
          <w:bCs/>
          <w:color w:val="D3232A"/>
          <w:szCs w:val="20"/>
        </w:rPr>
        <w:t xml:space="preserve">mercial Aircraft (2012 v 2022) </w:t>
      </w:r>
      <w:r w:rsidRPr="00737B2E">
        <w:rPr>
          <w:rFonts w:cs="Arial"/>
          <w:b/>
          <w:bCs/>
          <w:color w:val="D3232A"/>
          <w:szCs w:val="20"/>
        </w:rPr>
        <w:t xml:space="preserve">– source </w:t>
      </w:r>
      <w:proofErr w:type="spellStart"/>
      <w:r w:rsidRPr="00737B2E">
        <w:rPr>
          <w:rFonts w:cs="Arial"/>
          <w:b/>
          <w:bCs/>
          <w:color w:val="D3232A"/>
          <w:szCs w:val="20"/>
        </w:rPr>
        <w:t>Euroconsult</w:t>
      </w:r>
      <w:proofErr w:type="spellEnd"/>
    </w:p>
    <w:p w14:paraId="7C1E9177" w14:textId="30B4D2D0" w:rsidR="00D82AC4" w:rsidRDefault="00D82AC4" w:rsidP="00737B2E">
      <w:pPr>
        <w:pStyle w:val="ECCParagraph"/>
        <w:rPr>
          <w:rFonts w:cs="Arial"/>
          <w:bCs/>
        </w:rPr>
      </w:pPr>
      <w:r>
        <w:rPr>
          <w:rFonts w:cs="Arial"/>
          <w:bCs/>
        </w:rPr>
        <w:t xml:space="preserve">ECC Decision </w:t>
      </w:r>
      <w:r w:rsidRPr="00D82AC4">
        <w:rPr>
          <w:rFonts w:cs="Arial"/>
          <w:bCs/>
        </w:rPr>
        <w:t>ECC/DEC</w:t>
      </w:r>
      <w:proofErr w:type="gramStart"/>
      <w:r w:rsidRPr="00D82AC4">
        <w:rPr>
          <w:rFonts w:cs="Arial"/>
          <w:bCs/>
        </w:rPr>
        <w:t>/(</w:t>
      </w:r>
      <w:proofErr w:type="gramEnd"/>
      <w:r w:rsidRPr="00D82AC4">
        <w:rPr>
          <w:rFonts w:cs="Arial"/>
          <w:bCs/>
        </w:rPr>
        <w:t>06)09</w:t>
      </w:r>
      <w:r>
        <w:rPr>
          <w:rFonts w:cs="Arial"/>
          <w:bCs/>
        </w:rPr>
        <w:t xml:space="preserve"> applies to the bands 1</w:t>
      </w:r>
      <w:r w:rsidR="00B17284">
        <w:rPr>
          <w:rFonts w:cs="Arial"/>
          <w:bCs/>
        </w:rPr>
        <w:t xml:space="preserve"> </w:t>
      </w:r>
      <w:r>
        <w:rPr>
          <w:rFonts w:cs="Arial"/>
          <w:bCs/>
        </w:rPr>
        <w:t>980</w:t>
      </w:r>
      <w:r w:rsidR="00B17284">
        <w:rPr>
          <w:rFonts w:cs="Arial"/>
          <w:bCs/>
        </w:rPr>
        <w:t xml:space="preserve"> </w:t>
      </w:r>
      <w:r>
        <w:rPr>
          <w:rFonts w:cs="Arial"/>
          <w:bCs/>
        </w:rPr>
        <w:t>-</w:t>
      </w:r>
      <w:r w:rsidR="00B17284">
        <w:rPr>
          <w:rFonts w:cs="Arial"/>
          <w:bCs/>
        </w:rPr>
        <w:t xml:space="preserve"> </w:t>
      </w:r>
      <w:r>
        <w:rPr>
          <w:rFonts w:cs="Arial"/>
          <w:bCs/>
        </w:rPr>
        <w:t>2</w:t>
      </w:r>
      <w:r w:rsidR="00B17284">
        <w:rPr>
          <w:rFonts w:cs="Arial"/>
          <w:bCs/>
        </w:rPr>
        <w:t xml:space="preserve"> </w:t>
      </w:r>
      <w:r>
        <w:rPr>
          <w:rFonts w:cs="Arial"/>
          <w:bCs/>
        </w:rPr>
        <w:t>010 MHz and 2</w:t>
      </w:r>
      <w:r w:rsidR="00B17284">
        <w:rPr>
          <w:rFonts w:cs="Arial"/>
          <w:bCs/>
        </w:rPr>
        <w:t xml:space="preserve"> </w:t>
      </w:r>
      <w:r>
        <w:rPr>
          <w:rFonts w:cs="Arial"/>
          <w:bCs/>
        </w:rPr>
        <w:t>170</w:t>
      </w:r>
      <w:r w:rsidR="00B17284">
        <w:rPr>
          <w:rFonts w:cs="Arial"/>
          <w:bCs/>
        </w:rPr>
        <w:t xml:space="preserve"> </w:t>
      </w:r>
      <w:r>
        <w:rPr>
          <w:rFonts w:cs="Arial"/>
          <w:bCs/>
        </w:rPr>
        <w:t>-</w:t>
      </w:r>
      <w:r w:rsidR="00B17284">
        <w:rPr>
          <w:rFonts w:cs="Arial"/>
          <w:bCs/>
        </w:rPr>
        <w:t xml:space="preserve"> </w:t>
      </w:r>
      <w:r>
        <w:rPr>
          <w:rFonts w:cs="Arial"/>
          <w:bCs/>
        </w:rPr>
        <w:t>2</w:t>
      </w:r>
      <w:r w:rsidR="00B17284">
        <w:rPr>
          <w:rFonts w:cs="Arial"/>
          <w:bCs/>
        </w:rPr>
        <w:t xml:space="preserve"> </w:t>
      </w:r>
      <w:r>
        <w:rPr>
          <w:rFonts w:cs="Arial"/>
          <w:bCs/>
        </w:rPr>
        <w:t>200 MHz, relating to the use of these frequencies by MSS systems, with or without a CGC.</w:t>
      </w:r>
    </w:p>
    <w:p w14:paraId="03B0ABB3" w14:textId="32043655" w:rsidR="00737B2E" w:rsidRDefault="00FE04FF" w:rsidP="00737B2E">
      <w:pPr>
        <w:pStyle w:val="ECCParagraph"/>
        <w:rPr>
          <w:rFonts w:cs="Arial"/>
          <w:bCs/>
        </w:rPr>
      </w:pPr>
      <w:r>
        <w:rPr>
          <w:rFonts w:cs="Arial"/>
          <w:bCs/>
        </w:rPr>
        <w:t xml:space="preserve">The </w:t>
      </w:r>
      <w:r w:rsidR="00677260">
        <w:rPr>
          <w:rFonts w:cs="Arial"/>
          <w:bCs/>
        </w:rPr>
        <w:t xml:space="preserve">assignment of spectrum within the 2 GHz MSS bands is governed by the EC led process, which has recently been reviewed.  One of the two satellite operators selected in that process has in place a </w:t>
      </w:r>
      <w:r w:rsidR="00677260" w:rsidRPr="002E5628">
        <w:rPr>
          <w:rFonts w:cs="Arial"/>
          <w:bCs/>
        </w:rPr>
        <w:t xml:space="preserve">development programme expected to meet the current </w:t>
      </w:r>
      <w:r w:rsidR="002E5628" w:rsidRPr="002E5628">
        <w:rPr>
          <w:rFonts w:cs="Arial"/>
          <w:bCs/>
        </w:rPr>
        <w:t xml:space="preserve">EU-agreed </w:t>
      </w:r>
      <w:r w:rsidR="00677260" w:rsidRPr="002E5628">
        <w:rPr>
          <w:rFonts w:cs="Arial"/>
          <w:bCs/>
        </w:rPr>
        <w:t>milestones and to comply with the</w:t>
      </w:r>
      <w:r w:rsidR="00677260">
        <w:rPr>
          <w:rFonts w:cs="Arial"/>
          <w:bCs/>
        </w:rPr>
        <w:t xml:space="preserve"> selection requirements.</w:t>
      </w:r>
      <w:r w:rsidR="0054477A">
        <w:rPr>
          <w:rFonts w:cs="Arial"/>
          <w:bCs/>
        </w:rPr>
        <w:t xml:space="preserve">  The milestone of having a binding and signed satellite contract by 1 December 2013 has been met and evidence provided to relevant Member States.  Licence applications are being prepared, </w:t>
      </w:r>
      <w:r w:rsidR="0054477A" w:rsidRPr="0054477A">
        <w:rPr>
          <w:rFonts w:cs="Arial"/>
          <w:bCs/>
        </w:rPr>
        <w:lastRenderedPageBreak/>
        <w:t>to be filed by 1 May 2014 in those countries that require an individual licence.</w:t>
      </w:r>
      <w:r w:rsidR="0054477A">
        <w:rPr>
          <w:rFonts w:cs="Arial"/>
          <w:bCs/>
        </w:rPr>
        <w:t xml:space="preserve">  </w:t>
      </w:r>
      <w:r w:rsidR="0054477A" w:rsidRPr="0054477A">
        <w:rPr>
          <w:rFonts w:cs="Arial"/>
          <w:bCs/>
        </w:rPr>
        <w:t>Given the strict deadlines set in the milestone plan, and the imminence of commencement of national licensing processes for MSS and CGC, there is an urgency to establish appropriate technical rules.</w:t>
      </w:r>
    </w:p>
    <w:p w14:paraId="7C87755D" w14:textId="5FF4AE4D" w:rsidR="00737B2E" w:rsidRDefault="00737B2E" w:rsidP="00737B2E">
      <w:pPr>
        <w:pStyle w:val="berschrift1"/>
      </w:pPr>
      <w:r w:rsidRPr="00D048B4">
        <w:t>I</w:t>
      </w:r>
      <w:r>
        <w:t>ssue</w:t>
      </w:r>
    </w:p>
    <w:p w14:paraId="0986340C" w14:textId="434DFC27" w:rsidR="00737B2E" w:rsidRDefault="00737B2E" w:rsidP="00737B2E">
      <w:pPr>
        <w:pStyle w:val="ECCParagraph"/>
      </w:pPr>
      <w:r>
        <w:t xml:space="preserve">Figure 2 below illustrates the typical architecture of a system providing an </w:t>
      </w:r>
      <w:proofErr w:type="gramStart"/>
      <w:r>
        <w:t>Aero</w:t>
      </w:r>
      <w:proofErr w:type="gramEnd"/>
      <w:r>
        <w:t xml:space="preserve"> service operating in the S-band. </w:t>
      </w:r>
    </w:p>
    <w:p w14:paraId="5B21318A" w14:textId="0A4505A2" w:rsidR="00115888" w:rsidRDefault="00115888" w:rsidP="00737B2E">
      <w:pPr>
        <w:pStyle w:val="ECCParagraph"/>
      </w:pPr>
    </w:p>
    <w:p w14:paraId="0560F35E" w14:textId="1301430B" w:rsidR="00F31E87" w:rsidRDefault="00115888" w:rsidP="00115888">
      <w:pPr>
        <w:pStyle w:val="ECCParagraph"/>
        <w:jc w:val="center"/>
        <w:rPr>
          <w:rFonts w:cs="Arial"/>
          <w:b/>
          <w:bCs/>
          <w:color w:val="D3232A"/>
          <w:szCs w:val="20"/>
        </w:rPr>
      </w:pPr>
      <w:r>
        <w:rPr>
          <w:noProof/>
          <w:lang w:val="de-DE" w:eastAsia="de-DE"/>
        </w:rPr>
        <w:drawing>
          <wp:anchor distT="0" distB="0" distL="114300" distR="114300" simplePos="0" relativeHeight="251659264" behindDoc="0" locked="0" layoutInCell="1" allowOverlap="1" wp14:anchorId="5A00C9DF" wp14:editId="0DEEC6FB">
            <wp:simplePos x="0" y="0"/>
            <wp:positionH relativeFrom="page">
              <wp:align>center</wp:align>
            </wp:positionH>
            <wp:positionV relativeFrom="paragraph">
              <wp:posOffset>180340</wp:posOffset>
            </wp:positionV>
            <wp:extent cx="4111200" cy="3088800"/>
            <wp:effectExtent l="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 e2e.png"/>
                    <pic:cNvPicPr/>
                  </pic:nvPicPr>
                  <pic:blipFill>
                    <a:blip r:embed="rId14">
                      <a:extLst>
                        <a:ext uri="{28A0092B-C50C-407E-A947-70E740481C1C}">
                          <a14:useLocalDpi xmlns:a14="http://schemas.microsoft.com/office/drawing/2010/main" val="0"/>
                        </a:ext>
                      </a:extLst>
                    </a:blip>
                    <a:stretch>
                      <a:fillRect/>
                    </a:stretch>
                  </pic:blipFill>
                  <pic:spPr>
                    <a:xfrm>
                      <a:off x="0" y="0"/>
                      <a:ext cx="4111200" cy="3088800"/>
                    </a:xfrm>
                    <a:prstGeom prst="rect">
                      <a:avLst/>
                    </a:prstGeom>
                  </pic:spPr>
                </pic:pic>
              </a:graphicData>
            </a:graphic>
            <wp14:sizeRelH relativeFrom="margin">
              <wp14:pctWidth>0</wp14:pctWidth>
            </wp14:sizeRelH>
            <wp14:sizeRelV relativeFrom="margin">
              <wp14:pctHeight>0</wp14:pctHeight>
            </wp14:sizeRelV>
          </wp:anchor>
        </w:drawing>
      </w:r>
      <w:r w:rsidR="00F31E87">
        <w:rPr>
          <w:rFonts w:cs="Arial"/>
          <w:b/>
          <w:bCs/>
          <w:color w:val="D3232A"/>
          <w:szCs w:val="20"/>
        </w:rPr>
        <w:t>Figure 2: Design of a typical hybrid Aero CGC system</w:t>
      </w:r>
    </w:p>
    <w:p w14:paraId="7364FEA3" w14:textId="77777777" w:rsidR="00F31E87" w:rsidRDefault="00F31E87" w:rsidP="00737B2E">
      <w:pPr>
        <w:pStyle w:val="ECCParagraph"/>
        <w:rPr>
          <w:rFonts w:cs="Arial"/>
          <w:bCs/>
        </w:rPr>
      </w:pPr>
    </w:p>
    <w:p w14:paraId="51BF7FAA" w14:textId="2473FC74" w:rsidR="00737B2E" w:rsidRDefault="00737B2E" w:rsidP="00737B2E">
      <w:pPr>
        <w:pStyle w:val="ECCParagraph"/>
        <w:rPr>
          <w:rFonts w:cs="Arial"/>
          <w:bCs/>
        </w:rPr>
      </w:pPr>
      <w:r>
        <w:rPr>
          <w:rFonts w:cs="Arial"/>
          <w:bCs/>
        </w:rPr>
        <w:t xml:space="preserve">As can be seen, the system is </w:t>
      </w:r>
      <w:r w:rsidR="00747196">
        <w:rPr>
          <w:rFonts w:cs="Arial"/>
          <w:bCs/>
        </w:rPr>
        <w:t xml:space="preserve">composed </w:t>
      </w:r>
      <w:r w:rsidR="00B17284">
        <w:rPr>
          <w:rFonts w:cs="Arial"/>
          <w:bCs/>
        </w:rPr>
        <w:t xml:space="preserve">of </w:t>
      </w:r>
      <w:r w:rsidR="00747196">
        <w:rPr>
          <w:rFonts w:cs="Arial"/>
          <w:bCs/>
        </w:rPr>
        <w:t xml:space="preserve">a ground segment and a space segment, operating under the control of the same network operator. The space segment is composed by a MSS User Terminal (UT) installed on the aircraft, a space station and a feeder-link earth station installed on the ground </w:t>
      </w:r>
      <w:r w:rsidR="00E6506A">
        <w:rPr>
          <w:rFonts w:cs="Arial"/>
          <w:bCs/>
        </w:rPr>
        <w:t xml:space="preserve">- </w:t>
      </w:r>
      <w:r w:rsidR="00747196">
        <w:rPr>
          <w:rFonts w:cs="Arial"/>
          <w:bCs/>
        </w:rPr>
        <w:t xml:space="preserve">most likely operating in </w:t>
      </w:r>
      <w:r w:rsidR="00E6506A">
        <w:rPr>
          <w:rFonts w:cs="Arial"/>
          <w:bCs/>
        </w:rPr>
        <w:t xml:space="preserve">a </w:t>
      </w:r>
      <w:r w:rsidR="00747196">
        <w:rPr>
          <w:rFonts w:cs="Arial"/>
          <w:bCs/>
        </w:rPr>
        <w:t>frequency band different from the S-band.</w:t>
      </w:r>
    </w:p>
    <w:p w14:paraId="01BFE98D" w14:textId="10A8C6C9" w:rsidR="00747196" w:rsidRDefault="00747196" w:rsidP="00737B2E">
      <w:pPr>
        <w:pStyle w:val="ECCParagraph"/>
        <w:rPr>
          <w:rFonts w:cs="Arial"/>
          <w:bCs/>
        </w:rPr>
      </w:pPr>
      <w:r>
        <w:rPr>
          <w:rFonts w:cs="Arial"/>
          <w:bCs/>
        </w:rPr>
        <w:t xml:space="preserve">The CGC network is in turn composed by a CGC terminal installed </w:t>
      </w:r>
      <w:r w:rsidR="00A11B8A">
        <w:rPr>
          <w:rFonts w:cs="Arial"/>
          <w:bCs/>
        </w:rPr>
        <w:t>on the aircraft</w:t>
      </w:r>
      <w:r>
        <w:rPr>
          <w:rFonts w:cs="Arial"/>
          <w:bCs/>
        </w:rPr>
        <w:t xml:space="preserve">, a set of ground stations covering the wanted air routes on a cellular basis and a data transport network. The ground components of the CGC network are expected to operate using LTE-based technology. </w:t>
      </w:r>
    </w:p>
    <w:p w14:paraId="29F2DF8A" w14:textId="35DEBBED" w:rsidR="00747196" w:rsidRDefault="00747196" w:rsidP="00737B2E">
      <w:pPr>
        <w:pStyle w:val="ECCParagraph"/>
        <w:rPr>
          <w:rFonts w:cs="Arial"/>
          <w:bCs/>
        </w:rPr>
      </w:pPr>
      <w:r>
        <w:rPr>
          <w:rFonts w:cs="Arial"/>
          <w:bCs/>
        </w:rPr>
        <w:t>Finally, both the satellite and CGC networks are connected to the same core transport network managed and operated by a single operator, in order to avoid harmful interference between the two</w:t>
      </w:r>
      <w:r w:rsidR="00F31E87">
        <w:rPr>
          <w:rFonts w:cs="Arial"/>
          <w:bCs/>
        </w:rPr>
        <w:t xml:space="preserve"> segments of the hybrid system.</w:t>
      </w:r>
    </w:p>
    <w:p w14:paraId="3D8C8471" w14:textId="3E00CC08" w:rsidR="00F31E87" w:rsidRDefault="00F31E87" w:rsidP="00737B2E">
      <w:pPr>
        <w:pStyle w:val="ECCParagraph"/>
        <w:rPr>
          <w:rFonts w:cs="Arial"/>
          <w:bCs/>
        </w:rPr>
      </w:pPr>
      <w:r>
        <w:rPr>
          <w:rFonts w:cs="Arial"/>
          <w:bCs/>
        </w:rPr>
        <w:t>The following Figure 3 illustrates the spectrum allocation</w:t>
      </w:r>
      <w:r w:rsidR="003E5F23">
        <w:rPr>
          <w:rFonts w:cs="Arial"/>
          <w:bCs/>
        </w:rPr>
        <w:t>s</w:t>
      </w:r>
      <w:r>
        <w:rPr>
          <w:rFonts w:cs="Arial"/>
          <w:bCs/>
        </w:rPr>
        <w:t xml:space="preserve"> in the 1 9</w:t>
      </w:r>
      <w:r w:rsidR="00E6506A">
        <w:rPr>
          <w:rFonts w:cs="Arial"/>
          <w:bCs/>
        </w:rPr>
        <w:t>00</w:t>
      </w:r>
      <w:r>
        <w:rPr>
          <w:rFonts w:cs="Arial"/>
          <w:bCs/>
        </w:rPr>
        <w:t xml:space="preserve"> - </w:t>
      </w:r>
      <w:r w:rsidR="00E6506A">
        <w:rPr>
          <w:rFonts w:cs="Arial"/>
          <w:bCs/>
        </w:rPr>
        <w:t>2 200</w:t>
      </w:r>
      <w:r>
        <w:rPr>
          <w:rFonts w:cs="Arial"/>
          <w:bCs/>
        </w:rPr>
        <w:t xml:space="preserve"> MHz </w:t>
      </w:r>
      <w:r w:rsidR="00E6506A">
        <w:rPr>
          <w:rFonts w:cs="Arial"/>
          <w:bCs/>
        </w:rPr>
        <w:t>band</w:t>
      </w:r>
      <w:r>
        <w:rPr>
          <w:rFonts w:cs="Arial"/>
          <w:bCs/>
        </w:rPr>
        <w:t>.</w:t>
      </w:r>
    </w:p>
    <w:p w14:paraId="6E797297" w14:textId="77777777" w:rsidR="003B3E80" w:rsidRDefault="003B3E80" w:rsidP="00737B2E">
      <w:pPr>
        <w:pStyle w:val="ECCParagraph"/>
        <w:rPr>
          <w:rFonts w:cs="Arial"/>
          <w:bCs/>
        </w:rPr>
      </w:pPr>
    </w:p>
    <w:p w14:paraId="323B76E9" w14:textId="451D55EC" w:rsidR="00F31E87" w:rsidRDefault="00F31E87" w:rsidP="00F31E87">
      <w:pPr>
        <w:pStyle w:val="ECCParagraph"/>
        <w:jc w:val="center"/>
        <w:rPr>
          <w:rFonts w:cs="Arial"/>
          <w:bCs/>
        </w:rPr>
      </w:pPr>
      <w:r>
        <w:rPr>
          <w:rFonts w:cs="Arial"/>
          <w:bCs/>
          <w:noProof/>
          <w:lang w:val="de-DE" w:eastAsia="de-DE"/>
        </w:rPr>
        <w:lastRenderedPageBreak/>
        <w:drawing>
          <wp:inline distT="0" distB="0" distL="0" distR="0" wp14:anchorId="064E9624" wp14:editId="0FDDA55B">
            <wp:extent cx="6115685" cy="1431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685" cy="1431290"/>
                    </a:xfrm>
                    <a:prstGeom prst="rect">
                      <a:avLst/>
                    </a:prstGeom>
                    <a:noFill/>
                    <a:ln>
                      <a:noFill/>
                    </a:ln>
                  </pic:spPr>
                </pic:pic>
              </a:graphicData>
            </a:graphic>
          </wp:inline>
        </w:drawing>
      </w:r>
    </w:p>
    <w:p w14:paraId="6385CD72" w14:textId="2634E914" w:rsidR="003B3E80" w:rsidRDefault="003B3E80" w:rsidP="003B3E80">
      <w:pPr>
        <w:pStyle w:val="ECCParagraph"/>
        <w:jc w:val="center"/>
        <w:rPr>
          <w:rFonts w:cs="Arial"/>
          <w:b/>
          <w:bCs/>
          <w:color w:val="D3232A"/>
          <w:szCs w:val="20"/>
        </w:rPr>
      </w:pPr>
      <w:r>
        <w:rPr>
          <w:rFonts w:cs="Arial"/>
          <w:b/>
          <w:bCs/>
          <w:color w:val="D3232A"/>
          <w:szCs w:val="20"/>
        </w:rPr>
        <w:t>Figure 3: Spectrum allocation in the S-band</w:t>
      </w:r>
    </w:p>
    <w:p w14:paraId="2ED46BB6" w14:textId="77777777" w:rsidR="003B3E80" w:rsidRDefault="003B3E80" w:rsidP="003B3E80">
      <w:pPr>
        <w:pStyle w:val="ECCParagraph"/>
        <w:rPr>
          <w:rFonts w:cs="Arial"/>
          <w:b/>
          <w:bCs/>
          <w:color w:val="D3232A"/>
          <w:szCs w:val="20"/>
        </w:rPr>
      </w:pPr>
    </w:p>
    <w:p w14:paraId="55FCEFBB" w14:textId="47D32C10" w:rsidR="003B3E80" w:rsidRDefault="003B3E80" w:rsidP="003B3E80">
      <w:pPr>
        <w:pStyle w:val="ECCParagraph"/>
        <w:rPr>
          <w:rFonts w:cs="Arial"/>
          <w:bCs/>
        </w:rPr>
      </w:pPr>
      <w:r>
        <w:rPr>
          <w:rFonts w:cs="Arial"/>
          <w:bCs/>
        </w:rPr>
        <w:t xml:space="preserve">As per RR Article </w:t>
      </w:r>
      <w:r w:rsidRPr="003B3E80">
        <w:rPr>
          <w:rFonts w:cs="Arial"/>
          <w:b/>
          <w:bCs/>
        </w:rPr>
        <w:t>5</w:t>
      </w:r>
      <w:r>
        <w:rPr>
          <w:rFonts w:cs="Arial"/>
          <w:bCs/>
        </w:rPr>
        <w:t xml:space="preserve">, MSS frequency bands are adjacent to bands allocated to the Fixed Service (FS) and Mobile Service (MS). In Europe, the bands 1 900 - 1 980 MHz and 2 010 - 2 025 MHz are used by IMT systems on either </w:t>
      </w:r>
      <w:r w:rsidR="002B6ABE">
        <w:rPr>
          <w:rFonts w:cs="Arial"/>
          <w:bCs/>
        </w:rPr>
        <w:t>on a Frequency Division (FDD) or a Time Division Duplexing (TDD) basis.</w:t>
      </w:r>
    </w:p>
    <w:p w14:paraId="357006BE" w14:textId="7CF7D628" w:rsidR="002B6ABE" w:rsidRDefault="002B6ABE" w:rsidP="003B3E80">
      <w:pPr>
        <w:pStyle w:val="ECCParagraph"/>
        <w:rPr>
          <w:rFonts w:cs="Arial"/>
          <w:bCs/>
        </w:rPr>
      </w:pPr>
      <w:r>
        <w:rPr>
          <w:rFonts w:cs="Arial"/>
          <w:bCs/>
        </w:rPr>
        <w:t xml:space="preserve">The following Table 1 </w:t>
      </w:r>
      <w:r w:rsidR="003E5F23">
        <w:rPr>
          <w:rFonts w:cs="Arial"/>
          <w:bCs/>
        </w:rPr>
        <w:t xml:space="preserve">summarises </w:t>
      </w:r>
      <w:r>
        <w:rPr>
          <w:rFonts w:cs="Arial"/>
          <w:bCs/>
        </w:rPr>
        <w:t>the direction of the c</w:t>
      </w:r>
      <w:r w:rsidR="004904AD">
        <w:rPr>
          <w:rFonts w:cs="Arial"/>
          <w:bCs/>
        </w:rPr>
        <w:t xml:space="preserve">ommunication links </w:t>
      </w:r>
      <w:r>
        <w:rPr>
          <w:rFonts w:cs="Arial"/>
          <w:bCs/>
        </w:rPr>
        <w:t xml:space="preserve">for </w:t>
      </w:r>
      <w:r w:rsidR="004904AD">
        <w:rPr>
          <w:rFonts w:cs="Arial"/>
          <w:bCs/>
        </w:rPr>
        <w:t xml:space="preserve">adjacent </w:t>
      </w:r>
      <w:r>
        <w:rPr>
          <w:rFonts w:cs="Arial"/>
          <w:bCs/>
        </w:rPr>
        <w:t>terrestrial and Aero CGC systems.</w:t>
      </w:r>
    </w:p>
    <w:p w14:paraId="2768F51B" w14:textId="77777777" w:rsidR="002B6ABE" w:rsidRDefault="002B6ABE" w:rsidP="003B3E80">
      <w:pPr>
        <w:pStyle w:val="ECCParagraph"/>
        <w:rPr>
          <w:rFonts w:cs="Arial"/>
          <w:bCs/>
        </w:rPr>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35"/>
        <w:gridCol w:w="3685"/>
        <w:gridCol w:w="3935"/>
      </w:tblGrid>
      <w:tr w:rsidR="002B6ABE" w:rsidRPr="00971011" w14:paraId="0510FCE6" w14:textId="77777777" w:rsidTr="002B6ABE">
        <w:trPr>
          <w:tblHeader/>
        </w:trPr>
        <w:tc>
          <w:tcPr>
            <w:tcW w:w="2235" w:type="dxa"/>
            <w:tcBorders>
              <w:right w:val="single" w:sz="8" w:space="0" w:color="FFFFFF"/>
            </w:tcBorders>
            <w:shd w:val="clear" w:color="auto" w:fill="D2232A"/>
            <w:vAlign w:val="center"/>
          </w:tcPr>
          <w:p w14:paraId="68C0B4CE" w14:textId="77777777" w:rsidR="002B6ABE" w:rsidRPr="002E5628" w:rsidRDefault="002B6ABE" w:rsidP="00860A3D">
            <w:pPr>
              <w:spacing w:line="288" w:lineRule="auto"/>
              <w:jc w:val="center"/>
              <w:rPr>
                <w:b/>
                <w:color w:val="FFFFFF"/>
                <w:lang w:val="en-GB"/>
              </w:rPr>
            </w:pPr>
            <w:r w:rsidRPr="002E5628">
              <w:rPr>
                <w:b/>
                <w:color w:val="FFFFFF"/>
                <w:lang w:val="en-GB"/>
              </w:rPr>
              <w:t xml:space="preserve">Frequency band </w:t>
            </w:r>
          </w:p>
        </w:tc>
        <w:tc>
          <w:tcPr>
            <w:tcW w:w="3685" w:type="dxa"/>
            <w:tcBorders>
              <w:left w:val="single" w:sz="8" w:space="0" w:color="FFFFFF"/>
              <w:right w:val="single" w:sz="8" w:space="0" w:color="FFFFFF"/>
            </w:tcBorders>
            <w:shd w:val="clear" w:color="auto" w:fill="D2232A"/>
            <w:vAlign w:val="center"/>
          </w:tcPr>
          <w:p w14:paraId="43E51FF9" w14:textId="5EEDF465" w:rsidR="002B6ABE" w:rsidRPr="002E5628" w:rsidRDefault="002B6ABE" w:rsidP="00860A3D">
            <w:pPr>
              <w:spacing w:line="288" w:lineRule="auto"/>
              <w:jc w:val="center"/>
              <w:rPr>
                <w:b/>
                <w:color w:val="FFFFFF"/>
                <w:lang w:val="en-GB"/>
              </w:rPr>
            </w:pPr>
            <w:r w:rsidRPr="002E5628">
              <w:rPr>
                <w:b/>
                <w:color w:val="FFFFFF"/>
                <w:lang w:val="en-GB"/>
              </w:rPr>
              <w:t xml:space="preserve">Aero </w:t>
            </w:r>
            <w:r w:rsidR="00B17284" w:rsidRPr="002E5628">
              <w:rPr>
                <w:b/>
                <w:color w:val="FFFFFF"/>
                <w:lang w:val="en-GB"/>
              </w:rPr>
              <w:t>MSS/</w:t>
            </w:r>
            <w:r w:rsidRPr="002E5628">
              <w:rPr>
                <w:b/>
                <w:color w:val="FFFFFF"/>
                <w:lang w:val="en-GB"/>
              </w:rPr>
              <w:t>CGC System</w:t>
            </w:r>
          </w:p>
        </w:tc>
        <w:tc>
          <w:tcPr>
            <w:tcW w:w="3935" w:type="dxa"/>
            <w:tcBorders>
              <w:left w:val="single" w:sz="8" w:space="0" w:color="FFFFFF"/>
            </w:tcBorders>
            <w:shd w:val="clear" w:color="auto" w:fill="D2232A"/>
            <w:vAlign w:val="center"/>
          </w:tcPr>
          <w:p w14:paraId="480864D4" w14:textId="4ADFBF0E" w:rsidR="002B6ABE" w:rsidRPr="00971011" w:rsidRDefault="00FE04FF" w:rsidP="00860A3D">
            <w:pPr>
              <w:spacing w:line="288" w:lineRule="auto"/>
              <w:jc w:val="center"/>
              <w:rPr>
                <w:b/>
                <w:color w:val="FFFFFF"/>
                <w:lang w:val="en-GB"/>
              </w:rPr>
            </w:pPr>
            <w:r w:rsidRPr="002E5628">
              <w:rPr>
                <w:b/>
                <w:color w:val="FFFFFF"/>
                <w:lang w:val="en-GB"/>
              </w:rPr>
              <w:t xml:space="preserve">Adjacent band </w:t>
            </w:r>
            <w:r w:rsidR="002B6ABE" w:rsidRPr="002E5628">
              <w:rPr>
                <w:b/>
                <w:color w:val="FFFFFF"/>
                <w:lang w:val="en-GB"/>
              </w:rPr>
              <w:t>system</w:t>
            </w:r>
          </w:p>
        </w:tc>
      </w:tr>
      <w:tr w:rsidR="002B6ABE" w:rsidRPr="00971011" w14:paraId="5B7D4B19" w14:textId="77777777" w:rsidTr="002B6ABE">
        <w:tc>
          <w:tcPr>
            <w:tcW w:w="2235" w:type="dxa"/>
          </w:tcPr>
          <w:p w14:paraId="2D1190AA" w14:textId="70B6E09C" w:rsidR="002B6ABE" w:rsidRDefault="002B6ABE" w:rsidP="00860A3D">
            <w:pPr>
              <w:spacing w:after="120"/>
              <w:rPr>
                <w:rFonts w:cs="Arial"/>
                <w:color w:val="000000" w:themeColor="text1"/>
                <w:szCs w:val="20"/>
                <w:lang w:val="en-GB"/>
              </w:rPr>
            </w:pPr>
            <w:r>
              <w:rPr>
                <w:rFonts w:cs="Arial"/>
                <w:color w:val="000000" w:themeColor="text1"/>
                <w:szCs w:val="20"/>
                <w:lang w:val="en-GB"/>
              </w:rPr>
              <w:t>1 920 - 1 980 MHz</w:t>
            </w:r>
          </w:p>
        </w:tc>
        <w:tc>
          <w:tcPr>
            <w:tcW w:w="3685" w:type="dxa"/>
          </w:tcPr>
          <w:p w14:paraId="15E7A7A5" w14:textId="688DEA78" w:rsidR="002B6ABE" w:rsidRDefault="002B6ABE" w:rsidP="002B6ABE">
            <w:pPr>
              <w:spacing w:after="120"/>
              <w:jc w:val="center"/>
              <w:rPr>
                <w:rFonts w:cs="Arial"/>
                <w:color w:val="000000" w:themeColor="text1"/>
                <w:szCs w:val="20"/>
                <w:lang w:val="en-GB"/>
              </w:rPr>
            </w:pPr>
            <w:r>
              <w:rPr>
                <w:rFonts w:cs="Arial"/>
                <w:color w:val="000000" w:themeColor="text1"/>
                <w:szCs w:val="20"/>
                <w:lang w:val="en-GB"/>
              </w:rPr>
              <w:t>-</w:t>
            </w:r>
          </w:p>
        </w:tc>
        <w:tc>
          <w:tcPr>
            <w:tcW w:w="3935" w:type="dxa"/>
          </w:tcPr>
          <w:p w14:paraId="73172F44" w14:textId="75E6CA44" w:rsidR="002B6ABE" w:rsidRDefault="00FE04FF" w:rsidP="002B6ABE">
            <w:pPr>
              <w:spacing w:after="120"/>
              <w:jc w:val="center"/>
              <w:rPr>
                <w:rFonts w:cs="Arial"/>
                <w:color w:val="000000" w:themeColor="text1"/>
                <w:szCs w:val="20"/>
                <w:lang w:val="en-GB"/>
              </w:rPr>
            </w:pPr>
            <w:r>
              <w:rPr>
                <w:rFonts w:cs="Arial"/>
                <w:color w:val="000000" w:themeColor="text1"/>
                <w:szCs w:val="20"/>
                <w:lang w:val="en-GB"/>
              </w:rPr>
              <w:t xml:space="preserve">IMT FDD </w:t>
            </w:r>
            <w:r w:rsidR="002B6ABE">
              <w:rPr>
                <w:rFonts w:cs="Arial"/>
                <w:color w:val="000000" w:themeColor="text1"/>
                <w:szCs w:val="20"/>
                <w:lang w:val="en-GB"/>
              </w:rPr>
              <w:t>MS-to-BS</w:t>
            </w:r>
          </w:p>
        </w:tc>
      </w:tr>
      <w:tr w:rsidR="002B6ABE" w:rsidRPr="00971011" w14:paraId="1DE5F2CC" w14:textId="77777777" w:rsidTr="002E5628">
        <w:tc>
          <w:tcPr>
            <w:tcW w:w="2235" w:type="dxa"/>
            <w:shd w:val="clear" w:color="auto" w:fill="F79646" w:themeFill="accent6"/>
          </w:tcPr>
          <w:p w14:paraId="7A72E06E" w14:textId="77777777" w:rsidR="002B6ABE" w:rsidRDefault="002B6ABE" w:rsidP="00860A3D">
            <w:pPr>
              <w:spacing w:after="120"/>
              <w:rPr>
                <w:rFonts w:cs="Arial"/>
                <w:color w:val="000000" w:themeColor="text1"/>
                <w:szCs w:val="20"/>
                <w:lang w:val="en-GB"/>
              </w:rPr>
            </w:pPr>
            <w:r>
              <w:rPr>
                <w:rFonts w:cs="Arial"/>
                <w:color w:val="000000" w:themeColor="text1"/>
                <w:szCs w:val="20"/>
                <w:lang w:val="en-GB"/>
              </w:rPr>
              <w:t>1 980 - 2 010 MHz</w:t>
            </w:r>
          </w:p>
          <w:p w14:paraId="66C5E1A0" w14:textId="5D30818E" w:rsidR="002B6ABE" w:rsidRPr="00971011" w:rsidRDefault="002B6ABE" w:rsidP="00A026FD">
            <w:pPr>
              <w:spacing w:after="120"/>
              <w:rPr>
                <w:rFonts w:cs="Arial"/>
                <w:color w:val="000000" w:themeColor="text1"/>
                <w:szCs w:val="20"/>
                <w:lang w:val="en-GB"/>
              </w:rPr>
            </w:pPr>
            <w:r>
              <w:rPr>
                <w:rFonts w:cs="Arial"/>
                <w:color w:val="000000" w:themeColor="text1"/>
                <w:szCs w:val="20"/>
                <w:lang w:val="en-GB"/>
              </w:rPr>
              <w:t>(</w:t>
            </w:r>
            <w:proofErr w:type="spellStart"/>
            <w:r w:rsidR="00FE04FF" w:rsidRPr="00A026FD">
              <w:rPr>
                <w:rFonts w:cs="Arial"/>
                <w:i/>
                <w:color w:val="000000" w:themeColor="text1"/>
                <w:szCs w:val="20"/>
                <w:lang w:val="en-GB"/>
              </w:rPr>
              <w:t>MSS</w:t>
            </w:r>
            <w:r w:rsidRPr="002B6ABE">
              <w:rPr>
                <w:rFonts w:cs="Arial"/>
                <w:i/>
                <w:color w:val="000000" w:themeColor="text1"/>
                <w:szCs w:val="20"/>
                <w:lang w:val="en-GB"/>
              </w:rPr>
              <w:t>“uplink</w:t>
            </w:r>
            <w:proofErr w:type="spellEnd"/>
            <w:r w:rsidRPr="002B6ABE">
              <w:rPr>
                <w:rFonts w:cs="Arial"/>
                <w:i/>
                <w:color w:val="000000" w:themeColor="text1"/>
                <w:szCs w:val="20"/>
                <w:lang w:val="en-GB"/>
              </w:rPr>
              <w:t>” band</w:t>
            </w:r>
            <w:r>
              <w:rPr>
                <w:rFonts w:cs="Arial"/>
                <w:color w:val="000000" w:themeColor="text1"/>
                <w:szCs w:val="20"/>
                <w:lang w:val="en-GB"/>
              </w:rPr>
              <w:t>)</w:t>
            </w:r>
          </w:p>
        </w:tc>
        <w:tc>
          <w:tcPr>
            <w:tcW w:w="3685" w:type="dxa"/>
            <w:shd w:val="clear" w:color="auto" w:fill="F79646" w:themeFill="accent6"/>
          </w:tcPr>
          <w:p w14:paraId="30285939" w14:textId="77777777" w:rsidR="002B6ABE" w:rsidRDefault="002B6ABE" w:rsidP="004904AD">
            <w:pPr>
              <w:spacing w:after="120"/>
              <w:jc w:val="center"/>
              <w:rPr>
                <w:rFonts w:cs="Arial"/>
                <w:color w:val="000000" w:themeColor="text1"/>
                <w:szCs w:val="20"/>
                <w:lang w:val="en-GB"/>
              </w:rPr>
            </w:pPr>
            <w:r>
              <w:rPr>
                <w:rFonts w:cs="Arial"/>
                <w:color w:val="000000" w:themeColor="text1"/>
                <w:szCs w:val="20"/>
                <w:lang w:val="en-GB"/>
              </w:rPr>
              <w:t>Aircraft terminal-to-satellite</w:t>
            </w:r>
          </w:p>
          <w:p w14:paraId="1D6195B5" w14:textId="0792B445" w:rsidR="002B6ABE" w:rsidRDefault="002B6ABE" w:rsidP="004904AD">
            <w:pPr>
              <w:spacing w:after="120"/>
              <w:jc w:val="center"/>
              <w:rPr>
                <w:rFonts w:cs="Arial"/>
                <w:color w:val="000000" w:themeColor="text1"/>
                <w:szCs w:val="20"/>
                <w:lang w:val="en-GB"/>
              </w:rPr>
            </w:pPr>
            <w:r>
              <w:rPr>
                <w:rFonts w:cs="Arial"/>
                <w:color w:val="000000" w:themeColor="text1"/>
                <w:szCs w:val="20"/>
                <w:lang w:val="en-GB"/>
              </w:rPr>
              <w:t>and</w:t>
            </w:r>
          </w:p>
          <w:p w14:paraId="506D99E1" w14:textId="2DC85BB4" w:rsidR="002B6ABE" w:rsidRPr="00971011" w:rsidRDefault="002B6ABE" w:rsidP="004904AD">
            <w:pPr>
              <w:spacing w:after="120"/>
              <w:jc w:val="center"/>
              <w:rPr>
                <w:rFonts w:cs="Arial"/>
                <w:color w:val="000000" w:themeColor="text1"/>
                <w:szCs w:val="20"/>
                <w:lang w:val="en-GB"/>
              </w:rPr>
            </w:pPr>
            <w:r>
              <w:rPr>
                <w:rFonts w:cs="Arial"/>
                <w:color w:val="000000" w:themeColor="text1"/>
                <w:szCs w:val="20"/>
                <w:lang w:val="en-GB"/>
              </w:rPr>
              <w:t>Aircraft terminal-to-CGC ground station</w:t>
            </w:r>
          </w:p>
        </w:tc>
        <w:tc>
          <w:tcPr>
            <w:tcW w:w="3935" w:type="dxa"/>
            <w:shd w:val="clear" w:color="auto" w:fill="F79646" w:themeFill="accent6"/>
          </w:tcPr>
          <w:p w14:paraId="17B53604" w14:textId="5823C8B1" w:rsidR="002B6ABE" w:rsidRPr="00971011" w:rsidRDefault="002B6ABE" w:rsidP="002B6ABE">
            <w:pPr>
              <w:spacing w:after="120"/>
              <w:jc w:val="center"/>
              <w:rPr>
                <w:rFonts w:cs="Arial"/>
                <w:color w:val="000000" w:themeColor="text1"/>
                <w:szCs w:val="20"/>
                <w:lang w:val="en-GB"/>
              </w:rPr>
            </w:pPr>
            <w:r>
              <w:rPr>
                <w:rFonts w:cs="Arial"/>
                <w:color w:val="000000" w:themeColor="text1"/>
                <w:szCs w:val="20"/>
                <w:lang w:val="en-GB"/>
              </w:rPr>
              <w:t>-</w:t>
            </w:r>
          </w:p>
        </w:tc>
      </w:tr>
      <w:tr w:rsidR="00FE04FF" w:rsidRPr="00971011" w14:paraId="69005FA2" w14:textId="77777777" w:rsidTr="002B6ABE">
        <w:tc>
          <w:tcPr>
            <w:tcW w:w="2235" w:type="dxa"/>
          </w:tcPr>
          <w:p w14:paraId="4173B4D9" w14:textId="76A12765" w:rsidR="00FE04FF" w:rsidRDefault="00FE04FF" w:rsidP="00860A3D">
            <w:pPr>
              <w:spacing w:after="120"/>
              <w:rPr>
                <w:rFonts w:cs="Arial"/>
                <w:color w:val="000000" w:themeColor="text1"/>
                <w:szCs w:val="20"/>
                <w:lang w:val="en-GB"/>
              </w:rPr>
            </w:pPr>
            <w:r w:rsidRPr="00971011">
              <w:rPr>
                <w:rFonts w:cs="Arial"/>
                <w:color w:val="000000" w:themeColor="text1"/>
                <w:szCs w:val="20"/>
                <w:lang w:val="en-GB"/>
              </w:rPr>
              <w:t>2</w:t>
            </w:r>
            <w:r>
              <w:rPr>
                <w:rFonts w:cs="Arial"/>
                <w:color w:val="000000" w:themeColor="text1"/>
                <w:szCs w:val="20"/>
                <w:lang w:val="en-GB"/>
              </w:rPr>
              <w:t xml:space="preserve"> </w:t>
            </w:r>
            <w:r w:rsidRPr="00971011">
              <w:rPr>
                <w:rFonts w:cs="Arial"/>
                <w:color w:val="000000" w:themeColor="text1"/>
                <w:szCs w:val="20"/>
                <w:lang w:val="en-GB"/>
              </w:rPr>
              <w:t>010</w:t>
            </w:r>
            <w:r>
              <w:rPr>
                <w:rFonts w:cs="Arial"/>
                <w:color w:val="000000" w:themeColor="text1"/>
                <w:szCs w:val="20"/>
                <w:lang w:val="en-GB"/>
              </w:rPr>
              <w:t xml:space="preserve"> </w:t>
            </w:r>
            <w:r w:rsidRPr="00971011">
              <w:rPr>
                <w:rFonts w:cs="Arial"/>
                <w:color w:val="000000" w:themeColor="text1"/>
                <w:szCs w:val="20"/>
                <w:lang w:val="en-GB"/>
              </w:rPr>
              <w:t>-</w:t>
            </w:r>
            <w:r>
              <w:rPr>
                <w:rFonts w:cs="Arial"/>
                <w:color w:val="000000" w:themeColor="text1"/>
                <w:szCs w:val="20"/>
                <w:lang w:val="en-GB"/>
              </w:rPr>
              <w:t xml:space="preserve"> </w:t>
            </w:r>
            <w:r w:rsidRPr="00971011">
              <w:rPr>
                <w:rFonts w:cs="Arial"/>
                <w:color w:val="000000" w:themeColor="text1"/>
                <w:szCs w:val="20"/>
                <w:lang w:val="en-GB"/>
              </w:rPr>
              <w:t>2</w:t>
            </w:r>
            <w:r>
              <w:rPr>
                <w:rFonts w:cs="Arial"/>
                <w:color w:val="000000" w:themeColor="text1"/>
                <w:szCs w:val="20"/>
                <w:lang w:val="en-GB"/>
              </w:rPr>
              <w:t xml:space="preserve"> </w:t>
            </w:r>
            <w:r w:rsidRPr="00971011">
              <w:rPr>
                <w:rFonts w:cs="Arial"/>
                <w:color w:val="000000" w:themeColor="text1"/>
                <w:szCs w:val="20"/>
                <w:lang w:val="en-GB"/>
              </w:rPr>
              <w:t>025 MHz</w:t>
            </w:r>
          </w:p>
        </w:tc>
        <w:tc>
          <w:tcPr>
            <w:tcW w:w="3685" w:type="dxa"/>
          </w:tcPr>
          <w:p w14:paraId="0EEDB689" w14:textId="77777777" w:rsidR="00FE04FF" w:rsidRDefault="00FE04FF" w:rsidP="002B6ABE">
            <w:pPr>
              <w:spacing w:after="120"/>
              <w:jc w:val="center"/>
              <w:rPr>
                <w:rFonts w:cs="Arial"/>
                <w:color w:val="000000" w:themeColor="text1"/>
                <w:szCs w:val="20"/>
                <w:lang w:val="en-GB"/>
              </w:rPr>
            </w:pPr>
          </w:p>
        </w:tc>
        <w:tc>
          <w:tcPr>
            <w:tcW w:w="3935" w:type="dxa"/>
          </w:tcPr>
          <w:p w14:paraId="5080671B" w14:textId="6F68E1AB" w:rsidR="00FE04FF" w:rsidRDefault="00FE04FF" w:rsidP="002B6ABE">
            <w:pPr>
              <w:spacing w:after="120"/>
              <w:jc w:val="center"/>
              <w:rPr>
                <w:rFonts w:cs="Arial"/>
                <w:color w:val="000000" w:themeColor="text1"/>
                <w:szCs w:val="20"/>
                <w:lang w:val="en-GB"/>
              </w:rPr>
            </w:pPr>
            <w:r>
              <w:rPr>
                <w:rFonts w:cs="Arial"/>
                <w:color w:val="000000" w:themeColor="text1"/>
                <w:szCs w:val="20"/>
                <w:lang w:val="en-GB"/>
              </w:rPr>
              <w:t>Planned uses being reviewed</w:t>
            </w:r>
            <w:r w:rsidR="00677260">
              <w:rPr>
                <w:rFonts w:cs="Arial"/>
                <w:color w:val="000000" w:themeColor="text1"/>
                <w:szCs w:val="20"/>
                <w:lang w:val="en-GB"/>
              </w:rPr>
              <w:t xml:space="preserve"> by CEPT</w:t>
            </w:r>
            <w:r>
              <w:rPr>
                <w:rFonts w:cs="Arial"/>
                <w:color w:val="000000" w:themeColor="text1"/>
                <w:szCs w:val="20"/>
                <w:lang w:val="en-GB"/>
              </w:rPr>
              <w:t xml:space="preserve">, includes </w:t>
            </w:r>
            <w:r w:rsidR="0070134D">
              <w:rPr>
                <w:rFonts w:cs="Arial"/>
                <w:color w:val="000000" w:themeColor="text1"/>
                <w:szCs w:val="20"/>
                <w:lang w:val="en-GB"/>
              </w:rPr>
              <w:t xml:space="preserve">possible </w:t>
            </w:r>
            <w:r>
              <w:rPr>
                <w:rFonts w:cs="Arial"/>
                <w:color w:val="000000" w:themeColor="text1"/>
                <w:szCs w:val="20"/>
                <w:lang w:val="en-GB"/>
              </w:rPr>
              <w:t>DA2GC systems</w:t>
            </w:r>
          </w:p>
        </w:tc>
      </w:tr>
      <w:tr w:rsidR="00FE04FF" w:rsidRPr="00971011" w14:paraId="327C5495" w14:textId="77777777" w:rsidTr="002B6ABE">
        <w:tc>
          <w:tcPr>
            <w:tcW w:w="2235" w:type="dxa"/>
          </w:tcPr>
          <w:p w14:paraId="7CEE9506" w14:textId="24F20F28" w:rsidR="00FE04FF" w:rsidRDefault="003C6E07" w:rsidP="002E5628">
            <w:pPr>
              <w:spacing w:after="120"/>
              <w:jc w:val="center"/>
              <w:rPr>
                <w:rFonts w:cs="Arial"/>
                <w:b/>
                <w:bCs/>
                <w:color w:val="000000" w:themeColor="text1"/>
                <w:szCs w:val="20"/>
                <w:lang w:val="en-GB"/>
              </w:rPr>
            </w:pPr>
            <w:r>
              <w:rPr>
                <w:rFonts w:cs="Arial"/>
                <w:color w:val="000000" w:themeColor="text1"/>
                <w:szCs w:val="20"/>
                <w:lang w:val="en-GB"/>
              </w:rPr>
              <w:t>..</w:t>
            </w:r>
          </w:p>
        </w:tc>
        <w:tc>
          <w:tcPr>
            <w:tcW w:w="3685" w:type="dxa"/>
          </w:tcPr>
          <w:p w14:paraId="67D8020F" w14:textId="753C3CD5" w:rsidR="00FE04FF" w:rsidRDefault="003C6E07">
            <w:pPr>
              <w:spacing w:after="120"/>
              <w:jc w:val="center"/>
              <w:rPr>
                <w:rFonts w:cs="Arial"/>
                <w:b/>
                <w:bCs/>
                <w:color w:val="000000" w:themeColor="text1"/>
                <w:szCs w:val="20"/>
                <w:lang w:val="en-GB"/>
              </w:rPr>
            </w:pPr>
            <w:r>
              <w:rPr>
                <w:rFonts w:cs="Arial"/>
                <w:color w:val="000000" w:themeColor="text1"/>
                <w:szCs w:val="20"/>
                <w:lang w:val="en-GB"/>
              </w:rPr>
              <w:t>...</w:t>
            </w:r>
          </w:p>
        </w:tc>
        <w:tc>
          <w:tcPr>
            <w:tcW w:w="3935" w:type="dxa"/>
          </w:tcPr>
          <w:p w14:paraId="64D3F574" w14:textId="22F6A646" w:rsidR="00FE04FF" w:rsidRDefault="003C6E07">
            <w:pPr>
              <w:spacing w:after="120"/>
              <w:jc w:val="center"/>
              <w:rPr>
                <w:rFonts w:cs="Arial"/>
                <w:b/>
                <w:bCs/>
                <w:color w:val="000000" w:themeColor="text1"/>
                <w:szCs w:val="20"/>
                <w:lang w:val="en-GB"/>
              </w:rPr>
            </w:pPr>
            <w:r>
              <w:rPr>
                <w:rFonts w:cs="Arial"/>
                <w:color w:val="000000" w:themeColor="text1"/>
                <w:szCs w:val="20"/>
                <w:lang w:val="en-GB"/>
              </w:rPr>
              <w:t>...</w:t>
            </w:r>
          </w:p>
        </w:tc>
      </w:tr>
      <w:tr w:rsidR="002B6ABE" w:rsidRPr="00971011" w14:paraId="674732BF" w14:textId="77777777" w:rsidTr="002B6ABE">
        <w:tc>
          <w:tcPr>
            <w:tcW w:w="2235" w:type="dxa"/>
          </w:tcPr>
          <w:p w14:paraId="19A0508E" w14:textId="2674695B" w:rsidR="002B6ABE" w:rsidRPr="00971011" w:rsidRDefault="002B6ABE" w:rsidP="00860A3D">
            <w:pPr>
              <w:spacing w:after="120"/>
              <w:rPr>
                <w:rFonts w:cs="Arial"/>
                <w:color w:val="000000" w:themeColor="text1"/>
                <w:szCs w:val="20"/>
                <w:lang w:val="en-GB"/>
              </w:rPr>
            </w:pPr>
            <w:r>
              <w:rPr>
                <w:rFonts w:cs="Arial"/>
                <w:color w:val="000000" w:themeColor="text1"/>
                <w:szCs w:val="20"/>
                <w:lang w:val="en-GB"/>
              </w:rPr>
              <w:t>2 110 - 2 170 MHz</w:t>
            </w:r>
          </w:p>
        </w:tc>
        <w:tc>
          <w:tcPr>
            <w:tcW w:w="3685" w:type="dxa"/>
          </w:tcPr>
          <w:p w14:paraId="363F2643" w14:textId="5AF6D3AD" w:rsidR="002B6ABE" w:rsidRPr="00971011" w:rsidRDefault="002B6ABE" w:rsidP="002B6ABE">
            <w:pPr>
              <w:spacing w:after="120"/>
              <w:jc w:val="center"/>
              <w:rPr>
                <w:rFonts w:cs="Arial"/>
                <w:color w:val="000000" w:themeColor="text1"/>
                <w:szCs w:val="20"/>
                <w:lang w:val="en-GB"/>
              </w:rPr>
            </w:pPr>
            <w:r>
              <w:rPr>
                <w:rFonts w:cs="Arial"/>
                <w:color w:val="000000" w:themeColor="text1"/>
                <w:szCs w:val="20"/>
                <w:lang w:val="en-GB"/>
              </w:rPr>
              <w:t>-</w:t>
            </w:r>
          </w:p>
        </w:tc>
        <w:tc>
          <w:tcPr>
            <w:tcW w:w="3935" w:type="dxa"/>
          </w:tcPr>
          <w:p w14:paraId="2FABA78A" w14:textId="30705D6A" w:rsidR="002B6ABE" w:rsidRPr="00971011" w:rsidRDefault="00FE04FF" w:rsidP="002B6ABE">
            <w:pPr>
              <w:spacing w:after="120"/>
              <w:jc w:val="center"/>
              <w:rPr>
                <w:rFonts w:cs="Arial"/>
                <w:color w:val="000000" w:themeColor="text1"/>
                <w:szCs w:val="20"/>
                <w:lang w:val="en-GB"/>
              </w:rPr>
            </w:pPr>
            <w:r>
              <w:rPr>
                <w:rFonts w:cs="Arial"/>
                <w:color w:val="000000" w:themeColor="text1"/>
                <w:szCs w:val="20"/>
                <w:lang w:val="en-GB"/>
              </w:rPr>
              <w:t xml:space="preserve">IMT FDD </w:t>
            </w:r>
            <w:r w:rsidR="002B6ABE">
              <w:rPr>
                <w:rFonts w:cs="Arial"/>
                <w:color w:val="000000" w:themeColor="text1"/>
                <w:szCs w:val="20"/>
                <w:lang w:val="en-GB"/>
              </w:rPr>
              <w:t>BS-to-MS</w:t>
            </w:r>
          </w:p>
        </w:tc>
      </w:tr>
      <w:tr w:rsidR="002B6ABE" w:rsidRPr="00971011" w14:paraId="36B494E0" w14:textId="77777777" w:rsidTr="002E5628">
        <w:tc>
          <w:tcPr>
            <w:tcW w:w="2235" w:type="dxa"/>
            <w:shd w:val="clear" w:color="auto" w:fill="F79646" w:themeFill="accent6"/>
          </w:tcPr>
          <w:p w14:paraId="05E191FE" w14:textId="77777777" w:rsidR="002B6ABE" w:rsidRDefault="002B6ABE" w:rsidP="00860A3D">
            <w:pPr>
              <w:spacing w:after="120"/>
              <w:rPr>
                <w:rFonts w:cs="Arial"/>
                <w:color w:val="000000" w:themeColor="text1"/>
                <w:szCs w:val="20"/>
                <w:lang w:val="en-GB"/>
              </w:rPr>
            </w:pPr>
            <w:r>
              <w:rPr>
                <w:rFonts w:cs="Arial"/>
                <w:color w:val="000000" w:themeColor="text1"/>
                <w:szCs w:val="20"/>
                <w:lang w:val="en-GB"/>
              </w:rPr>
              <w:t>2 170 - 2 200 MHz</w:t>
            </w:r>
          </w:p>
          <w:p w14:paraId="3172AC85" w14:textId="0A347B66" w:rsidR="00CD4E10" w:rsidRPr="00971011" w:rsidRDefault="00CD4E10">
            <w:pPr>
              <w:spacing w:after="120"/>
              <w:rPr>
                <w:rFonts w:cs="Arial"/>
                <w:b/>
                <w:bCs/>
                <w:color w:val="000000" w:themeColor="text1"/>
                <w:szCs w:val="20"/>
                <w:lang w:val="en-GB"/>
              </w:rPr>
            </w:pPr>
            <w:r>
              <w:rPr>
                <w:rFonts w:cs="Arial"/>
                <w:color w:val="000000" w:themeColor="text1"/>
                <w:szCs w:val="20"/>
                <w:lang w:val="en-GB"/>
              </w:rPr>
              <w:t>(</w:t>
            </w:r>
            <w:proofErr w:type="spellStart"/>
            <w:r w:rsidR="00FE04FF" w:rsidRPr="00A026FD">
              <w:rPr>
                <w:rFonts w:cs="Arial"/>
                <w:i/>
                <w:color w:val="000000" w:themeColor="text1"/>
                <w:szCs w:val="20"/>
                <w:lang w:val="en-GB"/>
              </w:rPr>
              <w:t>MSS</w:t>
            </w:r>
            <w:r w:rsidRPr="002B6ABE">
              <w:rPr>
                <w:rFonts w:cs="Arial"/>
                <w:i/>
                <w:color w:val="000000" w:themeColor="text1"/>
                <w:szCs w:val="20"/>
                <w:lang w:val="en-GB"/>
              </w:rPr>
              <w:t>“</w:t>
            </w:r>
            <w:r>
              <w:rPr>
                <w:rFonts w:cs="Arial"/>
                <w:i/>
                <w:color w:val="000000" w:themeColor="text1"/>
                <w:szCs w:val="20"/>
                <w:lang w:val="en-GB"/>
              </w:rPr>
              <w:t>downlink</w:t>
            </w:r>
            <w:proofErr w:type="spellEnd"/>
            <w:r w:rsidRPr="002B6ABE">
              <w:rPr>
                <w:rFonts w:cs="Arial"/>
                <w:i/>
                <w:color w:val="000000" w:themeColor="text1"/>
                <w:szCs w:val="20"/>
                <w:lang w:val="en-GB"/>
              </w:rPr>
              <w:t>” band</w:t>
            </w:r>
            <w:r>
              <w:rPr>
                <w:rFonts w:cs="Arial"/>
                <w:color w:val="000000" w:themeColor="text1"/>
                <w:szCs w:val="20"/>
                <w:lang w:val="en-GB"/>
              </w:rPr>
              <w:t>)</w:t>
            </w:r>
          </w:p>
        </w:tc>
        <w:tc>
          <w:tcPr>
            <w:tcW w:w="3685" w:type="dxa"/>
            <w:shd w:val="clear" w:color="auto" w:fill="F79646" w:themeFill="accent6"/>
          </w:tcPr>
          <w:p w14:paraId="221A7FA1" w14:textId="77777777" w:rsidR="002B6ABE" w:rsidRDefault="004904AD" w:rsidP="004904AD">
            <w:pPr>
              <w:spacing w:after="120"/>
              <w:jc w:val="center"/>
              <w:rPr>
                <w:rFonts w:cs="Arial"/>
                <w:color w:val="000000" w:themeColor="text1"/>
                <w:szCs w:val="20"/>
                <w:lang w:val="en-GB"/>
              </w:rPr>
            </w:pPr>
            <w:r>
              <w:rPr>
                <w:rFonts w:cs="Arial"/>
                <w:color w:val="000000" w:themeColor="text1"/>
                <w:szCs w:val="20"/>
                <w:lang w:val="en-GB"/>
              </w:rPr>
              <w:t>Satellite-to-aircraft terminal</w:t>
            </w:r>
          </w:p>
          <w:p w14:paraId="079D4616" w14:textId="77777777" w:rsidR="004904AD" w:rsidRDefault="004904AD" w:rsidP="004904AD">
            <w:pPr>
              <w:spacing w:after="120"/>
              <w:jc w:val="center"/>
              <w:rPr>
                <w:rFonts w:cs="Arial"/>
                <w:color w:val="000000" w:themeColor="text1"/>
                <w:szCs w:val="20"/>
                <w:lang w:val="en-GB"/>
              </w:rPr>
            </w:pPr>
            <w:r>
              <w:rPr>
                <w:rFonts w:cs="Arial"/>
                <w:color w:val="000000" w:themeColor="text1"/>
                <w:szCs w:val="20"/>
                <w:lang w:val="en-GB"/>
              </w:rPr>
              <w:t>and</w:t>
            </w:r>
          </w:p>
          <w:p w14:paraId="175129B5" w14:textId="20852B2F" w:rsidR="004904AD" w:rsidRPr="00971011" w:rsidRDefault="004904AD" w:rsidP="004904AD">
            <w:pPr>
              <w:spacing w:after="120"/>
              <w:jc w:val="center"/>
              <w:rPr>
                <w:rFonts w:cs="Arial"/>
                <w:color w:val="000000" w:themeColor="text1"/>
                <w:szCs w:val="20"/>
                <w:lang w:val="en-GB"/>
              </w:rPr>
            </w:pPr>
            <w:r>
              <w:rPr>
                <w:rFonts w:cs="Arial"/>
                <w:color w:val="000000" w:themeColor="text1"/>
                <w:szCs w:val="20"/>
                <w:lang w:val="en-GB"/>
              </w:rPr>
              <w:t>CGC ground station-to-aircraft terminal</w:t>
            </w:r>
          </w:p>
        </w:tc>
        <w:tc>
          <w:tcPr>
            <w:tcW w:w="3935" w:type="dxa"/>
            <w:shd w:val="clear" w:color="auto" w:fill="F79646" w:themeFill="accent6"/>
          </w:tcPr>
          <w:p w14:paraId="1FB9D1DB" w14:textId="374EFDA5" w:rsidR="002B6ABE" w:rsidRPr="00971011" w:rsidRDefault="004904AD" w:rsidP="004904AD">
            <w:pPr>
              <w:spacing w:after="120"/>
              <w:jc w:val="center"/>
              <w:rPr>
                <w:rFonts w:cs="Arial"/>
                <w:color w:val="000000" w:themeColor="text1"/>
                <w:szCs w:val="20"/>
                <w:lang w:val="en-GB"/>
              </w:rPr>
            </w:pPr>
            <w:r>
              <w:rPr>
                <w:rFonts w:cs="Arial"/>
                <w:color w:val="000000" w:themeColor="text1"/>
                <w:szCs w:val="20"/>
                <w:lang w:val="en-GB"/>
              </w:rPr>
              <w:t>-</w:t>
            </w:r>
          </w:p>
        </w:tc>
      </w:tr>
      <w:tr w:rsidR="00FE04FF" w:rsidRPr="00971011" w14:paraId="28FD2519" w14:textId="77777777" w:rsidTr="002E5628">
        <w:tc>
          <w:tcPr>
            <w:tcW w:w="2235" w:type="dxa"/>
            <w:shd w:val="clear" w:color="auto" w:fill="FFFFFF" w:themeFill="background1"/>
          </w:tcPr>
          <w:p w14:paraId="5DB113B8" w14:textId="3D034362" w:rsidR="00FE04FF" w:rsidRDefault="00633460" w:rsidP="00860A3D">
            <w:pPr>
              <w:spacing w:after="120"/>
              <w:rPr>
                <w:rFonts w:cs="Arial"/>
                <w:color w:val="000000" w:themeColor="text1"/>
                <w:szCs w:val="20"/>
                <w:lang w:val="en-GB"/>
              </w:rPr>
            </w:pPr>
            <w:r>
              <w:rPr>
                <w:rFonts w:cs="Arial"/>
                <w:color w:val="000000" w:themeColor="text1"/>
                <w:szCs w:val="20"/>
                <w:lang w:val="en-GB"/>
              </w:rPr>
              <w:t>2 200</w:t>
            </w:r>
            <w:r w:rsidR="00A026FD">
              <w:rPr>
                <w:rFonts w:cs="Arial"/>
                <w:color w:val="000000" w:themeColor="text1"/>
                <w:szCs w:val="20"/>
                <w:lang w:val="en-GB"/>
              </w:rPr>
              <w:t xml:space="preserve"> </w:t>
            </w:r>
            <w:r>
              <w:rPr>
                <w:rFonts w:cs="Arial"/>
                <w:color w:val="000000" w:themeColor="text1"/>
                <w:szCs w:val="20"/>
                <w:lang w:val="en-GB"/>
              </w:rPr>
              <w:t>-</w:t>
            </w:r>
            <w:r w:rsidR="00A026FD">
              <w:rPr>
                <w:rFonts w:cs="Arial"/>
                <w:color w:val="000000" w:themeColor="text1"/>
                <w:szCs w:val="20"/>
                <w:lang w:val="en-GB"/>
              </w:rPr>
              <w:t xml:space="preserve"> </w:t>
            </w:r>
            <w:r>
              <w:rPr>
                <w:rFonts w:cs="Arial"/>
                <w:color w:val="000000" w:themeColor="text1"/>
                <w:szCs w:val="20"/>
                <w:lang w:val="en-GB"/>
              </w:rPr>
              <w:t>2 290 MHz</w:t>
            </w:r>
          </w:p>
        </w:tc>
        <w:tc>
          <w:tcPr>
            <w:tcW w:w="3685" w:type="dxa"/>
            <w:shd w:val="clear" w:color="auto" w:fill="FFFFFF" w:themeFill="background1"/>
          </w:tcPr>
          <w:p w14:paraId="6D4E6391" w14:textId="77777777" w:rsidR="00FE04FF" w:rsidRDefault="00FE04FF" w:rsidP="004904AD">
            <w:pPr>
              <w:spacing w:after="120"/>
              <w:jc w:val="center"/>
              <w:rPr>
                <w:rFonts w:cs="Arial"/>
                <w:color w:val="000000" w:themeColor="text1"/>
                <w:szCs w:val="20"/>
                <w:lang w:val="en-GB"/>
              </w:rPr>
            </w:pPr>
          </w:p>
        </w:tc>
        <w:tc>
          <w:tcPr>
            <w:tcW w:w="3935" w:type="dxa"/>
            <w:shd w:val="clear" w:color="auto" w:fill="FFFFFF" w:themeFill="background1"/>
          </w:tcPr>
          <w:p w14:paraId="4B66C492" w14:textId="77777777" w:rsidR="00FE04FF" w:rsidRDefault="00677260" w:rsidP="004904AD">
            <w:pPr>
              <w:spacing w:after="120"/>
              <w:jc w:val="center"/>
              <w:rPr>
                <w:rFonts w:cs="Arial"/>
                <w:color w:val="000000" w:themeColor="text1"/>
                <w:szCs w:val="20"/>
                <w:lang w:val="en-GB"/>
              </w:rPr>
            </w:pPr>
            <w:r>
              <w:rPr>
                <w:rFonts w:cs="Arial"/>
                <w:color w:val="000000" w:themeColor="text1"/>
                <w:szCs w:val="20"/>
                <w:lang w:val="en-GB"/>
              </w:rPr>
              <w:t>PMSE</w:t>
            </w:r>
          </w:p>
          <w:p w14:paraId="0CDFB5AB" w14:textId="77777777" w:rsidR="00677260" w:rsidRDefault="00677260" w:rsidP="004904AD">
            <w:pPr>
              <w:spacing w:after="120"/>
              <w:jc w:val="center"/>
              <w:rPr>
                <w:rFonts w:cs="Arial"/>
                <w:color w:val="000000" w:themeColor="text1"/>
                <w:szCs w:val="20"/>
                <w:lang w:val="en-GB"/>
              </w:rPr>
            </w:pPr>
            <w:r>
              <w:rPr>
                <w:rFonts w:cs="Arial"/>
                <w:color w:val="000000" w:themeColor="text1"/>
                <w:szCs w:val="20"/>
                <w:lang w:val="en-GB"/>
              </w:rPr>
              <w:t>Space Research (space-to-Earth and space-to-space)</w:t>
            </w:r>
          </w:p>
          <w:p w14:paraId="734E96D3" w14:textId="721EDF35" w:rsidR="00633460" w:rsidRDefault="00633460">
            <w:pPr>
              <w:spacing w:after="120"/>
              <w:jc w:val="center"/>
              <w:rPr>
                <w:rFonts w:cs="Arial"/>
                <w:b/>
                <w:bCs/>
                <w:color w:val="000000" w:themeColor="text1"/>
                <w:szCs w:val="20"/>
                <w:lang w:val="en-GB"/>
              </w:rPr>
            </w:pPr>
            <w:r>
              <w:rPr>
                <w:rFonts w:cs="Arial"/>
                <w:color w:val="000000" w:themeColor="text1"/>
                <w:szCs w:val="20"/>
                <w:lang w:val="en-GB"/>
              </w:rPr>
              <w:t xml:space="preserve">Earth </w:t>
            </w:r>
            <w:r w:rsidR="00A026FD">
              <w:rPr>
                <w:rFonts w:cs="Arial"/>
                <w:color w:val="000000" w:themeColor="text1"/>
                <w:szCs w:val="20"/>
                <w:lang w:val="en-GB"/>
              </w:rPr>
              <w:t>E</w:t>
            </w:r>
            <w:r>
              <w:rPr>
                <w:rFonts w:cs="Arial"/>
                <w:color w:val="000000" w:themeColor="text1"/>
                <w:szCs w:val="20"/>
                <w:lang w:val="en-GB"/>
              </w:rPr>
              <w:t xml:space="preserve">xploration </w:t>
            </w:r>
            <w:r w:rsidR="00A026FD">
              <w:rPr>
                <w:rFonts w:cs="Arial"/>
                <w:color w:val="000000" w:themeColor="text1"/>
                <w:szCs w:val="20"/>
                <w:lang w:val="en-GB"/>
              </w:rPr>
              <w:t>S</w:t>
            </w:r>
            <w:r>
              <w:rPr>
                <w:rFonts w:cs="Arial"/>
                <w:color w:val="000000" w:themeColor="text1"/>
                <w:szCs w:val="20"/>
                <w:lang w:val="en-GB"/>
              </w:rPr>
              <w:t xml:space="preserve">atellite </w:t>
            </w:r>
            <w:r w:rsidR="00A026FD">
              <w:rPr>
                <w:rFonts w:cs="Arial"/>
                <w:color w:val="000000" w:themeColor="text1"/>
                <w:szCs w:val="20"/>
                <w:lang w:val="en-GB"/>
              </w:rPr>
              <w:t>S</w:t>
            </w:r>
            <w:r>
              <w:rPr>
                <w:rFonts w:cs="Arial"/>
                <w:color w:val="000000" w:themeColor="text1"/>
                <w:szCs w:val="20"/>
                <w:lang w:val="en-GB"/>
              </w:rPr>
              <w:t>ervice (space-to-Earth and space-to-space)</w:t>
            </w:r>
          </w:p>
        </w:tc>
      </w:tr>
    </w:tbl>
    <w:p w14:paraId="48F3A072" w14:textId="5293E75B" w:rsidR="004904AD" w:rsidRDefault="004904AD" w:rsidP="004904AD">
      <w:pPr>
        <w:pStyle w:val="ECCParagraph"/>
        <w:jc w:val="center"/>
        <w:rPr>
          <w:rFonts w:cs="Arial"/>
          <w:b/>
          <w:bCs/>
          <w:color w:val="D3232A"/>
          <w:szCs w:val="20"/>
        </w:rPr>
      </w:pPr>
      <w:r>
        <w:rPr>
          <w:rFonts w:cs="Arial"/>
          <w:b/>
          <w:bCs/>
          <w:color w:val="D3232A"/>
          <w:szCs w:val="20"/>
        </w:rPr>
        <w:t>Table 1: Designation and use of spectrum in the 1 9</w:t>
      </w:r>
      <w:r w:rsidR="00633460">
        <w:rPr>
          <w:rFonts w:cs="Arial"/>
          <w:b/>
          <w:bCs/>
          <w:color w:val="D3232A"/>
          <w:szCs w:val="20"/>
        </w:rPr>
        <w:t>2</w:t>
      </w:r>
      <w:r>
        <w:rPr>
          <w:rFonts w:cs="Arial"/>
          <w:b/>
          <w:bCs/>
          <w:color w:val="D3232A"/>
          <w:szCs w:val="20"/>
        </w:rPr>
        <w:t>0 - 2 2</w:t>
      </w:r>
      <w:r w:rsidR="00633460">
        <w:rPr>
          <w:rFonts w:cs="Arial"/>
          <w:b/>
          <w:bCs/>
          <w:color w:val="D3232A"/>
          <w:szCs w:val="20"/>
        </w:rPr>
        <w:t>9</w:t>
      </w:r>
      <w:r>
        <w:rPr>
          <w:rFonts w:cs="Arial"/>
          <w:b/>
          <w:bCs/>
          <w:color w:val="D3232A"/>
          <w:szCs w:val="20"/>
        </w:rPr>
        <w:t>0 MHz range</w:t>
      </w:r>
    </w:p>
    <w:p w14:paraId="53948480" w14:textId="4B3A2BB2" w:rsidR="003C6E07" w:rsidRDefault="003C6E07" w:rsidP="003B3E80">
      <w:pPr>
        <w:pStyle w:val="ECCParagraph"/>
        <w:rPr>
          <w:rFonts w:cs="Arial"/>
          <w:bCs/>
        </w:rPr>
      </w:pPr>
      <w:r w:rsidRPr="00A11B8A">
        <w:rPr>
          <w:rFonts w:cs="Arial"/>
          <w:bCs/>
        </w:rPr>
        <w:t>Note that the direction of use of the ground to air component follows the convention of “uplink” and “downlink” used in terrestrial mobile networks, even though this actually means that the base station to aircraft link is in the “downlink” band and the aircraft to base station link is in the “uplink” band.  Retaining this convention minimises the potential adjacent band compatibility issues.</w:t>
      </w:r>
    </w:p>
    <w:p w14:paraId="0A7D042E" w14:textId="0731E001" w:rsidR="00C60FA1" w:rsidRDefault="00C60FA1" w:rsidP="003B3E80">
      <w:pPr>
        <w:pStyle w:val="ECCParagraph"/>
        <w:rPr>
          <w:rFonts w:cs="Arial"/>
          <w:bCs/>
        </w:rPr>
      </w:pPr>
      <w:r>
        <w:rPr>
          <w:rFonts w:cs="Arial"/>
          <w:bCs/>
        </w:rPr>
        <w:t xml:space="preserve">Inmarsat’s use of the bands 1980-2010 MHz and 2170-2200 MHz for aero services would be within the sub-band identified for Inmarsat within the EU selection process (i.e. </w:t>
      </w:r>
      <w:r>
        <w:rPr>
          <w:rFonts w:cs="EUAlbertina"/>
          <w:color w:val="000000"/>
          <w:sz w:val="19"/>
          <w:szCs w:val="19"/>
        </w:rPr>
        <w:t xml:space="preserve">1980-1995 MHz and 2170-2185 MHz).  Nonetheless, it is suggested that the studies </w:t>
      </w:r>
      <w:r w:rsidR="00E52CA1">
        <w:rPr>
          <w:rFonts w:cs="EUAlbertina"/>
          <w:color w:val="000000"/>
          <w:sz w:val="19"/>
          <w:szCs w:val="19"/>
        </w:rPr>
        <w:t>should address the potential use of any part of the 2 GHz MSS bands for aero services, so that the studies are not specific to one operator.</w:t>
      </w:r>
    </w:p>
    <w:p w14:paraId="012A4B80" w14:textId="70FE0E9C" w:rsidR="00FD48EF" w:rsidRDefault="00633460" w:rsidP="003B3E80">
      <w:pPr>
        <w:pStyle w:val="ECCParagraph"/>
        <w:rPr>
          <w:rFonts w:cs="Arial"/>
          <w:color w:val="000000" w:themeColor="text1"/>
          <w:szCs w:val="20"/>
        </w:rPr>
      </w:pPr>
      <w:r>
        <w:rPr>
          <w:rFonts w:cs="Arial"/>
          <w:bCs/>
        </w:rPr>
        <w:lastRenderedPageBreak/>
        <w:t xml:space="preserve">With regard to the use of the band </w:t>
      </w:r>
      <w:r w:rsidRPr="00971011">
        <w:rPr>
          <w:rFonts w:cs="Arial"/>
          <w:color w:val="000000" w:themeColor="text1"/>
          <w:szCs w:val="20"/>
        </w:rPr>
        <w:t>2010</w:t>
      </w:r>
      <w:r>
        <w:rPr>
          <w:rFonts w:cs="Arial"/>
          <w:color w:val="000000" w:themeColor="text1"/>
          <w:szCs w:val="20"/>
        </w:rPr>
        <w:t xml:space="preserve"> </w:t>
      </w:r>
      <w:r w:rsidRPr="00971011">
        <w:rPr>
          <w:rFonts w:cs="Arial"/>
          <w:color w:val="000000" w:themeColor="text1"/>
          <w:szCs w:val="20"/>
        </w:rPr>
        <w:t>-</w:t>
      </w:r>
      <w:r>
        <w:rPr>
          <w:rFonts w:cs="Arial"/>
          <w:color w:val="000000" w:themeColor="text1"/>
          <w:szCs w:val="20"/>
        </w:rPr>
        <w:t xml:space="preserve"> </w:t>
      </w:r>
      <w:r w:rsidRPr="00971011">
        <w:rPr>
          <w:rFonts w:cs="Arial"/>
          <w:color w:val="000000" w:themeColor="text1"/>
          <w:szCs w:val="20"/>
        </w:rPr>
        <w:t>2025 MHz</w:t>
      </w:r>
      <w:r>
        <w:rPr>
          <w:rFonts w:cs="Arial"/>
          <w:color w:val="000000" w:themeColor="text1"/>
          <w:szCs w:val="20"/>
        </w:rPr>
        <w:t>, since the future use of this band is not yet decided, and also considering that ECC Report 209 has recently been completed by the ECC</w:t>
      </w:r>
      <w:r w:rsidR="00FD48EF">
        <w:rPr>
          <w:rFonts w:cs="Arial"/>
          <w:color w:val="000000" w:themeColor="text1"/>
          <w:szCs w:val="20"/>
        </w:rPr>
        <w:t xml:space="preserve">, it is proposed not to consider compatibility </w:t>
      </w:r>
      <w:r w:rsidR="00A026FD">
        <w:rPr>
          <w:rFonts w:cs="Arial"/>
          <w:color w:val="000000" w:themeColor="text1"/>
          <w:szCs w:val="20"/>
        </w:rPr>
        <w:t xml:space="preserve">studies </w:t>
      </w:r>
      <w:r w:rsidR="00FD48EF">
        <w:rPr>
          <w:rFonts w:cs="Arial"/>
          <w:color w:val="000000" w:themeColor="text1"/>
          <w:szCs w:val="20"/>
        </w:rPr>
        <w:t>in this case.  In the event that the band 2</w:t>
      </w:r>
      <w:r w:rsidR="00A026FD">
        <w:rPr>
          <w:rFonts w:cs="Arial"/>
          <w:color w:val="000000" w:themeColor="text1"/>
          <w:szCs w:val="20"/>
        </w:rPr>
        <w:t xml:space="preserve"> </w:t>
      </w:r>
      <w:r w:rsidR="00FD48EF">
        <w:rPr>
          <w:rFonts w:cs="Arial"/>
          <w:color w:val="000000" w:themeColor="text1"/>
          <w:szCs w:val="20"/>
        </w:rPr>
        <w:t>010</w:t>
      </w:r>
      <w:r w:rsidR="00A026FD">
        <w:rPr>
          <w:rFonts w:cs="Arial"/>
          <w:color w:val="000000" w:themeColor="text1"/>
          <w:szCs w:val="20"/>
        </w:rPr>
        <w:t xml:space="preserve"> </w:t>
      </w:r>
      <w:r w:rsidR="00FD48EF">
        <w:rPr>
          <w:rFonts w:cs="Arial"/>
          <w:color w:val="000000" w:themeColor="text1"/>
          <w:szCs w:val="20"/>
        </w:rPr>
        <w:t>-</w:t>
      </w:r>
      <w:r w:rsidR="00A026FD">
        <w:rPr>
          <w:rFonts w:cs="Arial"/>
          <w:color w:val="000000" w:themeColor="text1"/>
          <w:szCs w:val="20"/>
        </w:rPr>
        <w:t xml:space="preserve"> </w:t>
      </w:r>
      <w:r w:rsidR="00FD48EF">
        <w:rPr>
          <w:rFonts w:cs="Arial"/>
          <w:color w:val="000000" w:themeColor="text1"/>
          <w:szCs w:val="20"/>
        </w:rPr>
        <w:t>2</w:t>
      </w:r>
      <w:r w:rsidR="00A026FD">
        <w:rPr>
          <w:rFonts w:cs="Arial"/>
          <w:color w:val="000000" w:themeColor="text1"/>
          <w:szCs w:val="20"/>
        </w:rPr>
        <w:t xml:space="preserve"> </w:t>
      </w:r>
      <w:r w:rsidR="00FD48EF">
        <w:rPr>
          <w:rFonts w:cs="Arial"/>
          <w:color w:val="000000" w:themeColor="text1"/>
          <w:szCs w:val="20"/>
        </w:rPr>
        <w:t>025 MHz is used for a DA2GC system in Europe, any compatibility issues could be addressed bilaterally, between the operators concerned</w:t>
      </w:r>
      <w:r w:rsidR="00A026FD">
        <w:rPr>
          <w:rFonts w:cs="Arial"/>
          <w:color w:val="000000" w:themeColor="text1"/>
          <w:szCs w:val="20"/>
        </w:rPr>
        <w:t>, especially if it also taken into account that the technology used by the ground components of two systems will probably be similar.</w:t>
      </w:r>
    </w:p>
    <w:p w14:paraId="29175462" w14:textId="5DC63291" w:rsidR="00D82AC4" w:rsidRDefault="00D82AC4" w:rsidP="003B3E80">
      <w:pPr>
        <w:pStyle w:val="ECCParagraph"/>
        <w:rPr>
          <w:rFonts w:cs="Arial"/>
          <w:color w:val="000000" w:themeColor="text1"/>
          <w:szCs w:val="20"/>
        </w:rPr>
      </w:pPr>
      <w:r>
        <w:rPr>
          <w:rFonts w:cs="Arial"/>
          <w:color w:val="000000" w:themeColor="text1"/>
          <w:szCs w:val="20"/>
        </w:rPr>
        <w:t xml:space="preserve">Similarly, potential compatibility issues between the two operators with assignments in the 2 GHz MSS bands can be dealt with by the operators themselves.  Decides 6 of Decision </w:t>
      </w:r>
      <w:r w:rsidRPr="00D82AC4">
        <w:rPr>
          <w:rFonts w:cs="Arial"/>
          <w:color w:val="000000" w:themeColor="text1"/>
          <w:szCs w:val="20"/>
        </w:rPr>
        <w:t>ECC/DEC</w:t>
      </w:r>
      <w:proofErr w:type="gramStart"/>
      <w:r w:rsidRPr="00D82AC4">
        <w:rPr>
          <w:rFonts w:cs="Arial"/>
          <w:color w:val="000000" w:themeColor="text1"/>
          <w:szCs w:val="20"/>
        </w:rPr>
        <w:t>/(</w:t>
      </w:r>
      <w:proofErr w:type="gramEnd"/>
      <w:r w:rsidRPr="00D82AC4">
        <w:rPr>
          <w:rFonts w:cs="Arial"/>
          <w:color w:val="000000" w:themeColor="text1"/>
          <w:szCs w:val="20"/>
        </w:rPr>
        <w:t>06)09</w:t>
      </w:r>
      <w:r>
        <w:rPr>
          <w:rFonts w:cs="Arial"/>
          <w:color w:val="000000" w:themeColor="text1"/>
          <w:szCs w:val="20"/>
        </w:rPr>
        <w:t xml:space="preserve"> requires the MSS operators to take account of inter-system interference issues in frequency coordination.</w:t>
      </w:r>
    </w:p>
    <w:p w14:paraId="6015584F" w14:textId="69F336F4" w:rsidR="001A5962" w:rsidRDefault="001A5962" w:rsidP="003B3E80">
      <w:pPr>
        <w:pStyle w:val="ECCParagraph"/>
        <w:rPr>
          <w:rFonts w:cs="Arial"/>
          <w:color w:val="000000" w:themeColor="text1"/>
          <w:szCs w:val="20"/>
        </w:rPr>
      </w:pPr>
      <w:r>
        <w:rPr>
          <w:rFonts w:cs="Arial"/>
          <w:color w:val="000000" w:themeColor="text1"/>
          <w:szCs w:val="20"/>
        </w:rPr>
        <w:t xml:space="preserve">With regard to potential interference </w:t>
      </w:r>
      <w:r w:rsidR="0065793F">
        <w:rPr>
          <w:rFonts w:cs="Arial"/>
          <w:color w:val="000000" w:themeColor="text1"/>
          <w:szCs w:val="20"/>
        </w:rPr>
        <w:t xml:space="preserve">from Aero CGC base stations </w:t>
      </w:r>
      <w:r>
        <w:rPr>
          <w:rFonts w:cs="Arial"/>
          <w:color w:val="000000" w:themeColor="text1"/>
          <w:szCs w:val="20"/>
        </w:rPr>
        <w:t xml:space="preserve">to </w:t>
      </w:r>
      <w:r w:rsidR="0065793F">
        <w:rPr>
          <w:rFonts w:cs="Arial"/>
          <w:color w:val="000000" w:themeColor="text1"/>
          <w:szCs w:val="20"/>
        </w:rPr>
        <w:t xml:space="preserve">the various </w:t>
      </w:r>
      <w:r>
        <w:rPr>
          <w:rFonts w:cs="Arial"/>
          <w:color w:val="000000" w:themeColor="text1"/>
          <w:szCs w:val="20"/>
        </w:rPr>
        <w:t>systems in the band 2</w:t>
      </w:r>
      <w:r w:rsidR="00A026FD">
        <w:rPr>
          <w:rFonts w:cs="Arial"/>
          <w:color w:val="000000" w:themeColor="text1"/>
          <w:szCs w:val="20"/>
        </w:rPr>
        <w:t xml:space="preserve"> </w:t>
      </w:r>
      <w:r>
        <w:rPr>
          <w:rFonts w:cs="Arial"/>
          <w:color w:val="000000" w:themeColor="text1"/>
          <w:szCs w:val="20"/>
        </w:rPr>
        <w:t>200</w:t>
      </w:r>
      <w:r w:rsidR="00A026FD">
        <w:rPr>
          <w:rFonts w:cs="Arial"/>
          <w:color w:val="000000" w:themeColor="text1"/>
          <w:szCs w:val="20"/>
        </w:rPr>
        <w:t xml:space="preserve"> </w:t>
      </w:r>
      <w:r>
        <w:rPr>
          <w:rFonts w:cs="Arial"/>
          <w:color w:val="000000" w:themeColor="text1"/>
          <w:szCs w:val="20"/>
        </w:rPr>
        <w:t>-</w:t>
      </w:r>
      <w:r w:rsidR="00A026FD">
        <w:rPr>
          <w:rFonts w:cs="Arial"/>
          <w:color w:val="000000" w:themeColor="text1"/>
          <w:szCs w:val="20"/>
        </w:rPr>
        <w:t xml:space="preserve"> </w:t>
      </w:r>
      <w:r>
        <w:rPr>
          <w:rFonts w:cs="Arial"/>
          <w:color w:val="000000" w:themeColor="text1"/>
          <w:szCs w:val="20"/>
        </w:rPr>
        <w:t>2</w:t>
      </w:r>
      <w:r w:rsidR="00A026FD">
        <w:rPr>
          <w:rFonts w:cs="Arial"/>
          <w:color w:val="000000" w:themeColor="text1"/>
          <w:szCs w:val="20"/>
        </w:rPr>
        <w:t xml:space="preserve"> </w:t>
      </w:r>
      <w:r>
        <w:rPr>
          <w:rFonts w:cs="Arial"/>
          <w:color w:val="000000" w:themeColor="text1"/>
          <w:szCs w:val="20"/>
        </w:rPr>
        <w:t xml:space="preserve">290 MHz, potential interference from CGC base stations to EESS, space research and space operations earth stations is already addressed in </w:t>
      </w:r>
      <w:r w:rsidR="0065793F">
        <w:rPr>
          <w:rFonts w:cs="Arial"/>
          <w:color w:val="000000" w:themeColor="text1"/>
          <w:szCs w:val="20"/>
        </w:rPr>
        <w:t xml:space="preserve">Recommendation </w:t>
      </w:r>
      <w:r w:rsidR="0065793F" w:rsidRPr="0065793F">
        <w:rPr>
          <w:rFonts w:cs="Arial"/>
          <w:color w:val="000000" w:themeColor="text1"/>
          <w:szCs w:val="20"/>
        </w:rPr>
        <w:t>ECC/REC/(10)01</w:t>
      </w:r>
      <w:r w:rsidR="0065793F">
        <w:rPr>
          <w:rFonts w:cs="Arial"/>
          <w:color w:val="000000" w:themeColor="text1"/>
          <w:szCs w:val="20"/>
        </w:rPr>
        <w:t>.  Regarding potential interference to PMSE from Aero CGC base station</w:t>
      </w:r>
      <w:r w:rsidR="0070134D">
        <w:rPr>
          <w:rFonts w:cs="Arial"/>
          <w:color w:val="000000" w:themeColor="text1"/>
          <w:szCs w:val="20"/>
        </w:rPr>
        <w:t>s, due to the occasional use characteristics of PMSE, this is not an issue that would drive out-of-band emission limits for CGC base stations.</w:t>
      </w:r>
      <w:r w:rsidR="0065793F">
        <w:rPr>
          <w:rFonts w:cs="Arial"/>
          <w:color w:val="000000" w:themeColor="text1"/>
          <w:szCs w:val="20"/>
        </w:rPr>
        <w:t xml:space="preserve"> </w:t>
      </w:r>
    </w:p>
    <w:p w14:paraId="691EAEBB" w14:textId="29CBD326" w:rsidR="0070134D" w:rsidRPr="0070134D" w:rsidRDefault="0070134D" w:rsidP="003B3E80">
      <w:pPr>
        <w:pStyle w:val="ECCParagraph"/>
        <w:rPr>
          <w:rFonts w:cs="Arial"/>
          <w:bCs/>
        </w:rPr>
      </w:pPr>
      <w:r>
        <w:rPr>
          <w:rFonts w:cs="Arial"/>
          <w:bCs/>
        </w:rPr>
        <w:t xml:space="preserve">Any interference caused by the MSS space station to IMT systems need not be considered as the </w:t>
      </w:r>
      <w:proofErr w:type="spellStart"/>
      <w:r>
        <w:rPr>
          <w:rFonts w:cs="Arial"/>
          <w:bCs/>
        </w:rPr>
        <w:t>pfd</w:t>
      </w:r>
      <w:proofErr w:type="spellEnd"/>
      <w:r>
        <w:rPr>
          <w:rFonts w:cs="Arial"/>
          <w:bCs/>
        </w:rPr>
        <w:t xml:space="preserve"> of OOB emissions can be expected to similar to any MSS system operating in these bands</w:t>
      </w:r>
      <w:r w:rsidR="0021653C">
        <w:rPr>
          <w:rFonts w:cs="Arial"/>
          <w:bCs/>
        </w:rPr>
        <w:t>, and in any case would be too low to cause any impact on terrestrial services in the adjacent bands.</w:t>
      </w:r>
    </w:p>
    <w:p w14:paraId="257DA736" w14:textId="18703A05" w:rsidR="004904AD" w:rsidRDefault="00CD4E10" w:rsidP="003B3E80">
      <w:pPr>
        <w:pStyle w:val="ECCParagraph"/>
        <w:rPr>
          <w:rFonts w:cs="Arial"/>
          <w:bCs/>
        </w:rPr>
      </w:pPr>
      <w:r>
        <w:rPr>
          <w:rFonts w:cs="Arial"/>
          <w:bCs/>
        </w:rPr>
        <w:t xml:space="preserve">Taking into account the information above, </w:t>
      </w:r>
      <w:r w:rsidR="003E5F23">
        <w:rPr>
          <w:rFonts w:cs="Arial"/>
          <w:bCs/>
        </w:rPr>
        <w:t xml:space="preserve">the </w:t>
      </w:r>
      <w:r>
        <w:rPr>
          <w:rFonts w:cs="Arial"/>
          <w:bCs/>
        </w:rPr>
        <w:t xml:space="preserve">compatibility scenarios listed in the following Table 2 can be identified </w:t>
      </w:r>
      <w:r w:rsidR="0070134D">
        <w:rPr>
          <w:rFonts w:cs="Arial"/>
          <w:bCs/>
        </w:rPr>
        <w:t xml:space="preserve">as those requiring </w:t>
      </w:r>
      <w:r>
        <w:rPr>
          <w:rFonts w:cs="Arial"/>
          <w:bCs/>
        </w:rPr>
        <w:t>further study.</w:t>
      </w:r>
    </w:p>
    <w:p w14:paraId="2D2C4945" w14:textId="77777777" w:rsidR="00CD4E10" w:rsidRDefault="00CD4E10" w:rsidP="003B3E80">
      <w:pPr>
        <w:pStyle w:val="ECCParagraph"/>
        <w:rPr>
          <w:rFonts w:cs="Arial"/>
          <w:bCs/>
        </w:rPr>
      </w:pP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484"/>
        <w:gridCol w:w="3685"/>
        <w:gridCol w:w="3935"/>
      </w:tblGrid>
      <w:tr w:rsidR="00CD4E10" w:rsidRPr="00971011" w14:paraId="13ACD334" w14:textId="77777777" w:rsidTr="00CD4E10">
        <w:trPr>
          <w:tblHeader/>
          <w:jc w:val="center"/>
        </w:trPr>
        <w:tc>
          <w:tcPr>
            <w:tcW w:w="1484" w:type="dxa"/>
            <w:tcBorders>
              <w:right w:val="single" w:sz="8" w:space="0" w:color="FFFFFF"/>
            </w:tcBorders>
            <w:shd w:val="clear" w:color="auto" w:fill="D2232A"/>
            <w:vAlign w:val="center"/>
          </w:tcPr>
          <w:p w14:paraId="248E65A4" w14:textId="26B3B5AA" w:rsidR="00CD4E10" w:rsidRPr="002E5628" w:rsidRDefault="00CD4E10" w:rsidP="00860A3D">
            <w:pPr>
              <w:spacing w:line="288" w:lineRule="auto"/>
              <w:jc w:val="center"/>
              <w:rPr>
                <w:b/>
                <w:color w:val="FFFFFF"/>
                <w:lang w:val="en-GB"/>
              </w:rPr>
            </w:pPr>
            <w:r w:rsidRPr="002E5628">
              <w:rPr>
                <w:b/>
                <w:color w:val="FFFFFF"/>
                <w:lang w:val="en-GB"/>
              </w:rPr>
              <w:t xml:space="preserve">Scenario ID </w:t>
            </w:r>
          </w:p>
        </w:tc>
        <w:tc>
          <w:tcPr>
            <w:tcW w:w="3685" w:type="dxa"/>
            <w:tcBorders>
              <w:left w:val="single" w:sz="8" w:space="0" w:color="FFFFFF"/>
              <w:right w:val="single" w:sz="8" w:space="0" w:color="FFFFFF"/>
            </w:tcBorders>
            <w:shd w:val="clear" w:color="auto" w:fill="D2232A"/>
            <w:vAlign w:val="center"/>
          </w:tcPr>
          <w:p w14:paraId="05DE0638" w14:textId="329030F1" w:rsidR="00CD4E10" w:rsidRPr="002E5628" w:rsidRDefault="00CD4E10" w:rsidP="00860A3D">
            <w:pPr>
              <w:spacing w:line="288" w:lineRule="auto"/>
              <w:jc w:val="center"/>
              <w:rPr>
                <w:b/>
                <w:color w:val="FFFFFF"/>
                <w:lang w:val="it-IT"/>
              </w:rPr>
            </w:pPr>
            <w:r w:rsidRPr="002E5628">
              <w:rPr>
                <w:b/>
                <w:color w:val="FFFFFF"/>
                <w:lang w:val="it-IT"/>
              </w:rPr>
              <w:t xml:space="preserve">Interfering Aero </w:t>
            </w:r>
            <w:r w:rsidR="00A026FD" w:rsidRPr="002E5628">
              <w:rPr>
                <w:b/>
                <w:color w:val="FFFFFF"/>
                <w:lang w:val="it-IT"/>
              </w:rPr>
              <w:t>MSS/</w:t>
            </w:r>
            <w:r w:rsidRPr="002E5628">
              <w:rPr>
                <w:b/>
                <w:color w:val="FFFFFF"/>
                <w:lang w:val="it-IT"/>
              </w:rPr>
              <w:t>CGC component</w:t>
            </w:r>
          </w:p>
        </w:tc>
        <w:tc>
          <w:tcPr>
            <w:tcW w:w="3935" w:type="dxa"/>
            <w:tcBorders>
              <w:left w:val="single" w:sz="8" w:space="0" w:color="FFFFFF"/>
            </w:tcBorders>
            <w:shd w:val="clear" w:color="auto" w:fill="D2232A"/>
            <w:vAlign w:val="center"/>
          </w:tcPr>
          <w:p w14:paraId="31A14A51" w14:textId="246EA2F7" w:rsidR="00CD4E10" w:rsidRPr="00971011" w:rsidRDefault="00CD4E10" w:rsidP="00860A3D">
            <w:pPr>
              <w:spacing w:line="288" w:lineRule="auto"/>
              <w:jc w:val="center"/>
              <w:rPr>
                <w:b/>
                <w:color w:val="FFFFFF"/>
                <w:lang w:val="en-GB"/>
              </w:rPr>
            </w:pPr>
            <w:r w:rsidRPr="002E5628">
              <w:rPr>
                <w:b/>
                <w:color w:val="FFFFFF"/>
                <w:lang w:val="en-GB"/>
              </w:rPr>
              <w:t xml:space="preserve">Potentially interfered-with </w:t>
            </w:r>
            <w:r w:rsidR="00A026FD" w:rsidRPr="002E5628">
              <w:rPr>
                <w:b/>
                <w:color w:val="FFFFFF"/>
                <w:lang w:val="en-GB"/>
              </w:rPr>
              <w:t xml:space="preserve">system </w:t>
            </w:r>
            <w:r w:rsidRPr="002E5628">
              <w:rPr>
                <w:b/>
                <w:color w:val="FFFFFF"/>
                <w:lang w:val="en-GB"/>
              </w:rPr>
              <w:t>component</w:t>
            </w:r>
          </w:p>
        </w:tc>
      </w:tr>
      <w:tr w:rsidR="00CD4E10" w:rsidRPr="00971011" w14:paraId="247AC94F" w14:textId="77777777" w:rsidTr="00CD4E10">
        <w:trPr>
          <w:jc w:val="center"/>
        </w:trPr>
        <w:tc>
          <w:tcPr>
            <w:tcW w:w="1484" w:type="dxa"/>
          </w:tcPr>
          <w:p w14:paraId="76D874DD" w14:textId="55801180" w:rsidR="00CD4E10" w:rsidRPr="00971011" w:rsidRDefault="00CD4E10" w:rsidP="002E5628">
            <w:pPr>
              <w:spacing w:after="120"/>
              <w:jc w:val="center"/>
              <w:rPr>
                <w:rFonts w:cs="Arial"/>
                <w:color w:val="000000" w:themeColor="text1"/>
                <w:szCs w:val="20"/>
                <w:lang w:val="en-GB"/>
              </w:rPr>
            </w:pPr>
            <w:r>
              <w:rPr>
                <w:rFonts w:cs="Arial"/>
                <w:color w:val="000000" w:themeColor="text1"/>
                <w:szCs w:val="20"/>
                <w:lang w:val="en-GB"/>
              </w:rPr>
              <w:t>1</w:t>
            </w:r>
          </w:p>
        </w:tc>
        <w:tc>
          <w:tcPr>
            <w:tcW w:w="3685" w:type="dxa"/>
          </w:tcPr>
          <w:p w14:paraId="69084748" w14:textId="3BFF25FB" w:rsidR="00CD4E10" w:rsidRPr="00CD4E10" w:rsidRDefault="00CD4E10" w:rsidP="00CD4E10">
            <w:pPr>
              <w:spacing w:after="120"/>
              <w:jc w:val="center"/>
              <w:rPr>
                <w:rFonts w:cs="Arial"/>
                <w:color w:val="000000" w:themeColor="text1"/>
                <w:szCs w:val="20"/>
                <w:lang w:val="en-GB"/>
              </w:rPr>
            </w:pPr>
            <w:r>
              <w:rPr>
                <w:rFonts w:cs="Arial"/>
                <w:color w:val="000000" w:themeColor="text1"/>
                <w:szCs w:val="20"/>
                <w:lang w:val="en-GB"/>
              </w:rPr>
              <w:t>Aircraft terminal transmitting to the satellite</w:t>
            </w:r>
          </w:p>
        </w:tc>
        <w:tc>
          <w:tcPr>
            <w:tcW w:w="3935" w:type="dxa"/>
          </w:tcPr>
          <w:p w14:paraId="41A9A70F" w14:textId="436EACB4" w:rsidR="00CD4E10" w:rsidRPr="00971011" w:rsidRDefault="003C6E07" w:rsidP="00446C15">
            <w:pPr>
              <w:spacing w:after="120"/>
              <w:jc w:val="center"/>
              <w:rPr>
                <w:rFonts w:cs="Arial"/>
                <w:color w:val="000000" w:themeColor="text1"/>
                <w:szCs w:val="20"/>
                <w:lang w:val="en-GB"/>
              </w:rPr>
            </w:pPr>
            <w:r>
              <w:rPr>
                <w:rFonts w:cs="Arial"/>
                <w:color w:val="000000" w:themeColor="text1"/>
                <w:szCs w:val="20"/>
                <w:lang w:val="en-GB"/>
              </w:rPr>
              <w:t xml:space="preserve">IMT </w:t>
            </w:r>
            <w:r w:rsidR="00CD4E10">
              <w:rPr>
                <w:rFonts w:cs="Arial"/>
                <w:color w:val="000000" w:themeColor="text1"/>
                <w:szCs w:val="20"/>
                <w:lang w:val="en-GB"/>
              </w:rPr>
              <w:t xml:space="preserve">Receiving BS </w:t>
            </w:r>
          </w:p>
        </w:tc>
      </w:tr>
      <w:tr w:rsidR="00CD4E10" w:rsidRPr="00971011" w14:paraId="06E7D3F3" w14:textId="77777777" w:rsidTr="00CD4E10">
        <w:trPr>
          <w:jc w:val="center"/>
        </w:trPr>
        <w:tc>
          <w:tcPr>
            <w:tcW w:w="1484" w:type="dxa"/>
          </w:tcPr>
          <w:p w14:paraId="317D2214" w14:textId="70581A4B" w:rsidR="00CD4E10" w:rsidRDefault="00CD4E10" w:rsidP="002E5628">
            <w:pPr>
              <w:spacing w:after="120"/>
              <w:jc w:val="center"/>
              <w:rPr>
                <w:rFonts w:cs="Arial"/>
                <w:b/>
                <w:bCs/>
                <w:color w:val="000000" w:themeColor="text1"/>
                <w:szCs w:val="20"/>
              </w:rPr>
            </w:pPr>
            <w:r>
              <w:rPr>
                <w:rFonts w:cs="Arial"/>
                <w:color w:val="000000" w:themeColor="text1"/>
                <w:szCs w:val="20"/>
              </w:rPr>
              <w:t>2</w:t>
            </w:r>
          </w:p>
        </w:tc>
        <w:tc>
          <w:tcPr>
            <w:tcW w:w="3685" w:type="dxa"/>
          </w:tcPr>
          <w:p w14:paraId="28912DB6" w14:textId="0B76251A" w:rsidR="00CD4E10" w:rsidRDefault="00CD4E10" w:rsidP="00CD4E10">
            <w:pPr>
              <w:spacing w:after="120"/>
              <w:jc w:val="center"/>
              <w:rPr>
                <w:rFonts w:cs="Arial"/>
                <w:color w:val="000000" w:themeColor="text1"/>
                <w:szCs w:val="20"/>
                <w:lang w:val="en-GB"/>
              </w:rPr>
            </w:pPr>
            <w:r>
              <w:rPr>
                <w:rFonts w:cs="Arial"/>
                <w:color w:val="000000" w:themeColor="text1"/>
                <w:szCs w:val="20"/>
                <w:lang w:val="en-GB"/>
              </w:rPr>
              <w:t>Aircraft terminal transmitting to the CGC ground station</w:t>
            </w:r>
          </w:p>
        </w:tc>
        <w:tc>
          <w:tcPr>
            <w:tcW w:w="3935" w:type="dxa"/>
          </w:tcPr>
          <w:p w14:paraId="64936DCA" w14:textId="07E46078" w:rsidR="00CD4E10" w:rsidRDefault="003C6E07" w:rsidP="00446C15">
            <w:pPr>
              <w:spacing w:after="120"/>
              <w:jc w:val="center"/>
              <w:rPr>
                <w:rFonts w:cs="Arial"/>
                <w:color w:val="000000" w:themeColor="text1"/>
                <w:szCs w:val="20"/>
                <w:lang w:val="en-GB"/>
              </w:rPr>
            </w:pPr>
            <w:r>
              <w:rPr>
                <w:rFonts w:cs="Arial"/>
                <w:color w:val="000000" w:themeColor="text1"/>
                <w:szCs w:val="20"/>
                <w:lang w:val="en-GB"/>
              </w:rPr>
              <w:t xml:space="preserve">IMT </w:t>
            </w:r>
            <w:r w:rsidR="00CD4E10">
              <w:rPr>
                <w:rFonts w:cs="Arial"/>
                <w:color w:val="000000" w:themeColor="text1"/>
                <w:szCs w:val="20"/>
                <w:lang w:val="en-GB"/>
              </w:rPr>
              <w:t xml:space="preserve">Receiving BS </w:t>
            </w:r>
          </w:p>
        </w:tc>
      </w:tr>
      <w:tr w:rsidR="00CD4E10" w:rsidRPr="00971011" w14:paraId="4D91E495" w14:textId="77777777" w:rsidTr="00CD4E10">
        <w:trPr>
          <w:jc w:val="center"/>
        </w:trPr>
        <w:tc>
          <w:tcPr>
            <w:tcW w:w="1484" w:type="dxa"/>
          </w:tcPr>
          <w:p w14:paraId="746C3150" w14:textId="5F557E5C" w:rsidR="00CD4E10" w:rsidRPr="00971011" w:rsidRDefault="0070134D" w:rsidP="002E5628">
            <w:pPr>
              <w:spacing w:after="120"/>
              <w:jc w:val="center"/>
              <w:rPr>
                <w:rFonts w:cs="Arial"/>
                <w:b/>
                <w:bCs/>
                <w:color w:val="000000" w:themeColor="text1"/>
                <w:szCs w:val="20"/>
                <w:lang w:val="en-GB"/>
              </w:rPr>
            </w:pPr>
            <w:r>
              <w:rPr>
                <w:rFonts w:cs="Arial"/>
                <w:color w:val="000000" w:themeColor="text1"/>
                <w:szCs w:val="20"/>
                <w:lang w:val="en-GB"/>
              </w:rPr>
              <w:t>3</w:t>
            </w:r>
          </w:p>
        </w:tc>
        <w:tc>
          <w:tcPr>
            <w:tcW w:w="3685" w:type="dxa"/>
          </w:tcPr>
          <w:p w14:paraId="75ACC744" w14:textId="35F9BF5A" w:rsidR="00CD4E10" w:rsidRPr="00971011" w:rsidRDefault="0007539C" w:rsidP="0007539C">
            <w:pPr>
              <w:spacing w:after="120"/>
              <w:jc w:val="center"/>
              <w:rPr>
                <w:rFonts w:cs="Arial"/>
                <w:color w:val="000000" w:themeColor="text1"/>
                <w:szCs w:val="20"/>
                <w:lang w:val="en-GB"/>
              </w:rPr>
            </w:pPr>
            <w:r>
              <w:rPr>
                <w:rFonts w:cs="Arial"/>
                <w:color w:val="000000" w:themeColor="text1"/>
                <w:szCs w:val="20"/>
                <w:lang w:val="en-GB"/>
              </w:rPr>
              <w:t>CGC ground station transmitting to the aircraft terminal</w:t>
            </w:r>
          </w:p>
        </w:tc>
        <w:tc>
          <w:tcPr>
            <w:tcW w:w="3935" w:type="dxa"/>
          </w:tcPr>
          <w:p w14:paraId="006569A1" w14:textId="6DDD740C" w:rsidR="00CD4E10" w:rsidRPr="00971011" w:rsidRDefault="0007539C" w:rsidP="00446C15">
            <w:pPr>
              <w:spacing w:after="120"/>
              <w:jc w:val="center"/>
              <w:rPr>
                <w:rFonts w:cs="Arial"/>
                <w:color w:val="000000" w:themeColor="text1"/>
                <w:szCs w:val="20"/>
                <w:lang w:val="en-GB"/>
              </w:rPr>
            </w:pPr>
            <w:r>
              <w:rPr>
                <w:rFonts w:cs="Arial"/>
                <w:color w:val="000000" w:themeColor="text1"/>
                <w:szCs w:val="20"/>
                <w:lang w:val="en-GB"/>
              </w:rPr>
              <w:t xml:space="preserve">Receiving </w:t>
            </w:r>
            <w:r w:rsidR="00446C15">
              <w:rPr>
                <w:rFonts w:cs="Arial"/>
                <w:color w:val="000000" w:themeColor="text1"/>
                <w:szCs w:val="20"/>
                <w:lang w:val="en-GB"/>
              </w:rPr>
              <w:t xml:space="preserve">MS </w:t>
            </w:r>
            <w:r>
              <w:rPr>
                <w:rFonts w:cs="Arial"/>
                <w:color w:val="000000" w:themeColor="text1"/>
                <w:szCs w:val="20"/>
                <w:lang w:val="en-GB"/>
              </w:rPr>
              <w:t xml:space="preserve">in </w:t>
            </w:r>
            <w:r w:rsidR="00446C15">
              <w:rPr>
                <w:rFonts w:cs="Arial"/>
                <w:color w:val="000000" w:themeColor="text1"/>
                <w:szCs w:val="20"/>
                <w:lang w:val="en-GB"/>
              </w:rPr>
              <w:t xml:space="preserve">IMT </w:t>
            </w:r>
            <w:r>
              <w:rPr>
                <w:rFonts w:cs="Arial"/>
                <w:color w:val="000000" w:themeColor="text1"/>
                <w:szCs w:val="20"/>
                <w:lang w:val="en-GB"/>
              </w:rPr>
              <w:t>FDD systems</w:t>
            </w:r>
          </w:p>
        </w:tc>
      </w:tr>
    </w:tbl>
    <w:p w14:paraId="09DC39C9" w14:textId="36A5CCEF" w:rsidR="00CD4E10" w:rsidRPr="0007539C" w:rsidRDefault="00CD4E10" w:rsidP="003B3E80">
      <w:pPr>
        <w:pStyle w:val="ECCParagraph"/>
        <w:rPr>
          <w:rFonts w:cs="Arial"/>
          <w:bCs/>
          <w:lang w:val="en-US"/>
        </w:rPr>
      </w:pPr>
    </w:p>
    <w:p w14:paraId="39B6943C" w14:textId="69C53E5B" w:rsidR="00CD4E10" w:rsidRDefault="00CD4E10" w:rsidP="00CD4E10">
      <w:pPr>
        <w:pStyle w:val="ECCParagraph"/>
        <w:jc w:val="center"/>
        <w:rPr>
          <w:rFonts w:cs="Arial"/>
          <w:b/>
          <w:bCs/>
          <w:color w:val="D3232A"/>
          <w:szCs w:val="20"/>
        </w:rPr>
      </w:pPr>
      <w:r>
        <w:rPr>
          <w:rFonts w:cs="Arial"/>
          <w:b/>
          <w:bCs/>
          <w:color w:val="D3232A"/>
          <w:szCs w:val="20"/>
        </w:rPr>
        <w:t>Table 2: Compatibility scenarios to be analysed</w:t>
      </w:r>
    </w:p>
    <w:p w14:paraId="002206A5" w14:textId="1BE60501" w:rsidR="0021653C" w:rsidRDefault="0007539C" w:rsidP="003B3E80">
      <w:pPr>
        <w:pStyle w:val="ECCParagraph"/>
        <w:rPr>
          <w:rFonts w:cs="Arial"/>
          <w:bCs/>
        </w:rPr>
      </w:pPr>
      <w:r>
        <w:rPr>
          <w:rFonts w:cs="Arial"/>
          <w:bCs/>
        </w:rPr>
        <w:t xml:space="preserve">While </w:t>
      </w:r>
      <w:r w:rsidR="0021653C">
        <w:rPr>
          <w:rFonts w:cs="Arial"/>
          <w:bCs/>
        </w:rPr>
        <w:t xml:space="preserve">Aero </w:t>
      </w:r>
      <w:r>
        <w:rPr>
          <w:rFonts w:cs="Arial"/>
          <w:bCs/>
        </w:rPr>
        <w:t xml:space="preserve">CGC ground stations are expected to adopt a technology very similar to that used by IMT systems operating in </w:t>
      </w:r>
      <w:r w:rsidR="0021653C">
        <w:rPr>
          <w:rFonts w:cs="Arial"/>
          <w:bCs/>
        </w:rPr>
        <w:t xml:space="preserve">the adjacent </w:t>
      </w:r>
      <w:r>
        <w:rPr>
          <w:rFonts w:cs="Arial"/>
          <w:bCs/>
        </w:rPr>
        <w:t>frequency band</w:t>
      </w:r>
      <w:r w:rsidR="0021653C">
        <w:rPr>
          <w:rFonts w:cs="Arial"/>
          <w:bCs/>
        </w:rPr>
        <w:t>s</w:t>
      </w:r>
      <w:r>
        <w:rPr>
          <w:rFonts w:cs="Arial"/>
          <w:bCs/>
        </w:rPr>
        <w:t xml:space="preserve">, it should be </w:t>
      </w:r>
      <w:r w:rsidR="001A4CAA">
        <w:rPr>
          <w:rFonts w:cs="Arial"/>
          <w:bCs/>
        </w:rPr>
        <w:t xml:space="preserve">noted </w:t>
      </w:r>
      <w:r>
        <w:rPr>
          <w:rFonts w:cs="Arial"/>
          <w:bCs/>
        </w:rPr>
        <w:t>that there currently is no ETSI standard for the terminals on board the aircraft</w:t>
      </w:r>
      <w:r w:rsidR="0021653C">
        <w:rPr>
          <w:rFonts w:cs="Arial"/>
          <w:bCs/>
        </w:rPr>
        <w:t xml:space="preserve"> or specifically for Aero CGC base stations.  </w:t>
      </w:r>
      <w:r w:rsidR="00C60FA1" w:rsidRPr="00C60FA1">
        <w:rPr>
          <w:rFonts w:cs="Arial"/>
          <w:bCs/>
        </w:rPr>
        <w:t>The current ETSI standards for CGC base stations and terminals (ETSI EN 302 574-1 and -2) might need to be revised, or be supplemented</w:t>
      </w:r>
      <w:r w:rsidR="00C60FA1">
        <w:rPr>
          <w:rFonts w:cs="Arial"/>
          <w:bCs/>
        </w:rPr>
        <w:t>,</w:t>
      </w:r>
      <w:r w:rsidR="00C60FA1" w:rsidRPr="00C60FA1">
        <w:rPr>
          <w:rFonts w:cs="Arial"/>
          <w:bCs/>
        </w:rPr>
        <w:t xml:space="preserve"> to cover Aero CGC base systems</w:t>
      </w:r>
      <w:r w:rsidR="0021653C">
        <w:rPr>
          <w:rFonts w:cs="Arial"/>
          <w:bCs/>
        </w:rPr>
        <w:t>.</w:t>
      </w:r>
    </w:p>
    <w:p w14:paraId="04866C3D" w14:textId="2BB60B39" w:rsidR="0007539C" w:rsidRDefault="0007539C" w:rsidP="003B3E80">
      <w:pPr>
        <w:pStyle w:val="ECCParagraph"/>
        <w:rPr>
          <w:rFonts w:cs="Arial"/>
          <w:bCs/>
        </w:rPr>
      </w:pPr>
      <w:r>
        <w:rPr>
          <w:rFonts w:cs="Arial"/>
          <w:bCs/>
        </w:rPr>
        <w:t xml:space="preserve">It is expected that the development of those standards will start in parallel with the </w:t>
      </w:r>
      <w:r w:rsidR="003C24CF">
        <w:rPr>
          <w:rFonts w:cs="Arial"/>
          <w:bCs/>
        </w:rPr>
        <w:t>compatibility studies illustrated above.</w:t>
      </w:r>
    </w:p>
    <w:p w14:paraId="0DD91CB8" w14:textId="004D04F3" w:rsidR="0007539C" w:rsidRDefault="0007539C" w:rsidP="0007539C">
      <w:pPr>
        <w:pStyle w:val="berschrift1"/>
      </w:pPr>
      <w:r>
        <w:t>proposal</w:t>
      </w:r>
    </w:p>
    <w:p w14:paraId="33F32206" w14:textId="01D96247" w:rsidR="0007539C" w:rsidRDefault="003C24CF" w:rsidP="003B3E80">
      <w:pPr>
        <w:pStyle w:val="ECCParagraph"/>
        <w:rPr>
          <w:rFonts w:cs="Arial"/>
          <w:bCs/>
        </w:rPr>
      </w:pPr>
      <w:r>
        <w:rPr>
          <w:rFonts w:cs="Arial"/>
          <w:bCs/>
        </w:rPr>
        <w:t>Due to the fact that this technology is expected to become available to European citizens very soon, this administration urges WG SE to create a new Work Item for studying the compatibility scenarios illustrated in Table 2. It is also proposed to create a new ECC Report summarising the results of such studies and possible recommendations on the regulatory measures to put in place in order to make sure that incumbent systems will operate free from harmful interference.</w:t>
      </w:r>
    </w:p>
    <w:p w14:paraId="625AAB70" w14:textId="15020B6D" w:rsidR="00C60FA1" w:rsidRDefault="00C60FA1" w:rsidP="003B3E80">
      <w:pPr>
        <w:pStyle w:val="ECCParagraph"/>
        <w:rPr>
          <w:rFonts w:cs="Arial"/>
          <w:bCs/>
        </w:rPr>
      </w:pPr>
      <w:r>
        <w:rPr>
          <w:rFonts w:cs="Arial"/>
          <w:bCs/>
        </w:rPr>
        <w:lastRenderedPageBreak/>
        <w:t>Given that PT SE40 was responsible for developing ECC Report 197, it is suggested that PT SE40 would be best placed to take on the work.</w:t>
      </w:r>
    </w:p>
    <w:sectPr w:rsidR="00C60FA1" w:rsidSect="00C1412E">
      <w:headerReference w:type="even" r:id="rId16"/>
      <w:headerReference w:type="defaul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0C430" w14:textId="77777777" w:rsidR="000C0F53" w:rsidRDefault="000C0F53" w:rsidP="008A54FC">
      <w:r>
        <w:separator/>
      </w:r>
    </w:p>
  </w:endnote>
  <w:endnote w:type="continuationSeparator" w:id="0">
    <w:p w14:paraId="37EF1C67" w14:textId="77777777" w:rsidR="000C0F53" w:rsidRDefault="000C0F53" w:rsidP="008A54FC">
      <w:r>
        <w:continuationSeparator/>
      </w:r>
    </w:p>
  </w:endnote>
  <w:endnote w:type="continuationNotice" w:id="1">
    <w:p w14:paraId="7BC4CBDB" w14:textId="77777777" w:rsidR="000C0F53" w:rsidRDefault="000C0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Times New Roman"/>
    <w:charset w:val="59"/>
    <w:family w:val="auto"/>
    <w:pitch w:val="variable"/>
    <w:sig w:usb0="00000201" w:usb1="00000000" w:usb2="00000000" w:usb3="00000000" w:csb0="00000004" w:csb1="00000000"/>
  </w:font>
  <w:font w:name="Lucida Grande">
    <w:altName w:val="Times New Roman"/>
    <w:charset w:val="00"/>
    <w:family w:val="auto"/>
    <w:pitch w:val="variable"/>
    <w:sig w:usb0="00000000" w:usb1="5000A1FF" w:usb2="00000000" w:usb3="00000000" w:csb0="000001BF" w:csb1="00000000"/>
  </w:font>
  <w:font w:name="Times New Roman Bold">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C6745" w14:textId="77777777" w:rsidR="002C6DFC" w:rsidRPr="002C6DFC" w:rsidRDefault="002C6DFC" w:rsidP="002C6DFC">
    <w:pPr>
      <w:pBdr>
        <w:bottom w:val="single" w:sz="12" w:space="1" w:color="auto"/>
      </w:pBdr>
      <w:tabs>
        <w:tab w:val="left" w:pos="4500"/>
        <w:tab w:val="right" w:pos="8820"/>
      </w:tabs>
      <w:rPr>
        <w:rFonts w:cs="Arial"/>
        <w:szCs w:val="20"/>
        <w:lang w:val="en-IE"/>
      </w:rPr>
    </w:pPr>
  </w:p>
  <w:p w14:paraId="5F227CBC" w14:textId="77777777" w:rsidR="002C6DFC" w:rsidRPr="002C6DFC" w:rsidRDefault="002C6DFC" w:rsidP="002C6DFC">
    <w:pPr>
      <w:tabs>
        <w:tab w:val="left" w:pos="4500"/>
        <w:tab w:val="right" w:pos="9498"/>
      </w:tabs>
      <w:rPr>
        <w:rFonts w:ascii="Times New Roman" w:hAnsi="Times New Roman"/>
        <w:szCs w:val="20"/>
        <w:lang w:val="en-IE"/>
      </w:rPr>
    </w:pPr>
    <w:r w:rsidRPr="002C6DFC">
      <w:rPr>
        <w:rFonts w:ascii="Times New Roman" w:hAnsi="Times New Roman"/>
        <w:szCs w:val="20"/>
        <w:lang w:val="en-IE"/>
      </w:rPr>
      <w:t>WG SE –</w:t>
    </w:r>
    <w:r w:rsidRPr="002C6DFC">
      <w:rPr>
        <w:rFonts w:ascii="Times New Roman" w:hAnsi="Times New Roman"/>
        <w:bCs/>
        <w:kern w:val="36"/>
        <w:szCs w:val="20"/>
        <w:lang w:val="en-GB"/>
      </w:rPr>
      <w:t xml:space="preserve"> </w:t>
    </w:r>
    <w:proofErr w:type="spellStart"/>
    <w:r w:rsidRPr="002C6DFC">
      <w:rPr>
        <w:rFonts w:ascii="Times New Roman" w:hAnsi="Times New Roman"/>
        <w:bCs/>
        <w:kern w:val="36"/>
        <w:szCs w:val="20"/>
        <w:lang w:val="en-GB"/>
      </w:rPr>
      <w:t>Sesimbra</w:t>
    </w:r>
    <w:proofErr w:type="spellEnd"/>
    <w:r w:rsidRPr="002C6DFC">
      <w:rPr>
        <w:rFonts w:ascii="Times New Roman" w:hAnsi="Times New Roman"/>
        <w:bCs/>
        <w:kern w:val="36"/>
        <w:szCs w:val="20"/>
        <w:lang w:val="en-GB"/>
      </w:rPr>
      <w:t>, Portugal – 27 – 31 January 2014</w:t>
    </w:r>
    <w:r>
      <w:rPr>
        <w:rFonts w:ascii="Times New Roman" w:hAnsi="Times New Roman"/>
        <w:bCs/>
        <w:kern w:val="36"/>
        <w:szCs w:val="20"/>
        <w:lang w:val="en-GB"/>
      </w:rPr>
      <w:tab/>
    </w:r>
    <w:r>
      <w:rPr>
        <w:rFonts w:ascii="Times New Roman" w:hAnsi="Times New Roman"/>
        <w:bCs/>
        <w:kern w:val="36"/>
        <w:szCs w:val="20"/>
        <w:lang w:val="en-GB"/>
      </w:rPr>
      <w:tab/>
    </w:r>
    <w:r w:rsidRPr="002C6DFC">
      <w:rPr>
        <w:rFonts w:ascii="Times New Roman" w:hAnsi="Times New Roman"/>
        <w:szCs w:val="20"/>
        <w:lang w:val="en-GB"/>
      </w:rPr>
      <w:fldChar w:fldCharType="begin"/>
    </w:r>
    <w:r w:rsidRPr="002C6DFC">
      <w:rPr>
        <w:rFonts w:ascii="Times New Roman" w:hAnsi="Times New Roman"/>
        <w:szCs w:val="20"/>
        <w:lang w:val="en-GB"/>
      </w:rPr>
      <w:instrText xml:space="preserve"> PAGE </w:instrText>
    </w:r>
    <w:r w:rsidRPr="002C6DFC">
      <w:rPr>
        <w:rFonts w:ascii="Times New Roman" w:hAnsi="Times New Roman"/>
        <w:szCs w:val="20"/>
        <w:lang w:val="en-GB"/>
      </w:rPr>
      <w:fldChar w:fldCharType="separate"/>
    </w:r>
    <w:r>
      <w:rPr>
        <w:rFonts w:ascii="Times New Roman" w:hAnsi="Times New Roman"/>
        <w:noProof/>
        <w:szCs w:val="20"/>
        <w:lang w:val="en-GB"/>
      </w:rPr>
      <w:t>4</w:t>
    </w:r>
    <w:r w:rsidRPr="002C6DFC">
      <w:rPr>
        <w:rFonts w:ascii="Times New Roman" w:hAnsi="Times New Roman"/>
        <w:szCs w:val="20"/>
        <w:lang w:val="en-GB"/>
      </w:rPr>
      <w:fldChar w:fldCharType="end"/>
    </w:r>
    <w:r w:rsidRPr="002C6DFC">
      <w:rPr>
        <w:rFonts w:ascii="Times New Roman" w:hAnsi="Times New Roman"/>
        <w:szCs w:val="20"/>
        <w:lang w:val="en-GB"/>
      </w:rPr>
      <w:t>/</w:t>
    </w:r>
    <w:r w:rsidRPr="002C6DFC">
      <w:rPr>
        <w:rFonts w:ascii="Times New Roman" w:hAnsi="Times New Roman"/>
        <w:szCs w:val="20"/>
        <w:lang w:val="en-GB"/>
      </w:rPr>
      <w:fldChar w:fldCharType="begin"/>
    </w:r>
    <w:r w:rsidRPr="002C6DFC">
      <w:rPr>
        <w:rFonts w:ascii="Times New Roman" w:hAnsi="Times New Roman"/>
        <w:szCs w:val="20"/>
        <w:lang w:val="en-GB"/>
      </w:rPr>
      <w:instrText xml:space="preserve"> NUMPAGES </w:instrText>
    </w:r>
    <w:r w:rsidRPr="002C6DFC">
      <w:rPr>
        <w:rFonts w:ascii="Times New Roman" w:hAnsi="Times New Roman"/>
        <w:szCs w:val="20"/>
        <w:lang w:val="en-GB"/>
      </w:rPr>
      <w:fldChar w:fldCharType="separate"/>
    </w:r>
    <w:r>
      <w:rPr>
        <w:rFonts w:ascii="Times New Roman" w:hAnsi="Times New Roman"/>
        <w:noProof/>
        <w:szCs w:val="20"/>
        <w:lang w:val="en-GB"/>
      </w:rPr>
      <w:t>6</w:t>
    </w:r>
    <w:r w:rsidRPr="002C6DFC">
      <w:rPr>
        <w:rFonts w:ascii="Times New Roman" w:hAnsi="Times New Roman"/>
        <w:szCs w:val="20"/>
        <w:lang w:val="en-GB"/>
      </w:rPr>
      <w:fldChar w:fldCharType="end"/>
    </w:r>
  </w:p>
  <w:p w14:paraId="74B41F63" w14:textId="77777777" w:rsidR="002C6DFC" w:rsidRPr="002C6DFC" w:rsidRDefault="002C6DFC">
    <w:pPr>
      <w:pStyle w:val="Fuzeile"/>
      <w:rPr>
        <w:lang w:val="en-I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11829" w14:textId="77777777" w:rsidR="002C6DFC" w:rsidRPr="002C6DFC" w:rsidRDefault="002C6DFC" w:rsidP="002C6DFC">
    <w:pPr>
      <w:pBdr>
        <w:bottom w:val="single" w:sz="12" w:space="1" w:color="auto"/>
      </w:pBdr>
      <w:tabs>
        <w:tab w:val="left" w:pos="4500"/>
        <w:tab w:val="right" w:pos="8820"/>
      </w:tabs>
      <w:rPr>
        <w:rFonts w:cs="Arial"/>
        <w:szCs w:val="20"/>
        <w:lang w:val="en-IE"/>
      </w:rPr>
    </w:pPr>
  </w:p>
  <w:p w14:paraId="786A8F6C" w14:textId="3F805911" w:rsidR="002C6DFC" w:rsidRPr="002C6DFC" w:rsidRDefault="002C6DFC" w:rsidP="002C6DFC">
    <w:pPr>
      <w:tabs>
        <w:tab w:val="left" w:pos="4500"/>
        <w:tab w:val="right" w:pos="9498"/>
      </w:tabs>
      <w:rPr>
        <w:rFonts w:ascii="Times New Roman" w:hAnsi="Times New Roman"/>
        <w:szCs w:val="20"/>
        <w:lang w:val="en-IE"/>
      </w:rPr>
    </w:pPr>
    <w:r w:rsidRPr="002C6DFC">
      <w:rPr>
        <w:rFonts w:ascii="Times New Roman" w:hAnsi="Times New Roman"/>
        <w:szCs w:val="20"/>
        <w:lang w:val="en-IE"/>
      </w:rPr>
      <w:t>WG SE –</w:t>
    </w:r>
    <w:r w:rsidRPr="002C6DFC">
      <w:rPr>
        <w:rFonts w:ascii="Times New Roman" w:hAnsi="Times New Roman"/>
        <w:bCs/>
        <w:kern w:val="36"/>
        <w:szCs w:val="20"/>
        <w:lang w:val="en-GB"/>
      </w:rPr>
      <w:t xml:space="preserve"> </w:t>
    </w:r>
    <w:proofErr w:type="spellStart"/>
    <w:r w:rsidRPr="002C6DFC">
      <w:rPr>
        <w:rFonts w:ascii="Times New Roman" w:hAnsi="Times New Roman"/>
        <w:bCs/>
        <w:kern w:val="36"/>
        <w:szCs w:val="20"/>
        <w:lang w:val="en-GB"/>
      </w:rPr>
      <w:t>Sesimbra</w:t>
    </w:r>
    <w:proofErr w:type="spellEnd"/>
    <w:r w:rsidRPr="002C6DFC">
      <w:rPr>
        <w:rFonts w:ascii="Times New Roman" w:hAnsi="Times New Roman"/>
        <w:bCs/>
        <w:kern w:val="36"/>
        <w:szCs w:val="20"/>
        <w:lang w:val="en-GB"/>
      </w:rPr>
      <w:t>, Portugal – 27 – 31 January 2014</w:t>
    </w:r>
    <w:r>
      <w:rPr>
        <w:rFonts w:ascii="Times New Roman" w:hAnsi="Times New Roman"/>
        <w:bCs/>
        <w:kern w:val="36"/>
        <w:szCs w:val="20"/>
        <w:lang w:val="en-GB"/>
      </w:rPr>
      <w:tab/>
    </w:r>
    <w:r>
      <w:rPr>
        <w:rFonts w:ascii="Times New Roman" w:hAnsi="Times New Roman"/>
        <w:bCs/>
        <w:kern w:val="36"/>
        <w:szCs w:val="20"/>
        <w:lang w:val="en-GB"/>
      </w:rPr>
      <w:tab/>
    </w:r>
    <w:r w:rsidRPr="002C6DFC">
      <w:rPr>
        <w:rFonts w:ascii="Times New Roman" w:hAnsi="Times New Roman"/>
        <w:szCs w:val="20"/>
        <w:lang w:val="en-GB"/>
      </w:rPr>
      <w:fldChar w:fldCharType="begin"/>
    </w:r>
    <w:r w:rsidRPr="002C6DFC">
      <w:rPr>
        <w:rFonts w:ascii="Times New Roman" w:hAnsi="Times New Roman"/>
        <w:szCs w:val="20"/>
        <w:lang w:val="en-GB"/>
      </w:rPr>
      <w:instrText xml:space="preserve"> PAGE </w:instrText>
    </w:r>
    <w:r w:rsidRPr="002C6DFC">
      <w:rPr>
        <w:rFonts w:ascii="Times New Roman" w:hAnsi="Times New Roman"/>
        <w:szCs w:val="20"/>
        <w:lang w:val="en-GB"/>
      </w:rPr>
      <w:fldChar w:fldCharType="separate"/>
    </w:r>
    <w:r>
      <w:rPr>
        <w:rFonts w:ascii="Times New Roman" w:hAnsi="Times New Roman"/>
        <w:noProof/>
        <w:szCs w:val="20"/>
        <w:lang w:val="en-GB"/>
      </w:rPr>
      <w:t>2</w:t>
    </w:r>
    <w:r w:rsidRPr="002C6DFC">
      <w:rPr>
        <w:rFonts w:ascii="Times New Roman" w:hAnsi="Times New Roman"/>
        <w:szCs w:val="20"/>
        <w:lang w:val="en-GB"/>
      </w:rPr>
      <w:fldChar w:fldCharType="end"/>
    </w:r>
    <w:r w:rsidRPr="002C6DFC">
      <w:rPr>
        <w:rFonts w:ascii="Times New Roman" w:hAnsi="Times New Roman"/>
        <w:szCs w:val="20"/>
        <w:lang w:val="en-GB"/>
      </w:rPr>
      <w:t>/</w:t>
    </w:r>
    <w:r w:rsidRPr="002C6DFC">
      <w:rPr>
        <w:rFonts w:ascii="Times New Roman" w:hAnsi="Times New Roman"/>
        <w:szCs w:val="20"/>
        <w:lang w:val="en-GB"/>
      </w:rPr>
      <w:fldChar w:fldCharType="begin"/>
    </w:r>
    <w:r w:rsidRPr="002C6DFC">
      <w:rPr>
        <w:rFonts w:ascii="Times New Roman" w:hAnsi="Times New Roman"/>
        <w:szCs w:val="20"/>
        <w:lang w:val="en-GB"/>
      </w:rPr>
      <w:instrText xml:space="preserve"> NUMPAGES </w:instrText>
    </w:r>
    <w:r w:rsidRPr="002C6DFC">
      <w:rPr>
        <w:rFonts w:ascii="Times New Roman" w:hAnsi="Times New Roman"/>
        <w:szCs w:val="20"/>
        <w:lang w:val="en-GB"/>
      </w:rPr>
      <w:fldChar w:fldCharType="separate"/>
    </w:r>
    <w:r>
      <w:rPr>
        <w:rFonts w:ascii="Times New Roman" w:hAnsi="Times New Roman"/>
        <w:noProof/>
        <w:szCs w:val="20"/>
        <w:lang w:val="en-GB"/>
      </w:rPr>
      <w:t>6</w:t>
    </w:r>
    <w:r w:rsidRPr="002C6DFC">
      <w:rPr>
        <w:rFonts w:ascii="Times New Roman" w:hAnsi="Times New Roman"/>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77471" w14:textId="77777777" w:rsidR="000C0F53" w:rsidRDefault="000C0F53" w:rsidP="008A54FC">
      <w:r>
        <w:separator/>
      </w:r>
    </w:p>
  </w:footnote>
  <w:footnote w:type="continuationSeparator" w:id="0">
    <w:p w14:paraId="6D21A4AC" w14:textId="77777777" w:rsidR="000C0F53" w:rsidRDefault="000C0F53" w:rsidP="008A54FC">
      <w:r>
        <w:continuationSeparator/>
      </w:r>
    </w:p>
  </w:footnote>
  <w:footnote w:type="continuationNotice" w:id="1">
    <w:p w14:paraId="16DD74A0" w14:textId="77777777" w:rsidR="000C0F53" w:rsidRDefault="000C0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B8AF" w14:textId="49181AC1" w:rsidR="00D40C0D" w:rsidRPr="005F4F01" w:rsidRDefault="00D40C0D" w:rsidP="002E5018">
    <w:pPr>
      <w:pStyle w:val="Kopfzeile"/>
      <w:jc w:val="right"/>
      <w:rPr>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8A63" w14:textId="5136631A" w:rsidR="00D40C0D" w:rsidRDefault="00D40C0D" w:rsidP="002E5018">
    <w:pPr>
      <w:pStyle w:val="Kopfzeile"/>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2F7"/>
    <w:multiLevelType w:val="hybridMultilevel"/>
    <w:tmpl w:val="7E5AB878"/>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
    <w:nsid w:val="09FD62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E67C80"/>
    <w:multiLevelType w:val="hybridMultilevel"/>
    <w:tmpl w:val="31D07844"/>
    <w:lvl w:ilvl="0" w:tplc="5E58F488">
      <w:start w:val="1"/>
      <w:numFmt w:val="bullet"/>
      <w:lvlText w:val="•"/>
      <w:lvlJc w:val="left"/>
      <w:pPr>
        <w:tabs>
          <w:tab w:val="num" w:pos="720"/>
        </w:tabs>
        <w:ind w:left="720" w:hanging="360"/>
      </w:pPr>
      <w:rPr>
        <w:rFonts w:ascii="Arial" w:hAnsi="Arial" w:hint="default"/>
      </w:rPr>
    </w:lvl>
    <w:lvl w:ilvl="1" w:tplc="96E2071C" w:tentative="1">
      <w:start w:val="1"/>
      <w:numFmt w:val="bullet"/>
      <w:lvlText w:val="•"/>
      <w:lvlJc w:val="left"/>
      <w:pPr>
        <w:tabs>
          <w:tab w:val="num" w:pos="1440"/>
        </w:tabs>
        <w:ind w:left="1440" w:hanging="360"/>
      </w:pPr>
      <w:rPr>
        <w:rFonts w:ascii="Arial" w:hAnsi="Arial" w:hint="default"/>
      </w:rPr>
    </w:lvl>
    <w:lvl w:ilvl="2" w:tplc="2296447C" w:tentative="1">
      <w:start w:val="1"/>
      <w:numFmt w:val="bullet"/>
      <w:lvlText w:val="•"/>
      <w:lvlJc w:val="left"/>
      <w:pPr>
        <w:tabs>
          <w:tab w:val="num" w:pos="2160"/>
        </w:tabs>
        <w:ind w:left="2160" w:hanging="360"/>
      </w:pPr>
      <w:rPr>
        <w:rFonts w:ascii="Arial" w:hAnsi="Arial" w:hint="default"/>
      </w:rPr>
    </w:lvl>
    <w:lvl w:ilvl="3" w:tplc="96C46FD6" w:tentative="1">
      <w:start w:val="1"/>
      <w:numFmt w:val="bullet"/>
      <w:lvlText w:val="•"/>
      <w:lvlJc w:val="left"/>
      <w:pPr>
        <w:tabs>
          <w:tab w:val="num" w:pos="2880"/>
        </w:tabs>
        <w:ind w:left="2880" w:hanging="360"/>
      </w:pPr>
      <w:rPr>
        <w:rFonts w:ascii="Arial" w:hAnsi="Arial" w:hint="default"/>
      </w:rPr>
    </w:lvl>
    <w:lvl w:ilvl="4" w:tplc="F89E605C" w:tentative="1">
      <w:start w:val="1"/>
      <w:numFmt w:val="bullet"/>
      <w:lvlText w:val="•"/>
      <w:lvlJc w:val="left"/>
      <w:pPr>
        <w:tabs>
          <w:tab w:val="num" w:pos="3600"/>
        </w:tabs>
        <w:ind w:left="3600" w:hanging="360"/>
      </w:pPr>
      <w:rPr>
        <w:rFonts w:ascii="Arial" w:hAnsi="Arial" w:hint="default"/>
      </w:rPr>
    </w:lvl>
    <w:lvl w:ilvl="5" w:tplc="46DE30C6" w:tentative="1">
      <w:start w:val="1"/>
      <w:numFmt w:val="bullet"/>
      <w:lvlText w:val="•"/>
      <w:lvlJc w:val="left"/>
      <w:pPr>
        <w:tabs>
          <w:tab w:val="num" w:pos="4320"/>
        </w:tabs>
        <w:ind w:left="4320" w:hanging="360"/>
      </w:pPr>
      <w:rPr>
        <w:rFonts w:ascii="Arial" w:hAnsi="Arial" w:hint="default"/>
      </w:rPr>
    </w:lvl>
    <w:lvl w:ilvl="6" w:tplc="67406348" w:tentative="1">
      <w:start w:val="1"/>
      <w:numFmt w:val="bullet"/>
      <w:lvlText w:val="•"/>
      <w:lvlJc w:val="left"/>
      <w:pPr>
        <w:tabs>
          <w:tab w:val="num" w:pos="5040"/>
        </w:tabs>
        <w:ind w:left="5040" w:hanging="360"/>
      </w:pPr>
      <w:rPr>
        <w:rFonts w:ascii="Arial" w:hAnsi="Arial" w:hint="default"/>
      </w:rPr>
    </w:lvl>
    <w:lvl w:ilvl="7" w:tplc="5E58DE80" w:tentative="1">
      <w:start w:val="1"/>
      <w:numFmt w:val="bullet"/>
      <w:lvlText w:val="•"/>
      <w:lvlJc w:val="left"/>
      <w:pPr>
        <w:tabs>
          <w:tab w:val="num" w:pos="5760"/>
        </w:tabs>
        <w:ind w:left="5760" w:hanging="360"/>
      </w:pPr>
      <w:rPr>
        <w:rFonts w:ascii="Arial" w:hAnsi="Arial" w:hint="default"/>
      </w:rPr>
    </w:lvl>
    <w:lvl w:ilvl="8" w:tplc="7DB29282" w:tentative="1">
      <w:start w:val="1"/>
      <w:numFmt w:val="bullet"/>
      <w:lvlText w:val="•"/>
      <w:lvlJc w:val="left"/>
      <w:pPr>
        <w:tabs>
          <w:tab w:val="num" w:pos="6480"/>
        </w:tabs>
        <w:ind w:left="6480" w:hanging="360"/>
      </w:pPr>
      <w:rPr>
        <w:rFonts w:ascii="Arial" w:hAnsi="Arial" w:hint="default"/>
      </w:rPr>
    </w:lvl>
  </w:abstractNum>
  <w:abstractNum w:abstractNumId="3">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4">
    <w:nsid w:val="1E3F2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6">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5D56BAC"/>
    <w:multiLevelType w:val="hybridMultilevel"/>
    <w:tmpl w:val="D4985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9">
    <w:nsid w:val="3D023A8C"/>
    <w:multiLevelType w:val="multilevel"/>
    <w:tmpl w:val="7FC8B8A0"/>
    <w:lvl w:ilvl="0">
      <w:start w:val="1"/>
      <w:numFmt w:val="lowerLetter"/>
      <w:lvlText w:val="%1)"/>
      <w:lvlJc w:val="left"/>
      <w:pPr>
        <w:tabs>
          <w:tab w:val="num" w:pos="680"/>
        </w:tabs>
        <w:ind w:left="680" w:hanging="340"/>
      </w:pPr>
      <w:rPr>
        <w:rFonts w:hint="default"/>
        <w:b w:val="0"/>
        <w:i w:val="0"/>
        <w:color w:val="D2232A"/>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color w:val="D2232A"/>
      </w:rPr>
    </w:lvl>
    <w:lvl w:ilvl="3">
      <w:start w:val="1"/>
      <w:numFmt w:val="none"/>
      <w:lvlText w:val=""/>
      <w:lvlJc w:val="left"/>
      <w:pPr>
        <w:tabs>
          <w:tab w:val="num" w:pos="1417"/>
        </w:tabs>
        <w:ind w:left="2068" w:hanging="648"/>
      </w:pPr>
      <w:rPr>
        <w:rFonts w:hint="default"/>
      </w:rPr>
    </w:lvl>
    <w:lvl w:ilvl="4">
      <w:start w:val="1"/>
      <w:numFmt w:val="none"/>
      <w:lvlText w:val=""/>
      <w:lvlJc w:val="left"/>
      <w:pPr>
        <w:ind w:left="2572" w:hanging="792"/>
      </w:pPr>
      <w:rPr>
        <w:rFonts w:hint="default"/>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10">
    <w:nsid w:val="3D163F7A"/>
    <w:multiLevelType w:val="multilevel"/>
    <w:tmpl w:val="4CF23636"/>
    <w:lvl w:ilvl="0">
      <w:start w:val="1"/>
      <w:numFmt w:val="decimal"/>
      <w:pStyle w:val="berschrift1"/>
      <w:lvlText w:val="%1."/>
      <w:lvlJc w:val="left"/>
      <w:pPr>
        <w:ind w:left="360" w:hanging="360"/>
      </w:pPr>
      <w:rPr>
        <w:rFonts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nsid w:val="42462BD1"/>
    <w:multiLevelType w:val="hybridMultilevel"/>
    <w:tmpl w:val="45F4395A"/>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2">
    <w:nsid w:val="427E184A"/>
    <w:multiLevelType w:val="hybridMultilevel"/>
    <w:tmpl w:val="F51A9A3A"/>
    <w:lvl w:ilvl="0" w:tplc="C65085F2">
      <w:start w:val="1"/>
      <w:numFmt w:val="bullet"/>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3">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DB6054F"/>
    <w:multiLevelType w:val="hybridMultilevel"/>
    <w:tmpl w:val="D4D2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547A0C5E"/>
    <w:multiLevelType w:val="hybridMultilevel"/>
    <w:tmpl w:val="321A8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1">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66E36C84"/>
    <w:multiLevelType w:val="multilevel"/>
    <w:tmpl w:val="FCEC7FBC"/>
    <w:numStyleLink w:val="ECCBullets"/>
  </w:abstractNum>
  <w:abstractNum w:abstractNumId="23">
    <w:nsid w:val="685C6B2F"/>
    <w:multiLevelType w:val="hybridMultilevel"/>
    <w:tmpl w:val="62DAB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07767BF"/>
    <w:multiLevelType w:val="multilevel"/>
    <w:tmpl w:val="7060B3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FBC221F"/>
    <w:multiLevelType w:val="hybridMultilevel"/>
    <w:tmpl w:val="62189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6"/>
  </w:num>
  <w:num w:numId="4">
    <w:abstractNumId w:val="15"/>
  </w:num>
  <w:num w:numId="5">
    <w:abstractNumId w:val="6"/>
  </w:num>
  <w:num w:numId="6">
    <w:abstractNumId w:val="13"/>
  </w:num>
  <w:num w:numId="7">
    <w:abstractNumId w:val="13"/>
    <w:lvlOverride w:ilvl="0">
      <w:startOverride w:val="1"/>
    </w:lvlOverride>
  </w:num>
  <w:num w:numId="8">
    <w:abstractNumId w:val="3"/>
  </w:num>
  <w:num w:numId="9">
    <w:abstractNumId w:val="22"/>
  </w:num>
  <w:num w:numId="10">
    <w:abstractNumId w:val="20"/>
  </w:num>
  <w:num w:numId="11">
    <w:abstractNumId w:val="14"/>
  </w:num>
  <w:num w:numId="12">
    <w:abstractNumId w:val="8"/>
  </w:num>
  <w:num w:numId="13">
    <w:abstractNumId w:val="21"/>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2"/>
  </w:num>
  <w:num w:numId="20">
    <w:abstractNumId w:val="24"/>
  </w:num>
  <w:num w:numId="21">
    <w:abstractNumId w:val="9"/>
  </w:num>
  <w:num w:numId="22">
    <w:abstractNumId w:val="18"/>
  </w:num>
  <w:num w:numId="23">
    <w:abstractNumId w:val="7"/>
  </w:num>
  <w:num w:numId="24">
    <w:abstractNumId w:val="23"/>
  </w:num>
  <w:num w:numId="25">
    <w:abstractNumId w:val="11"/>
  </w:num>
  <w:num w:numId="26">
    <w:abstractNumId w:val="0"/>
  </w:num>
  <w:num w:numId="27">
    <w:abstractNumId w:val="2"/>
  </w:num>
  <w:num w:numId="28">
    <w:abstractNumId w:val="27"/>
  </w:num>
  <w:num w:numId="29">
    <w:abstractNumId w:val="16"/>
  </w:num>
  <w:num w:numId="30">
    <w:abstractNumId w:val="4"/>
  </w:num>
  <w:num w:numId="3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D6"/>
    <w:rsid w:val="00005CA4"/>
    <w:rsid w:val="000474D3"/>
    <w:rsid w:val="00057222"/>
    <w:rsid w:val="000612F3"/>
    <w:rsid w:val="00064F87"/>
    <w:rsid w:val="00067793"/>
    <w:rsid w:val="00070EBD"/>
    <w:rsid w:val="0007319F"/>
    <w:rsid w:val="0007539C"/>
    <w:rsid w:val="000800C2"/>
    <w:rsid w:val="00082DD7"/>
    <w:rsid w:val="000852DF"/>
    <w:rsid w:val="00087BA7"/>
    <w:rsid w:val="00090873"/>
    <w:rsid w:val="000A087F"/>
    <w:rsid w:val="000A5366"/>
    <w:rsid w:val="000A5B86"/>
    <w:rsid w:val="000A7419"/>
    <w:rsid w:val="000C028F"/>
    <w:rsid w:val="000C0F53"/>
    <w:rsid w:val="000C0FCB"/>
    <w:rsid w:val="000D08CE"/>
    <w:rsid w:val="000D192C"/>
    <w:rsid w:val="000E1EC6"/>
    <w:rsid w:val="000E42F5"/>
    <w:rsid w:val="000E7176"/>
    <w:rsid w:val="000F0228"/>
    <w:rsid w:val="000F623D"/>
    <w:rsid w:val="00115888"/>
    <w:rsid w:val="00121C7E"/>
    <w:rsid w:val="00124FB7"/>
    <w:rsid w:val="00160D5D"/>
    <w:rsid w:val="0017055A"/>
    <w:rsid w:val="00170B19"/>
    <w:rsid w:val="001724C2"/>
    <w:rsid w:val="00174F7E"/>
    <w:rsid w:val="00183FE0"/>
    <w:rsid w:val="00197FE5"/>
    <w:rsid w:val="001A280E"/>
    <w:rsid w:val="001A4CAA"/>
    <w:rsid w:val="001A5962"/>
    <w:rsid w:val="001D03D1"/>
    <w:rsid w:val="001D088D"/>
    <w:rsid w:val="001E00A1"/>
    <w:rsid w:val="002125E3"/>
    <w:rsid w:val="002146D9"/>
    <w:rsid w:val="0021653C"/>
    <w:rsid w:val="00217962"/>
    <w:rsid w:val="002232C1"/>
    <w:rsid w:val="00270CFF"/>
    <w:rsid w:val="00274F84"/>
    <w:rsid w:val="00282D70"/>
    <w:rsid w:val="002930E9"/>
    <w:rsid w:val="0029448B"/>
    <w:rsid w:val="002A0CE2"/>
    <w:rsid w:val="002A7345"/>
    <w:rsid w:val="002B6ABE"/>
    <w:rsid w:val="002C6DFC"/>
    <w:rsid w:val="002D23A2"/>
    <w:rsid w:val="002E5018"/>
    <w:rsid w:val="002E5628"/>
    <w:rsid w:val="002F5286"/>
    <w:rsid w:val="00320485"/>
    <w:rsid w:val="00325274"/>
    <w:rsid w:val="0036364D"/>
    <w:rsid w:val="00372DAD"/>
    <w:rsid w:val="00374860"/>
    <w:rsid w:val="00376FA5"/>
    <w:rsid w:val="00394C0D"/>
    <w:rsid w:val="003A133B"/>
    <w:rsid w:val="003B3E80"/>
    <w:rsid w:val="003B4997"/>
    <w:rsid w:val="003C0BC1"/>
    <w:rsid w:val="003C24CF"/>
    <w:rsid w:val="003C507E"/>
    <w:rsid w:val="003C6E07"/>
    <w:rsid w:val="003C7B6E"/>
    <w:rsid w:val="003D4741"/>
    <w:rsid w:val="003E3143"/>
    <w:rsid w:val="003E5BA0"/>
    <w:rsid w:val="003E5F23"/>
    <w:rsid w:val="003F0CB8"/>
    <w:rsid w:val="003F7BB4"/>
    <w:rsid w:val="004003EA"/>
    <w:rsid w:val="004030D3"/>
    <w:rsid w:val="004110CA"/>
    <w:rsid w:val="0042760C"/>
    <w:rsid w:val="00434CB9"/>
    <w:rsid w:val="00446C15"/>
    <w:rsid w:val="00450A63"/>
    <w:rsid w:val="00453F4C"/>
    <w:rsid w:val="004904AD"/>
    <w:rsid w:val="00490E12"/>
    <w:rsid w:val="004B1D2B"/>
    <w:rsid w:val="004B7AC0"/>
    <w:rsid w:val="004C7DFD"/>
    <w:rsid w:val="004D422C"/>
    <w:rsid w:val="004E0D28"/>
    <w:rsid w:val="004E4DC0"/>
    <w:rsid w:val="004F4960"/>
    <w:rsid w:val="00507FAF"/>
    <w:rsid w:val="00525F2B"/>
    <w:rsid w:val="0054477A"/>
    <w:rsid w:val="00550D79"/>
    <w:rsid w:val="00552966"/>
    <w:rsid w:val="00557B5A"/>
    <w:rsid w:val="005739C7"/>
    <w:rsid w:val="00584391"/>
    <w:rsid w:val="00594186"/>
    <w:rsid w:val="005945E4"/>
    <w:rsid w:val="005974C8"/>
    <w:rsid w:val="005B6BE9"/>
    <w:rsid w:val="005B7251"/>
    <w:rsid w:val="005C10EB"/>
    <w:rsid w:val="005C2A02"/>
    <w:rsid w:val="005E2EE8"/>
    <w:rsid w:val="005F4F01"/>
    <w:rsid w:val="005F76E6"/>
    <w:rsid w:val="00624214"/>
    <w:rsid w:val="00633460"/>
    <w:rsid w:val="00633AB4"/>
    <w:rsid w:val="00637635"/>
    <w:rsid w:val="006436D9"/>
    <w:rsid w:val="00645BB5"/>
    <w:rsid w:val="00647252"/>
    <w:rsid w:val="0065793F"/>
    <w:rsid w:val="006665AE"/>
    <w:rsid w:val="0067366F"/>
    <w:rsid w:val="00677260"/>
    <w:rsid w:val="00687A9C"/>
    <w:rsid w:val="0069729A"/>
    <w:rsid w:val="006A0160"/>
    <w:rsid w:val="006A5FDA"/>
    <w:rsid w:val="006C2C2F"/>
    <w:rsid w:val="006E17D6"/>
    <w:rsid w:val="00700834"/>
    <w:rsid w:val="0070134D"/>
    <w:rsid w:val="007014FB"/>
    <w:rsid w:val="00715734"/>
    <w:rsid w:val="0071577A"/>
    <w:rsid w:val="007220A2"/>
    <w:rsid w:val="00723AA2"/>
    <w:rsid w:val="00734A4F"/>
    <w:rsid w:val="00737B2E"/>
    <w:rsid w:val="007467B3"/>
    <w:rsid w:val="00747196"/>
    <w:rsid w:val="00755427"/>
    <w:rsid w:val="00763BA3"/>
    <w:rsid w:val="00767BB2"/>
    <w:rsid w:val="0077083A"/>
    <w:rsid w:val="00771423"/>
    <w:rsid w:val="0077498E"/>
    <w:rsid w:val="00780376"/>
    <w:rsid w:val="0079360E"/>
    <w:rsid w:val="00797D4C"/>
    <w:rsid w:val="007A1050"/>
    <w:rsid w:val="007C18AF"/>
    <w:rsid w:val="007D7A7E"/>
    <w:rsid w:val="007E4D74"/>
    <w:rsid w:val="007E609D"/>
    <w:rsid w:val="007E67DD"/>
    <w:rsid w:val="007F5AB2"/>
    <w:rsid w:val="00803F98"/>
    <w:rsid w:val="00804623"/>
    <w:rsid w:val="008052C9"/>
    <w:rsid w:val="00806BEC"/>
    <w:rsid w:val="00810300"/>
    <w:rsid w:val="00813576"/>
    <w:rsid w:val="00815246"/>
    <w:rsid w:val="00817C0A"/>
    <w:rsid w:val="008345D6"/>
    <w:rsid w:val="00847F52"/>
    <w:rsid w:val="008560BA"/>
    <w:rsid w:val="008736FB"/>
    <w:rsid w:val="00883208"/>
    <w:rsid w:val="008878E0"/>
    <w:rsid w:val="008A0675"/>
    <w:rsid w:val="008A54FC"/>
    <w:rsid w:val="008B70CD"/>
    <w:rsid w:val="008D2878"/>
    <w:rsid w:val="008D28A1"/>
    <w:rsid w:val="008D3D93"/>
    <w:rsid w:val="008D450A"/>
    <w:rsid w:val="008F6CDE"/>
    <w:rsid w:val="00911824"/>
    <w:rsid w:val="00914886"/>
    <w:rsid w:val="00930975"/>
    <w:rsid w:val="00931BA5"/>
    <w:rsid w:val="00935E36"/>
    <w:rsid w:val="00941FD2"/>
    <w:rsid w:val="0095068E"/>
    <w:rsid w:val="00951C98"/>
    <w:rsid w:val="009636DB"/>
    <w:rsid w:val="009677E2"/>
    <w:rsid w:val="00973BBC"/>
    <w:rsid w:val="009744B4"/>
    <w:rsid w:val="00975B6A"/>
    <w:rsid w:val="00985A75"/>
    <w:rsid w:val="0099268E"/>
    <w:rsid w:val="009939AE"/>
    <w:rsid w:val="009A0DB4"/>
    <w:rsid w:val="009A3195"/>
    <w:rsid w:val="009A7EE9"/>
    <w:rsid w:val="009B158F"/>
    <w:rsid w:val="009B52D9"/>
    <w:rsid w:val="009C43EC"/>
    <w:rsid w:val="009D601F"/>
    <w:rsid w:val="009E47EB"/>
    <w:rsid w:val="00A026FD"/>
    <w:rsid w:val="00A076B5"/>
    <w:rsid w:val="00A10933"/>
    <w:rsid w:val="00A11B8A"/>
    <w:rsid w:val="00A2228D"/>
    <w:rsid w:val="00A27349"/>
    <w:rsid w:val="00A633FF"/>
    <w:rsid w:val="00A66AD1"/>
    <w:rsid w:val="00A66B8F"/>
    <w:rsid w:val="00A72CE8"/>
    <w:rsid w:val="00A75501"/>
    <w:rsid w:val="00A868FF"/>
    <w:rsid w:val="00A90566"/>
    <w:rsid w:val="00A93CE2"/>
    <w:rsid w:val="00A943DC"/>
    <w:rsid w:val="00A95ACB"/>
    <w:rsid w:val="00AA086A"/>
    <w:rsid w:val="00AA7F87"/>
    <w:rsid w:val="00AB52DA"/>
    <w:rsid w:val="00AB7E9F"/>
    <w:rsid w:val="00AC606A"/>
    <w:rsid w:val="00AE5681"/>
    <w:rsid w:val="00AF156D"/>
    <w:rsid w:val="00AF31D9"/>
    <w:rsid w:val="00B067EE"/>
    <w:rsid w:val="00B07446"/>
    <w:rsid w:val="00B10065"/>
    <w:rsid w:val="00B11FD0"/>
    <w:rsid w:val="00B15328"/>
    <w:rsid w:val="00B17284"/>
    <w:rsid w:val="00B25463"/>
    <w:rsid w:val="00B25D37"/>
    <w:rsid w:val="00B30D3B"/>
    <w:rsid w:val="00B417A3"/>
    <w:rsid w:val="00B432D4"/>
    <w:rsid w:val="00B54195"/>
    <w:rsid w:val="00B554B3"/>
    <w:rsid w:val="00B57726"/>
    <w:rsid w:val="00B6158F"/>
    <w:rsid w:val="00B6760C"/>
    <w:rsid w:val="00B7383F"/>
    <w:rsid w:val="00B7476C"/>
    <w:rsid w:val="00B84CD9"/>
    <w:rsid w:val="00BA109E"/>
    <w:rsid w:val="00BA43A7"/>
    <w:rsid w:val="00BA720E"/>
    <w:rsid w:val="00BB2711"/>
    <w:rsid w:val="00BB6976"/>
    <w:rsid w:val="00BB6D38"/>
    <w:rsid w:val="00BC5463"/>
    <w:rsid w:val="00BE6EDB"/>
    <w:rsid w:val="00BF47DA"/>
    <w:rsid w:val="00C1412E"/>
    <w:rsid w:val="00C25F49"/>
    <w:rsid w:val="00C3290D"/>
    <w:rsid w:val="00C44F3F"/>
    <w:rsid w:val="00C60FA1"/>
    <w:rsid w:val="00C77E9B"/>
    <w:rsid w:val="00C77F9B"/>
    <w:rsid w:val="00C879F1"/>
    <w:rsid w:val="00CA1AFA"/>
    <w:rsid w:val="00CC373E"/>
    <w:rsid w:val="00CD4E10"/>
    <w:rsid w:val="00CF1CC4"/>
    <w:rsid w:val="00D048B4"/>
    <w:rsid w:val="00D06D75"/>
    <w:rsid w:val="00D151D1"/>
    <w:rsid w:val="00D1580C"/>
    <w:rsid w:val="00D22767"/>
    <w:rsid w:val="00D27970"/>
    <w:rsid w:val="00D40C0D"/>
    <w:rsid w:val="00D66C15"/>
    <w:rsid w:val="00D725F7"/>
    <w:rsid w:val="00D82AC4"/>
    <w:rsid w:val="00D85A04"/>
    <w:rsid w:val="00D91396"/>
    <w:rsid w:val="00D938C6"/>
    <w:rsid w:val="00DA100A"/>
    <w:rsid w:val="00DB0BB3"/>
    <w:rsid w:val="00DB7E11"/>
    <w:rsid w:val="00DC219A"/>
    <w:rsid w:val="00DD057B"/>
    <w:rsid w:val="00DD48B8"/>
    <w:rsid w:val="00DE08AB"/>
    <w:rsid w:val="00DF2C67"/>
    <w:rsid w:val="00E04A94"/>
    <w:rsid w:val="00E1123C"/>
    <w:rsid w:val="00E31065"/>
    <w:rsid w:val="00E437AE"/>
    <w:rsid w:val="00E52CA1"/>
    <w:rsid w:val="00E5539B"/>
    <w:rsid w:val="00E6506A"/>
    <w:rsid w:val="00E71AE7"/>
    <w:rsid w:val="00E85A4C"/>
    <w:rsid w:val="00EA2C77"/>
    <w:rsid w:val="00EA52AA"/>
    <w:rsid w:val="00EA6088"/>
    <w:rsid w:val="00EC54EF"/>
    <w:rsid w:val="00ED7EA3"/>
    <w:rsid w:val="00EE6A7C"/>
    <w:rsid w:val="00EF070D"/>
    <w:rsid w:val="00F246BE"/>
    <w:rsid w:val="00F31E87"/>
    <w:rsid w:val="00F531D3"/>
    <w:rsid w:val="00F630FB"/>
    <w:rsid w:val="00F735BC"/>
    <w:rsid w:val="00F93115"/>
    <w:rsid w:val="00F96759"/>
    <w:rsid w:val="00FC099C"/>
    <w:rsid w:val="00FC646E"/>
    <w:rsid w:val="00FD48EF"/>
    <w:rsid w:val="00FE04FF"/>
    <w:rsid w:val="00FE511E"/>
    <w:rsid w:val="00FF5C3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C7C"/>
    <w:rPr>
      <w:rFonts w:ascii="Arial" w:hAnsi="Arial"/>
      <w:szCs w:val="24"/>
      <w:lang w:val="en-US"/>
    </w:rPr>
  </w:style>
  <w:style w:type="paragraph" w:styleId="berschrift1">
    <w:name w:val="heading 1"/>
    <w:aliases w:val="ECC Heading 1"/>
    <w:basedOn w:val="Standard"/>
    <w:next w:val="ECCParagraph"/>
    <w:autoRedefine/>
    <w:uiPriority w:val="99"/>
    <w:qFormat/>
    <w:rsid w:val="0029448B"/>
    <w:pPr>
      <w:keepNext/>
      <w:numPr>
        <w:numId w:val="2"/>
      </w:numPr>
      <w:spacing w:before="600" w:after="240"/>
      <w:outlineLvl w:val="0"/>
    </w:pPr>
    <w:rPr>
      <w:rFonts w:cs="Arial"/>
      <w:b/>
      <w:bCs/>
      <w:caps/>
      <w:color w:val="D2232A"/>
      <w:kern w:val="32"/>
      <w:szCs w:val="32"/>
      <w:lang w:val="en-GB"/>
    </w:rPr>
  </w:style>
  <w:style w:type="paragraph" w:styleId="berschrift2">
    <w:name w:val="heading 2"/>
    <w:aliases w:val="ECC Heading 2"/>
    <w:basedOn w:val="Standard"/>
    <w:next w:val="ECCParagraph"/>
    <w:autoRedefine/>
    <w:qFormat/>
    <w:rsid w:val="00DF2C67"/>
    <w:pPr>
      <w:keepNext/>
      <w:numPr>
        <w:ilvl w:val="1"/>
        <w:numId w:val="2"/>
      </w:numPr>
      <w:spacing w:before="480" w:after="240"/>
      <w:outlineLvl w:val="1"/>
    </w:pPr>
    <w:rPr>
      <w:rFonts w:cs="Arial"/>
      <w:b/>
      <w:bCs/>
      <w:iCs/>
      <w:caps/>
      <w:szCs w:val="28"/>
    </w:rPr>
  </w:style>
  <w:style w:type="paragraph" w:styleId="berschrift3">
    <w:name w:val="heading 3"/>
    <w:aliases w:val="ECC Heading 3"/>
    <w:basedOn w:val="Standard"/>
    <w:next w:val="ECCParagraph"/>
    <w:autoRedefine/>
    <w:qFormat/>
    <w:rsid w:val="009E47EB"/>
    <w:pPr>
      <w:keepNext/>
      <w:numPr>
        <w:ilvl w:val="2"/>
        <w:numId w:val="2"/>
      </w:numPr>
      <w:spacing w:before="360" w:after="120"/>
      <w:outlineLvl w:val="2"/>
    </w:pPr>
    <w:rPr>
      <w:rFonts w:cs="Arial"/>
      <w:b/>
      <w:bCs/>
      <w:szCs w:val="26"/>
    </w:rPr>
  </w:style>
  <w:style w:type="paragraph" w:styleId="berschrift4">
    <w:name w:val="heading 4"/>
    <w:aliases w:val="ECC Heading 4"/>
    <w:basedOn w:val="Standard"/>
    <w:next w:val="ECCParagraph"/>
    <w:autoRedefine/>
    <w:qFormat/>
    <w:rsid w:val="00767BB2"/>
    <w:pPr>
      <w:numPr>
        <w:ilvl w:val="3"/>
        <w:numId w:val="2"/>
      </w:numPr>
      <w:spacing w:before="360" w:after="120"/>
      <w:outlineLvl w:val="3"/>
    </w:pPr>
    <w:rPr>
      <w:rFonts w:cs="Arial"/>
      <w:bCs/>
      <w:i/>
      <w:color w:val="D2232A"/>
      <w:szCs w:val="26"/>
    </w:rPr>
  </w:style>
  <w:style w:type="paragraph" w:styleId="berschrift5">
    <w:name w:val="heading 5"/>
    <w:basedOn w:val="Standard"/>
    <w:next w:val="Standard"/>
    <w:qFormat/>
    <w:rsid w:val="009E47EB"/>
    <w:pPr>
      <w:numPr>
        <w:ilvl w:val="4"/>
        <w:numId w:val="2"/>
      </w:numPr>
      <w:spacing w:before="240" w:after="60"/>
      <w:outlineLvl w:val="4"/>
    </w:pPr>
    <w:rPr>
      <w:b/>
      <w:bCs/>
      <w:i/>
      <w:iCs/>
      <w:sz w:val="26"/>
      <w:szCs w:val="26"/>
    </w:rPr>
  </w:style>
  <w:style w:type="paragraph" w:styleId="berschrift6">
    <w:name w:val="heading 6"/>
    <w:basedOn w:val="Standard"/>
    <w:next w:val="Standard"/>
    <w:qFormat/>
    <w:rsid w:val="009E47EB"/>
    <w:pPr>
      <w:numPr>
        <w:ilvl w:val="5"/>
        <w:numId w:val="2"/>
      </w:numPr>
      <w:spacing w:before="240" w:after="60"/>
      <w:outlineLvl w:val="5"/>
    </w:pPr>
    <w:rPr>
      <w:b/>
      <w:bCs/>
      <w:sz w:val="22"/>
      <w:szCs w:val="22"/>
    </w:rPr>
  </w:style>
  <w:style w:type="paragraph" w:styleId="berschrift7">
    <w:name w:val="heading 7"/>
    <w:basedOn w:val="Standard"/>
    <w:next w:val="Standard"/>
    <w:qFormat/>
    <w:rsid w:val="009E47EB"/>
    <w:pPr>
      <w:numPr>
        <w:ilvl w:val="6"/>
        <w:numId w:val="2"/>
      </w:numPr>
      <w:spacing w:before="240" w:after="60"/>
      <w:outlineLvl w:val="6"/>
    </w:pPr>
    <w:rPr>
      <w:sz w:val="24"/>
    </w:rPr>
  </w:style>
  <w:style w:type="paragraph" w:styleId="berschrift8">
    <w:name w:val="heading 8"/>
    <w:basedOn w:val="Standard"/>
    <w:next w:val="Standard"/>
    <w:qFormat/>
    <w:rsid w:val="009E47EB"/>
    <w:pPr>
      <w:numPr>
        <w:ilvl w:val="7"/>
        <w:numId w:val="2"/>
      </w:numPr>
      <w:spacing w:before="240" w:after="60"/>
      <w:outlineLvl w:val="7"/>
    </w:pPr>
    <w:rPr>
      <w:i/>
      <w:iCs/>
      <w:sz w:val="24"/>
    </w:rPr>
  </w:style>
  <w:style w:type="paragraph" w:styleId="berschrift9">
    <w:name w:val="heading 9"/>
    <w:basedOn w:val="Standard"/>
    <w:next w:val="Standard"/>
    <w:qFormat/>
    <w:rsid w:val="009E47EB"/>
    <w:pPr>
      <w:numPr>
        <w:ilvl w:val="8"/>
        <w:numId w:val="2"/>
      </w:numPr>
      <w:spacing w:before="240" w:after="60"/>
      <w:outlineLvl w:val="8"/>
    </w:pPr>
    <w:rPr>
      <w:rFonts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Paragraph">
    <w:name w:val="ECC Paragraph"/>
    <w:basedOn w:val="Standard"/>
    <w:rsid w:val="004E66F0"/>
    <w:pPr>
      <w:spacing w:after="240"/>
      <w:jc w:val="both"/>
    </w:pPr>
    <w:rPr>
      <w:lang w:val="en-GB"/>
    </w:rPr>
  </w:style>
  <w:style w:type="paragraph" w:customStyle="1" w:styleId="ECCParBulleted">
    <w:name w:val="ECC Par Bulleted"/>
    <w:basedOn w:val="ECCParagraph"/>
    <w:rsid w:val="00CB0AD7"/>
    <w:pPr>
      <w:numPr>
        <w:numId w:val="1"/>
      </w:numPr>
      <w:spacing w:after="0"/>
    </w:pPr>
  </w:style>
  <w:style w:type="paragraph" w:styleId="Kopfzeile">
    <w:name w:val="header"/>
    <w:basedOn w:val="Standard"/>
    <w:rsid w:val="00C95C7C"/>
    <w:pPr>
      <w:tabs>
        <w:tab w:val="center" w:pos="4320"/>
        <w:tab w:val="right" w:pos="8640"/>
      </w:tabs>
    </w:pPr>
    <w:rPr>
      <w:b/>
      <w:sz w:val="16"/>
    </w:rPr>
  </w:style>
  <w:style w:type="paragraph" w:styleId="Fuzeile">
    <w:name w:val="footer"/>
    <w:aliases w:val="footer odd,footer,pie de página,pie de p·gina"/>
    <w:basedOn w:val="Standard"/>
    <w:link w:val="FuzeileZchn"/>
    <w:uiPriority w:val="99"/>
    <w:rsid w:val="0077244E"/>
    <w:pPr>
      <w:tabs>
        <w:tab w:val="center" w:pos="4320"/>
        <w:tab w:val="right" w:pos="8640"/>
      </w:tabs>
    </w:pPr>
  </w:style>
  <w:style w:type="paragraph" w:customStyle="1" w:styleId="ECCAnnexheading1">
    <w:name w:val="ECC Annex heading1"/>
    <w:basedOn w:val="berschrift1"/>
    <w:next w:val="ECCParagraph"/>
    <w:rsid w:val="00550D79"/>
    <w:pPr>
      <w:numPr>
        <w:numId w:val="5"/>
      </w:numPr>
    </w:pPr>
  </w:style>
  <w:style w:type="paragraph" w:styleId="Verzeichnis1">
    <w:name w:val="toc 1"/>
    <w:basedOn w:val="Standard"/>
    <w:next w:val="Standard"/>
    <w:autoRedefine/>
    <w:uiPriority w:val="39"/>
    <w:rsid w:val="00EA7A83"/>
    <w:pPr>
      <w:tabs>
        <w:tab w:val="left" w:pos="360"/>
        <w:tab w:val="right" w:leader="dot" w:pos="9629"/>
      </w:tabs>
      <w:spacing w:before="240"/>
    </w:pPr>
    <w:rPr>
      <w:b/>
      <w:caps/>
    </w:rPr>
  </w:style>
  <w:style w:type="character" w:styleId="Hyperlink">
    <w:name w:val="Hyperlink"/>
    <w:basedOn w:val="Absatz-Standardschriftart"/>
    <w:uiPriority w:val="99"/>
    <w:rsid w:val="00A82384"/>
    <w:rPr>
      <w:color w:val="0000FF"/>
      <w:u w:val="single"/>
    </w:rPr>
  </w:style>
  <w:style w:type="paragraph" w:styleId="Verzeichnis2">
    <w:name w:val="toc 2"/>
    <w:basedOn w:val="Standard"/>
    <w:next w:val="Standard"/>
    <w:autoRedefine/>
    <w:uiPriority w:val="39"/>
    <w:rsid w:val="00EA7A83"/>
    <w:pPr>
      <w:tabs>
        <w:tab w:val="left" w:pos="900"/>
        <w:tab w:val="right" w:leader="dot" w:pos="9629"/>
      </w:tabs>
      <w:ind w:left="360"/>
    </w:pPr>
  </w:style>
  <w:style w:type="paragraph" w:styleId="Verzeichnis3">
    <w:name w:val="toc 3"/>
    <w:basedOn w:val="Standard"/>
    <w:next w:val="Standard"/>
    <w:autoRedefine/>
    <w:uiPriority w:val="39"/>
    <w:rsid w:val="00CF7259"/>
    <w:pPr>
      <w:tabs>
        <w:tab w:val="left" w:pos="1440"/>
        <w:tab w:val="right" w:leader="dot" w:pos="9629"/>
      </w:tabs>
      <w:ind w:left="900"/>
    </w:pPr>
  </w:style>
  <w:style w:type="paragraph" w:styleId="Verzeichnis4">
    <w:name w:val="toc 4"/>
    <w:basedOn w:val="Standard"/>
    <w:next w:val="Standard"/>
    <w:autoRedefine/>
    <w:uiPriority w:val="39"/>
    <w:rsid w:val="007D1E37"/>
    <w:pPr>
      <w:tabs>
        <w:tab w:val="left" w:pos="2340"/>
        <w:tab w:val="right" w:leader="dot" w:pos="9629"/>
      </w:tabs>
      <w:ind w:left="1440"/>
    </w:pPr>
    <w:rPr>
      <w:i/>
    </w:rPr>
  </w:style>
  <w:style w:type="table" w:styleId="Tabellenraster">
    <w:name w:val="Table Grid"/>
    <w:basedOn w:val="NormaleTabelle"/>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Standard"/>
    <w:autoRedefine/>
    <w:rsid w:val="008935B9"/>
    <w:pPr>
      <w:ind w:left="454" w:hanging="454"/>
    </w:pPr>
    <w:rPr>
      <w:sz w:val="16"/>
    </w:rPr>
  </w:style>
  <w:style w:type="paragraph" w:styleId="Funotentext">
    <w:name w:val="footnote text"/>
    <w:basedOn w:val="Standard"/>
    <w:link w:val="FunotentextZchn"/>
    <w:rsid w:val="008935B9"/>
    <w:rPr>
      <w:szCs w:val="20"/>
    </w:rPr>
  </w:style>
  <w:style w:type="character" w:styleId="Funotenzeichen">
    <w:name w:val="footnote reference"/>
    <w:basedOn w:val="Absatz-Standardschriftart"/>
    <w:semiHidden/>
    <w:rsid w:val="008935B9"/>
    <w:rPr>
      <w:vertAlign w:val="superscript"/>
    </w:rPr>
  </w:style>
  <w:style w:type="paragraph" w:customStyle="1" w:styleId="Text">
    <w:name w:val="Text"/>
    <w:basedOn w:val="Standard"/>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Standard"/>
    <w:rsid w:val="00A50B64"/>
    <w:pPr>
      <w:numPr>
        <w:numId w:val="6"/>
      </w:numPr>
    </w:pPr>
    <w:rPr>
      <w:lang w:eastAsia="ja-JP"/>
    </w:rPr>
  </w:style>
  <w:style w:type="paragraph" w:customStyle="1" w:styleId="ECCAnnexheading2">
    <w:name w:val="ECC Annex heading2"/>
    <w:basedOn w:val="Standard"/>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Standard"/>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Standard"/>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Standard"/>
    <w:rsid w:val="00080D86"/>
    <w:pPr>
      <w:spacing w:before="120" w:after="120"/>
      <w:ind w:left="3402"/>
    </w:pPr>
    <w:rPr>
      <w:bCs/>
      <w:sz w:val="18"/>
    </w:rPr>
  </w:style>
  <w:style w:type="paragraph" w:customStyle="1" w:styleId="Reporttitledescription">
    <w:name w:val="Report title/description"/>
    <w:basedOn w:val="Standard"/>
    <w:rsid w:val="009B4646"/>
    <w:pPr>
      <w:spacing w:before="600" w:line="288" w:lineRule="auto"/>
      <w:ind w:left="3402"/>
    </w:pPr>
    <w:rPr>
      <w:sz w:val="24"/>
    </w:rPr>
  </w:style>
  <w:style w:type="paragraph" w:styleId="Beschriftung">
    <w:name w:val="caption"/>
    <w:basedOn w:val="Standard"/>
    <w:next w:val="Standard"/>
    <w:uiPriority w:val="35"/>
    <w:semiHidden/>
    <w:unhideWhenUsed/>
    <w:qFormat/>
    <w:rsid w:val="00C4710C"/>
    <w:pPr>
      <w:spacing w:before="240" w:after="240"/>
      <w:jc w:val="center"/>
    </w:pPr>
    <w:rPr>
      <w:b/>
      <w:bCs/>
      <w:color w:val="D2232A"/>
      <w:szCs w:val="20"/>
    </w:rPr>
  </w:style>
  <w:style w:type="numbering" w:customStyle="1" w:styleId="ECCBullets">
    <w:name w:val="ECC Bullets"/>
    <w:basedOn w:val="KeineListe"/>
    <w:rsid w:val="00B113AE"/>
    <w:pPr>
      <w:numPr>
        <w:numId w:val="8"/>
      </w:numPr>
    </w:pPr>
  </w:style>
  <w:style w:type="paragraph" w:customStyle="1" w:styleId="ECCNumbered-LetteredList">
    <w:name w:val="ECC Numbered-Lettered List"/>
    <w:basedOn w:val="Standard"/>
    <w:qFormat/>
    <w:rsid w:val="00DF2C67"/>
    <w:pPr>
      <w:numPr>
        <w:numId w:val="16"/>
      </w:numPr>
    </w:pPr>
  </w:style>
  <w:style w:type="paragraph" w:customStyle="1" w:styleId="ECCNumberedBullets">
    <w:name w:val="ECC Numbered Bullets"/>
    <w:basedOn w:val="Standard"/>
    <w:rsid w:val="00DF2C67"/>
    <w:pPr>
      <w:numPr>
        <w:numId w:val="14"/>
      </w:numPr>
    </w:pPr>
  </w:style>
  <w:style w:type="paragraph" w:styleId="Sprechblasentext">
    <w:name w:val="Balloon Text"/>
    <w:basedOn w:val="Standard"/>
    <w:link w:val="SprechblasentextZchn"/>
    <w:uiPriority w:val="99"/>
    <w:semiHidden/>
    <w:unhideWhenUs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14"/>
      </w:numPr>
    </w:pPr>
  </w:style>
  <w:style w:type="numbering" w:customStyle="1" w:styleId="ECCNumbers-Letters">
    <w:name w:val="ECC Numbers-Letters"/>
    <w:uiPriority w:val="99"/>
    <w:rsid w:val="00DF2C67"/>
    <w:pPr>
      <w:numPr>
        <w:numId w:val="16"/>
      </w:numPr>
    </w:pPr>
  </w:style>
  <w:style w:type="paragraph" w:customStyle="1" w:styleId="Kopfzeile1">
    <w:name w:val="Kopfzeile1"/>
    <w:basedOn w:val="Kopfzeile"/>
    <w:uiPriority w:val="99"/>
    <w:rsid w:val="00C1412E"/>
    <w:pPr>
      <w:tabs>
        <w:tab w:val="clear" w:pos="4320"/>
        <w:tab w:val="clear" w:pos="8640"/>
        <w:tab w:val="center" w:pos="4536"/>
        <w:tab w:val="right" w:pos="9072"/>
      </w:tabs>
    </w:pPr>
    <w:rPr>
      <w:sz w:val="22"/>
      <w:szCs w:val="20"/>
      <w:lang w:val="nb-NO" w:eastAsia="de-DE"/>
    </w:rPr>
  </w:style>
  <w:style w:type="paragraph" w:customStyle="1" w:styleId="Header1">
    <w:name w:val="Header1"/>
    <w:basedOn w:val="Kopfzeile"/>
    <w:link w:val="HeaderZchnZchn"/>
    <w:uiPriority w:val="99"/>
    <w:rsid w:val="00C1412E"/>
    <w:pPr>
      <w:tabs>
        <w:tab w:val="clear" w:pos="4320"/>
        <w:tab w:val="clear" w:pos="8640"/>
        <w:tab w:val="center" w:pos="4536"/>
        <w:tab w:val="right" w:pos="9072"/>
      </w:tabs>
      <w:spacing w:before="60"/>
    </w:pPr>
    <w:rPr>
      <w:sz w:val="22"/>
      <w:szCs w:val="20"/>
      <w:lang w:val="nb-NO" w:eastAsia="ja-JP"/>
    </w:rPr>
  </w:style>
  <w:style w:type="character" w:customStyle="1" w:styleId="HeaderZchnZchn">
    <w:name w:val="Header Zchn Zchn"/>
    <w:link w:val="Header1"/>
    <w:uiPriority w:val="99"/>
    <w:locked/>
    <w:rsid w:val="00C1412E"/>
    <w:rPr>
      <w:rFonts w:ascii="Arial" w:hAnsi="Arial"/>
      <w:b/>
      <w:sz w:val="22"/>
      <w:lang w:val="nb-NO" w:eastAsia="ja-JP"/>
    </w:rPr>
  </w:style>
  <w:style w:type="character" w:customStyle="1" w:styleId="TableheadChar">
    <w:name w:val="Table_head Char"/>
    <w:basedOn w:val="Absatz-Standardschriftart"/>
    <w:link w:val="Tablehead"/>
    <w:locked/>
    <w:rsid w:val="0042760C"/>
    <w:rPr>
      <w:rFonts w:ascii="Times New Roman Bold" w:hAnsi="Times New Roman Bold" w:cs="Times New Roman Bold"/>
      <w:b/>
      <w:lang w:val="en-GB"/>
    </w:rPr>
  </w:style>
  <w:style w:type="paragraph" w:customStyle="1" w:styleId="Tablehead">
    <w:name w:val="Table_head"/>
    <w:basedOn w:val="Standard"/>
    <w:link w:val="TableheadChar"/>
    <w:rsid w:val="0042760C"/>
    <w:pPr>
      <w:keepNext/>
      <w:tabs>
        <w:tab w:val="left" w:pos="1134"/>
        <w:tab w:val="left" w:pos="1871"/>
        <w:tab w:val="left" w:pos="2268"/>
      </w:tabs>
      <w:overflowPunct w:val="0"/>
      <w:autoSpaceDE w:val="0"/>
      <w:autoSpaceDN w:val="0"/>
      <w:adjustRightInd w:val="0"/>
      <w:spacing w:before="80" w:after="80"/>
      <w:jc w:val="center"/>
    </w:pPr>
    <w:rPr>
      <w:rFonts w:ascii="Times New Roman Bold" w:hAnsi="Times New Roman Bold" w:cs="Times New Roman Bold"/>
      <w:b/>
      <w:szCs w:val="20"/>
      <w:lang w:val="en-GB"/>
    </w:rPr>
  </w:style>
  <w:style w:type="paragraph" w:customStyle="1" w:styleId="TableTextS5">
    <w:name w:val="Table_TextS5"/>
    <w:basedOn w:val="Standard"/>
    <w:rsid w:val="0042760C"/>
    <w:pPr>
      <w:tabs>
        <w:tab w:val="left" w:pos="170"/>
        <w:tab w:val="left" w:pos="567"/>
        <w:tab w:val="left" w:pos="737"/>
        <w:tab w:val="left" w:pos="2977"/>
        <w:tab w:val="left" w:pos="3266"/>
      </w:tabs>
      <w:overflowPunct w:val="0"/>
      <w:autoSpaceDE w:val="0"/>
      <w:autoSpaceDN w:val="0"/>
      <w:adjustRightInd w:val="0"/>
      <w:spacing w:before="40" w:after="40"/>
      <w:jc w:val="both"/>
    </w:pPr>
    <w:rPr>
      <w:rFonts w:ascii="Times New Roman" w:hAnsi="Times New Roman"/>
      <w:szCs w:val="20"/>
      <w:lang w:val="en-GB"/>
    </w:rPr>
  </w:style>
  <w:style w:type="character" w:customStyle="1" w:styleId="TabletitleChar">
    <w:name w:val="Table_title Char"/>
    <w:basedOn w:val="Absatz-Standardschriftart"/>
    <w:link w:val="Tabletitle"/>
    <w:locked/>
    <w:rsid w:val="0042760C"/>
    <w:rPr>
      <w:rFonts w:ascii="Times New Roman Bold" w:hAnsi="Times New Roman Bold" w:cs="Times New Roman Bold"/>
      <w:b/>
      <w:lang w:val="en-GB"/>
    </w:rPr>
  </w:style>
  <w:style w:type="paragraph" w:customStyle="1" w:styleId="Tabletitle">
    <w:name w:val="Table_title"/>
    <w:basedOn w:val="Standard"/>
    <w:next w:val="Standard"/>
    <w:link w:val="TabletitleChar"/>
    <w:rsid w:val="0042760C"/>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cs="Times New Roman Bold"/>
      <w:b/>
      <w:szCs w:val="20"/>
      <w:lang w:val="en-GB"/>
    </w:rPr>
  </w:style>
  <w:style w:type="character" w:customStyle="1" w:styleId="Artref">
    <w:name w:val="Art_ref"/>
    <w:basedOn w:val="Absatz-Standardschriftart"/>
    <w:rsid w:val="0042760C"/>
  </w:style>
  <w:style w:type="character" w:customStyle="1" w:styleId="Tablefreq">
    <w:name w:val="Table_freq"/>
    <w:basedOn w:val="Absatz-Standardschriftart"/>
    <w:rsid w:val="0042760C"/>
    <w:rPr>
      <w:b/>
      <w:bCs w:val="0"/>
      <w:color w:val="auto"/>
      <w:sz w:val="20"/>
    </w:rPr>
  </w:style>
  <w:style w:type="character" w:customStyle="1" w:styleId="Note2Char">
    <w:name w:val="Note2 Char"/>
    <w:basedOn w:val="Absatz-Standardschriftart"/>
    <w:link w:val="Note2"/>
    <w:locked/>
    <w:rsid w:val="001724C2"/>
    <w:rPr>
      <w:szCs w:val="16"/>
      <w:lang w:val="en-GB"/>
    </w:rPr>
  </w:style>
  <w:style w:type="paragraph" w:customStyle="1" w:styleId="Note2">
    <w:name w:val="Note2"/>
    <w:basedOn w:val="Standard"/>
    <w:link w:val="Note2Char"/>
    <w:qFormat/>
    <w:rsid w:val="001724C2"/>
    <w:pPr>
      <w:tabs>
        <w:tab w:val="left" w:pos="284"/>
        <w:tab w:val="left" w:pos="1134"/>
        <w:tab w:val="left" w:pos="1871"/>
        <w:tab w:val="left" w:pos="2268"/>
      </w:tabs>
      <w:overflowPunct w:val="0"/>
      <w:autoSpaceDE w:val="0"/>
      <w:autoSpaceDN w:val="0"/>
      <w:adjustRightInd w:val="0"/>
      <w:spacing w:before="80"/>
      <w:jc w:val="both"/>
    </w:pPr>
    <w:rPr>
      <w:rFonts w:ascii="Times New Roman" w:hAnsi="Times New Roman"/>
      <w:szCs w:val="16"/>
      <w:lang w:val="en-GB"/>
    </w:rPr>
  </w:style>
  <w:style w:type="character" w:customStyle="1" w:styleId="Artdef">
    <w:name w:val="Art_def"/>
    <w:basedOn w:val="Absatz-Standardschriftart"/>
    <w:rsid w:val="001724C2"/>
    <w:rPr>
      <w:rFonts w:ascii="Times New Roman" w:hAnsi="Times New Roman" w:cs="Times New Roman" w:hint="default"/>
      <w:b/>
      <w:bCs w:val="0"/>
    </w:rPr>
  </w:style>
  <w:style w:type="character" w:customStyle="1" w:styleId="ArtrefBold">
    <w:name w:val="Art_ref + Bold"/>
    <w:basedOn w:val="Absatz-Standardschriftart"/>
    <w:rsid w:val="001724C2"/>
    <w:rPr>
      <w:b/>
      <w:bCs/>
      <w:color w:val="auto"/>
    </w:rPr>
  </w:style>
  <w:style w:type="character" w:customStyle="1" w:styleId="FuzeileZchn">
    <w:name w:val="Fußzeile Zchn"/>
    <w:aliases w:val="footer odd Zchn,footer Zchn,pie de página Zchn,pie de p·gina Zchn"/>
    <w:basedOn w:val="Absatz-Standardschriftart"/>
    <w:link w:val="Fuzeile"/>
    <w:uiPriority w:val="99"/>
    <w:rsid w:val="00A943DC"/>
    <w:rPr>
      <w:rFonts w:ascii="Arial" w:hAnsi="Arial"/>
      <w:szCs w:val="24"/>
      <w:lang w:val="en-US"/>
    </w:rPr>
  </w:style>
  <w:style w:type="character" w:customStyle="1" w:styleId="FunotentextZchn">
    <w:name w:val="Fußnotentext Zchn"/>
    <w:link w:val="Funotentext"/>
    <w:rsid w:val="004030D3"/>
    <w:rPr>
      <w:rFonts w:ascii="Arial" w:hAnsi="Arial"/>
      <w:lang w:val="en-US"/>
    </w:rPr>
  </w:style>
  <w:style w:type="paragraph" w:styleId="StandardWeb">
    <w:name w:val="Normal (Web)"/>
    <w:basedOn w:val="Standard"/>
    <w:uiPriority w:val="99"/>
    <w:unhideWhenUsed/>
    <w:rsid w:val="0077083A"/>
    <w:pPr>
      <w:spacing w:before="100" w:beforeAutospacing="1" w:after="100" w:afterAutospacing="1"/>
    </w:pPr>
    <w:rPr>
      <w:rFonts w:ascii="Times New Roman" w:hAnsi="Times New Roman"/>
      <w:sz w:val="24"/>
      <w:lang w:val="de-DE" w:eastAsia="de-DE"/>
    </w:rPr>
  </w:style>
  <w:style w:type="paragraph" w:styleId="Listenabsatz">
    <w:name w:val="List Paragraph"/>
    <w:basedOn w:val="Standard"/>
    <w:uiPriority w:val="34"/>
    <w:qFormat/>
    <w:rsid w:val="0077083A"/>
    <w:pPr>
      <w:ind w:left="720"/>
      <w:contextualSpacing/>
    </w:pPr>
    <w:rPr>
      <w:rFonts w:ascii="Times New Roman" w:hAnsi="Times New Roman"/>
      <w:sz w:val="24"/>
      <w:lang w:val="de-DE" w:eastAsia="de-DE"/>
    </w:rPr>
  </w:style>
  <w:style w:type="paragraph" w:customStyle="1" w:styleId="Paragraphedeliste">
    <w:name w:val="Paragraphe de liste"/>
    <w:basedOn w:val="Standard"/>
    <w:qFormat/>
    <w:rsid w:val="00B417A3"/>
    <w:pPr>
      <w:tabs>
        <w:tab w:val="left" w:pos="1134"/>
        <w:tab w:val="left" w:pos="1871"/>
        <w:tab w:val="left" w:pos="2268"/>
      </w:tabs>
      <w:overflowPunct w:val="0"/>
      <w:autoSpaceDE w:val="0"/>
      <w:autoSpaceDN w:val="0"/>
      <w:adjustRightInd w:val="0"/>
      <w:spacing w:before="120"/>
      <w:ind w:left="720"/>
      <w:contextualSpacing/>
      <w:textAlignment w:val="baseline"/>
    </w:pPr>
    <w:rPr>
      <w:rFonts w:ascii="Calibri" w:hAnsi="Calibri"/>
      <w:sz w:val="24"/>
      <w:szCs w:val="20"/>
      <w:lang w:val="fr-FR" w:bidi="en-US"/>
    </w:rPr>
  </w:style>
  <w:style w:type="paragraph" w:customStyle="1" w:styleId="Tabletext">
    <w:name w:val="Table_text"/>
    <w:basedOn w:val="Standard"/>
    <w:link w:val="TabletextChar"/>
    <w:rsid w:val="00B417A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fr-FR"/>
    </w:rPr>
  </w:style>
  <w:style w:type="character" w:customStyle="1" w:styleId="TabletextChar">
    <w:name w:val="Table_text Char"/>
    <w:basedOn w:val="Absatz-Standardschriftart"/>
    <w:link w:val="Tabletext"/>
    <w:locked/>
    <w:rsid w:val="00B417A3"/>
    <w:rPr>
      <w:lang w:val="fr-FR"/>
    </w:rPr>
  </w:style>
  <w:style w:type="paragraph" w:customStyle="1" w:styleId="ArtNo">
    <w:name w:val="Art_No"/>
    <w:basedOn w:val="Standard"/>
    <w:next w:val="Arttitle"/>
    <w:rsid w:val="00BB2711"/>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w:hAnsi="Times New Roman"/>
      <w:caps/>
      <w:sz w:val="28"/>
      <w:szCs w:val="20"/>
      <w:lang w:val="fr-FR"/>
    </w:rPr>
  </w:style>
  <w:style w:type="paragraph" w:customStyle="1" w:styleId="Arttitle">
    <w:name w:val="Art_title"/>
    <w:basedOn w:val="Standard"/>
    <w:next w:val="Standard"/>
    <w:rsid w:val="00BB271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w:hAnsi="Times New Roman"/>
      <w:b/>
      <w:sz w:val="28"/>
      <w:szCs w:val="20"/>
      <w:lang w:val="fr-FR"/>
    </w:rPr>
  </w:style>
  <w:style w:type="paragraph" w:customStyle="1" w:styleId="Section1">
    <w:name w:val="Section_1"/>
    <w:basedOn w:val="Standard"/>
    <w:rsid w:val="00BB2711"/>
    <w:pPr>
      <w:tabs>
        <w:tab w:val="center" w:pos="4820"/>
      </w:tabs>
      <w:overflowPunct w:val="0"/>
      <w:autoSpaceDE w:val="0"/>
      <w:autoSpaceDN w:val="0"/>
      <w:adjustRightInd w:val="0"/>
      <w:spacing w:before="360"/>
      <w:jc w:val="center"/>
      <w:textAlignment w:val="baseline"/>
    </w:pPr>
    <w:rPr>
      <w:rFonts w:ascii="Times New Roman" w:hAnsi="Times New Roman"/>
      <w:b/>
      <w:sz w:val="24"/>
      <w:szCs w:val="20"/>
      <w:lang w:val="fr-FR"/>
    </w:rPr>
  </w:style>
  <w:style w:type="character" w:customStyle="1" w:styleId="href">
    <w:name w:val="href"/>
    <w:basedOn w:val="Absatz-Standardschriftart"/>
    <w:rsid w:val="00BB2711"/>
  </w:style>
  <w:style w:type="character" w:styleId="Endnotenzeichen">
    <w:name w:val="endnote reference"/>
    <w:uiPriority w:val="99"/>
    <w:semiHidden/>
    <w:rsid w:val="00BB2711"/>
    <w:rPr>
      <w:vertAlign w:val="superscript"/>
    </w:rPr>
  </w:style>
  <w:style w:type="paragraph" w:styleId="Endnotentext">
    <w:name w:val="endnote text"/>
    <w:basedOn w:val="Standard"/>
    <w:link w:val="EndnotentextZchn"/>
    <w:uiPriority w:val="99"/>
    <w:semiHidden/>
    <w:unhideWhenUsed/>
    <w:rsid w:val="00BB2711"/>
    <w:rPr>
      <w:szCs w:val="20"/>
    </w:rPr>
  </w:style>
  <w:style w:type="character" w:customStyle="1" w:styleId="EndnotentextZchn">
    <w:name w:val="Endnotentext Zchn"/>
    <w:basedOn w:val="Absatz-Standardschriftart"/>
    <w:link w:val="Endnotentext"/>
    <w:uiPriority w:val="99"/>
    <w:semiHidden/>
    <w:rsid w:val="00BB2711"/>
    <w:rPr>
      <w:rFonts w:ascii="Arial" w:hAnsi="Arial"/>
      <w:lang w:val="en-US"/>
    </w:rPr>
  </w:style>
  <w:style w:type="paragraph" w:customStyle="1" w:styleId="Default">
    <w:name w:val="Default"/>
    <w:rsid w:val="00DE08AB"/>
    <w:pPr>
      <w:autoSpaceDE w:val="0"/>
      <w:autoSpaceDN w:val="0"/>
      <w:adjustRightInd w:val="0"/>
    </w:pPr>
    <w:rPr>
      <w:color w:val="000000"/>
      <w:sz w:val="24"/>
      <w:szCs w:val="24"/>
      <w:lang w:val="de-DE"/>
    </w:rPr>
  </w:style>
  <w:style w:type="paragraph" w:styleId="berarbeitung">
    <w:name w:val="Revision"/>
    <w:hidden/>
    <w:uiPriority w:val="99"/>
    <w:semiHidden/>
    <w:rsid w:val="00700834"/>
    <w:rPr>
      <w:rFonts w:ascii="Arial" w:hAnsi="Arial"/>
      <w:szCs w:val="24"/>
      <w:lang w:val="en-US"/>
    </w:rPr>
  </w:style>
  <w:style w:type="character" w:styleId="Kommentarzeichen">
    <w:name w:val="annotation reference"/>
    <w:basedOn w:val="Absatz-Standardschriftart"/>
    <w:uiPriority w:val="99"/>
    <w:semiHidden/>
    <w:unhideWhenUsed/>
    <w:rsid w:val="005F76E6"/>
    <w:rPr>
      <w:sz w:val="16"/>
      <w:szCs w:val="16"/>
    </w:rPr>
  </w:style>
  <w:style w:type="paragraph" w:styleId="Kommentartext">
    <w:name w:val="annotation text"/>
    <w:basedOn w:val="Standard"/>
    <w:link w:val="KommentartextZchn"/>
    <w:uiPriority w:val="99"/>
    <w:unhideWhenUsed/>
    <w:rsid w:val="005F76E6"/>
    <w:rPr>
      <w:szCs w:val="20"/>
    </w:rPr>
  </w:style>
  <w:style w:type="character" w:customStyle="1" w:styleId="KommentartextZchn">
    <w:name w:val="Kommentartext Zchn"/>
    <w:basedOn w:val="Absatz-Standardschriftart"/>
    <w:link w:val="Kommentartext"/>
    <w:uiPriority w:val="99"/>
    <w:rsid w:val="005F76E6"/>
    <w:rPr>
      <w:rFonts w:ascii="Arial" w:hAnsi="Arial"/>
      <w:lang w:val="en-US"/>
    </w:rPr>
  </w:style>
  <w:style w:type="paragraph" w:styleId="Kommentarthema">
    <w:name w:val="annotation subject"/>
    <w:basedOn w:val="Kommentartext"/>
    <w:next w:val="Kommentartext"/>
    <w:link w:val="KommentarthemaZchn"/>
    <w:uiPriority w:val="99"/>
    <w:semiHidden/>
    <w:unhideWhenUsed/>
    <w:rsid w:val="005F76E6"/>
    <w:rPr>
      <w:b/>
      <w:bCs/>
    </w:rPr>
  </w:style>
  <w:style w:type="character" w:customStyle="1" w:styleId="KommentarthemaZchn">
    <w:name w:val="Kommentarthema Zchn"/>
    <w:basedOn w:val="KommentartextZchn"/>
    <w:link w:val="Kommentarthema"/>
    <w:uiPriority w:val="99"/>
    <w:semiHidden/>
    <w:rsid w:val="005F76E6"/>
    <w:rPr>
      <w:rFonts w:ascii="Arial" w:hAnsi="Arial"/>
      <w:b/>
      <w:bCs/>
      <w:lang w:val="en-US"/>
    </w:rPr>
  </w:style>
  <w:style w:type="paragraph" w:customStyle="1" w:styleId="enumlev1">
    <w:name w:val="enumlev1"/>
    <w:basedOn w:val="Standard"/>
    <w:link w:val="enumlev1Char"/>
    <w:uiPriority w:val="99"/>
    <w:rsid w:val="00D85A04"/>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ascii="Times New Roman" w:hAnsi="Times New Roman"/>
      <w:sz w:val="24"/>
      <w:szCs w:val="20"/>
      <w:lang w:val="en-GB"/>
    </w:rPr>
  </w:style>
  <w:style w:type="character" w:customStyle="1" w:styleId="enumlev1Char">
    <w:name w:val="enumlev1 Char"/>
    <w:link w:val="enumlev1"/>
    <w:uiPriority w:val="99"/>
    <w:locked/>
    <w:rsid w:val="00D85A04"/>
    <w:rPr>
      <w:sz w:val="24"/>
      <w:lang w:val="en-GB"/>
    </w:rPr>
  </w:style>
  <w:style w:type="paragraph" w:customStyle="1" w:styleId="CharCharZchnZchn">
    <w:name w:val=" Char Char Zchn Zchn"/>
    <w:basedOn w:val="Standard"/>
    <w:rsid w:val="002C6DFC"/>
    <w:pPr>
      <w:tabs>
        <w:tab w:val="left" w:pos="540"/>
        <w:tab w:val="left" w:pos="1260"/>
        <w:tab w:val="left" w:pos="1800"/>
      </w:tabs>
      <w:spacing w:before="240" w:after="160" w:line="240" w:lineRule="exact"/>
    </w:pPr>
    <w:rPr>
      <w:rFonts w:ascii="Verdana" w:hAnsi="Verdan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C7C"/>
    <w:rPr>
      <w:rFonts w:ascii="Arial" w:hAnsi="Arial"/>
      <w:szCs w:val="24"/>
      <w:lang w:val="en-US"/>
    </w:rPr>
  </w:style>
  <w:style w:type="paragraph" w:styleId="berschrift1">
    <w:name w:val="heading 1"/>
    <w:aliases w:val="ECC Heading 1"/>
    <w:basedOn w:val="Standard"/>
    <w:next w:val="ECCParagraph"/>
    <w:autoRedefine/>
    <w:uiPriority w:val="99"/>
    <w:qFormat/>
    <w:rsid w:val="0029448B"/>
    <w:pPr>
      <w:keepNext/>
      <w:numPr>
        <w:numId w:val="2"/>
      </w:numPr>
      <w:spacing w:before="600" w:after="240"/>
      <w:outlineLvl w:val="0"/>
    </w:pPr>
    <w:rPr>
      <w:rFonts w:cs="Arial"/>
      <w:b/>
      <w:bCs/>
      <w:caps/>
      <w:color w:val="D2232A"/>
      <w:kern w:val="32"/>
      <w:szCs w:val="32"/>
      <w:lang w:val="en-GB"/>
    </w:rPr>
  </w:style>
  <w:style w:type="paragraph" w:styleId="berschrift2">
    <w:name w:val="heading 2"/>
    <w:aliases w:val="ECC Heading 2"/>
    <w:basedOn w:val="Standard"/>
    <w:next w:val="ECCParagraph"/>
    <w:autoRedefine/>
    <w:qFormat/>
    <w:rsid w:val="00DF2C67"/>
    <w:pPr>
      <w:keepNext/>
      <w:numPr>
        <w:ilvl w:val="1"/>
        <w:numId w:val="2"/>
      </w:numPr>
      <w:spacing w:before="480" w:after="240"/>
      <w:outlineLvl w:val="1"/>
    </w:pPr>
    <w:rPr>
      <w:rFonts w:cs="Arial"/>
      <w:b/>
      <w:bCs/>
      <w:iCs/>
      <w:caps/>
      <w:szCs w:val="28"/>
    </w:rPr>
  </w:style>
  <w:style w:type="paragraph" w:styleId="berschrift3">
    <w:name w:val="heading 3"/>
    <w:aliases w:val="ECC Heading 3"/>
    <w:basedOn w:val="Standard"/>
    <w:next w:val="ECCParagraph"/>
    <w:autoRedefine/>
    <w:qFormat/>
    <w:rsid w:val="009E47EB"/>
    <w:pPr>
      <w:keepNext/>
      <w:numPr>
        <w:ilvl w:val="2"/>
        <w:numId w:val="2"/>
      </w:numPr>
      <w:spacing w:before="360" w:after="120"/>
      <w:outlineLvl w:val="2"/>
    </w:pPr>
    <w:rPr>
      <w:rFonts w:cs="Arial"/>
      <w:b/>
      <w:bCs/>
      <w:szCs w:val="26"/>
    </w:rPr>
  </w:style>
  <w:style w:type="paragraph" w:styleId="berschrift4">
    <w:name w:val="heading 4"/>
    <w:aliases w:val="ECC Heading 4"/>
    <w:basedOn w:val="Standard"/>
    <w:next w:val="ECCParagraph"/>
    <w:autoRedefine/>
    <w:qFormat/>
    <w:rsid w:val="00767BB2"/>
    <w:pPr>
      <w:numPr>
        <w:ilvl w:val="3"/>
        <w:numId w:val="2"/>
      </w:numPr>
      <w:spacing w:before="360" w:after="120"/>
      <w:outlineLvl w:val="3"/>
    </w:pPr>
    <w:rPr>
      <w:rFonts w:cs="Arial"/>
      <w:bCs/>
      <w:i/>
      <w:color w:val="D2232A"/>
      <w:szCs w:val="26"/>
    </w:rPr>
  </w:style>
  <w:style w:type="paragraph" w:styleId="berschrift5">
    <w:name w:val="heading 5"/>
    <w:basedOn w:val="Standard"/>
    <w:next w:val="Standard"/>
    <w:qFormat/>
    <w:rsid w:val="009E47EB"/>
    <w:pPr>
      <w:numPr>
        <w:ilvl w:val="4"/>
        <w:numId w:val="2"/>
      </w:numPr>
      <w:spacing w:before="240" w:after="60"/>
      <w:outlineLvl w:val="4"/>
    </w:pPr>
    <w:rPr>
      <w:b/>
      <w:bCs/>
      <w:i/>
      <w:iCs/>
      <w:sz w:val="26"/>
      <w:szCs w:val="26"/>
    </w:rPr>
  </w:style>
  <w:style w:type="paragraph" w:styleId="berschrift6">
    <w:name w:val="heading 6"/>
    <w:basedOn w:val="Standard"/>
    <w:next w:val="Standard"/>
    <w:qFormat/>
    <w:rsid w:val="009E47EB"/>
    <w:pPr>
      <w:numPr>
        <w:ilvl w:val="5"/>
        <w:numId w:val="2"/>
      </w:numPr>
      <w:spacing w:before="240" w:after="60"/>
      <w:outlineLvl w:val="5"/>
    </w:pPr>
    <w:rPr>
      <w:b/>
      <w:bCs/>
      <w:sz w:val="22"/>
      <w:szCs w:val="22"/>
    </w:rPr>
  </w:style>
  <w:style w:type="paragraph" w:styleId="berschrift7">
    <w:name w:val="heading 7"/>
    <w:basedOn w:val="Standard"/>
    <w:next w:val="Standard"/>
    <w:qFormat/>
    <w:rsid w:val="009E47EB"/>
    <w:pPr>
      <w:numPr>
        <w:ilvl w:val="6"/>
        <w:numId w:val="2"/>
      </w:numPr>
      <w:spacing w:before="240" w:after="60"/>
      <w:outlineLvl w:val="6"/>
    </w:pPr>
    <w:rPr>
      <w:sz w:val="24"/>
    </w:rPr>
  </w:style>
  <w:style w:type="paragraph" w:styleId="berschrift8">
    <w:name w:val="heading 8"/>
    <w:basedOn w:val="Standard"/>
    <w:next w:val="Standard"/>
    <w:qFormat/>
    <w:rsid w:val="009E47EB"/>
    <w:pPr>
      <w:numPr>
        <w:ilvl w:val="7"/>
        <w:numId w:val="2"/>
      </w:numPr>
      <w:spacing w:before="240" w:after="60"/>
      <w:outlineLvl w:val="7"/>
    </w:pPr>
    <w:rPr>
      <w:i/>
      <w:iCs/>
      <w:sz w:val="24"/>
    </w:rPr>
  </w:style>
  <w:style w:type="paragraph" w:styleId="berschrift9">
    <w:name w:val="heading 9"/>
    <w:basedOn w:val="Standard"/>
    <w:next w:val="Standard"/>
    <w:qFormat/>
    <w:rsid w:val="009E47EB"/>
    <w:pPr>
      <w:numPr>
        <w:ilvl w:val="8"/>
        <w:numId w:val="2"/>
      </w:numPr>
      <w:spacing w:before="240" w:after="60"/>
      <w:outlineLvl w:val="8"/>
    </w:pPr>
    <w:rPr>
      <w:rFonts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Paragraph">
    <w:name w:val="ECC Paragraph"/>
    <w:basedOn w:val="Standard"/>
    <w:rsid w:val="004E66F0"/>
    <w:pPr>
      <w:spacing w:after="240"/>
      <w:jc w:val="both"/>
    </w:pPr>
    <w:rPr>
      <w:lang w:val="en-GB"/>
    </w:rPr>
  </w:style>
  <w:style w:type="paragraph" w:customStyle="1" w:styleId="ECCParBulleted">
    <w:name w:val="ECC Par Bulleted"/>
    <w:basedOn w:val="ECCParagraph"/>
    <w:rsid w:val="00CB0AD7"/>
    <w:pPr>
      <w:numPr>
        <w:numId w:val="1"/>
      </w:numPr>
      <w:spacing w:after="0"/>
    </w:pPr>
  </w:style>
  <w:style w:type="paragraph" w:styleId="Kopfzeile">
    <w:name w:val="header"/>
    <w:basedOn w:val="Standard"/>
    <w:rsid w:val="00C95C7C"/>
    <w:pPr>
      <w:tabs>
        <w:tab w:val="center" w:pos="4320"/>
        <w:tab w:val="right" w:pos="8640"/>
      </w:tabs>
    </w:pPr>
    <w:rPr>
      <w:b/>
      <w:sz w:val="16"/>
    </w:rPr>
  </w:style>
  <w:style w:type="paragraph" w:styleId="Fuzeile">
    <w:name w:val="footer"/>
    <w:aliases w:val="footer odd,footer,pie de página,pie de p·gina"/>
    <w:basedOn w:val="Standard"/>
    <w:link w:val="FuzeileZchn"/>
    <w:uiPriority w:val="99"/>
    <w:rsid w:val="0077244E"/>
    <w:pPr>
      <w:tabs>
        <w:tab w:val="center" w:pos="4320"/>
        <w:tab w:val="right" w:pos="8640"/>
      </w:tabs>
    </w:pPr>
  </w:style>
  <w:style w:type="paragraph" w:customStyle="1" w:styleId="ECCAnnexheading1">
    <w:name w:val="ECC Annex heading1"/>
    <w:basedOn w:val="berschrift1"/>
    <w:next w:val="ECCParagraph"/>
    <w:rsid w:val="00550D79"/>
    <w:pPr>
      <w:numPr>
        <w:numId w:val="5"/>
      </w:numPr>
    </w:pPr>
  </w:style>
  <w:style w:type="paragraph" w:styleId="Verzeichnis1">
    <w:name w:val="toc 1"/>
    <w:basedOn w:val="Standard"/>
    <w:next w:val="Standard"/>
    <w:autoRedefine/>
    <w:uiPriority w:val="39"/>
    <w:rsid w:val="00EA7A83"/>
    <w:pPr>
      <w:tabs>
        <w:tab w:val="left" w:pos="360"/>
        <w:tab w:val="right" w:leader="dot" w:pos="9629"/>
      </w:tabs>
      <w:spacing w:before="240"/>
    </w:pPr>
    <w:rPr>
      <w:b/>
      <w:caps/>
    </w:rPr>
  </w:style>
  <w:style w:type="character" w:styleId="Hyperlink">
    <w:name w:val="Hyperlink"/>
    <w:basedOn w:val="Absatz-Standardschriftart"/>
    <w:uiPriority w:val="99"/>
    <w:rsid w:val="00A82384"/>
    <w:rPr>
      <w:color w:val="0000FF"/>
      <w:u w:val="single"/>
    </w:rPr>
  </w:style>
  <w:style w:type="paragraph" w:styleId="Verzeichnis2">
    <w:name w:val="toc 2"/>
    <w:basedOn w:val="Standard"/>
    <w:next w:val="Standard"/>
    <w:autoRedefine/>
    <w:uiPriority w:val="39"/>
    <w:rsid w:val="00EA7A83"/>
    <w:pPr>
      <w:tabs>
        <w:tab w:val="left" w:pos="900"/>
        <w:tab w:val="right" w:leader="dot" w:pos="9629"/>
      </w:tabs>
      <w:ind w:left="360"/>
    </w:pPr>
  </w:style>
  <w:style w:type="paragraph" w:styleId="Verzeichnis3">
    <w:name w:val="toc 3"/>
    <w:basedOn w:val="Standard"/>
    <w:next w:val="Standard"/>
    <w:autoRedefine/>
    <w:uiPriority w:val="39"/>
    <w:rsid w:val="00CF7259"/>
    <w:pPr>
      <w:tabs>
        <w:tab w:val="left" w:pos="1440"/>
        <w:tab w:val="right" w:leader="dot" w:pos="9629"/>
      </w:tabs>
      <w:ind w:left="900"/>
    </w:pPr>
  </w:style>
  <w:style w:type="paragraph" w:styleId="Verzeichnis4">
    <w:name w:val="toc 4"/>
    <w:basedOn w:val="Standard"/>
    <w:next w:val="Standard"/>
    <w:autoRedefine/>
    <w:uiPriority w:val="39"/>
    <w:rsid w:val="007D1E37"/>
    <w:pPr>
      <w:tabs>
        <w:tab w:val="left" w:pos="2340"/>
        <w:tab w:val="right" w:leader="dot" w:pos="9629"/>
      </w:tabs>
      <w:ind w:left="1440"/>
    </w:pPr>
    <w:rPr>
      <w:i/>
    </w:rPr>
  </w:style>
  <w:style w:type="table" w:styleId="Tabellenraster">
    <w:name w:val="Table Grid"/>
    <w:basedOn w:val="NormaleTabelle"/>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Standard"/>
    <w:autoRedefine/>
    <w:rsid w:val="008935B9"/>
    <w:pPr>
      <w:ind w:left="454" w:hanging="454"/>
    </w:pPr>
    <w:rPr>
      <w:sz w:val="16"/>
    </w:rPr>
  </w:style>
  <w:style w:type="paragraph" w:styleId="Funotentext">
    <w:name w:val="footnote text"/>
    <w:basedOn w:val="Standard"/>
    <w:link w:val="FunotentextZchn"/>
    <w:rsid w:val="008935B9"/>
    <w:rPr>
      <w:szCs w:val="20"/>
    </w:rPr>
  </w:style>
  <w:style w:type="character" w:styleId="Funotenzeichen">
    <w:name w:val="footnote reference"/>
    <w:basedOn w:val="Absatz-Standardschriftart"/>
    <w:semiHidden/>
    <w:rsid w:val="008935B9"/>
    <w:rPr>
      <w:vertAlign w:val="superscript"/>
    </w:rPr>
  </w:style>
  <w:style w:type="paragraph" w:customStyle="1" w:styleId="Text">
    <w:name w:val="Text"/>
    <w:basedOn w:val="Standard"/>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Standard"/>
    <w:rsid w:val="00A50B64"/>
    <w:pPr>
      <w:numPr>
        <w:numId w:val="6"/>
      </w:numPr>
    </w:pPr>
    <w:rPr>
      <w:lang w:eastAsia="ja-JP"/>
    </w:rPr>
  </w:style>
  <w:style w:type="paragraph" w:customStyle="1" w:styleId="ECCAnnexheading2">
    <w:name w:val="ECC Annex heading2"/>
    <w:basedOn w:val="Standard"/>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Standard"/>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Standard"/>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Standard"/>
    <w:rsid w:val="00080D86"/>
    <w:pPr>
      <w:spacing w:before="120" w:after="120"/>
      <w:ind w:left="3402"/>
    </w:pPr>
    <w:rPr>
      <w:bCs/>
      <w:sz w:val="18"/>
    </w:rPr>
  </w:style>
  <w:style w:type="paragraph" w:customStyle="1" w:styleId="Reporttitledescription">
    <w:name w:val="Report title/description"/>
    <w:basedOn w:val="Standard"/>
    <w:rsid w:val="009B4646"/>
    <w:pPr>
      <w:spacing w:before="600" w:line="288" w:lineRule="auto"/>
      <w:ind w:left="3402"/>
    </w:pPr>
    <w:rPr>
      <w:sz w:val="24"/>
    </w:rPr>
  </w:style>
  <w:style w:type="paragraph" w:styleId="Beschriftung">
    <w:name w:val="caption"/>
    <w:basedOn w:val="Standard"/>
    <w:next w:val="Standard"/>
    <w:uiPriority w:val="35"/>
    <w:semiHidden/>
    <w:unhideWhenUsed/>
    <w:qFormat/>
    <w:rsid w:val="00C4710C"/>
    <w:pPr>
      <w:spacing w:before="240" w:after="240"/>
      <w:jc w:val="center"/>
    </w:pPr>
    <w:rPr>
      <w:b/>
      <w:bCs/>
      <w:color w:val="D2232A"/>
      <w:szCs w:val="20"/>
    </w:rPr>
  </w:style>
  <w:style w:type="numbering" w:customStyle="1" w:styleId="ECCBullets">
    <w:name w:val="ECC Bullets"/>
    <w:basedOn w:val="KeineListe"/>
    <w:rsid w:val="00B113AE"/>
    <w:pPr>
      <w:numPr>
        <w:numId w:val="8"/>
      </w:numPr>
    </w:pPr>
  </w:style>
  <w:style w:type="paragraph" w:customStyle="1" w:styleId="ECCNumbered-LetteredList">
    <w:name w:val="ECC Numbered-Lettered List"/>
    <w:basedOn w:val="Standard"/>
    <w:qFormat/>
    <w:rsid w:val="00DF2C67"/>
    <w:pPr>
      <w:numPr>
        <w:numId w:val="16"/>
      </w:numPr>
    </w:pPr>
  </w:style>
  <w:style w:type="paragraph" w:customStyle="1" w:styleId="ECCNumberedBullets">
    <w:name w:val="ECC Numbered Bullets"/>
    <w:basedOn w:val="Standard"/>
    <w:rsid w:val="00DF2C67"/>
    <w:pPr>
      <w:numPr>
        <w:numId w:val="14"/>
      </w:numPr>
    </w:pPr>
  </w:style>
  <w:style w:type="paragraph" w:styleId="Sprechblasentext">
    <w:name w:val="Balloon Text"/>
    <w:basedOn w:val="Standard"/>
    <w:link w:val="SprechblasentextZchn"/>
    <w:uiPriority w:val="99"/>
    <w:semiHidden/>
    <w:unhideWhenUs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14"/>
      </w:numPr>
    </w:pPr>
  </w:style>
  <w:style w:type="numbering" w:customStyle="1" w:styleId="ECCNumbers-Letters">
    <w:name w:val="ECC Numbers-Letters"/>
    <w:uiPriority w:val="99"/>
    <w:rsid w:val="00DF2C67"/>
    <w:pPr>
      <w:numPr>
        <w:numId w:val="16"/>
      </w:numPr>
    </w:pPr>
  </w:style>
  <w:style w:type="paragraph" w:customStyle="1" w:styleId="Kopfzeile1">
    <w:name w:val="Kopfzeile1"/>
    <w:basedOn w:val="Kopfzeile"/>
    <w:uiPriority w:val="99"/>
    <w:rsid w:val="00C1412E"/>
    <w:pPr>
      <w:tabs>
        <w:tab w:val="clear" w:pos="4320"/>
        <w:tab w:val="clear" w:pos="8640"/>
        <w:tab w:val="center" w:pos="4536"/>
        <w:tab w:val="right" w:pos="9072"/>
      </w:tabs>
    </w:pPr>
    <w:rPr>
      <w:sz w:val="22"/>
      <w:szCs w:val="20"/>
      <w:lang w:val="nb-NO" w:eastAsia="de-DE"/>
    </w:rPr>
  </w:style>
  <w:style w:type="paragraph" w:customStyle="1" w:styleId="Header1">
    <w:name w:val="Header1"/>
    <w:basedOn w:val="Kopfzeile"/>
    <w:link w:val="HeaderZchnZchn"/>
    <w:uiPriority w:val="99"/>
    <w:rsid w:val="00C1412E"/>
    <w:pPr>
      <w:tabs>
        <w:tab w:val="clear" w:pos="4320"/>
        <w:tab w:val="clear" w:pos="8640"/>
        <w:tab w:val="center" w:pos="4536"/>
        <w:tab w:val="right" w:pos="9072"/>
      </w:tabs>
      <w:spacing w:before="60"/>
    </w:pPr>
    <w:rPr>
      <w:sz w:val="22"/>
      <w:szCs w:val="20"/>
      <w:lang w:val="nb-NO" w:eastAsia="ja-JP"/>
    </w:rPr>
  </w:style>
  <w:style w:type="character" w:customStyle="1" w:styleId="HeaderZchnZchn">
    <w:name w:val="Header Zchn Zchn"/>
    <w:link w:val="Header1"/>
    <w:uiPriority w:val="99"/>
    <w:locked/>
    <w:rsid w:val="00C1412E"/>
    <w:rPr>
      <w:rFonts w:ascii="Arial" w:hAnsi="Arial"/>
      <w:b/>
      <w:sz w:val="22"/>
      <w:lang w:val="nb-NO" w:eastAsia="ja-JP"/>
    </w:rPr>
  </w:style>
  <w:style w:type="character" w:customStyle="1" w:styleId="TableheadChar">
    <w:name w:val="Table_head Char"/>
    <w:basedOn w:val="Absatz-Standardschriftart"/>
    <w:link w:val="Tablehead"/>
    <w:locked/>
    <w:rsid w:val="0042760C"/>
    <w:rPr>
      <w:rFonts w:ascii="Times New Roman Bold" w:hAnsi="Times New Roman Bold" w:cs="Times New Roman Bold"/>
      <w:b/>
      <w:lang w:val="en-GB"/>
    </w:rPr>
  </w:style>
  <w:style w:type="paragraph" w:customStyle="1" w:styleId="Tablehead">
    <w:name w:val="Table_head"/>
    <w:basedOn w:val="Standard"/>
    <w:link w:val="TableheadChar"/>
    <w:rsid w:val="0042760C"/>
    <w:pPr>
      <w:keepNext/>
      <w:tabs>
        <w:tab w:val="left" w:pos="1134"/>
        <w:tab w:val="left" w:pos="1871"/>
        <w:tab w:val="left" w:pos="2268"/>
      </w:tabs>
      <w:overflowPunct w:val="0"/>
      <w:autoSpaceDE w:val="0"/>
      <w:autoSpaceDN w:val="0"/>
      <w:adjustRightInd w:val="0"/>
      <w:spacing w:before="80" w:after="80"/>
      <w:jc w:val="center"/>
    </w:pPr>
    <w:rPr>
      <w:rFonts w:ascii="Times New Roman Bold" w:hAnsi="Times New Roman Bold" w:cs="Times New Roman Bold"/>
      <w:b/>
      <w:szCs w:val="20"/>
      <w:lang w:val="en-GB"/>
    </w:rPr>
  </w:style>
  <w:style w:type="paragraph" w:customStyle="1" w:styleId="TableTextS5">
    <w:name w:val="Table_TextS5"/>
    <w:basedOn w:val="Standard"/>
    <w:rsid w:val="0042760C"/>
    <w:pPr>
      <w:tabs>
        <w:tab w:val="left" w:pos="170"/>
        <w:tab w:val="left" w:pos="567"/>
        <w:tab w:val="left" w:pos="737"/>
        <w:tab w:val="left" w:pos="2977"/>
        <w:tab w:val="left" w:pos="3266"/>
      </w:tabs>
      <w:overflowPunct w:val="0"/>
      <w:autoSpaceDE w:val="0"/>
      <w:autoSpaceDN w:val="0"/>
      <w:adjustRightInd w:val="0"/>
      <w:spacing w:before="40" w:after="40"/>
      <w:jc w:val="both"/>
    </w:pPr>
    <w:rPr>
      <w:rFonts w:ascii="Times New Roman" w:hAnsi="Times New Roman"/>
      <w:szCs w:val="20"/>
      <w:lang w:val="en-GB"/>
    </w:rPr>
  </w:style>
  <w:style w:type="character" w:customStyle="1" w:styleId="TabletitleChar">
    <w:name w:val="Table_title Char"/>
    <w:basedOn w:val="Absatz-Standardschriftart"/>
    <w:link w:val="Tabletitle"/>
    <w:locked/>
    <w:rsid w:val="0042760C"/>
    <w:rPr>
      <w:rFonts w:ascii="Times New Roman Bold" w:hAnsi="Times New Roman Bold" w:cs="Times New Roman Bold"/>
      <w:b/>
      <w:lang w:val="en-GB"/>
    </w:rPr>
  </w:style>
  <w:style w:type="paragraph" w:customStyle="1" w:styleId="Tabletitle">
    <w:name w:val="Table_title"/>
    <w:basedOn w:val="Standard"/>
    <w:next w:val="Standard"/>
    <w:link w:val="TabletitleChar"/>
    <w:rsid w:val="0042760C"/>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cs="Times New Roman Bold"/>
      <w:b/>
      <w:szCs w:val="20"/>
      <w:lang w:val="en-GB"/>
    </w:rPr>
  </w:style>
  <w:style w:type="character" w:customStyle="1" w:styleId="Artref">
    <w:name w:val="Art_ref"/>
    <w:basedOn w:val="Absatz-Standardschriftart"/>
    <w:rsid w:val="0042760C"/>
  </w:style>
  <w:style w:type="character" w:customStyle="1" w:styleId="Tablefreq">
    <w:name w:val="Table_freq"/>
    <w:basedOn w:val="Absatz-Standardschriftart"/>
    <w:rsid w:val="0042760C"/>
    <w:rPr>
      <w:b/>
      <w:bCs w:val="0"/>
      <w:color w:val="auto"/>
      <w:sz w:val="20"/>
    </w:rPr>
  </w:style>
  <w:style w:type="character" w:customStyle="1" w:styleId="Note2Char">
    <w:name w:val="Note2 Char"/>
    <w:basedOn w:val="Absatz-Standardschriftart"/>
    <w:link w:val="Note2"/>
    <w:locked/>
    <w:rsid w:val="001724C2"/>
    <w:rPr>
      <w:szCs w:val="16"/>
      <w:lang w:val="en-GB"/>
    </w:rPr>
  </w:style>
  <w:style w:type="paragraph" w:customStyle="1" w:styleId="Note2">
    <w:name w:val="Note2"/>
    <w:basedOn w:val="Standard"/>
    <w:link w:val="Note2Char"/>
    <w:qFormat/>
    <w:rsid w:val="001724C2"/>
    <w:pPr>
      <w:tabs>
        <w:tab w:val="left" w:pos="284"/>
        <w:tab w:val="left" w:pos="1134"/>
        <w:tab w:val="left" w:pos="1871"/>
        <w:tab w:val="left" w:pos="2268"/>
      </w:tabs>
      <w:overflowPunct w:val="0"/>
      <w:autoSpaceDE w:val="0"/>
      <w:autoSpaceDN w:val="0"/>
      <w:adjustRightInd w:val="0"/>
      <w:spacing w:before="80"/>
      <w:jc w:val="both"/>
    </w:pPr>
    <w:rPr>
      <w:rFonts w:ascii="Times New Roman" w:hAnsi="Times New Roman"/>
      <w:szCs w:val="16"/>
      <w:lang w:val="en-GB"/>
    </w:rPr>
  </w:style>
  <w:style w:type="character" w:customStyle="1" w:styleId="Artdef">
    <w:name w:val="Art_def"/>
    <w:basedOn w:val="Absatz-Standardschriftart"/>
    <w:rsid w:val="001724C2"/>
    <w:rPr>
      <w:rFonts w:ascii="Times New Roman" w:hAnsi="Times New Roman" w:cs="Times New Roman" w:hint="default"/>
      <w:b/>
      <w:bCs w:val="0"/>
    </w:rPr>
  </w:style>
  <w:style w:type="character" w:customStyle="1" w:styleId="ArtrefBold">
    <w:name w:val="Art_ref + Bold"/>
    <w:basedOn w:val="Absatz-Standardschriftart"/>
    <w:rsid w:val="001724C2"/>
    <w:rPr>
      <w:b/>
      <w:bCs/>
      <w:color w:val="auto"/>
    </w:rPr>
  </w:style>
  <w:style w:type="character" w:customStyle="1" w:styleId="FuzeileZchn">
    <w:name w:val="Fußzeile Zchn"/>
    <w:aliases w:val="footer odd Zchn,footer Zchn,pie de página Zchn,pie de p·gina Zchn"/>
    <w:basedOn w:val="Absatz-Standardschriftart"/>
    <w:link w:val="Fuzeile"/>
    <w:uiPriority w:val="99"/>
    <w:rsid w:val="00A943DC"/>
    <w:rPr>
      <w:rFonts w:ascii="Arial" w:hAnsi="Arial"/>
      <w:szCs w:val="24"/>
      <w:lang w:val="en-US"/>
    </w:rPr>
  </w:style>
  <w:style w:type="character" w:customStyle="1" w:styleId="FunotentextZchn">
    <w:name w:val="Fußnotentext Zchn"/>
    <w:link w:val="Funotentext"/>
    <w:rsid w:val="004030D3"/>
    <w:rPr>
      <w:rFonts w:ascii="Arial" w:hAnsi="Arial"/>
      <w:lang w:val="en-US"/>
    </w:rPr>
  </w:style>
  <w:style w:type="paragraph" w:styleId="StandardWeb">
    <w:name w:val="Normal (Web)"/>
    <w:basedOn w:val="Standard"/>
    <w:uiPriority w:val="99"/>
    <w:unhideWhenUsed/>
    <w:rsid w:val="0077083A"/>
    <w:pPr>
      <w:spacing w:before="100" w:beforeAutospacing="1" w:after="100" w:afterAutospacing="1"/>
    </w:pPr>
    <w:rPr>
      <w:rFonts w:ascii="Times New Roman" w:hAnsi="Times New Roman"/>
      <w:sz w:val="24"/>
      <w:lang w:val="de-DE" w:eastAsia="de-DE"/>
    </w:rPr>
  </w:style>
  <w:style w:type="paragraph" w:styleId="Listenabsatz">
    <w:name w:val="List Paragraph"/>
    <w:basedOn w:val="Standard"/>
    <w:uiPriority w:val="34"/>
    <w:qFormat/>
    <w:rsid w:val="0077083A"/>
    <w:pPr>
      <w:ind w:left="720"/>
      <w:contextualSpacing/>
    </w:pPr>
    <w:rPr>
      <w:rFonts w:ascii="Times New Roman" w:hAnsi="Times New Roman"/>
      <w:sz w:val="24"/>
      <w:lang w:val="de-DE" w:eastAsia="de-DE"/>
    </w:rPr>
  </w:style>
  <w:style w:type="paragraph" w:customStyle="1" w:styleId="Paragraphedeliste">
    <w:name w:val="Paragraphe de liste"/>
    <w:basedOn w:val="Standard"/>
    <w:qFormat/>
    <w:rsid w:val="00B417A3"/>
    <w:pPr>
      <w:tabs>
        <w:tab w:val="left" w:pos="1134"/>
        <w:tab w:val="left" w:pos="1871"/>
        <w:tab w:val="left" w:pos="2268"/>
      </w:tabs>
      <w:overflowPunct w:val="0"/>
      <w:autoSpaceDE w:val="0"/>
      <w:autoSpaceDN w:val="0"/>
      <w:adjustRightInd w:val="0"/>
      <w:spacing w:before="120"/>
      <w:ind w:left="720"/>
      <w:contextualSpacing/>
      <w:textAlignment w:val="baseline"/>
    </w:pPr>
    <w:rPr>
      <w:rFonts w:ascii="Calibri" w:hAnsi="Calibri"/>
      <w:sz w:val="24"/>
      <w:szCs w:val="20"/>
      <w:lang w:val="fr-FR" w:bidi="en-US"/>
    </w:rPr>
  </w:style>
  <w:style w:type="paragraph" w:customStyle="1" w:styleId="Tabletext">
    <w:name w:val="Table_text"/>
    <w:basedOn w:val="Standard"/>
    <w:link w:val="TabletextChar"/>
    <w:rsid w:val="00B417A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fr-FR"/>
    </w:rPr>
  </w:style>
  <w:style w:type="character" w:customStyle="1" w:styleId="TabletextChar">
    <w:name w:val="Table_text Char"/>
    <w:basedOn w:val="Absatz-Standardschriftart"/>
    <w:link w:val="Tabletext"/>
    <w:locked/>
    <w:rsid w:val="00B417A3"/>
    <w:rPr>
      <w:lang w:val="fr-FR"/>
    </w:rPr>
  </w:style>
  <w:style w:type="paragraph" w:customStyle="1" w:styleId="ArtNo">
    <w:name w:val="Art_No"/>
    <w:basedOn w:val="Standard"/>
    <w:next w:val="Arttitle"/>
    <w:rsid w:val="00BB2711"/>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w:hAnsi="Times New Roman"/>
      <w:caps/>
      <w:sz w:val="28"/>
      <w:szCs w:val="20"/>
      <w:lang w:val="fr-FR"/>
    </w:rPr>
  </w:style>
  <w:style w:type="paragraph" w:customStyle="1" w:styleId="Arttitle">
    <w:name w:val="Art_title"/>
    <w:basedOn w:val="Standard"/>
    <w:next w:val="Standard"/>
    <w:rsid w:val="00BB271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w:hAnsi="Times New Roman"/>
      <w:b/>
      <w:sz w:val="28"/>
      <w:szCs w:val="20"/>
      <w:lang w:val="fr-FR"/>
    </w:rPr>
  </w:style>
  <w:style w:type="paragraph" w:customStyle="1" w:styleId="Section1">
    <w:name w:val="Section_1"/>
    <w:basedOn w:val="Standard"/>
    <w:rsid w:val="00BB2711"/>
    <w:pPr>
      <w:tabs>
        <w:tab w:val="center" w:pos="4820"/>
      </w:tabs>
      <w:overflowPunct w:val="0"/>
      <w:autoSpaceDE w:val="0"/>
      <w:autoSpaceDN w:val="0"/>
      <w:adjustRightInd w:val="0"/>
      <w:spacing w:before="360"/>
      <w:jc w:val="center"/>
      <w:textAlignment w:val="baseline"/>
    </w:pPr>
    <w:rPr>
      <w:rFonts w:ascii="Times New Roman" w:hAnsi="Times New Roman"/>
      <w:b/>
      <w:sz w:val="24"/>
      <w:szCs w:val="20"/>
      <w:lang w:val="fr-FR"/>
    </w:rPr>
  </w:style>
  <w:style w:type="character" w:customStyle="1" w:styleId="href">
    <w:name w:val="href"/>
    <w:basedOn w:val="Absatz-Standardschriftart"/>
    <w:rsid w:val="00BB2711"/>
  </w:style>
  <w:style w:type="character" w:styleId="Endnotenzeichen">
    <w:name w:val="endnote reference"/>
    <w:uiPriority w:val="99"/>
    <w:semiHidden/>
    <w:rsid w:val="00BB2711"/>
    <w:rPr>
      <w:vertAlign w:val="superscript"/>
    </w:rPr>
  </w:style>
  <w:style w:type="paragraph" w:styleId="Endnotentext">
    <w:name w:val="endnote text"/>
    <w:basedOn w:val="Standard"/>
    <w:link w:val="EndnotentextZchn"/>
    <w:uiPriority w:val="99"/>
    <w:semiHidden/>
    <w:unhideWhenUsed/>
    <w:rsid w:val="00BB2711"/>
    <w:rPr>
      <w:szCs w:val="20"/>
    </w:rPr>
  </w:style>
  <w:style w:type="character" w:customStyle="1" w:styleId="EndnotentextZchn">
    <w:name w:val="Endnotentext Zchn"/>
    <w:basedOn w:val="Absatz-Standardschriftart"/>
    <w:link w:val="Endnotentext"/>
    <w:uiPriority w:val="99"/>
    <w:semiHidden/>
    <w:rsid w:val="00BB2711"/>
    <w:rPr>
      <w:rFonts w:ascii="Arial" w:hAnsi="Arial"/>
      <w:lang w:val="en-US"/>
    </w:rPr>
  </w:style>
  <w:style w:type="paragraph" w:customStyle="1" w:styleId="Default">
    <w:name w:val="Default"/>
    <w:rsid w:val="00DE08AB"/>
    <w:pPr>
      <w:autoSpaceDE w:val="0"/>
      <w:autoSpaceDN w:val="0"/>
      <w:adjustRightInd w:val="0"/>
    </w:pPr>
    <w:rPr>
      <w:color w:val="000000"/>
      <w:sz w:val="24"/>
      <w:szCs w:val="24"/>
      <w:lang w:val="de-DE"/>
    </w:rPr>
  </w:style>
  <w:style w:type="paragraph" w:styleId="berarbeitung">
    <w:name w:val="Revision"/>
    <w:hidden/>
    <w:uiPriority w:val="99"/>
    <w:semiHidden/>
    <w:rsid w:val="00700834"/>
    <w:rPr>
      <w:rFonts w:ascii="Arial" w:hAnsi="Arial"/>
      <w:szCs w:val="24"/>
      <w:lang w:val="en-US"/>
    </w:rPr>
  </w:style>
  <w:style w:type="character" w:styleId="Kommentarzeichen">
    <w:name w:val="annotation reference"/>
    <w:basedOn w:val="Absatz-Standardschriftart"/>
    <w:uiPriority w:val="99"/>
    <w:semiHidden/>
    <w:unhideWhenUsed/>
    <w:rsid w:val="005F76E6"/>
    <w:rPr>
      <w:sz w:val="16"/>
      <w:szCs w:val="16"/>
    </w:rPr>
  </w:style>
  <w:style w:type="paragraph" w:styleId="Kommentartext">
    <w:name w:val="annotation text"/>
    <w:basedOn w:val="Standard"/>
    <w:link w:val="KommentartextZchn"/>
    <w:uiPriority w:val="99"/>
    <w:unhideWhenUsed/>
    <w:rsid w:val="005F76E6"/>
    <w:rPr>
      <w:szCs w:val="20"/>
    </w:rPr>
  </w:style>
  <w:style w:type="character" w:customStyle="1" w:styleId="KommentartextZchn">
    <w:name w:val="Kommentartext Zchn"/>
    <w:basedOn w:val="Absatz-Standardschriftart"/>
    <w:link w:val="Kommentartext"/>
    <w:uiPriority w:val="99"/>
    <w:rsid w:val="005F76E6"/>
    <w:rPr>
      <w:rFonts w:ascii="Arial" w:hAnsi="Arial"/>
      <w:lang w:val="en-US"/>
    </w:rPr>
  </w:style>
  <w:style w:type="paragraph" w:styleId="Kommentarthema">
    <w:name w:val="annotation subject"/>
    <w:basedOn w:val="Kommentartext"/>
    <w:next w:val="Kommentartext"/>
    <w:link w:val="KommentarthemaZchn"/>
    <w:uiPriority w:val="99"/>
    <w:semiHidden/>
    <w:unhideWhenUsed/>
    <w:rsid w:val="005F76E6"/>
    <w:rPr>
      <w:b/>
      <w:bCs/>
    </w:rPr>
  </w:style>
  <w:style w:type="character" w:customStyle="1" w:styleId="KommentarthemaZchn">
    <w:name w:val="Kommentarthema Zchn"/>
    <w:basedOn w:val="KommentartextZchn"/>
    <w:link w:val="Kommentarthema"/>
    <w:uiPriority w:val="99"/>
    <w:semiHidden/>
    <w:rsid w:val="005F76E6"/>
    <w:rPr>
      <w:rFonts w:ascii="Arial" w:hAnsi="Arial"/>
      <w:b/>
      <w:bCs/>
      <w:lang w:val="en-US"/>
    </w:rPr>
  </w:style>
  <w:style w:type="paragraph" w:customStyle="1" w:styleId="enumlev1">
    <w:name w:val="enumlev1"/>
    <w:basedOn w:val="Standard"/>
    <w:link w:val="enumlev1Char"/>
    <w:uiPriority w:val="99"/>
    <w:rsid w:val="00D85A04"/>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ascii="Times New Roman" w:hAnsi="Times New Roman"/>
      <w:sz w:val="24"/>
      <w:szCs w:val="20"/>
      <w:lang w:val="en-GB"/>
    </w:rPr>
  </w:style>
  <w:style w:type="character" w:customStyle="1" w:styleId="enumlev1Char">
    <w:name w:val="enumlev1 Char"/>
    <w:link w:val="enumlev1"/>
    <w:uiPriority w:val="99"/>
    <w:locked/>
    <w:rsid w:val="00D85A04"/>
    <w:rPr>
      <w:sz w:val="24"/>
      <w:lang w:val="en-GB"/>
    </w:rPr>
  </w:style>
  <w:style w:type="paragraph" w:customStyle="1" w:styleId="CharCharZchnZchn">
    <w:name w:val=" Char Char Zchn Zchn"/>
    <w:basedOn w:val="Standard"/>
    <w:rsid w:val="002C6DFC"/>
    <w:pPr>
      <w:tabs>
        <w:tab w:val="left" w:pos="540"/>
        <w:tab w:val="left" w:pos="1260"/>
        <w:tab w:val="left" w:pos="1800"/>
      </w:tabs>
      <w:spacing w:before="240" w:after="160" w:line="240" w:lineRule="exact"/>
    </w:pPr>
    <w:rPr>
      <w:rFonts w:ascii="Verdana" w:hAnsi="Verdan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1462">
      <w:bodyDiv w:val="1"/>
      <w:marLeft w:val="0"/>
      <w:marRight w:val="0"/>
      <w:marTop w:val="0"/>
      <w:marBottom w:val="0"/>
      <w:divBdr>
        <w:top w:val="none" w:sz="0" w:space="0" w:color="auto"/>
        <w:left w:val="none" w:sz="0" w:space="0" w:color="auto"/>
        <w:bottom w:val="none" w:sz="0" w:space="0" w:color="auto"/>
        <w:right w:val="none" w:sz="0" w:space="0" w:color="auto"/>
      </w:divBdr>
    </w:div>
    <w:div w:id="251359818">
      <w:bodyDiv w:val="1"/>
      <w:marLeft w:val="0"/>
      <w:marRight w:val="0"/>
      <w:marTop w:val="0"/>
      <w:marBottom w:val="0"/>
      <w:divBdr>
        <w:top w:val="none" w:sz="0" w:space="0" w:color="auto"/>
        <w:left w:val="none" w:sz="0" w:space="0" w:color="auto"/>
        <w:bottom w:val="none" w:sz="0" w:space="0" w:color="auto"/>
        <w:right w:val="none" w:sz="0" w:space="0" w:color="auto"/>
      </w:divBdr>
      <w:divsChild>
        <w:div w:id="1001466480">
          <w:marLeft w:val="547"/>
          <w:marRight w:val="0"/>
          <w:marTop w:val="96"/>
          <w:marBottom w:val="0"/>
          <w:divBdr>
            <w:top w:val="none" w:sz="0" w:space="0" w:color="auto"/>
            <w:left w:val="none" w:sz="0" w:space="0" w:color="auto"/>
            <w:bottom w:val="none" w:sz="0" w:space="0" w:color="auto"/>
            <w:right w:val="none" w:sz="0" w:space="0" w:color="auto"/>
          </w:divBdr>
        </w:div>
      </w:divsChild>
    </w:div>
    <w:div w:id="1176265307">
      <w:bodyDiv w:val="1"/>
      <w:marLeft w:val="0"/>
      <w:marRight w:val="0"/>
      <w:marTop w:val="0"/>
      <w:marBottom w:val="0"/>
      <w:divBdr>
        <w:top w:val="none" w:sz="0" w:space="0" w:color="auto"/>
        <w:left w:val="none" w:sz="0" w:space="0" w:color="auto"/>
        <w:bottom w:val="none" w:sz="0" w:space="0" w:color="auto"/>
        <w:right w:val="none" w:sz="0" w:space="0" w:color="auto"/>
      </w:divBdr>
    </w:div>
    <w:div w:id="1670205731">
      <w:bodyDiv w:val="1"/>
      <w:marLeft w:val="0"/>
      <w:marRight w:val="0"/>
      <w:marTop w:val="0"/>
      <w:marBottom w:val="0"/>
      <w:divBdr>
        <w:top w:val="none" w:sz="0" w:space="0" w:color="auto"/>
        <w:left w:val="none" w:sz="0" w:space="0" w:color="auto"/>
        <w:bottom w:val="none" w:sz="0" w:space="0" w:color="auto"/>
        <w:right w:val="none" w:sz="0" w:space="0" w:color="auto"/>
      </w:divBdr>
    </w:div>
    <w:div w:id="1698307390">
      <w:bodyDiv w:val="1"/>
      <w:marLeft w:val="0"/>
      <w:marRight w:val="0"/>
      <w:marTop w:val="0"/>
      <w:marBottom w:val="0"/>
      <w:divBdr>
        <w:top w:val="none" w:sz="0" w:space="0" w:color="auto"/>
        <w:left w:val="none" w:sz="0" w:space="0" w:color="auto"/>
        <w:bottom w:val="none" w:sz="0" w:space="0" w:color="auto"/>
        <w:right w:val="none" w:sz="0" w:space="0" w:color="auto"/>
      </w:divBdr>
    </w:div>
    <w:div w:id="1767842811">
      <w:bodyDiv w:val="1"/>
      <w:marLeft w:val="0"/>
      <w:marRight w:val="0"/>
      <w:marTop w:val="0"/>
      <w:marBottom w:val="0"/>
      <w:divBdr>
        <w:top w:val="none" w:sz="0" w:space="0" w:color="auto"/>
        <w:left w:val="none" w:sz="0" w:space="0" w:color="auto"/>
        <w:bottom w:val="none" w:sz="0" w:space="0" w:color="auto"/>
        <w:right w:val="none" w:sz="0" w:space="0" w:color="auto"/>
      </w:divBdr>
    </w:div>
    <w:div w:id="1838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lla\STELLA\CPG%20PTC\1st%20meeting%20ECO\TEMP%20docs_new\CEPT%20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96FB-F637-4452-B4DA-076E7F8BD4DF}">
  <ds:schemaRefs>
    <ds:schemaRef ds:uri="http://schemas.openxmlformats.org/officeDocument/2006/bibliography"/>
  </ds:schemaRefs>
</ds:datastoreItem>
</file>

<file path=customXml/itemProps2.xml><?xml version="1.0" encoding="utf-8"?>
<ds:datastoreItem xmlns:ds="http://schemas.openxmlformats.org/officeDocument/2006/customXml" ds:itemID="{B78FD400-8054-45FF-BE67-D5D5D95F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CEPT Brief.dotx</Template>
  <TotalTime>0</TotalTime>
  <Pages>6</Pages>
  <Words>1547</Words>
  <Characters>9752</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ECO</Company>
  <LinksUpToDate>false</LinksUpToDate>
  <CharactersWithSpaces>11277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Neri</dc:creator>
  <dc:description>This template is used as guidance to draft CEPT Brief</dc:description>
  <cp:lastModifiedBy>Stefan Hiensch</cp:lastModifiedBy>
  <cp:revision>2</cp:revision>
  <cp:lastPrinted>2014-01-20T10:57:00Z</cp:lastPrinted>
  <dcterms:created xsi:type="dcterms:W3CDTF">2014-01-21T15:01:00Z</dcterms:created>
  <dcterms:modified xsi:type="dcterms:W3CDTF">2014-01-21T15:01:00Z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