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352"/>
        <w:gridCol w:w="3240"/>
      </w:tblGrid>
      <w:tr w:rsidR="00503613" w:rsidRPr="00756542">
        <w:trPr>
          <w:cantSplit/>
        </w:trPr>
        <w:tc>
          <w:tcPr>
            <w:tcW w:w="6120" w:type="dxa"/>
            <w:gridSpan w:val="2"/>
          </w:tcPr>
          <w:p w:rsidR="00503613" w:rsidRPr="009A7ACB" w:rsidRDefault="00503613" w:rsidP="00656CC8">
            <w:pPr>
              <w:rPr>
                <w:lang w:eastAsia="de-DE"/>
              </w:rPr>
            </w:pPr>
            <w:r w:rsidRPr="00756542">
              <w:br w:type="page"/>
            </w:r>
            <w:r w:rsidR="008A3349">
              <w:rPr>
                <w:bCs/>
                <w:noProof/>
                <w:lang w:val="de-DE" w:eastAsia="de-DE"/>
              </w:rPr>
              <w:drawing>
                <wp:inline distT="0" distB="0" distL="0" distR="0" wp14:anchorId="551021D3" wp14:editId="66EE6F1F">
                  <wp:extent cx="1626870" cy="836930"/>
                  <wp:effectExtent l="0" t="0" r="0" b="127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03613" w:rsidRPr="00756542" w:rsidRDefault="00DB638A" w:rsidP="006B0FC2">
            <w:pPr>
              <w:jc w:val="right"/>
              <w:rPr>
                <w:b/>
              </w:rPr>
            </w:pPr>
            <w:r>
              <w:rPr>
                <w:b/>
              </w:rPr>
              <w:t>Doc. ECC/</w:t>
            </w:r>
            <w:r w:rsidR="00D90A05">
              <w:rPr>
                <w:b/>
              </w:rPr>
              <w:t>SE</w:t>
            </w:r>
            <w:r w:rsidR="001F29AB">
              <w:rPr>
                <w:b/>
              </w:rPr>
              <w:t>(1</w:t>
            </w:r>
            <w:r w:rsidR="00D90A05">
              <w:rPr>
                <w:b/>
              </w:rPr>
              <w:t>4</w:t>
            </w:r>
            <w:r w:rsidR="001F29AB">
              <w:rPr>
                <w:b/>
              </w:rPr>
              <w:t>)</w:t>
            </w:r>
            <w:r w:rsidR="00C01E74">
              <w:rPr>
                <w:b/>
              </w:rPr>
              <w:t>037</w:t>
            </w:r>
          </w:p>
          <w:p w:rsidR="0073305B" w:rsidRPr="00756542" w:rsidRDefault="0073305B" w:rsidP="00656CC8">
            <w:pPr>
              <w:rPr>
                <w:b/>
                <w:lang w:eastAsia="de-DE"/>
              </w:rPr>
            </w:pPr>
          </w:p>
        </w:tc>
      </w:tr>
      <w:tr w:rsidR="00503613" w:rsidRPr="00756542">
        <w:trPr>
          <w:trHeight w:val="567"/>
        </w:trPr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1F29AB" w:rsidRDefault="001F29AB" w:rsidP="00656CC8">
            <w:pPr>
              <w:rPr>
                <w:b/>
              </w:rPr>
            </w:pPr>
            <w:r w:rsidRPr="001F29AB">
              <w:rPr>
                <w:b/>
                <w:color w:val="808080"/>
                <w:sz w:val="28"/>
                <w:szCs w:val="28"/>
              </w:rPr>
              <w:t>Working Group SE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756542" w:rsidRDefault="006928FB" w:rsidP="00656CC8">
            <w:pPr>
              <w:rPr>
                <w:lang w:eastAsia="de-DE"/>
              </w:rPr>
            </w:pPr>
          </w:p>
        </w:tc>
      </w:tr>
      <w:tr w:rsidR="00503613" w:rsidRPr="00756542"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9AB" w:rsidRDefault="001F29AB" w:rsidP="001F29AB">
            <w:pPr>
              <w:rPr>
                <w:b/>
              </w:rPr>
            </w:pPr>
          </w:p>
          <w:p w:rsidR="001F29AB" w:rsidRPr="001F29AB" w:rsidRDefault="00D90A05" w:rsidP="001F29AB">
            <w:pPr>
              <w:rPr>
                <w:b/>
              </w:rPr>
            </w:pPr>
            <w:r>
              <w:rPr>
                <w:b/>
              </w:rPr>
              <w:t>PT SE</w:t>
            </w:r>
            <w:r w:rsidR="001F29AB" w:rsidRPr="001F29AB">
              <w:rPr>
                <w:b/>
              </w:rPr>
              <w:t xml:space="preserve"> Meeting</w:t>
            </w:r>
          </w:p>
          <w:p w:rsidR="00503613" w:rsidRPr="00756542" w:rsidRDefault="008C28A0" w:rsidP="008C28A0">
            <w:pPr>
              <w:rPr>
                <w:b/>
              </w:rPr>
            </w:pPr>
            <w:proofErr w:type="spellStart"/>
            <w:r>
              <w:rPr>
                <w:b/>
              </w:rPr>
              <w:t>Sesimbra</w:t>
            </w:r>
            <w:proofErr w:type="spellEnd"/>
            <w:r w:rsidR="00D90A05">
              <w:rPr>
                <w:b/>
              </w:rPr>
              <w:t xml:space="preserve">, </w:t>
            </w:r>
            <w:r>
              <w:rPr>
                <w:b/>
              </w:rPr>
              <w:t>Portugal</w:t>
            </w:r>
            <w:r w:rsidR="00D90A05">
              <w:rPr>
                <w:b/>
              </w:rPr>
              <w:t>, 27 – 31</w:t>
            </w:r>
            <w:r w:rsidR="001F29AB" w:rsidRPr="001F29AB">
              <w:rPr>
                <w:b/>
              </w:rPr>
              <w:t xml:space="preserve"> </w:t>
            </w:r>
            <w:r w:rsidR="00D90A05">
              <w:rPr>
                <w:b/>
              </w:rPr>
              <w:t>January</w:t>
            </w:r>
            <w:r w:rsidR="001F29AB" w:rsidRPr="001F29AB">
              <w:rPr>
                <w:b/>
              </w:rPr>
              <w:t xml:space="preserve"> 201</w:t>
            </w:r>
            <w:r w:rsidR="00D90A05">
              <w:rPr>
                <w:b/>
              </w:rPr>
              <w:t>4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9764B1">
            <w:pPr>
              <w:pStyle w:val="berschrift4"/>
              <w:numPr>
                <w:ilvl w:val="0"/>
                <w:numId w:val="0"/>
              </w:numPr>
            </w:pPr>
          </w:p>
        </w:tc>
      </w:tr>
      <w:tr w:rsidR="00503613" w:rsidRPr="00756542">
        <w:tc>
          <w:tcPr>
            <w:tcW w:w="6120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656CC8"/>
        </w:tc>
        <w:tc>
          <w:tcPr>
            <w:tcW w:w="324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9764B1">
            <w:pPr>
              <w:pStyle w:val="berschrift4"/>
              <w:numPr>
                <w:ilvl w:val="0"/>
                <w:numId w:val="0"/>
              </w:numPr>
            </w:pPr>
          </w:p>
        </w:tc>
      </w:tr>
      <w:tr w:rsidR="00503613" w:rsidRPr="00756542">
        <w:trPr>
          <w:trHeight w:val="454"/>
        </w:trPr>
        <w:tc>
          <w:tcPr>
            <w:tcW w:w="1768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Date issued: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92" w:type="dxa"/>
            <w:gridSpan w:val="2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8C28A0" w:rsidP="008C28A0">
            <w:r>
              <w:t>23</w:t>
            </w:r>
            <w:r w:rsidR="001B062D" w:rsidRPr="001B062D">
              <w:t xml:space="preserve"> </w:t>
            </w:r>
            <w:r>
              <w:t>January</w:t>
            </w:r>
            <w:r w:rsidR="001F29AB" w:rsidRPr="001B062D">
              <w:t xml:space="preserve"> 201</w:t>
            </w:r>
            <w:r>
              <w:t>4</w:t>
            </w:r>
          </w:p>
        </w:tc>
      </w:tr>
      <w:tr w:rsidR="00503613" w:rsidRPr="00756542" w:rsidTr="009F4555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Source:</w:t>
            </w:r>
          </w:p>
        </w:tc>
        <w:tc>
          <w:tcPr>
            <w:tcW w:w="7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8C28A0" w:rsidP="00656CC8">
            <w:r>
              <w:t>France</w:t>
            </w:r>
          </w:p>
        </w:tc>
      </w:tr>
      <w:tr w:rsidR="009F4555" w:rsidRPr="00756542" w:rsidTr="009F4555">
        <w:trPr>
          <w:trHeight w:val="454"/>
        </w:trPr>
        <w:tc>
          <w:tcPr>
            <w:tcW w:w="17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56542" w:rsidRDefault="001F29AB" w:rsidP="008C28A0">
            <w:r w:rsidRPr="00852C72">
              <w:t>Applicability of the Maastricht, 2002, Special Arrangement (including the revisions)</w:t>
            </w:r>
          </w:p>
        </w:tc>
      </w:tr>
    </w:tbl>
    <w:p w:rsidR="00077F50" w:rsidRPr="00756542" w:rsidRDefault="00077F50" w:rsidP="00656CC8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6928FB" w:rsidRPr="00756542" w:rsidTr="007A5373">
        <w:tc>
          <w:tcPr>
            <w:tcW w:w="4320" w:type="dxa"/>
            <w:shd w:val="clear" w:color="auto" w:fill="auto"/>
          </w:tcPr>
          <w:p w:rsidR="006928FB" w:rsidRPr="00756542" w:rsidRDefault="00DB638A" w:rsidP="00656CC8">
            <w:r>
              <w:t>Password protection required? (Y/N)</w:t>
            </w:r>
          </w:p>
          <w:p w:rsidR="00FD4D79" w:rsidRPr="00756542" w:rsidRDefault="00FD4D79" w:rsidP="00656CC8"/>
        </w:tc>
        <w:tc>
          <w:tcPr>
            <w:tcW w:w="5040" w:type="dxa"/>
            <w:shd w:val="clear" w:color="auto" w:fill="auto"/>
          </w:tcPr>
          <w:p w:rsidR="006928FB" w:rsidRPr="009A7ACB" w:rsidRDefault="004B3AB1" w:rsidP="00656CC8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F6DDBB" wp14:editId="63A536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360045" cy="288290"/>
                      <wp:effectExtent l="0" t="0" r="20955" b="16510"/>
                      <wp:wrapNone/>
                      <wp:docPr id="4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FB" w:rsidRPr="00676739" w:rsidRDefault="00FD4D79" w:rsidP="00656CC8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4pt;margin-top:2.25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">
                      <v:textbox>
                        <w:txbxContent>
                          <w:p w:rsidR="006928FB" w:rsidRPr="00676739" w:rsidRDefault="00FD4D79" w:rsidP="00656CC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4D79" w:rsidRPr="00756542" w:rsidRDefault="00FD4D79" w:rsidP="00656CC8"/>
    <w:tbl>
      <w:tblPr>
        <w:tblW w:w="936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592"/>
      </w:tblGrid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 xml:space="preserve">Summary: 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C80699" w:rsidP="008C28A0">
            <w:r>
              <w:t xml:space="preserve">This document gives </w:t>
            </w:r>
            <w:r w:rsidR="008C28A0">
              <w:t>an explanation on how France considers the applicability</w:t>
            </w:r>
            <w:r>
              <w:t xml:space="preserve"> </w:t>
            </w:r>
            <w:r w:rsidR="008C28A0">
              <w:t>of</w:t>
            </w:r>
            <w:r>
              <w:t xml:space="preserve"> the Maastricht Arrangement, 2002 and </w:t>
            </w:r>
            <w:r w:rsidR="00E7600E">
              <w:t>its</w:t>
            </w:r>
            <w:r>
              <w:t xml:space="preserve"> revision Constant</w:t>
            </w:r>
            <w:r w:rsidRPr="0043661B">
              <w:t>a, 2007</w:t>
            </w:r>
            <w:r>
              <w:t xml:space="preserve"> (</w:t>
            </w:r>
            <w:r w:rsidRPr="00FA4F61">
              <w:t>MA02revCO07</w:t>
            </w:r>
            <w:r>
              <w:t xml:space="preserve">), </w:t>
            </w:r>
            <w:r w:rsidR="008C28A0">
              <w:t>with an example</w:t>
            </w:r>
            <w:r>
              <w:t>.</w:t>
            </w:r>
          </w:p>
        </w:tc>
      </w:tr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Proposal: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AE1" w:rsidRDefault="00E72AE1" w:rsidP="00E72AE1"/>
          <w:p w:rsidR="00E72AE1" w:rsidRDefault="008C28A0" w:rsidP="008C28A0">
            <w:r>
              <w:t>To consider in</w:t>
            </w:r>
            <w:r w:rsidR="00E72AE1" w:rsidRPr="003A220C">
              <w:t xml:space="preserve"> the Draft </w:t>
            </w:r>
            <w:r w:rsidR="00E72AE1">
              <w:t xml:space="preserve">ECC </w:t>
            </w:r>
            <w:r w:rsidR="00E72AE1" w:rsidRPr="003A220C">
              <w:t>Report on Compatibility Studies for Mobile/Fixed Communication</w:t>
            </w:r>
            <w:r w:rsidR="00E72AE1">
              <w:t>s</w:t>
            </w:r>
            <w:r w:rsidR="00E72AE1" w:rsidRPr="003A220C">
              <w:t xml:space="preserve"> Networks (MFCN) </w:t>
            </w:r>
            <w:r>
              <w:t>that Maastricht Agreement is applicable</w:t>
            </w:r>
            <w:r w:rsidR="004337B3">
              <w:t xml:space="preserve"> with T-DAB applications at the border</w:t>
            </w:r>
            <w:r w:rsidR="00E72AE1" w:rsidRPr="003A220C">
              <w:t>.</w:t>
            </w:r>
          </w:p>
          <w:p w:rsidR="00F24FF3" w:rsidRPr="00756542" w:rsidRDefault="00F24FF3" w:rsidP="00656CC8"/>
        </w:tc>
      </w:tr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Background: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1F29AB" w:rsidP="008C28A0">
            <w:pPr>
              <w:rPr>
                <w:b/>
              </w:rPr>
            </w:pPr>
            <w:r w:rsidRPr="001F29AB">
              <w:t xml:space="preserve">Based on the discussion at the </w:t>
            </w:r>
            <w:r w:rsidR="008C28A0">
              <w:t>SE7 Working Group</w:t>
            </w:r>
            <w:r w:rsidRPr="001F29AB">
              <w:t xml:space="preserve"> and on document </w:t>
            </w:r>
            <w:proofErr w:type="gramStart"/>
            <w:r w:rsidRPr="001F29AB">
              <w:t>SE7(</w:t>
            </w:r>
            <w:proofErr w:type="gramEnd"/>
            <w:r w:rsidRPr="001F29AB">
              <w:t>13)</w:t>
            </w:r>
            <w:r w:rsidR="00F77951">
              <w:t>0</w:t>
            </w:r>
            <w:r w:rsidRPr="001F29AB">
              <w:t>96</w:t>
            </w:r>
            <w:r w:rsidR="008C28A0">
              <w:t xml:space="preserve"> and SE7(13)104</w:t>
            </w:r>
            <w:r w:rsidRPr="001F29AB">
              <w:t xml:space="preserve"> </w:t>
            </w:r>
            <w:r w:rsidR="008C28A0">
              <w:t xml:space="preserve">provided by </w:t>
            </w:r>
            <w:proofErr w:type="spellStart"/>
            <w:r w:rsidR="008C28A0">
              <w:t>BNetzA</w:t>
            </w:r>
            <w:proofErr w:type="spellEnd"/>
            <w:r w:rsidR="00E7600E">
              <w:t>,</w:t>
            </w:r>
            <w:r w:rsidRPr="001F29AB">
              <w:t xml:space="preserve"> </w:t>
            </w:r>
            <w:r w:rsidR="00E7600E">
              <w:t>s</w:t>
            </w:r>
            <w:r w:rsidRPr="001F29AB">
              <w:t xml:space="preserve">ome explanations </w:t>
            </w:r>
            <w:r w:rsidR="004337B3">
              <w:t xml:space="preserve">on French point of view </w:t>
            </w:r>
            <w:r w:rsidRPr="001F29AB">
              <w:t xml:space="preserve">are </w:t>
            </w:r>
            <w:r w:rsidR="00E7600E" w:rsidRPr="001F29AB">
              <w:t>requested</w:t>
            </w:r>
            <w:r w:rsidR="00E7600E">
              <w:t>.</w:t>
            </w:r>
          </w:p>
        </w:tc>
      </w:tr>
    </w:tbl>
    <w:p w:rsidR="003C3BDF" w:rsidRDefault="003C3BDF" w:rsidP="00710645">
      <w:pPr>
        <w:sectPr w:rsidR="003C3BDF" w:rsidSect="00E330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289" w:bottom="1440" w:left="1260" w:header="993" w:footer="684" w:gutter="0"/>
          <w:cols w:space="720"/>
        </w:sectPr>
      </w:pPr>
    </w:p>
    <w:p w:rsidR="003C3BDF" w:rsidRDefault="003C3BDF" w:rsidP="00710645"/>
    <w:p w:rsidR="003C3BDF" w:rsidRDefault="003C3BDF" w:rsidP="003C3BDF">
      <w:pPr>
        <w:pStyle w:val="berschrift1"/>
      </w:pPr>
      <w:r>
        <w:t>Introduction</w:t>
      </w:r>
    </w:p>
    <w:p w:rsidR="003C3BDF" w:rsidRDefault="003C3BDF" w:rsidP="00710645"/>
    <w:p w:rsidR="009360E5" w:rsidRDefault="001F29AB" w:rsidP="00710645">
      <w:r>
        <w:t xml:space="preserve">The </w:t>
      </w:r>
      <w:r w:rsidR="00392D2D">
        <w:t>Maastricht Arrangement, 2002 and his revision Constant</w:t>
      </w:r>
      <w:r w:rsidR="00392D2D" w:rsidRPr="0043661B">
        <w:t>a, 2007</w:t>
      </w:r>
      <w:r w:rsidR="00392D2D">
        <w:t xml:space="preserve"> (</w:t>
      </w:r>
      <w:r w:rsidR="00392D2D" w:rsidRPr="00FA4F61">
        <w:t>MA02revCO07</w:t>
      </w:r>
      <w:r w:rsidR="00392D2D">
        <w:t xml:space="preserve">) </w:t>
      </w:r>
      <w:r w:rsidR="009360E5">
        <w:t>purpose is to protect T-DAB from interferences from T-DAB itself and others services at the cross border and defines an allotment per area.</w:t>
      </w:r>
    </w:p>
    <w:p w:rsidR="003C3BDF" w:rsidRDefault="003C3BDF" w:rsidP="003C3BDF">
      <w:pPr>
        <w:pStyle w:val="berschrift1"/>
      </w:pPr>
      <w:r>
        <w:t>Bandwidth to consider</w:t>
      </w:r>
    </w:p>
    <w:p w:rsidR="009360E5" w:rsidRDefault="009360E5" w:rsidP="00710645"/>
    <w:p w:rsidR="009360E5" w:rsidRDefault="009360E5" w:rsidP="00710645">
      <w:r>
        <w:t xml:space="preserve">The bandwidth to consider </w:t>
      </w:r>
      <w:r w:rsidR="008B41C2">
        <w:t>for</w:t>
      </w:r>
      <w:r>
        <w:t xml:space="preserve"> </w:t>
      </w:r>
      <w:r w:rsidR="008B41C2">
        <w:t xml:space="preserve">the calculation of the </w:t>
      </w:r>
      <w:r>
        <w:t>separation distance to the border is the bandwidth of each T-DAB channel to be protected.</w:t>
      </w:r>
    </w:p>
    <w:p w:rsidR="009360E5" w:rsidRDefault="009360E5" w:rsidP="00710645">
      <w:r>
        <w:t xml:space="preserve">The SE7 </w:t>
      </w:r>
      <w:r w:rsidR="008B41C2">
        <w:t>is invited</w:t>
      </w:r>
      <w:r>
        <w:t xml:space="preserve"> to consider </w:t>
      </w:r>
      <w:r w:rsidR="007A3952">
        <w:t xml:space="preserve">in its </w:t>
      </w:r>
      <w:r w:rsidR="008B41C2">
        <w:t xml:space="preserve">Draft </w:t>
      </w:r>
      <w:r w:rsidR="007A3952">
        <w:t xml:space="preserve">ECC Report in progress, </w:t>
      </w:r>
      <w:r>
        <w:t>the restricted emission power</w:t>
      </w:r>
      <w:r w:rsidR="007A3952">
        <w:t xml:space="preserve"> of MFCN SDL in the </w:t>
      </w:r>
      <w:r w:rsidR="007A3952" w:rsidRPr="00736A53">
        <w:t xml:space="preserve">1.536 MHz </w:t>
      </w:r>
      <w:r w:rsidR="007A3952">
        <w:t xml:space="preserve">frequency bandwidth of </w:t>
      </w:r>
      <w:r w:rsidR="008B41C2">
        <w:t>each</w:t>
      </w:r>
      <w:r w:rsidR="007A3952">
        <w:t xml:space="preserve"> T-DAB channel.</w:t>
      </w:r>
      <w:r>
        <w:t xml:space="preserve"> </w:t>
      </w:r>
    </w:p>
    <w:p w:rsidR="009360E5" w:rsidRDefault="008B41C2" w:rsidP="007A3952">
      <w:r>
        <w:t>As an example for the block LJ</w:t>
      </w:r>
      <w:r w:rsidR="007A3952">
        <w:t>, the emission power of the MFCN SDL has to be calculated between the frequencies: 1467.600 MHz and 1469.136 MHz</w:t>
      </w:r>
      <w:r w:rsidRPr="008B41C2">
        <w:t xml:space="preserve"> </w:t>
      </w:r>
      <w:r>
        <w:t>(see Figure 1).</w:t>
      </w:r>
    </w:p>
    <w:p w:rsidR="009360E5" w:rsidRDefault="009360E5" w:rsidP="009360E5">
      <w:pPr>
        <w:pStyle w:val="Listenabsatz"/>
      </w:pPr>
    </w:p>
    <w:p w:rsidR="009360E5" w:rsidRDefault="009360E5" w:rsidP="009360E5">
      <w:pPr>
        <w:keepNext/>
      </w:pPr>
      <w:r>
        <w:rPr>
          <w:noProof/>
          <w:lang w:val="de-DE" w:eastAsia="de-DE"/>
        </w:rPr>
        <w:drawing>
          <wp:inline distT="0" distB="0" distL="0" distR="0" wp14:anchorId="2EDEB04F" wp14:editId="301E978D">
            <wp:extent cx="5958000" cy="2336400"/>
            <wp:effectExtent l="0" t="0" r="0" b="0"/>
            <wp:docPr id="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23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0E5" w:rsidRDefault="009360E5" w:rsidP="003C3BDF">
      <w:pPr>
        <w:jc w:val="center"/>
      </w:pPr>
      <w:r>
        <w:t xml:space="preserve">Figure </w:t>
      </w:r>
      <w:r w:rsidR="007A3952">
        <w:t>1</w:t>
      </w:r>
      <w:r>
        <w:t xml:space="preserve">: </w:t>
      </w:r>
      <w:r w:rsidRPr="00FA0A2A">
        <w:t>Frequency domain</w:t>
      </w:r>
      <w:r>
        <w:t>,</w:t>
      </w:r>
      <w:r w:rsidRPr="00FA0A2A">
        <w:t xml:space="preserve"> T-DAB</w:t>
      </w:r>
      <w:r>
        <w:t xml:space="preserve"> (Block LJ)</w:t>
      </w:r>
      <w:r w:rsidRPr="00FA0A2A">
        <w:t xml:space="preserve"> and MFCN SDL</w:t>
      </w:r>
    </w:p>
    <w:p w:rsidR="009360E5" w:rsidRDefault="009360E5" w:rsidP="00710645"/>
    <w:p w:rsidR="003C3BDF" w:rsidRDefault="003C3BDF" w:rsidP="00710645">
      <w:r>
        <w:t xml:space="preserve">The same process has to be conducted for </w:t>
      </w:r>
      <w:r w:rsidR="003247E6">
        <w:t xml:space="preserve">each </w:t>
      </w:r>
      <w:r>
        <w:t xml:space="preserve">T-DAB channel </w:t>
      </w:r>
      <w:r w:rsidR="003247E6">
        <w:t xml:space="preserve">that is overlapping the MFCN SDL channel </w:t>
      </w:r>
      <w:proofErr w:type="gramStart"/>
      <w:r w:rsidR="003247E6">
        <w:t>bandwidth envelop</w:t>
      </w:r>
      <w:proofErr w:type="gramEnd"/>
      <w:r w:rsidR="003247E6">
        <w:t>.</w:t>
      </w:r>
    </w:p>
    <w:p w:rsidR="003C3BDF" w:rsidRDefault="003C3BDF" w:rsidP="00710645"/>
    <w:p w:rsidR="003C3BDF" w:rsidRDefault="003C3BDF" w:rsidP="003C3BDF">
      <w:pPr>
        <w:pStyle w:val="berschrift1"/>
      </w:pPr>
      <w:r>
        <w:t>Coordination analysis</w:t>
      </w:r>
    </w:p>
    <w:p w:rsidR="00676ADC" w:rsidRPr="00EC39F9" w:rsidRDefault="00676ADC" w:rsidP="00676ADC">
      <w:pPr>
        <w:rPr>
          <w:i/>
        </w:rPr>
      </w:pPr>
      <w:r>
        <w:t xml:space="preserve">According to the article 6.4.1 of the </w:t>
      </w:r>
      <w:r w:rsidRPr="00FA4F61">
        <w:t>MA02revCO07</w:t>
      </w:r>
      <w:r>
        <w:t xml:space="preserve"> </w:t>
      </w:r>
      <w:r w:rsidR="001D7F72" w:rsidRPr="00EC39F9">
        <w:t>Agreement</w:t>
      </w:r>
      <w:r w:rsidR="001D7F72">
        <w:t>: “A</w:t>
      </w:r>
      <w:r w:rsidRPr="00EC39F9">
        <w:rPr>
          <w:i/>
        </w:rPr>
        <w:t xml:space="preserve">n administration may at any time assign frequencies to stations of other </w:t>
      </w:r>
      <w:proofErr w:type="spellStart"/>
      <w:r w:rsidRPr="00EC39F9">
        <w:rPr>
          <w:i/>
        </w:rPr>
        <w:t>radiocommunication</w:t>
      </w:r>
      <w:proofErr w:type="spellEnd"/>
      <w:r w:rsidRPr="00EC39F9">
        <w:rPr>
          <w:i/>
        </w:rPr>
        <w:t xml:space="preserve"> services in the band </w:t>
      </w:r>
      <w:r w:rsidR="001D7F72">
        <w:rPr>
          <w:i/>
        </w:rPr>
        <w:br/>
      </w:r>
      <w:r w:rsidRPr="00EC39F9">
        <w:rPr>
          <w:i/>
        </w:rPr>
        <w:t xml:space="preserve">1452 – 1479.5 MHz provided that the relevant limits specified in Annex 2 of the Agreement are not exceeded. </w:t>
      </w:r>
    </w:p>
    <w:p w:rsidR="00676ADC" w:rsidRDefault="00676ADC" w:rsidP="00676ADC">
      <w:r w:rsidRPr="00EC39F9">
        <w:rPr>
          <w:i/>
        </w:rPr>
        <w:t>If they are exceeded, the agreement of any affected administrations shall be obtained by means of bilateral or multilateral agreements</w:t>
      </w:r>
      <w:r w:rsidR="001D7F72">
        <w:t>”</w:t>
      </w:r>
      <w:r>
        <w:t>.</w:t>
      </w:r>
    </w:p>
    <w:p w:rsidR="00676ADC" w:rsidRDefault="00676ADC" w:rsidP="00676ADC"/>
    <w:p w:rsidR="002A68D9" w:rsidRDefault="003C3BDF" w:rsidP="007B117B">
      <w:r>
        <w:lastRenderedPageBreak/>
        <w:t>When</w:t>
      </w:r>
      <w:r w:rsidR="003247E6">
        <w:t xml:space="preserve"> an</w:t>
      </w:r>
      <w:r>
        <w:t xml:space="preserve"> MFCN SDL</w:t>
      </w:r>
      <w:r w:rsidR="003247E6">
        <w:t xml:space="preserve"> base station is planned to be installed near the border, the coordination analysis has to be done for each T-DAB channel</w:t>
      </w:r>
    </w:p>
    <w:p w:rsidR="003C3BDF" w:rsidRDefault="003C3BDF" w:rsidP="00FA4F61"/>
    <w:p w:rsidR="00C73803" w:rsidRDefault="003247E6" w:rsidP="00FA4F61">
      <w:r>
        <w:t>Different</w:t>
      </w:r>
      <w:r w:rsidR="008B41C2">
        <w:t xml:space="preserve"> cases can</w:t>
      </w:r>
      <w:r w:rsidR="00C73803">
        <w:t xml:space="preserve"> </w:t>
      </w:r>
      <w:r>
        <w:t>happen</w:t>
      </w:r>
      <w:r w:rsidR="00C73803">
        <w:t xml:space="preserve">: </w:t>
      </w:r>
    </w:p>
    <w:p w:rsidR="00C37FBC" w:rsidRDefault="00C37FBC" w:rsidP="00FA4F61"/>
    <w:p w:rsidR="00676ADC" w:rsidRDefault="003247E6" w:rsidP="00BB04E3">
      <w:pPr>
        <w:pStyle w:val="Listenabsatz"/>
        <w:numPr>
          <w:ilvl w:val="0"/>
          <w:numId w:val="17"/>
        </w:numPr>
      </w:pPr>
      <w:r>
        <w:t xml:space="preserve">For each T-DAB </w:t>
      </w:r>
      <w:r w:rsidR="00676ADC">
        <w:t>frequency bloc</w:t>
      </w:r>
      <w:r>
        <w:t>, t</w:t>
      </w:r>
      <w:r w:rsidR="00C73803">
        <w:t xml:space="preserve">he MFCN SDL </w:t>
      </w:r>
      <w:r w:rsidR="00C73803" w:rsidRPr="00C73803">
        <w:t xml:space="preserve">cause </w:t>
      </w:r>
      <w:r w:rsidR="00C73803">
        <w:t xml:space="preserve">a </w:t>
      </w:r>
      <w:r w:rsidR="00C73803" w:rsidRPr="001A6F26">
        <w:rPr>
          <w:b/>
        </w:rPr>
        <w:t>field strengths lower than</w:t>
      </w:r>
      <w:r w:rsidR="00C73803" w:rsidRPr="00C73803">
        <w:t xml:space="preserve"> </w:t>
      </w:r>
      <w:r w:rsidR="001D7F72" w:rsidRPr="00EC39F9">
        <w:t xml:space="preserve">the relevant limits specified in Annex 2 </w:t>
      </w:r>
      <w:r w:rsidR="00C73803" w:rsidRPr="00C73803">
        <w:t xml:space="preserve"> at the </w:t>
      </w:r>
      <w:r w:rsidR="00C73803">
        <w:t>border</w:t>
      </w:r>
      <w:r w:rsidR="00676ADC">
        <w:t xml:space="preserve"> </w:t>
      </w:r>
      <w:r w:rsidR="001D7F72">
        <w:t xml:space="preserve">of </w:t>
      </w:r>
      <w:r w:rsidR="00676ADC">
        <w:t>an allotment registered in the Plan</w:t>
      </w:r>
      <w:r w:rsidR="00C73803">
        <w:t xml:space="preserve"> </w:t>
      </w:r>
      <w:r w:rsidR="00676ADC">
        <w:t>of the victim country</w:t>
      </w:r>
    </w:p>
    <w:p w:rsidR="003247E6" w:rsidRDefault="003247E6" w:rsidP="00FA4F61"/>
    <w:p w:rsidR="00676ADC" w:rsidRDefault="003247E6" w:rsidP="001A6F26">
      <w:pPr>
        <w:pStyle w:val="Listenabsatz"/>
        <w:numPr>
          <w:ilvl w:val="0"/>
          <w:numId w:val="17"/>
        </w:numPr>
      </w:pPr>
      <w:r>
        <w:t xml:space="preserve">For one or more T-DAB </w:t>
      </w:r>
      <w:r w:rsidR="00676ADC">
        <w:t>frequency bloc</w:t>
      </w:r>
      <w:r w:rsidR="00EA2F75">
        <w:t>s</w:t>
      </w:r>
      <w:r>
        <w:t>, t</w:t>
      </w:r>
      <w:r w:rsidR="001A6F26">
        <w:t xml:space="preserve">he MFCN SDL </w:t>
      </w:r>
      <w:r w:rsidR="001A6F26" w:rsidRPr="00C73803">
        <w:t xml:space="preserve">cause </w:t>
      </w:r>
      <w:proofErr w:type="gramStart"/>
      <w:r w:rsidR="001A6F26">
        <w:t xml:space="preserve">a </w:t>
      </w:r>
      <w:r w:rsidR="001A6F26" w:rsidRPr="001A6F26">
        <w:rPr>
          <w:b/>
        </w:rPr>
        <w:t>field</w:t>
      </w:r>
      <w:proofErr w:type="gramEnd"/>
      <w:r w:rsidR="001A6F26" w:rsidRPr="001A6F26">
        <w:rPr>
          <w:b/>
        </w:rPr>
        <w:t xml:space="preserve"> strengths greater than or equal to</w:t>
      </w:r>
      <w:r w:rsidR="001A6F26" w:rsidRPr="001A6F26">
        <w:t xml:space="preserve"> </w:t>
      </w:r>
      <w:r w:rsidR="001D7F72" w:rsidRPr="00F0152B">
        <w:t>the relevant limits specified in Annex 2</w:t>
      </w:r>
      <w:r w:rsidR="001A6F26" w:rsidRPr="00C73803">
        <w:t xml:space="preserve"> at the </w:t>
      </w:r>
      <w:r w:rsidR="001A6F26">
        <w:t xml:space="preserve">border </w:t>
      </w:r>
      <w:r w:rsidR="00EA2F75">
        <w:t>of</w:t>
      </w:r>
      <w:r w:rsidR="00676ADC">
        <w:t xml:space="preserve"> an allotment registered in the Plan of the victim country.</w:t>
      </w:r>
    </w:p>
    <w:p w:rsidR="00676ADC" w:rsidRDefault="00676ADC" w:rsidP="00EC39F9">
      <w:pPr>
        <w:pStyle w:val="Listenabsatz"/>
      </w:pPr>
    </w:p>
    <w:p w:rsidR="00BB04E3" w:rsidRDefault="00BB04E3" w:rsidP="00FA4F61"/>
    <w:p w:rsidR="002B05A7" w:rsidRDefault="002B05A7" w:rsidP="00FA4F61"/>
    <w:p w:rsidR="00C73803" w:rsidRDefault="001A6F26" w:rsidP="001A6F26">
      <w:pPr>
        <w:ind w:left="1134" w:hanging="1134"/>
      </w:pPr>
      <w:r>
        <w:t>For case</w:t>
      </w:r>
      <w:r w:rsidR="00EA2F75">
        <w:t xml:space="preserve"> </w:t>
      </w:r>
      <w:r>
        <w:t>1:</w:t>
      </w:r>
      <w:r>
        <w:tab/>
      </w:r>
      <w:r w:rsidR="003247E6">
        <w:t xml:space="preserve">MFCN SDL station can be fitted </w:t>
      </w:r>
      <w:r>
        <w:t xml:space="preserve">in </w:t>
      </w:r>
      <w:r w:rsidR="003247E6">
        <w:t xml:space="preserve">accordance with the </w:t>
      </w:r>
      <w:r w:rsidRPr="00FA4F61">
        <w:t>MA02revCO07</w:t>
      </w:r>
      <w:r w:rsidR="003247E6">
        <w:t xml:space="preserve"> agreement</w:t>
      </w:r>
      <w:r>
        <w:t xml:space="preserve">, </w:t>
      </w:r>
      <w:r w:rsidR="003247E6">
        <w:t xml:space="preserve">and </w:t>
      </w:r>
      <w:r>
        <w:t xml:space="preserve">no </w:t>
      </w:r>
      <w:r w:rsidR="003247E6">
        <w:t xml:space="preserve">other </w:t>
      </w:r>
      <w:r>
        <w:t xml:space="preserve">coordination </w:t>
      </w:r>
      <w:r w:rsidR="003247E6">
        <w:t xml:space="preserve">work </w:t>
      </w:r>
      <w:r>
        <w:t xml:space="preserve">is needed. </w:t>
      </w:r>
    </w:p>
    <w:p w:rsidR="001A6F26" w:rsidRDefault="001A6F26" w:rsidP="00FA4F61"/>
    <w:p w:rsidR="002B05A7" w:rsidRDefault="001A6F26" w:rsidP="00192834">
      <w:pPr>
        <w:ind w:left="1134" w:hanging="1134"/>
      </w:pPr>
      <w:r>
        <w:t>For case</w:t>
      </w:r>
      <w:r w:rsidR="00EA2F75">
        <w:t xml:space="preserve"> </w:t>
      </w:r>
      <w:r>
        <w:t>2:</w:t>
      </w:r>
      <w:r w:rsidR="00EA2F75">
        <w:tab/>
      </w:r>
      <w:r w:rsidR="003247E6">
        <w:t>MFCN SD</w:t>
      </w:r>
      <w:bookmarkStart w:id="0" w:name="_GoBack"/>
      <w:bookmarkEnd w:id="0"/>
      <w:r w:rsidR="003247E6">
        <w:t xml:space="preserve">L station cannot be fitted in accordance with the </w:t>
      </w:r>
      <w:r w:rsidR="003247E6" w:rsidRPr="00FA4F61">
        <w:t>MA02revCO07</w:t>
      </w:r>
      <w:r w:rsidR="003247E6">
        <w:t xml:space="preserve"> agreement.</w:t>
      </w:r>
    </w:p>
    <w:p w:rsidR="002B05A7" w:rsidRDefault="002B05A7" w:rsidP="00192834">
      <w:pPr>
        <w:ind w:left="1134" w:hanging="1134"/>
      </w:pPr>
    </w:p>
    <w:p w:rsidR="00FE4639" w:rsidRDefault="003247E6" w:rsidP="003247E6">
      <w:pPr>
        <w:pStyle w:val="Listenabsatz"/>
        <w:numPr>
          <w:ilvl w:val="0"/>
          <w:numId w:val="18"/>
        </w:numPr>
      </w:pPr>
      <w:r>
        <w:t xml:space="preserve">Some mitigation technics have to be considered to reduce the field strengths to be lower than the maximum allowable interfering field strength, defined in </w:t>
      </w:r>
      <w:r w:rsidRPr="00FA4F61">
        <w:t>MA02revCO07</w:t>
      </w:r>
      <w:r>
        <w:t>, at the border</w:t>
      </w:r>
      <w:r w:rsidR="00676ADC">
        <w:t xml:space="preserve"> </w:t>
      </w:r>
      <w:r w:rsidR="001D7F72">
        <w:t xml:space="preserve">of </w:t>
      </w:r>
      <w:r w:rsidR="00676ADC">
        <w:t>an allotment registered in the Plan of the victim country</w:t>
      </w:r>
      <w:r w:rsidR="00736A53" w:rsidRPr="00736A53">
        <w:t>.</w:t>
      </w:r>
      <w:r w:rsidR="00FE4639">
        <w:t xml:space="preserve"> </w:t>
      </w:r>
    </w:p>
    <w:p w:rsidR="00FE4639" w:rsidRDefault="00FE4639" w:rsidP="00192834">
      <w:pPr>
        <w:ind w:left="1134" w:hanging="1134"/>
      </w:pPr>
    </w:p>
    <w:p w:rsidR="00E72AE1" w:rsidRPr="00906191" w:rsidRDefault="00C37FBC" w:rsidP="00183026">
      <w:pPr>
        <w:pStyle w:val="Listenabsatz"/>
        <w:numPr>
          <w:ilvl w:val="0"/>
          <w:numId w:val="18"/>
        </w:numPr>
      </w:pPr>
      <w:r>
        <w:t xml:space="preserve">To </w:t>
      </w:r>
      <w:r w:rsidR="00183026">
        <w:t>ask other administration an agreement for specific coordination case to the border</w:t>
      </w:r>
      <w:r w:rsidR="00EA2F75">
        <w:t>.</w:t>
      </w:r>
      <w:r>
        <w:t xml:space="preserve"> </w:t>
      </w:r>
    </w:p>
    <w:sectPr w:rsidR="00E72AE1" w:rsidRPr="00906191" w:rsidSect="00E330E9"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26" w:rsidRDefault="00BB3926" w:rsidP="00656CC8">
      <w:r>
        <w:separator/>
      </w:r>
    </w:p>
  </w:endnote>
  <w:endnote w:type="continuationSeparator" w:id="0">
    <w:p w:rsidR="00BB3926" w:rsidRDefault="00BB3926" w:rsidP="006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0" w:rsidRDefault="00DB638A" w:rsidP="00656CC8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077F5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7F50">
      <w:rPr>
        <w:rStyle w:val="Seitenzahl"/>
        <w:noProof/>
      </w:rPr>
      <w:t>1</w:t>
    </w:r>
    <w:r>
      <w:rPr>
        <w:rStyle w:val="Seitenzahl"/>
      </w:rPr>
      <w:fldChar w:fldCharType="end"/>
    </w:r>
  </w:p>
  <w:p w:rsidR="00077F50" w:rsidRDefault="00077F50" w:rsidP="00656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9" w:rsidRDefault="00E330E9" w:rsidP="00656CC8">
    <w:pPr>
      <w:pStyle w:val="Fuzeile"/>
      <w:rPr>
        <w:lang w:val="en-IE"/>
      </w:rPr>
    </w:pPr>
  </w:p>
  <w:p w:rsidR="00077F50" w:rsidRPr="003109E8" w:rsidRDefault="00F75E80" w:rsidP="00656CC8">
    <w:pPr>
      <w:pStyle w:val="Fuzeile"/>
      <w:rPr>
        <w:lang w:val="en-IE"/>
      </w:rPr>
    </w:pPr>
    <w:r>
      <w:rPr>
        <w:bCs/>
        <w:kern w:val="36"/>
      </w:rPr>
      <w:tab/>
    </w:r>
    <w:r>
      <w:rPr>
        <w:bCs/>
        <w:kern w:val="36"/>
      </w:rPr>
      <w:tab/>
    </w:r>
    <w:r w:rsidR="00DB638A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PAGE </w:instrText>
    </w:r>
    <w:r w:rsidR="00DB638A" w:rsidRPr="003109E8">
      <w:rPr>
        <w:rStyle w:val="Seitenzahl"/>
        <w:sz w:val="20"/>
      </w:rPr>
      <w:fldChar w:fldCharType="separate"/>
    </w:r>
    <w:r w:rsidR="0062459B">
      <w:rPr>
        <w:rStyle w:val="Seitenzahl"/>
        <w:noProof/>
        <w:sz w:val="20"/>
      </w:rPr>
      <w:t>1</w:t>
    </w:r>
    <w:r w:rsidR="00DB638A" w:rsidRPr="003109E8">
      <w:rPr>
        <w:rStyle w:val="Seitenzahl"/>
        <w:sz w:val="20"/>
      </w:rPr>
      <w:fldChar w:fldCharType="end"/>
    </w:r>
    <w:r w:rsidR="00E330E9" w:rsidRPr="003109E8">
      <w:rPr>
        <w:rStyle w:val="Seitenzahl"/>
        <w:sz w:val="20"/>
      </w:rPr>
      <w:t>/</w:t>
    </w:r>
    <w:r w:rsidR="00DB638A" w:rsidRPr="003109E8">
      <w:rPr>
        <w:rStyle w:val="Seitenzahl"/>
        <w:sz w:val="20"/>
      </w:rPr>
      <w:fldChar w:fldCharType="begin"/>
    </w:r>
    <w:r w:rsidR="00E330E9" w:rsidRPr="003109E8">
      <w:rPr>
        <w:rStyle w:val="Seitenzahl"/>
        <w:sz w:val="20"/>
      </w:rPr>
      <w:instrText xml:space="preserve"> NUMPAGES </w:instrText>
    </w:r>
    <w:r w:rsidR="00DB638A" w:rsidRPr="003109E8">
      <w:rPr>
        <w:rStyle w:val="Seitenzahl"/>
        <w:sz w:val="20"/>
      </w:rPr>
      <w:fldChar w:fldCharType="separate"/>
    </w:r>
    <w:r w:rsidR="0062459B">
      <w:rPr>
        <w:rStyle w:val="Seitenzahl"/>
        <w:noProof/>
        <w:sz w:val="20"/>
      </w:rPr>
      <w:t>3</w:t>
    </w:r>
    <w:r w:rsidR="00DB638A" w:rsidRPr="003109E8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26" w:rsidRDefault="00BB3926" w:rsidP="00656CC8">
      <w:r>
        <w:separator/>
      </w:r>
    </w:p>
  </w:footnote>
  <w:footnote w:type="continuationSeparator" w:id="0">
    <w:p w:rsidR="00BB3926" w:rsidRDefault="00BB3926" w:rsidP="0065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65A4E92"/>
    <w:multiLevelType w:val="hybridMultilevel"/>
    <w:tmpl w:val="6A2CB1D0"/>
    <w:lvl w:ilvl="0" w:tplc="A1C0BFE8">
      <w:start w:val="2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55493"/>
    <w:multiLevelType w:val="hybridMultilevel"/>
    <w:tmpl w:val="2C7E592C"/>
    <w:lvl w:ilvl="0" w:tplc="ED5EB8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50132"/>
    <w:multiLevelType w:val="hybridMultilevel"/>
    <w:tmpl w:val="0B04E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7B95"/>
    <w:multiLevelType w:val="hybridMultilevel"/>
    <w:tmpl w:val="C9DEDA98"/>
    <w:lvl w:ilvl="0" w:tplc="A1C0BFE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2E1F91"/>
    <w:multiLevelType w:val="hybridMultilevel"/>
    <w:tmpl w:val="7D5C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D5D638F"/>
    <w:multiLevelType w:val="multilevel"/>
    <w:tmpl w:val="B73C17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E2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10"/>
  </w:num>
  <w:num w:numId="15">
    <w:abstractNumId w:val="15"/>
  </w:num>
  <w:num w:numId="16">
    <w:abstractNumId w:val="19"/>
  </w:num>
  <w:num w:numId="17">
    <w:abstractNumId w:val="6"/>
  </w:num>
  <w:num w:numId="18">
    <w:abstractNumId w:val="1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4"/>
    <w:rsid w:val="00001BF7"/>
    <w:rsid w:val="000076CE"/>
    <w:rsid w:val="00013D28"/>
    <w:rsid w:val="00015111"/>
    <w:rsid w:val="00025717"/>
    <w:rsid w:val="00066AF3"/>
    <w:rsid w:val="00073EEC"/>
    <w:rsid w:val="00077F50"/>
    <w:rsid w:val="000A1542"/>
    <w:rsid w:val="000B3644"/>
    <w:rsid w:val="000C4962"/>
    <w:rsid w:val="000D49A0"/>
    <w:rsid w:val="000D7C18"/>
    <w:rsid w:val="000E3396"/>
    <w:rsid w:val="000E40DD"/>
    <w:rsid w:val="00115947"/>
    <w:rsid w:val="001238D9"/>
    <w:rsid w:val="001258E4"/>
    <w:rsid w:val="00135F83"/>
    <w:rsid w:val="00136D8C"/>
    <w:rsid w:val="00165EB6"/>
    <w:rsid w:val="001708AB"/>
    <w:rsid w:val="00183026"/>
    <w:rsid w:val="00192834"/>
    <w:rsid w:val="00196A7B"/>
    <w:rsid w:val="001A6F26"/>
    <w:rsid w:val="001B062D"/>
    <w:rsid w:val="001B3B44"/>
    <w:rsid w:val="001B4A15"/>
    <w:rsid w:val="001B5B01"/>
    <w:rsid w:val="001D33CE"/>
    <w:rsid w:val="001D668A"/>
    <w:rsid w:val="001D6DC2"/>
    <w:rsid w:val="001D7074"/>
    <w:rsid w:val="001D7F72"/>
    <w:rsid w:val="001F1E4A"/>
    <w:rsid w:val="001F29AB"/>
    <w:rsid w:val="002056C2"/>
    <w:rsid w:val="00215BDD"/>
    <w:rsid w:val="0022757C"/>
    <w:rsid w:val="00231B7D"/>
    <w:rsid w:val="00257D74"/>
    <w:rsid w:val="00257F8B"/>
    <w:rsid w:val="00261679"/>
    <w:rsid w:val="002652A8"/>
    <w:rsid w:val="00286F8D"/>
    <w:rsid w:val="002A3F39"/>
    <w:rsid w:val="002A54ED"/>
    <w:rsid w:val="002A68D9"/>
    <w:rsid w:val="002B05A7"/>
    <w:rsid w:val="002B201E"/>
    <w:rsid w:val="002B5308"/>
    <w:rsid w:val="002C219C"/>
    <w:rsid w:val="002C315C"/>
    <w:rsid w:val="002C6B0F"/>
    <w:rsid w:val="002D6DB4"/>
    <w:rsid w:val="002E0CF4"/>
    <w:rsid w:val="002E0DEA"/>
    <w:rsid w:val="002E13AA"/>
    <w:rsid w:val="002E6843"/>
    <w:rsid w:val="002F094A"/>
    <w:rsid w:val="002F5E3B"/>
    <w:rsid w:val="0030797A"/>
    <w:rsid w:val="003109E8"/>
    <w:rsid w:val="00316C38"/>
    <w:rsid w:val="003247BF"/>
    <w:rsid w:val="003247E6"/>
    <w:rsid w:val="00337895"/>
    <w:rsid w:val="003659D9"/>
    <w:rsid w:val="00367667"/>
    <w:rsid w:val="00367A78"/>
    <w:rsid w:val="00372125"/>
    <w:rsid w:val="00372975"/>
    <w:rsid w:val="0037484F"/>
    <w:rsid w:val="0038734A"/>
    <w:rsid w:val="00392D2D"/>
    <w:rsid w:val="00395955"/>
    <w:rsid w:val="003A7426"/>
    <w:rsid w:val="003C1B46"/>
    <w:rsid w:val="003C3BDF"/>
    <w:rsid w:val="003C7138"/>
    <w:rsid w:val="003D11DD"/>
    <w:rsid w:val="003E39AB"/>
    <w:rsid w:val="003F0687"/>
    <w:rsid w:val="003F346C"/>
    <w:rsid w:val="003F4520"/>
    <w:rsid w:val="003F7F1C"/>
    <w:rsid w:val="00400572"/>
    <w:rsid w:val="004149E0"/>
    <w:rsid w:val="0042281B"/>
    <w:rsid w:val="00431E60"/>
    <w:rsid w:val="00432C7C"/>
    <w:rsid w:val="004337B3"/>
    <w:rsid w:val="0043661B"/>
    <w:rsid w:val="0045158C"/>
    <w:rsid w:val="00457E12"/>
    <w:rsid w:val="00480EB9"/>
    <w:rsid w:val="00484A0D"/>
    <w:rsid w:val="004B3AB1"/>
    <w:rsid w:val="004C2A48"/>
    <w:rsid w:val="004C2C5C"/>
    <w:rsid w:val="004E0503"/>
    <w:rsid w:val="004E65AE"/>
    <w:rsid w:val="004E7B37"/>
    <w:rsid w:val="00503613"/>
    <w:rsid w:val="00515FC9"/>
    <w:rsid w:val="00516CB3"/>
    <w:rsid w:val="0052674B"/>
    <w:rsid w:val="005330A7"/>
    <w:rsid w:val="005364F0"/>
    <w:rsid w:val="00547D70"/>
    <w:rsid w:val="00566AD4"/>
    <w:rsid w:val="00575B3D"/>
    <w:rsid w:val="00581E28"/>
    <w:rsid w:val="005A4932"/>
    <w:rsid w:val="005A6D44"/>
    <w:rsid w:val="005B04EB"/>
    <w:rsid w:val="005B3401"/>
    <w:rsid w:val="005C3429"/>
    <w:rsid w:val="005C5D2D"/>
    <w:rsid w:val="005F6459"/>
    <w:rsid w:val="006061A6"/>
    <w:rsid w:val="006174F4"/>
    <w:rsid w:val="006227ED"/>
    <w:rsid w:val="00622EEF"/>
    <w:rsid w:val="0062459B"/>
    <w:rsid w:val="00631218"/>
    <w:rsid w:val="00634B8D"/>
    <w:rsid w:val="00636332"/>
    <w:rsid w:val="00656CC8"/>
    <w:rsid w:val="00676739"/>
    <w:rsid w:val="00676ADC"/>
    <w:rsid w:val="006824F4"/>
    <w:rsid w:val="00683E41"/>
    <w:rsid w:val="006928FB"/>
    <w:rsid w:val="0069730A"/>
    <w:rsid w:val="006B0FC2"/>
    <w:rsid w:val="006B174F"/>
    <w:rsid w:val="006B24CA"/>
    <w:rsid w:val="006C498F"/>
    <w:rsid w:val="006C6042"/>
    <w:rsid w:val="006C7574"/>
    <w:rsid w:val="006F34F9"/>
    <w:rsid w:val="00710645"/>
    <w:rsid w:val="00716F5D"/>
    <w:rsid w:val="00717A2F"/>
    <w:rsid w:val="0073305B"/>
    <w:rsid w:val="007363C8"/>
    <w:rsid w:val="00736A53"/>
    <w:rsid w:val="007469C9"/>
    <w:rsid w:val="00756542"/>
    <w:rsid w:val="00763AE5"/>
    <w:rsid w:val="00770359"/>
    <w:rsid w:val="0077627A"/>
    <w:rsid w:val="00786AB6"/>
    <w:rsid w:val="00787E1F"/>
    <w:rsid w:val="007922F3"/>
    <w:rsid w:val="00792836"/>
    <w:rsid w:val="007A3952"/>
    <w:rsid w:val="007A5373"/>
    <w:rsid w:val="007B117B"/>
    <w:rsid w:val="007B7D59"/>
    <w:rsid w:val="007D57ED"/>
    <w:rsid w:val="007D7E7C"/>
    <w:rsid w:val="007E029D"/>
    <w:rsid w:val="007F667B"/>
    <w:rsid w:val="00820E6C"/>
    <w:rsid w:val="00822603"/>
    <w:rsid w:val="00827E81"/>
    <w:rsid w:val="00831FBA"/>
    <w:rsid w:val="00850F57"/>
    <w:rsid w:val="00852C72"/>
    <w:rsid w:val="008644F3"/>
    <w:rsid w:val="008805FE"/>
    <w:rsid w:val="008A3349"/>
    <w:rsid w:val="008B41C2"/>
    <w:rsid w:val="008B4B50"/>
    <w:rsid w:val="008C28A0"/>
    <w:rsid w:val="008C68DA"/>
    <w:rsid w:val="008D1FDB"/>
    <w:rsid w:val="008D368B"/>
    <w:rsid w:val="008D7C0E"/>
    <w:rsid w:val="008F0702"/>
    <w:rsid w:val="008F3D78"/>
    <w:rsid w:val="00902ED5"/>
    <w:rsid w:val="00906191"/>
    <w:rsid w:val="00916E51"/>
    <w:rsid w:val="00917CAE"/>
    <w:rsid w:val="009360E5"/>
    <w:rsid w:val="00946934"/>
    <w:rsid w:val="00952F39"/>
    <w:rsid w:val="009562D3"/>
    <w:rsid w:val="00956319"/>
    <w:rsid w:val="0097414E"/>
    <w:rsid w:val="009764B1"/>
    <w:rsid w:val="00992E85"/>
    <w:rsid w:val="00995869"/>
    <w:rsid w:val="009A7ACB"/>
    <w:rsid w:val="009A7B00"/>
    <w:rsid w:val="009B6DDA"/>
    <w:rsid w:val="009D064B"/>
    <w:rsid w:val="009D0E1D"/>
    <w:rsid w:val="009E2710"/>
    <w:rsid w:val="009F4555"/>
    <w:rsid w:val="00A01AAB"/>
    <w:rsid w:val="00A113C4"/>
    <w:rsid w:val="00A12FA8"/>
    <w:rsid w:val="00A23EAD"/>
    <w:rsid w:val="00A42A00"/>
    <w:rsid w:val="00A611A8"/>
    <w:rsid w:val="00A61910"/>
    <w:rsid w:val="00A65618"/>
    <w:rsid w:val="00A70CE3"/>
    <w:rsid w:val="00A73D87"/>
    <w:rsid w:val="00A847D9"/>
    <w:rsid w:val="00AB2BAA"/>
    <w:rsid w:val="00AB3D2E"/>
    <w:rsid w:val="00AB43BA"/>
    <w:rsid w:val="00AC42FA"/>
    <w:rsid w:val="00AD1BF6"/>
    <w:rsid w:val="00B02581"/>
    <w:rsid w:val="00B16ED8"/>
    <w:rsid w:val="00B234AC"/>
    <w:rsid w:val="00B37930"/>
    <w:rsid w:val="00B50E93"/>
    <w:rsid w:val="00B56EC1"/>
    <w:rsid w:val="00B576EC"/>
    <w:rsid w:val="00B66E12"/>
    <w:rsid w:val="00B744D5"/>
    <w:rsid w:val="00B75ABB"/>
    <w:rsid w:val="00B83124"/>
    <w:rsid w:val="00BA3E2E"/>
    <w:rsid w:val="00BB04E3"/>
    <w:rsid w:val="00BB3926"/>
    <w:rsid w:val="00BD2606"/>
    <w:rsid w:val="00BE1F50"/>
    <w:rsid w:val="00C01E74"/>
    <w:rsid w:val="00C03BA4"/>
    <w:rsid w:val="00C12001"/>
    <w:rsid w:val="00C16BDB"/>
    <w:rsid w:val="00C22FF9"/>
    <w:rsid w:val="00C32384"/>
    <w:rsid w:val="00C34749"/>
    <w:rsid w:val="00C37FBC"/>
    <w:rsid w:val="00C73803"/>
    <w:rsid w:val="00C80699"/>
    <w:rsid w:val="00C81967"/>
    <w:rsid w:val="00C83830"/>
    <w:rsid w:val="00C86CDA"/>
    <w:rsid w:val="00C95245"/>
    <w:rsid w:val="00CA4F21"/>
    <w:rsid w:val="00CB338B"/>
    <w:rsid w:val="00CC3680"/>
    <w:rsid w:val="00CC4C3C"/>
    <w:rsid w:val="00CD04F0"/>
    <w:rsid w:val="00CF3D16"/>
    <w:rsid w:val="00D01091"/>
    <w:rsid w:val="00D04B86"/>
    <w:rsid w:val="00D23A06"/>
    <w:rsid w:val="00D321E6"/>
    <w:rsid w:val="00D562F9"/>
    <w:rsid w:val="00D5655B"/>
    <w:rsid w:val="00D63826"/>
    <w:rsid w:val="00D65346"/>
    <w:rsid w:val="00D90A05"/>
    <w:rsid w:val="00DB638A"/>
    <w:rsid w:val="00DD691A"/>
    <w:rsid w:val="00DE0664"/>
    <w:rsid w:val="00DE2FD5"/>
    <w:rsid w:val="00DF6CF2"/>
    <w:rsid w:val="00E0792A"/>
    <w:rsid w:val="00E14E01"/>
    <w:rsid w:val="00E15B10"/>
    <w:rsid w:val="00E3239B"/>
    <w:rsid w:val="00E330E9"/>
    <w:rsid w:val="00E41601"/>
    <w:rsid w:val="00E512EC"/>
    <w:rsid w:val="00E658A7"/>
    <w:rsid w:val="00E665DB"/>
    <w:rsid w:val="00E72AE1"/>
    <w:rsid w:val="00E74ECE"/>
    <w:rsid w:val="00E7600E"/>
    <w:rsid w:val="00E84310"/>
    <w:rsid w:val="00EA2F75"/>
    <w:rsid w:val="00EC39F9"/>
    <w:rsid w:val="00ED2597"/>
    <w:rsid w:val="00EE6E06"/>
    <w:rsid w:val="00F032BE"/>
    <w:rsid w:val="00F033DB"/>
    <w:rsid w:val="00F03428"/>
    <w:rsid w:val="00F17B8F"/>
    <w:rsid w:val="00F24FF3"/>
    <w:rsid w:val="00F27877"/>
    <w:rsid w:val="00F27DBA"/>
    <w:rsid w:val="00F45C14"/>
    <w:rsid w:val="00F51F21"/>
    <w:rsid w:val="00F53347"/>
    <w:rsid w:val="00F75E80"/>
    <w:rsid w:val="00F77951"/>
    <w:rsid w:val="00F929FB"/>
    <w:rsid w:val="00F9426D"/>
    <w:rsid w:val="00FA4F61"/>
    <w:rsid w:val="00FA7456"/>
    <w:rsid w:val="00FD4D79"/>
    <w:rsid w:val="00FE07CE"/>
    <w:rsid w:val="00FE4639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CC8"/>
    <w:pPr>
      <w:jc w:val="both"/>
    </w:pPr>
    <w:rPr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rsid w:val="00D63826"/>
    <w:pPr>
      <w:keepNext/>
      <w:numPr>
        <w:numId w:val="15"/>
      </w:numPr>
      <w:autoSpaceDE w:val="0"/>
      <w:autoSpaceDN w:val="0"/>
      <w:spacing w:before="480" w:after="240"/>
      <w:ind w:left="431" w:hanging="431"/>
      <w:outlineLvl w:val="0"/>
    </w:pPr>
    <w:rPr>
      <w:rFonts w:ascii="Arial" w:hAnsi="Arial" w:cs="Arial"/>
      <w:b/>
      <w:bCs/>
      <w:kern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826"/>
    <w:pPr>
      <w:keepNext/>
      <w:keepLines/>
      <w:numPr>
        <w:ilvl w:val="1"/>
        <w:numId w:val="15"/>
      </w:numPr>
      <w:spacing w:before="360" w:line="360" w:lineRule="auto"/>
      <w:ind w:left="578" w:hanging="578"/>
      <w:jc w:val="left"/>
      <w:outlineLvl w:val="1"/>
    </w:pPr>
    <w:rPr>
      <w:rFonts w:ascii="Arial" w:eastAsiaTheme="majorEastAsia" w:hAnsi="Arial" w:cs="Arial"/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jc w:val="right"/>
      <w:outlineLvl w:val="2"/>
    </w:pPr>
    <w:rPr>
      <w:rFonts w:ascii="Arial" w:hAnsi="Arial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5"/>
      </w:numPr>
      <w:outlineLvl w:val="3"/>
    </w:pPr>
    <w:rPr>
      <w:rFonts w:ascii="Arial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5"/>
      </w:numPr>
      <w:autoSpaceDE w:val="0"/>
      <w:autoSpaceDN w:val="0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764B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764B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764B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764B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Seitenzahl">
    <w:name w:val="page number"/>
    <w:basedOn w:val="Absatz-Standardschriftart"/>
  </w:style>
  <w:style w:type="paragraph" w:customStyle="1" w:styleId="ELoverskrift3">
    <w:name w:val="ELoverskrift3"/>
    <w:basedOn w:val="Standard"/>
    <w:next w:val="Standard"/>
    <w:pPr>
      <w:keepNext/>
      <w:keepLines/>
      <w:autoSpaceDE w:val="0"/>
      <w:autoSpaceDN w:val="0"/>
      <w:spacing w:after="120"/>
    </w:pPr>
    <w:rPr>
      <w:b/>
      <w:bCs/>
      <w:lang w:eastAsia="nl-NL"/>
    </w:rPr>
  </w:style>
  <w:style w:type="table" w:styleId="Tabellenraster">
    <w:name w:val="Table Grid"/>
    <w:basedOn w:val="NormaleTabelle"/>
    <w:rsid w:val="0069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ZchnZchn">
    <w:name w:val="Char Char Zchn Zchn"/>
    <w:basedOn w:val="Standard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el">
    <w:name w:val="Title"/>
    <w:basedOn w:val="Standard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Standard"/>
    <w:next w:val="Standard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3826"/>
    <w:rPr>
      <w:rFonts w:ascii="Arial" w:eastAsiaTheme="majorEastAsia" w:hAnsi="Arial" w:cs="Arial"/>
      <w:b/>
      <w:bCs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0E3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396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uiPriority w:val="99"/>
    <w:semiHidden/>
    <w:rsid w:val="000E3396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D562F9"/>
    <w:pPr>
      <w:spacing w:after="200"/>
      <w:jc w:val="center"/>
    </w:pPr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E39AB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764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berschrift7Zchn">
    <w:name w:val="Überschrift 7 Zchn"/>
    <w:basedOn w:val="Absatz-Standardschriftart"/>
    <w:link w:val="berschrift7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berschrift8Zchn">
    <w:name w:val="Überschrift 8 Zchn"/>
    <w:basedOn w:val="Absatz-Standardschriftart"/>
    <w:link w:val="berschrift8"/>
    <w:semiHidden/>
    <w:rsid w:val="009764B1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berschrift9Zchn">
    <w:name w:val="Überschrift 9 Zchn"/>
    <w:basedOn w:val="Absatz-Standardschriftart"/>
    <w:link w:val="berschrift9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Funotentext">
    <w:name w:val="footnote text"/>
    <w:basedOn w:val="Standard"/>
    <w:link w:val="FunotentextZchn"/>
    <w:rsid w:val="009958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95869"/>
    <w:rPr>
      <w:lang w:val="en-GB" w:eastAsia="fr-FR"/>
    </w:rPr>
  </w:style>
  <w:style w:type="character" w:styleId="Funotenzeichen">
    <w:name w:val="footnote reference"/>
    <w:basedOn w:val="Absatz-Standardschriftart"/>
    <w:rsid w:val="00995869"/>
    <w:rPr>
      <w:vertAlign w:val="superscript"/>
    </w:rPr>
  </w:style>
  <w:style w:type="character" w:styleId="Kommentarzeichen">
    <w:name w:val="annotation reference"/>
    <w:basedOn w:val="Absatz-Standardschriftart"/>
    <w:rsid w:val="0037297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2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2975"/>
    <w:rPr>
      <w:lang w:val="en-GB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372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2975"/>
    <w:rPr>
      <w:b/>
      <w:bCs/>
      <w:lang w:val="en-GB" w:eastAsia="fr-FR"/>
    </w:rPr>
  </w:style>
  <w:style w:type="paragraph" w:customStyle="1" w:styleId="CharCharZchnZchn0">
    <w:name w:val="Char Char Zchn Zchn"/>
    <w:basedOn w:val="Standard"/>
    <w:rsid w:val="001F29AB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BB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CC8"/>
    <w:pPr>
      <w:jc w:val="both"/>
    </w:pPr>
    <w:rPr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rsid w:val="00D63826"/>
    <w:pPr>
      <w:keepNext/>
      <w:numPr>
        <w:numId w:val="15"/>
      </w:numPr>
      <w:autoSpaceDE w:val="0"/>
      <w:autoSpaceDN w:val="0"/>
      <w:spacing w:before="480" w:after="240"/>
      <w:ind w:left="431" w:hanging="431"/>
      <w:outlineLvl w:val="0"/>
    </w:pPr>
    <w:rPr>
      <w:rFonts w:ascii="Arial" w:hAnsi="Arial" w:cs="Arial"/>
      <w:b/>
      <w:bCs/>
      <w:kern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826"/>
    <w:pPr>
      <w:keepNext/>
      <w:keepLines/>
      <w:numPr>
        <w:ilvl w:val="1"/>
        <w:numId w:val="15"/>
      </w:numPr>
      <w:spacing w:before="360" w:line="360" w:lineRule="auto"/>
      <w:ind w:left="578" w:hanging="578"/>
      <w:jc w:val="left"/>
      <w:outlineLvl w:val="1"/>
    </w:pPr>
    <w:rPr>
      <w:rFonts w:ascii="Arial" w:eastAsiaTheme="majorEastAsia" w:hAnsi="Arial" w:cs="Arial"/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jc w:val="right"/>
      <w:outlineLvl w:val="2"/>
    </w:pPr>
    <w:rPr>
      <w:rFonts w:ascii="Arial" w:hAnsi="Arial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5"/>
      </w:numPr>
      <w:outlineLvl w:val="3"/>
    </w:pPr>
    <w:rPr>
      <w:rFonts w:ascii="Arial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5"/>
      </w:numPr>
      <w:autoSpaceDE w:val="0"/>
      <w:autoSpaceDN w:val="0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764B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764B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764B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764B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Seitenzahl">
    <w:name w:val="page number"/>
    <w:basedOn w:val="Absatz-Standardschriftart"/>
  </w:style>
  <w:style w:type="paragraph" w:customStyle="1" w:styleId="ELoverskrift3">
    <w:name w:val="ELoverskrift3"/>
    <w:basedOn w:val="Standard"/>
    <w:next w:val="Standard"/>
    <w:pPr>
      <w:keepNext/>
      <w:keepLines/>
      <w:autoSpaceDE w:val="0"/>
      <w:autoSpaceDN w:val="0"/>
      <w:spacing w:after="120"/>
    </w:pPr>
    <w:rPr>
      <w:b/>
      <w:bCs/>
      <w:lang w:eastAsia="nl-NL"/>
    </w:rPr>
  </w:style>
  <w:style w:type="table" w:styleId="Tabellenraster">
    <w:name w:val="Table Grid"/>
    <w:basedOn w:val="NormaleTabelle"/>
    <w:rsid w:val="0069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ZchnZchn">
    <w:name w:val="Char Char Zchn Zchn"/>
    <w:basedOn w:val="Standard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el">
    <w:name w:val="Title"/>
    <w:basedOn w:val="Standard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Standard"/>
    <w:next w:val="Standard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3826"/>
    <w:rPr>
      <w:rFonts w:ascii="Arial" w:eastAsiaTheme="majorEastAsia" w:hAnsi="Arial" w:cs="Arial"/>
      <w:b/>
      <w:bCs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0E3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396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uiPriority w:val="99"/>
    <w:semiHidden/>
    <w:rsid w:val="000E3396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D562F9"/>
    <w:pPr>
      <w:spacing w:after="200"/>
      <w:jc w:val="center"/>
    </w:pPr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E39AB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764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berschrift7Zchn">
    <w:name w:val="Überschrift 7 Zchn"/>
    <w:basedOn w:val="Absatz-Standardschriftart"/>
    <w:link w:val="berschrift7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berschrift8Zchn">
    <w:name w:val="Überschrift 8 Zchn"/>
    <w:basedOn w:val="Absatz-Standardschriftart"/>
    <w:link w:val="berschrift8"/>
    <w:semiHidden/>
    <w:rsid w:val="009764B1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berschrift9Zchn">
    <w:name w:val="Überschrift 9 Zchn"/>
    <w:basedOn w:val="Absatz-Standardschriftart"/>
    <w:link w:val="berschrift9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Funotentext">
    <w:name w:val="footnote text"/>
    <w:basedOn w:val="Standard"/>
    <w:link w:val="FunotentextZchn"/>
    <w:rsid w:val="009958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95869"/>
    <w:rPr>
      <w:lang w:val="en-GB" w:eastAsia="fr-FR"/>
    </w:rPr>
  </w:style>
  <w:style w:type="character" w:styleId="Funotenzeichen">
    <w:name w:val="footnote reference"/>
    <w:basedOn w:val="Absatz-Standardschriftart"/>
    <w:rsid w:val="00995869"/>
    <w:rPr>
      <w:vertAlign w:val="superscript"/>
    </w:rPr>
  </w:style>
  <w:style w:type="character" w:styleId="Kommentarzeichen">
    <w:name w:val="annotation reference"/>
    <w:basedOn w:val="Absatz-Standardschriftart"/>
    <w:rsid w:val="0037297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29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2975"/>
    <w:rPr>
      <w:lang w:val="en-GB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3729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2975"/>
    <w:rPr>
      <w:b/>
      <w:bCs/>
      <w:lang w:val="en-GB" w:eastAsia="fr-FR"/>
    </w:rPr>
  </w:style>
  <w:style w:type="paragraph" w:customStyle="1" w:styleId="CharCharZchnZchn0">
    <w:name w:val="Char Char Zchn Zchn"/>
    <w:basedOn w:val="Standard"/>
    <w:rsid w:val="001F29AB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BB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6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983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687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7415-01F7-4E71-8AE3-7BD71634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00XSE(10)</vt:lpstr>
    </vt:vector>
  </TitlesOfParts>
  <Company>ANFR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Stefan Hiensch</cp:lastModifiedBy>
  <cp:revision>3</cp:revision>
  <cp:lastPrinted>2014-01-22T13:49:00Z</cp:lastPrinted>
  <dcterms:created xsi:type="dcterms:W3CDTF">2014-01-24T12:01:00Z</dcterms:created>
  <dcterms:modified xsi:type="dcterms:W3CDTF">2014-01-24T12:04:00Z</dcterms:modified>
</cp:coreProperties>
</file>