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78" w:rsidRDefault="006F1C78">
      <w:pPr>
        <w:ind w:right="-426"/>
        <w:rPr>
          <w:b/>
          <w:bCs/>
          <w:lang w:val="en-GB"/>
        </w:rPr>
      </w:pPr>
    </w:p>
    <w:tbl>
      <w:tblPr>
        <w:tblW w:w="9360" w:type="dxa"/>
        <w:tblInd w:w="70" w:type="dxa"/>
        <w:tblLayout w:type="fixed"/>
        <w:tblCellMar>
          <w:left w:w="70" w:type="dxa"/>
          <w:right w:w="70" w:type="dxa"/>
        </w:tblCellMar>
        <w:tblLook w:val="0000" w:firstRow="0" w:lastRow="0" w:firstColumn="0" w:lastColumn="0" w:noHBand="0" w:noVBand="0"/>
      </w:tblPr>
      <w:tblGrid>
        <w:gridCol w:w="1768"/>
        <w:gridCol w:w="4352"/>
        <w:gridCol w:w="3240"/>
      </w:tblGrid>
      <w:tr w:rsidR="006F1C78" w:rsidRPr="00025717" w:rsidTr="00754057">
        <w:trPr>
          <w:cantSplit/>
        </w:trPr>
        <w:tc>
          <w:tcPr>
            <w:tcW w:w="6120" w:type="dxa"/>
            <w:gridSpan w:val="2"/>
          </w:tcPr>
          <w:p w:rsidR="006F1C78" w:rsidRPr="00025717" w:rsidRDefault="006F1C78" w:rsidP="00754057">
            <w:pPr>
              <w:ind w:right="282"/>
              <w:rPr>
                <w:b/>
                <w:lang w:val="en-IE" w:eastAsia="de-DE"/>
              </w:rPr>
            </w:pPr>
            <w:r w:rsidRPr="00025717">
              <w:rPr>
                <w:b/>
                <w:lang w:val="en-US"/>
              </w:rPr>
              <w:br w:type="page"/>
            </w:r>
            <w:r>
              <w:rPr>
                <w:b/>
                <w:bCs/>
                <w:noProof/>
                <w:lang w:val="de-DE" w:eastAsia="de-DE"/>
              </w:rPr>
              <w:drawing>
                <wp:inline distT="0" distB="0" distL="0" distR="0" wp14:anchorId="1F929E2A" wp14:editId="56CA6E79">
                  <wp:extent cx="1619250" cy="838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inline>
              </w:drawing>
            </w:r>
          </w:p>
        </w:tc>
        <w:tc>
          <w:tcPr>
            <w:tcW w:w="3240" w:type="dxa"/>
          </w:tcPr>
          <w:p w:rsidR="00B81AB5" w:rsidRDefault="00B81AB5" w:rsidP="00B81AB5">
            <w:pPr>
              <w:ind w:right="110"/>
              <w:jc w:val="right"/>
              <w:rPr>
                <w:b/>
              </w:rPr>
            </w:pPr>
            <w:r>
              <w:rPr>
                <w:b/>
              </w:rPr>
              <w:t>Doc. ECC/SE(13</w:t>
            </w:r>
            <w:r w:rsidRPr="00025717">
              <w:rPr>
                <w:b/>
              </w:rPr>
              <w:t>)</w:t>
            </w:r>
            <w:r>
              <w:rPr>
                <w:b/>
              </w:rPr>
              <w:t>0</w:t>
            </w:r>
            <w:r w:rsidR="00DA2959">
              <w:rPr>
                <w:b/>
              </w:rPr>
              <w:t>43</w:t>
            </w:r>
          </w:p>
          <w:p w:rsidR="006F1C78" w:rsidRDefault="006F1C78" w:rsidP="00754057">
            <w:pPr>
              <w:ind w:right="110"/>
              <w:jc w:val="right"/>
              <w:rPr>
                <w:b/>
              </w:rPr>
            </w:pPr>
          </w:p>
          <w:p w:rsidR="006F1C78" w:rsidRDefault="006F1C78" w:rsidP="00754057">
            <w:pPr>
              <w:ind w:right="110"/>
              <w:jc w:val="right"/>
              <w:rPr>
                <w:b/>
              </w:rPr>
            </w:pPr>
          </w:p>
          <w:p w:rsidR="006F1C78" w:rsidRPr="00025717" w:rsidRDefault="006F1C78" w:rsidP="00754057">
            <w:pPr>
              <w:jc w:val="right"/>
              <w:rPr>
                <w:b/>
                <w:lang w:val="en-US" w:eastAsia="de-DE"/>
              </w:rPr>
            </w:pPr>
          </w:p>
        </w:tc>
      </w:tr>
      <w:tr w:rsidR="006F1C78" w:rsidRPr="00025717" w:rsidTr="00754057">
        <w:trPr>
          <w:trHeight w:val="567"/>
        </w:trPr>
        <w:tc>
          <w:tcPr>
            <w:tcW w:w="6120" w:type="dxa"/>
            <w:gridSpan w:val="2"/>
            <w:tcMar>
              <w:top w:w="0" w:type="dxa"/>
              <w:left w:w="108" w:type="dxa"/>
              <w:bottom w:w="0" w:type="dxa"/>
              <w:right w:w="108" w:type="dxa"/>
            </w:tcMar>
            <w:vAlign w:val="center"/>
          </w:tcPr>
          <w:p w:rsidR="006F1C78" w:rsidRPr="00025717" w:rsidRDefault="006F1C78" w:rsidP="00754057">
            <w:pPr>
              <w:pStyle w:val="berschrift4"/>
              <w:ind w:right="-321"/>
              <w:rPr>
                <w:rFonts w:ascii="Times New Roman" w:hAnsi="Times New Roman"/>
                <w:sz w:val="28"/>
                <w:szCs w:val="28"/>
              </w:rPr>
            </w:pPr>
            <w:r w:rsidRPr="00025717">
              <w:rPr>
                <w:rFonts w:ascii="Times New Roman" w:hAnsi="Times New Roman"/>
                <w:color w:val="808080"/>
                <w:sz w:val="28"/>
                <w:szCs w:val="28"/>
              </w:rPr>
              <w:t>Working Group SE</w:t>
            </w:r>
          </w:p>
        </w:tc>
        <w:tc>
          <w:tcPr>
            <w:tcW w:w="3240" w:type="dxa"/>
            <w:tcMar>
              <w:top w:w="0" w:type="dxa"/>
              <w:left w:w="108" w:type="dxa"/>
              <w:bottom w:w="0" w:type="dxa"/>
              <w:right w:w="108" w:type="dxa"/>
            </w:tcMar>
            <w:vAlign w:val="center"/>
          </w:tcPr>
          <w:p w:rsidR="006F1C78" w:rsidRPr="00025717" w:rsidRDefault="006F1C78" w:rsidP="00754057">
            <w:pPr>
              <w:rPr>
                <w:lang w:val="en-GB" w:eastAsia="de-DE"/>
              </w:rPr>
            </w:pPr>
          </w:p>
        </w:tc>
      </w:tr>
      <w:tr w:rsidR="006F1C78" w:rsidRPr="006F1C78" w:rsidTr="00754057">
        <w:tc>
          <w:tcPr>
            <w:tcW w:w="6120" w:type="dxa"/>
            <w:gridSpan w:val="2"/>
            <w:tcMar>
              <w:top w:w="0" w:type="dxa"/>
              <w:left w:w="108" w:type="dxa"/>
              <w:bottom w:w="0" w:type="dxa"/>
              <w:right w:w="108" w:type="dxa"/>
            </w:tcMar>
            <w:vAlign w:val="center"/>
          </w:tcPr>
          <w:p w:rsidR="006F1C78" w:rsidRPr="00025717" w:rsidRDefault="006F1C78" w:rsidP="00754057">
            <w:pPr>
              <w:pStyle w:val="berschrift4"/>
              <w:ind w:right="-321"/>
              <w:rPr>
                <w:rFonts w:ascii="Times New Roman" w:hAnsi="Times New Roman"/>
                <w:szCs w:val="24"/>
              </w:rPr>
            </w:pPr>
          </w:p>
          <w:p w:rsidR="006F1C78" w:rsidRDefault="006F1C78" w:rsidP="00754057">
            <w:pPr>
              <w:pStyle w:val="berschrift4"/>
              <w:ind w:right="-321"/>
              <w:rPr>
                <w:rFonts w:ascii="Times New Roman" w:hAnsi="Times New Roman"/>
                <w:szCs w:val="24"/>
              </w:rPr>
            </w:pPr>
            <w:r>
              <w:rPr>
                <w:rFonts w:ascii="Times New Roman" w:hAnsi="Times New Roman"/>
                <w:szCs w:val="24"/>
              </w:rPr>
              <w:t>63</w:t>
            </w:r>
            <w:r>
              <w:rPr>
                <w:rFonts w:ascii="Times New Roman" w:hAnsi="Times New Roman"/>
                <w:szCs w:val="24"/>
                <w:vertAlign w:val="superscript"/>
              </w:rPr>
              <w:t>rd</w:t>
            </w:r>
            <w:r>
              <w:rPr>
                <w:rFonts w:ascii="Times New Roman" w:hAnsi="Times New Roman"/>
                <w:szCs w:val="24"/>
              </w:rPr>
              <w:t xml:space="preserve"> Meeting of WG SE</w:t>
            </w:r>
          </w:p>
          <w:p w:rsidR="006F1C78" w:rsidRPr="00B77EF7" w:rsidRDefault="006F1C78" w:rsidP="00754057">
            <w:pPr>
              <w:pStyle w:val="berschrift4"/>
              <w:ind w:right="-321"/>
              <w:rPr>
                <w:rFonts w:ascii="Times New Roman" w:hAnsi="Times New Roman"/>
                <w:szCs w:val="24"/>
              </w:rPr>
            </w:pPr>
            <w:r>
              <w:rPr>
                <w:iCs/>
              </w:rPr>
              <w:t>Lübeck, Germany</w:t>
            </w:r>
            <w:r>
              <w:t xml:space="preserve">, 28 January </w:t>
            </w:r>
            <w:r>
              <w:rPr>
                <w:bCs/>
                <w:kern w:val="36"/>
              </w:rPr>
              <w:t>– 1 February 2013</w:t>
            </w:r>
          </w:p>
        </w:tc>
        <w:tc>
          <w:tcPr>
            <w:tcW w:w="3240" w:type="dxa"/>
            <w:tcMar>
              <w:top w:w="0" w:type="dxa"/>
              <w:left w:w="108" w:type="dxa"/>
              <w:bottom w:w="0" w:type="dxa"/>
              <w:right w:w="108" w:type="dxa"/>
            </w:tcMar>
            <w:vAlign w:val="center"/>
          </w:tcPr>
          <w:p w:rsidR="006F1C78" w:rsidRPr="00025717" w:rsidRDefault="006F1C78" w:rsidP="00754057">
            <w:pPr>
              <w:pStyle w:val="berschrift4"/>
              <w:ind w:right="324"/>
              <w:rPr>
                <w:rFonts w:ascii="Times New Roman" w:hAnsi="Times New Roman"/>
                <w:b w:val="0"/>
                <w:szCs w:val="24"/>
              </w:rPr>
            </w:pPr>
          </w:p>
        </w:tc>
      </w:tr>
      <w:tr w:rsidR="006F1C78" w:rsidRPr="006F1C78" w:rsidTr="00754057">
        <w:tc>
          <w:tcPr>
            <w:tcW w:w="6120" w:type="dxa"/>
            <w:gridSpan w:val="2"/>
            <w:tcBorders>
              <w:bottom w:val="single" w:sz="2" w:space="0" w:color="auto"/>
            </w:tcBorders>
            <w:tcMar>
              <w:top w:w="0" w:type="dxa"/>
              <w:left w:w="108" w:type="dxa"/>
              <w:bottom w:w="0" w:type="dxa"/>
              <w:right w:w="108" w:type="dxa"/>
            </w:tcMar>
            <w:vAlign w:val="center"/>
          </w:tcPr>
          <w:p w:rsidR="006F1C78" w:rsidRPr="00025717" w:rsidRDefault="006F1C78" w:rsidP="00754057">
            <w:pPr>
              <w:pStyle w:val="berschrift4"/>
              <w:ind w:right="-321"/>
              <w:rPr>
                <w:rFonts w:ascii="Times New Roman" w:hAnsi="Times New Roman"/>
                <w:szCs w:val="24"/>
              </w:rPr>
            </w:pPr>
          </w:p>
        </w:tc>
        <w:tc>
          <w:tcPr>
            <w:tcW w:w="3240" w:type="dxa"/>
            <w:tcBorders>
              <w:bottom w:val="single" w:sz="2" w:space="0" w:color="auto"/>
            </w:tcBorders>
            <w:tcMar>
              <w:top w:w="0" w:type="dxa"/>
              <w:left w:w="108" w:type="dxa"/>
              <w:bottom w:w="0" w:type="dxa"/>
              <w:right w:w="108" w:type="dxa"/>
            </w:tcMar>
            <w:vAlign w:val="center"/>
          </w:tcPr>
          <w:p w:rsidR="006F1C78" w:rsidRPr="00025717" w:rsidRDefault="006F1C78" w:rsidP="00754057">
            <w:pPr>
              <w:pStyle w:val="berschrift4"/>
              <w:ind w:right="-321"/>
              <w:rPr>
                <w:rFonts w:ascii="Times New Roman" w:hAnsi="Times New Roman"/>
                <w:b w:val="0"/>
                <w:szCs w:val="24"/>
              </w:rPr>
            </w:pPr>
          </w:p>
        </w:tc>
      </w:tr>
      <w:tr w:rsidR="006F1C78" w:rsidRPr="00025717" w:rsidTr="00754057">
        <w:trPr>
          <w:trHeight w:val="454"/>
        </w:trPr>
        <w:tc>
          <w:tcPr>
            <w:tcW w:w="1768" w:type="dxa"/>
            <w:tcBorders>
              <w:top w:val="single" w:sz="2" w:space="0" w:color="auto"/>
            </w:tcBorders>
            <w:tcMar>
              <w:top w:w="0" w:type="dxa"/>
              <w:left w:w="108" w:type="dxa"/>
              <w:bottom w:w="0" w:type="dxa"/>
              <w:right w:w="108" w:type="dxa"/>
            </w:tcMar>
            <w:vAlign w:val="center"/>
          </w:tcPr>
          <w:p w:rsidR="006F1C78" w:rsidRPr="00025717" w:rsidRDefault="006F1C78" w:rsidP="00754057">
            <w:pPr>
              <w:pStyle w:val="berschrift4"/>
              <w:tabs>
                <w:tab w:val="left" w:pos="8789"/>
              </w:tabs>
              <w:spacing w:before="60" w:after="60"/>
              <w:rPr>
                <w:rFonts w:ascii="Times New Roman" w:hAnsi="Times New Roman"/>
                <w:szCs w:val="24"/>
              </w:rPr>
            </w:pPr>
            <w:r w:rsidRPr="00025717">
              <w:rPr>
                <w:rFonts w:ascii="Times New Roman" w:hAnsi="Times New Roman"/>
                <w:szCs w:val="24"/>
              </w:rPr>
              <w:t>Date issued:</w:t>
            </w:r>
            <w:r>
              <w:rPr>
                <w:rFonts w:cs="Arial"/>
                <w:sz w:val="22"/>
                <w:szCs w:val="22"/>
              </w:rPr>
              <w:t xml:space="preserve"> </w:t>
            </w:r>
          </w:p>
        </w:tc>
        <w:tc>
          <w:tcPr>
            <w:tcW w:w="7592" w:type="dxa"/>
            <w:gridSpan w:val="2"/>
            <w:tcBorders>
              <w:top w:val="single" w:sz="2" w:space="0" w:color="auto"/>
            </w:tcBorders>
            <w:tcMar>
              <w:top w:w="0" w:type="dxa"/>
              <w:left w:w="108" w:type="dxa"/>
              <w:bottom w:w="0" w:type="dxa"/>
              <w:right w:w="108" w:type="dxa"/>
            </w:tcMar>
            <w:vAlign w:val="center"/>
          </w:tcPr>
          <w:p w:rsidR="006F1C78" w:rsidRPr="006F1C78" w:rsidRDefault="006D5178" w:rsidP="006F1C78">
            <w:pPr>
              <w:pStyle w:val="berschrift4"/>
              <w:spacing w:before="60" w:after="60"/>
              <w:ind w:right="-108"/>
              <w:rPr>
                <w:rFonts w:ascii="Times New Roman" w:hAnsi="Times New Roman"/>
                <w:szCs w:val="24"/>
                <w:lang w:val="en-US"/>
              </w:rPr>
            </w:pPr>
            <w:r>
              <w:rPr>
                <w:rFonts w:ascii="Times New Roman" w:hAnsi="Times New Roman"/>
                <w:szCs w:val="24"/>
                <w:lang w:val="en-US"/>
              </w:rPr>
              <w:t>24</w:t>
            </w:r>
            <w:bookmarkStart w:id="0" w:name="_GoBack"/>
            <w:bookmarkEnd w:id="0"/>
            <w:r w:rsidR="006F1C78">
              <w:rPr>
                <w:rFonts w:ascii="Times New Roman" w:hAnsi="Times New Roman"/>
                <w:szCs w:val="24"/>
                <w:lang w:val="en-US"/>
              </w:rPr>
              <w:t xml:space="preserve"> </w:t>
            </w:r>
            <w:r w:rsidR="006F1C78" w:rsidRPr="006F1C78">
              <w:rPr>
                <w:rFonts w:ascii="Times New Roman" w:hAnsi="Times New Roman"/>
                <w:szCs w:val="24"/>
                <w:lang w:val="en-US"/>
              </w:rPr>
              <w:t>January 2013</w:t>
            </w:r>
          </w:p>
        </w:tc>
      </w:tr>
      <w:tr w:rsidR="006F1C78" w:rsidRPr="00025717" w:rsidTr="00754057">
        <w:trPr>
          <w:trHeight w:val="454"/>
        </w:trPr>
        <w:tc>
          <w:tcPr>
            <w:tcW w:w="1768" w:type="dxa"/>
            <w:tcMar>
              <w:top w:w="0" w:type="dxa"/>
              <w:left w:w="108" w:type="dxa"/>
              <w:bottom w:w="0" w:type="dxa"/>
              <w:right w:w="108" w:type="dxa"/>
            </w:tcMar>
            <w:vAlign w:val="center"/>
          </w:tcPr>
          <w:p w:rsidR="006F1C78" w:rsidRPr="00025717" w:rsidRDefault="006F1C78" w:rsidP="00754057">
            <w:pPr>
              <w:pStyle w:val="berschrift4"/>
              <w:tabs>
                <w:tab w:val="left" w:pos="8789"/>
              </w:tabs>
              <w:spacing w:before="60" w:after="60"/>
              <w:rPr>
                <w:rFonts w:ascii="Times New Roman" w:hAnsi="Times New Roman"/>
                <w:szCs w:val="24"/>
              </w:rPr>
            </w:pPr>
            <w:r w:rsidRPr="00025717">
              <w:rPr>
                <w:rFonts w:ascii="Times New Roman" w:hAnsi="Times New Roman"/>
                <w:szCs w:val="24"/>
              </w:rPr>
              <w:t>Source:</w:t>
            </w:r>
          </w:p>
        </w:tc>
        <w:tc>
          <w:tcPr>
            <w:tcW w:w="7592" w:type="dxa"/>
            <w:gridSpan w:val="2"/>
            <w:tcMar>
              <w:top w:w="0" w:type="dxa"/>
              <w:left w:w="108" w:type="dxa"/>
              <w:bottom w:w="0" w:type="dxa"/>
              <w:right w:w="108" w:type="dxa"/>
            </w:tcMar>
            <w:vAlign w:val="center"/>
          </w:tcPr>
          <w:p w:rsidR="006F1C78" w:rsidRPr="006F1C78" w:rsidRDefault="006F1C78" w:rsidP="00754057">
            <w:pPr>
              <w:pStyle w:val="berschrift4"/>
              <w:spacing w:before="60" w:after="60"/>
              <w:ind w:right="-108"/>
              <w:rPr>
                <w:rFonts w:ascii="Times New Roman" w:hAnsi="Times New Roman"/>
                <w:szCs w:val="24"/>
              </w:rPr>
            </w:pPr>
            <w:r w:rsidRPr="006F1C78">
              <w:rPr>
                <w:rFonts w:ascii="Times New Roman" w:hAnsi="Times New Roman"/>
                <w:szCs w:val="24"/>
              </w:rPr>
              <w:t>France</w:t>
            </w:r>
          </w:p>
        </w:tc>
      </w:tr>
      <w:tr w:rsidR="006F1C78" w:rsidRPr="006F1C78" w:rsidTr="00754057">
        <w:trPr>
          <w:trHeight w:val="454"/>
        </w:trPr>
        <w:tc>
          <w:tcPr>
            <w:tcW w:w="1768" w:type="dxa"/>
            <w:tcBorders>
              <w:bottom w:val="single" w:sz="2" w:space="0" w:color="auto"/>
            </w:tcBorders>
            <w:tcMar>
              <w:top w:w="0" w:type="dxa"/>
              <w:left w:w="108" w:type="dxa"/>
              <w:bottom w:w="0" w:type="dxa"/>
              <w:right w:w="108" w:type="dxa"/>
            </w:tcMar>
            <w:vAlign w:val="center"/>
          </w:tcPr>
          <w:p w:rsidR="006F1C78" w:rsidRPr="00025717" w:rsidRDefault="006F1C78" w:rsidP="00754057">
            <w:pPr>
              <w:pStyle w:val="berschrift4"/>
              <w:tabs>
                <w:tab w:val="left" w:pos="8789"/>
              </w:tabs>
              <w:spacing w:before="60" w:after="60"/>
              <w:rPr>
                <w:rFonts w:ascii="Times New Roman" w:hAnsi="Times New Roman"/>
                <w:szCs w:val="24"/>
              </w:rPr>
            </w:pPr>
            <w:r w:rsidRPr="00025717">
              <w:rPr>
                <w:rFonts w:ascii="Times New Roman" w:hAnsi="Times New Roman"/>
                <w:szCs w:val="24"/>
              </w:rPr>
              <w:t>Subject:</w:t>
            </w:r>
          </w:p>
        </w:tc>
        <w:tc>
          <w:tcPr>
            <w:tcW w:w="7592" w:type="dxa"/>
            <w:gridSpan w:val="2"/>
            <w:tcBorders>
              <w:bottom w:val="single" w:sz="2" w:space="0" w:color="auto"/>
            </w:tcBorders>
            <w:tcMar>
              <w:top w:w="0" w:type="dxa"/>
              <w:left w:w="108" w:type="dxa"/>
              <w:bottom w:w="0" w:type="dxa"/>
              <w:right w:w="108" w:type="dxa"/>
            </w:tcMar>
            <w:vAlign w:val="center"/>
          </w:tcPr>
          <w:p w:rsidR="006F1C78" w:rsidRPr="00521BBC" w:rsidRDefault="006F1C78" w:rsidP="00754057">
            <w:pPr>
              <w:pStyle w:val="berschrift4"/>
              <w:spacing w:before="60" w:after="60"/>
              <w:ind w:right="-108"/>
              <w:rPr>
                <w:rFonts w:ascii="Times New Roman" w:hAnsi="Times New Roman"/>
                <w:b w:val="0"/>
                <w:szCs w:val="24"/>
              </w:rPr>
            </w:pPr>
            <w:r>
              <w:rPr>
                <w:rFonts w:ascii="Times New Roman" w:hAnsi="Times New Roman"/>
                <w:szCs w:val="24"/>
              </w:rPr>
              <w:t>MBANS in the band 2300-2500 MHz</w:t>
            </w:r>
          </w:p>
        </w:tc>
      </w:tr>
    </w:tbl>
    <w:p w:rsidR="006F1C78" w:rsidRPr="00025717" w:rsidRDefault="006F1C78" w:rsidP="006F1C78">
      <w:pPr>
        <w:ind w:right="-426"/>
        <w:rPr>
          <w:b/>
          <w:bCs/>
          <w:lang w:val="en-GB"/>
        </w:rPr>
      </w:pPr>
    </w:p>
    <w:tbl>
      <w:tblPr>
        <w:tblW w:w="9360" w:type="dxa"/>
        <w:tblInd w:w="108" w:type="dxa"/>
        <w:tblLook w:val="01E0" w:firstRow="1" w:lastRow="1" w:firstColumn="1" w:lastColumn="1" w:noHBand="0" w:noVBand="0"/>
      </w:tblPr>
      <w:tblGrid>
        <w:gridCol w:w="1768"/>
        <w:gridCol w:w="2552"/>
        <w:gridCol w:w="5040"/>
      </w:tblGrid>
      <w:tr w:rsidR="006F1C78" w:rsidRPr="006F1C78" w:rsidTr="00754057">
        <w:tc>
          <w:tcPr>
            <w:tcW w:w="4320" w:type="dxa"/>
            <w:gridSpan w:val="2"/>
            <w:shd w:val="clear" w:color="auto" w:fill="auto"/>
          </w:tcPr>
          <w:p w:rsidR="006F1C78" w:rsidRPr="00CF3D16" w:rsidRDefault="006F1C78" w:rsidP="00754057">
            <w:pPr>
              <w:ind w:right="-426"/>
              <w:rPr>
                <w:lang w:val="en-GB"/>
              </w:rPr>
            </w:pPr>
            <w:r w:rsidRPr="00CF3D16">
              <w:rPr>
                <w:lang w:val="en-GB"/>
              </w:rPr>
              <w:t>Password protection required? (Y/N)</w:t>
            </w:r>
          </w:p>
          <w:p w:rsidR="006F1C78" w:rsidRPr="00CF3D16" w:rsidRDefault="006F1C78" w:rsidP="00754057">
            <w:pPr>
              <w:ind w:right="-426"/>
              <w:rPr>
                <w:bCs/>
                <w:lang w:val="en-GB"/>
              </w:rPr>
            </w:pPr>
          </w:p>
        </w:tc>
        <w:tc>
          <w:tcPr>
            <w:tcW w:w="5040" w:type="dxa"/>
            <w:shd w:val="clear" w:color="auto" w:fill="auto"/>
          </w:tcPr>
          <w:p w:rsidR="006F1C78" w:rsidRPr="00CF3D16" w:rsidRDefault="006F1C78" w:rsidP="00754057">
            <w:pPr>
              <w:ind w:right="-426"/>
              <w:rPr>
                <w:b/>
                <w:bCs/>
                <w:lang w:val="en-GB"/>
              </w:rPr>
            </w:pPr>
            <w:r>
              <w:rPr>
                <w:bCs/>
                <w:noProof/>
                <w:lang w:val="de-DE" w:eastAsia="de-DE"/>
              </w:rPr>
              <mc:AlternateContent>
                <mc:Choice Requires="wps">
                  <w:drawing>
                    <wp:anchor distT="0" distB="0" distL="114300" distR="114300" simplePos="0" relativeHeight="251659776" behindDoc="0" locked="0" layoutInCell="1" allowOverlap="1" wp14:anchorId="2EFD0128" wp14:editId="3B223645">
                      <wp:simplePos x="0" y="0"/>
                      <wp:positionH relativeFrom="column">
                        <wp:posOffset>-68580</wp:posOffset>
                      </wp:positionH>
                      <wp:positionV relativeFrom="paragraph">
                        <wp:posOffset>28575</wp:posOffset>
                      </wp:positionV>
                      <wp:extent cx="360045" cy="28829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8290"/>
                              </a:xfrm>
                              <a:prstGeom prst="rect">
                                <a:avLst/>
                              </a:prstGeom>
                              <a:solidFill>
                                <a:srgbClr val="FFFFFF"/>
                              </a:solidFill>
                              <a:ln w="9525">
                                <a:solidFill>
                                  <a:srgbClr val="000000"/>
                                </a:solidFill>
                                <a:miter lim="800000"/>
                                <a:headEnd/>
                                <a:tailEnd/>
                              </a:ln>
                            </wps:spPr>
                            <wps:txbx>
                              <w:txbxContent>
                                <w:p w:rsidR="006F1C78" w:rsidRPr="00676739" w:rsidRDefault="006F1C78" w:rsidP="006F1C78">
                                  <w:pPr>
                                    <w:rPr>
                                      <w:b/>
                                      <w:lang w:val="de-DE"/>
                                    </w:rPr>
                                  </w:pPr>
                                  <w:r>
                                    <w:rPr>
                                      <w:b/>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4pt;margin-top:2.25pt;width:28.35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">
                      <v:textbox>
                        <w:txbxContent>
                          <w:p w:rsidR="006F1C78" w:rsidRPr="00676739" w:rsidRDefault="006F1C78" w:rsidP="006F1C78">
                            <w:pPr>
                              <w:rPr>
                                <w:b/>
                                <w:lang w:val="de-DE"/>
                              </w:rPr>
                            </w:pPr>
                            <w:r>
                              <w:rPr>
                                <w:b/>
                                <w:lang w:val="de-DE"/>
                              </w:rPr>
                              <w:t>N</w:t>
                            </w:r>
                          </w:p>
                        </w:txbxContent>
                      </v:textbox>
                    </v:shape>
                  </w:pict>
                </mc:Fallback>
              </mc:AlternateContent>
            </w:r>
          </w:p>
        </w:tc>
      </w:tr>
      <w:tr w:rsidR="006F1C78" w:rsidRPr="006F1C78" w:rsidTr="00754057">
        <w:tblPrEx>
          <w:tblBorders>
            <w:top w:val="single" w:sz="4"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1768"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6F1C78" w:rsidRPr="00025717" w:rsidRDefault="006F1C78" w:rsidP="00754057">
            <w:pPr>
              <w:pStyle w:val="berschrift4"/>
              <w:tabs>
                <w:tab w:val="left" w:pos="8789"/>
              </w:tabs>
              <w:spacing w:before="60" w:after="60"/>
              <w:rPr>
                <w:rFonts w:ascii="Times New Roman" w:hAnsi="Times New Roman"/>
                <w:szCs w:val="24"/>
              </w:rPr>
            </w:pPr>
            <w:r w:rsidRPr="00025717">
              <w:rPr>
                <w:rFonts w:ascii="Times New Roman" w:hAnsi="Times New Roman"/>
                <w:szCs w:val="24"/>
              </w:rPr>
              <w:t>Summary:</w:t>
            </w:r>
          </w:p>
        </w:tc>
        <w:tc>
          <w:tcPr>
            <w:tcW w:w="7592"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6F1C78" w:rsidRDefault="006F1C78" w:rsidP="00754057">
            <w:pPr>
              <w:pStyle w:val="berschrift4"/>
              <w:spacing w:before="60" w:after="60"/>
              <w:ind w:right="-108"/>
              <w:rPr>
                <w:rFonts w:ascii="Times New Roman" w:hAnsi="Times New Roman"/>
                <w:b w:val="0"/>
                <w:bCs/>
                <w:szCs w:val="24"/>
              </w:rPr>
            </w:pPr>
            <w:r w:rsidRPr="006F1C78">
              <w:rPr>
                <w:rFonts w:ascii="Times New Roman" w:hAnsi="Times New Roman"/>
                <w:b w:val="0"/>
                <w:bCs/>
                <w:szCs w:val="24"/>
              </w:rPr>
              <w:t>With respect to on-going studies in SE 24 about spectrum for MBANs, France underlines some inconsistencies in the draft ECC Report and proposes an alternative approach. In addition it is also underlined that in France the band 2300-2400 is used by incumbent services and that studies are on-going in FM52 to consider the introduction of licensed uses in the Licensed Shared Access (LSA) regulatory framework, such that the operation of MBANs in this band will not be allowed in the future.</w:t>
            </w:r>
          </w:p>
          <w:p w:rsidR="006F1C78" w:rsidRPr="006F1C78" w:rsidRDefault="006F1C78" w:rsidP="006F1C78">
            <w:pPr>
              <w:rPr>
                <w:lang w:val="en-GB" w:eastAsia="de-DE"/>
              </w:rPr>
            </w:pPr>
          </w:p>
        </w:tc>
      </w:tr>
      <w:tr w:rsidR="006F1C78" w:rsidRPr="006F1C78" w:rsidTr="00754057">
        <w:tblPrEx>
          <w:tblBorders>
            <w:top w:val="single" w:sz="4"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1768"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6F1C78" w:rsidRPr="00025717" w:rsidRDefault="006F1C78" w:rsidP="00754057">
            <w:pPr>
              <w:pStyle w:val="berschrift4"/>
              <w:tabs>
                <w:tab w:val="left" w:pos="8789"/>
              </w:tabs>
              <w:spacing w:before="60" w:after="60"/>
              <w:rPr>
                <w:rFonts w:ascii="Times New Roman" w:hAnsi="Times New Roman"/>
                <w:szCs w:val="24"/>
              </w:rPr>
            </w:pPr>
            <w:r w:rsidRPr="00025717">
              <w:rPr>
                <w:rFonts w:ascii="Times New Roman" w:hAnsi="Times New Roman"/>
                <w:szCs w:val="24"/>
              </w:rPr>
              <w:t>Proposal:</w:t>
            </w:r>
          </w:p>
        </w:tc>
        <w:tc>
          <w:tcPr>
            <w:tcW w:w="7592"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6F1C78" w:rsidRPr="006F1C78" w:rsidRDefault="006F1C78" w:rsidP="00754057">
            <w:pPr>
              <w:rPr>
                <w:b/>
                <w:bCs/>
                <w:lang w:val="en-GB"/>
              </w:rPr>
            </w:pPr>
            <w:r w:rsidRPr="006F1C78">
              <w:rPr>
                <w:b/>
                <w:bCs/>
                <w:lang w:val="en-GB"/>
              </w:rPr>
              <w:t>To consider the remarks on the preliminary work of SE 24 on MBANs and the proposed approach for considering the operation of MBANs limited to the band 2450-2500 MHz.</w:t>
            </w:r>
          </w:p>
          <w:p w:rsidR="006F1C78" w:rsidRPr="00CF412C" w:rsidRDefault="006F1C78" w:rsidP="00754057">
            <w:pPr>
              <w:rPr>
                <w:lang w:val="en-GB"/>
              </w:rPr>
            </w:pPr>
          </w:p>
        </w:tc>
      </w:tr>
      <w:tr w:rsidR="006F1C78" w:rsidRPr="006F1C78" w:rsidTr="00754057">
        <w:tblPrEx>
          <w:tblBorders>
            <w:top w:val="single" w:sz="4"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1768"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6F1C78" w:rsidRPr="00025717" w:rsidRDefault="006F1C78" w:rsidP="00754057">
            <w:pPr>
              <w:pStyle w:val="berschrift4"/>
              <w:tabs>
                <w:tab w:val="left" w:pos="8789"/>
              </w:tabs>
              <w:spacing w:before="60" w:after="60"/>
              <w:rPr>
                <w:rFonts w:ascii="Times New Roman" w:hAnsi="Times New Roman"/>
                <w:szCs w:val="24"/>
              </w:rPr>
            </w:pPr>
            <w:r w:rsidRPr="00025717">
              <w:rPr>
                <w:rFonts w:ascii="Times New Roman" w:hAnsi="Times New Roman"/>
                <w:szCs w:val="24"/>
              </w:rPr>
              <w:t>Background:</w:t>
            </w:r>
          </w:p>
        </w:tc>
        <w:tc>
          <w:tcPr>
            <w:tcW w:w="7592"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6F1C78" w:rsidRDefault="006F1C78" w:rsidP="00754057">
            <w:pPr>
              <w:pStyle w:val="berschrift4"/>
              <w:spacing w:before="60" w:after="60"/>
              <w:ind w:right="-108"/>
              <w:rPr>
                <w:rFonts w:ascii="Times New Roman" w:hAnsi="Times New Roman"/>
                <w:b w:val="0"/>
              </w:rPr>
            </w:pPr>
            <w:r w:rsidRPr="006F1C78">
              <w:rPr>
                <w:rFonts w:ascii="Times New Roman" w:hAnsi="Times New Roman"/>
                <w:b w:val="0"/>
              </w:rPr>
              <w:t>Working Group SE 24, within the framework of Work Item 40, is currently conducting technical studies for the identification of spectrum for Medical Body Networks (MBANs). The initial request from Working Group FM was to investigate compatibility conditions in the band 2360-2500.  Successively, at the joint SE24-SRD/MG meeting on Jan 9 it was confirmed that the band 2300-2360 MHz should be considered by SE24 although the inclusion of the 2300 MHz -2360 MHz range is not aligned with the SE24_40 scope. The band 2300-2500 is currently objet of the work of FM 52.</w:t>
            </w:r>
          </w:p>
          <w:p w:rsidR="006F1C78" w:rsidRPr="006F1C78" w:rsidRDefault="006F1C78" w:rsidP="006F1C78">
            <w:pPr>
              <w:rPr>
                <w:lang w:val="en-GB" w:eastAsia="de-DE"/>
              </w:rPr>
            </w:pPr>
          </w:p>
        </w:tc>
      </w:tr>
    </w:tbl>
    <w:p w:rsidR="006F1C78" w:rsidRPr="00025717" w:rsidRDefault="006F1C78" w:rsidP="006F1C78">
      <w:pPr>
        <w:rPr>
          <w:lang w:val="en-IE"/>
        </w:rPr>
      </w:pPr>
    </w:p>
    <w:p w:rsidR="00FD4D79" w:rsidRPr="000B69D5" w:rsidRDefault="00B42D07" w:rsidP="00B42D07">
      <w:pPr>
        <w:numPr>
          <w:ilvl w:val="0"/>
          <w:numId w:val="14"/>
        </w:numPr>
        <w:rPr>
          <w:b/>
          <w:sz w:val="28"/>
          <w:szCs w:val="28"/>
          <w:lang w:val="en-IE"/>
        </w:rPr>
      </w:pPr>
      <w:r w:rsidRPr="000B69D5">
        <w:rPr>
          <w:b/>
          <w:sz w:val="28"/>
          <w:szCs w:val="28"/>
          <w:lang w:val="en-IE"/>
        </w:rPr>
        <w:t>Introduction</w:t>
      </w:r>
    </w:p>
    <w:p w:rsidR="00B42D07" w:rsidRDefault="00B42D07" w:rsidP="00B42D07">
      <w:pPr>
        <w:rPr>
          <w:b/>
          <w:lang w:val="en-IE"/>
        </w:rPr>
      </w:pPr>
    </w:p>
    <w:p w:rsidR="00B42D07" w:rsidRDefault="00C73D77" w:rsidP="000B69D5">
      <w:pPr>
        <w:jc w:val="both"/>
        <w:rPr>
          <w:lang w:val="en-US"/>
        </w:rPr>
      </w:pPr>
      <w:r>
        <w:rPr>
          <w:lang w:val="en-IE"/>
        </w:rPr>
        <w:t>Working G</w:t>
      </w:r>
      <w:r w:rsidR="00B42D07" w:rsidRPr="001770B3">
        <w:rPr>
          <w:lang w:val="en-IE"/>
        </w:rPr>
        <w:t>roup SE 24, within</w:t>
      </w:r>
      <w:r>
        <w:rPr>
          <w:lang w:val="en-IE"/>
        </w:rPr>
        <w:t xml:space="preserve"> the framework of Work I</w:t>
      </w:r>
      <w:r w:rsidR="00B42D07" w:rsidRPr="001770B3">
        <w:rPr>
          <w:lang w:val="en-IE"/>
        </w:rPr>
        <w:t>tem 40, is currently conducting technical studies for th</w:t>
      </w:r>
      <w:r w:rsidR="00B42D07" w:rsidRPr="00830B89">
        <w:rPr>
          <w:lang w:val="en-IE"/>
        </w:rPr>
        <w:t xml:space="preserve">e </w:t>
      </w:r>
      <w:r w:rsidR="00830B89" w:rsidRPr="00830B89">
        <w:rPr>
          <w:lang w:val="en-IE"/>
        </w:rPr>
        <w:t xml:space="preserve">identification </w:t>
      </w:r>
      <w:r w:rsidR="00B42D07" w:rsidRPr="001770B3">
        <w:rPr>
          <w:lang w:val="en-IE"/>
        </w:rPr>
        <w:t xml:space="preserve">of spectrum for Medical </w:t>
      </w:r>
      <w:r>
        <w:rPr>
          <w:lang w:val="en-IE"/>
        </w:rPr>
        <w:t>Body Networks (MBANs)</w:t>
      </w:r>
      <w:r w:rsidR="00B42D07" w:rsidRPr="001770B3">
        <w:rPr>
          <w:lang w:val="en-IE"/>
        </w:rPr>
        <w:t xml:space="preserve">. The </w:t>
      </w:r>
      <w:r w:rsidR="001770B3" w:rsidRPr="001770B3">
        <w:rPr>
          <w:lang w:val="en-IE"/>
        </w:rPr>
        <w:t>initial</w:t>
      </w:r>
      <w:r w:rsidR="00B42D07" w:rsidRPr="001770B3">
        <w:rPr>
          <w:lang w:val="en-IE"/>
        </w:rPr>
        <w:t xml:space="preserve"> request from Working Group FM was to investigate compatibility co</w:t>
      </w:r>
      <w:r w:rsidR="001770B3" w:rsidRPr="001770B3">
        <w:rPr>
          <w:lang w:val="en-IE"/>
        </w:rPr>
        <w:t xml:space="preserve">nditions in the band 2360-2500.  </w:t>
      </w:r>
      <w:r w:rsidR="00830B89" w:rsidRPr="001770B3">
        <w:rPr>
          <w:lang w:val="en-IE"/>
        </w:rPr>
        <w:t>Successively</w:t>
      </w:r>
      <w:r w:rsidR="001770B3" w:rsidRPr="001770B3">
        <w:rPr>
          <w:lang w:val="en-IE"/>
        </w:rPr>
        <w:t xml:space="preserve">, </w:t>
      </w:r>
      <w:r>
        <w:rPr>
          <w:lang w:val="en-US"/>
        </w:rPr>
        <w:t>a</w:t>
      </w:r>
      <w:r w:rsidR="001770B3" w:rsidRPr="001770B3">
        <w:rPr>
          <w:lang w:val="en-US"/>
        </w:rPr>
        <w:t xml:space="preserve">t the joint SE24-SRD/MG meeting on Jan 9 it was confirmed that the band </w:t>
      </w:r>
      <w:r w:rsidR="001770B3" w:rsidRPr="001770B3">
        <w:rPr>
          <w:lang w:val="en-US"/>
        </w:rPr>
        <w:lastRenderedPageBreak/>
        <w:t>2300-2360 MHz should be considered by Se24 although the inclusion of the 2300 MHz -2360 MHz range is not aligned wi</w:t>
      </w:r>
      <w:r w:rsidR="001770B3">
        <w:rPr>
          <w:lang w:val="en-US"/>
        </w:rPr>
        <w:t>th the SE24_40 scope</w:t>
      </w:r>
      <w:r w:rsidR="001770B3" w:rsidRPr="001770B3">
        <w:rPr>
          <w:lang w:val="en-US"/>
        </w:rPr>
        <w:t>.</w:t>
      </w:r>
    </w:p>
    <w:p w:rsidR="00830B89" w:rsidRDefault="001770B3" w:rsidP="000B69D5">
      <w:pPr>
        <w:jc w:val="both"/>
        <w:rPr>
          <w:lang w:val="en-US"/>
        </w:rPr>
      </w:pPr>
      <w:r>
        <w:rPr>
          <w:lang w:val="en-US"/>
        </w:rPr>
        <w:t xml:space="preserve">This document </w:t>
      </w:r>
      <w:r w:rsidR="000470C4">
        <w:rPr>
          <w:lang w:val="en-US"/>
        </w:rPr>
        <w:t xml:space="preserve">aims at </w:t>
      </w:r>
      <w:r>
        <w:rPr>
          <w:lang w:val="en-US"/>
        </w:rPr>
        <w:t>point</w:t>
      </w:r>
      <w:r w:rsidR="00C237FF">
        <w:rPr>
          <w:lang w:val="en-US"/>
        </w:rPr>
        <w:t>ing</w:t>
      </w:r>
      <w:r>
        <w:rPr>
          <w:lang w:val="en-US"/>
        </w:rPr>
        <w:t xml:space="preserve"> </w:t>
      </w:r>
      <w:r w:rsidR="009973D7">
        <w:rPr>
          <w:lang w:val="en-US"/>
        </w:rPr>
        <w:t xml:space="preserve">out </w:t>
      </w:r>
      <w:r>
        <w:rPr>
          <w:lang w:val="en-US"/>
        </w:rPr>
        <w:t xml:space="preserve">some </w:t>
      </w:r>
      <w:r w:rsidR="009973D7">
        <w:rPr>
          <w:lang w:val="en-US"/>
        </w:rPr>
        <w:t xml:space="preserve">possible </w:t>
      </w:r>
      <w:r>
        <w:rPr>
          <w:lang w:val="en-US"/>
        </w:rPr>
        <w:t xml:space="preserve">inconsistencies in the approach so far adopted </w:t>
      </w:r>
      <w:r w:rsidR="00830B89">
        <w:rPr>
          <w:lang w:val="en-US"/>
        </w:rPr>
        <w:t xml:space="preserve">for the studies </w:t>
      </w:r>
      <w:r>
        <w:rPr>
          <w:lang w:val="en-US"/>
        </w:rPr>
        <w:t xml:space="preserve">and </w:t>
      </w:r>
      <w:r w:rsidR="00830B89">
        <w:rPr>
          <w:lang w:val="en-US"/>
        </w:rPr>
        <w:t xml:space="preserve">to </w:t>
      </w:r>
      <w:r>
        <w:rPr>
          <w:lang w:val="en-US"/>
        </w:rPr>
        <w:t>propose a possible</w:t>
      </w:r>
      <w:r w:rsidR="00830B89">
        <w:rPr>
          <w:lang w:val="en-US"/>
        </w:rPr>
        <w:t xml:space="preserve"> viable solution. </w:t>
      </w:r>
    </w:p>
    <w:p w:rsidR="001770B3" w:rsidRDefault="00830B89" w:rsidP="000B69D5">
      <w:pPr>
        <w:jc w:val="both"/>
        <w:rPr>
          <w:lang w:val="en-US"/>
        </w:rPr>
      </w:pPr>
      <w:r>
        <w:rPr>
          <w:lang w:val="en-US"/>
        </w:rPr>
        <w:t xml:space="preserve">The document also presents some remarks on the current usage of the band </w:t>
      </w:r>
      <w:r w:rsidR="00C73D77">
        <w:rPr>
          <w:lang w:val="en-US"/>
        </w:rPr>
        <w:t xml:space="preserve">2300-2400 MHz </w:t>
      </w:r>
      <w:r>
        <w:rPr>
          <w:lang w:val="en-US"/>
        </w:rPr>
        <w:t xml:space="preserve">in France and states the fact that in the future operations of MBANS will not be permitted in this band </w:t>
      </w:r>
      <w:r w:rsidR="00EB470D">
        <w:rPr>
          <w:lang w:val="en-US"/>
        </w:rPr>
        <w:t xml:space="preserve">in </w:t>
      </w:r>
      <w:r w:rsidR="000470C4">
        <w:rPr>
          <w:lang w:val="en-US"/>
        </w:rPr>
        <w:t xml:space="preserve">our </w:t>
      </w:r>
      <w:r>
        <w:rPr>
          <w:lang w:val="en-US"/>
        </w:rPr>
        <w:t>country.</w:t>
      </w:r>
    </w:p>
    <w:p w:rsidR="001770B3" w:rsidRPr="001770B3" w:rsidRDefault="001770B3" w:rsidP="00B42D07">
      <w:pPr>
        <w:rPr>
          <w:lang w:val="en-US"/>
        </w:rPr>
      </w:pPr>
    </w:p>
    <w:p w:rsidR="00B42D07" w:rsidRPr="000B69D5" w:rsidRDefault="0075111B" w:rsidP="00B42D07">
      <w:pPr>
        <w:numPr>
          <w:ilvl w:val="0"/>
          <w:numId w:val="14"/>
        </w:numPr>
        <w:rPr>
          <w:b/>
          <w:sz w:val="28"/>
          <w:szCs w:val="28"/>
          <w:lang w:val="en-IE"/>
        </w:rPr>
      </w:pPr>
      <w:r w:rsidRPr="000B69D5">
        <w:rPr>
          <w:b/>
          <w:sz w:val="28"/>
          <w:szCs w:val="28"/>
          <w:lang w:val="en-IE"/>
        </w:rPr>
        <w:t>Considerations on the current direction of studies</w:t>
      </w:r>
      <w:r w:rsidR="00522441" w:rsidRPr="000B69D5">
        <w:rPr>
          <w:b/>
          <w:sz w:val="28"/>
          <w:szCs w:val="28"/>
          <w:lang w:val="en-IE"/>
        </w:rPr>
        <w:t xml:space="preserve"> </w:t>
      </w:r>
      <w:r w:rsidR="00E373F5" w:rsidRPr="000B69D5">
        <w:rPr>
          <w:b/>
          <w:sz w:val="28"/>
          <w:szCs w:val="28"/>
          <w:lang w:val="en-IE"/>
        </w:rPr>
        <w:t xml:space="preserve"> wi</w:t>
      </w:r>
      <w:r w:rsidR="00522441" w:rsidRPr="000B69D5">
        <w:rPr>
          <w:b/>
          <w:sz w:val="28"/>
          <w:szCs w:val="28"/>
          <w:lang w:val="en-IE"/>
        </w:rPr>
        <w:t>thin</w:t>
      </w:r>
      <w:r w:rsidRPr="000B69D5">
        <w:rPr>
          <w:b/>
          <w:sz w:val="28"/>
          <w:szCs w:val="28"/>
          <w:lang w:val="en-IE"/>
        </w:rPr>
        <w:t xml:space="preserve"> SE 24</w:t>
      </w:r>
    </w:p>
    <w:p w:rsidR="00E373F5" w:rsidRDefault="00E373F5" w:rsidP="001770B3">
      <w:pPr>
        <w:rPr>
          <w:b/>
          <w:lang w:val="en-IE"/>
        </w:rPr>
      </w:pPr>
    </w:p>
    <w:p w:rsidR="00E373F5" w:rsidRPr="00E373F5" w:rsidRDefault="00E373F5" w:rsidP="000B69D5">
      <w:pPr>
        <w:pStyle w:val="Listenabsatz"/>
        <w:numPr>
          <w:ilvl w:val="1"/>
          <w:numId w:val="14"/>
        </w:numPr>
        <w:ind w:left="426" w:hanging="426"/>
        <w:rPr>
          <w:b/>
          <w:lang w:val="en-IE"/>
        </w:rPr>
      </w:pPr>
      <w:r w:rsidRPr="00E373F5">
        <w:rPr>
          <w:b/>
          <w:lang w:val="en-IE"/>
        </w:rPr>
        <w:t>Inconsistencies in the consideration of the 2300-2400 band</w:t>
      </w:r>
    </w:p>
    <w:p w:rsidR="00E373F5" w:rsidRPr="00E373F5" w:rsidRDefault="00E373F5" w:rsidP="00E373F5">
      <w:pPr>
        <w:pStyle w:val="Listenabsatz"/>
        <w:rPr>
          <w:b/>
          <w:lang w:val="en-IE"/>
        </w:rPr>
      </w:pPr>
    </w:p>
    <w:p w:rsidR="00E373F5" w:rsidRPr="008F68DB" w:rsidRDefault="0075111B" w:rsidP="006E23CC">
      <w:pPr>
        <w:jc w:val="both"/>
        <w:rPr>
          <w:lang w:val="sv-SE" w:eastAsia="sv-SE"/>
        </w:rPr>
      </w:pPr>
      <w:r w:rsidRPr="008F68DB">
        <w:rPr>
          <w:lang w:val="en-IE"/>
        </w:rPr>
        <w:t>The first remark is that the band 2300-2400 MHz is currently within the scope of work of WG FM 52</w:t>
      </w:r>
      <w:r w:rsidR="000B69D5">
        <w:rPr>
          <w:lang w:val="en-IE"/>
        </w:rPr>
        <w:t xml:space="preserve">, whose first task is </w:t>
      </w:r>
      <w:r w:rsidR="00E373F5" w:rsidRPr="008F68DB">
        <w:rPr>
          <w:lang w:val="sv-SE" w:eastAsia="sv-SE"/>
        </w:rPr>
        <w:t>develop</w:t>
      </w:r>
      <w:r w:rsidR="000B69D5">
        <w:rPr>
          <w:lang w:val="sv-SE" w:eastAsia="sv-SE"/>
        </w:rPr>
        <w:t>ing</w:t>
      </w:r>
      <w:r w:rsidR="00E373F5" w:rsidRPr="008F68DB">
        <w:rPr>
          <w:lang w:val="sv-SE" w:eastAsia="sv-SE"/>
        </w:rPr>
        <w:t xml:space="preserve"> a draft ECC Decision, aimed at harmonising implementation measures for MFCN in the frequency band 2300-2400 MHz. It has also to be underlined that the terms of reference include the developement of a </w:t>
      </w:r>
      <w:r w:rsidR="000470C4">
        <w:rPr>
          <w:lang w:val="sv-SE" w:eastAsia="sv-SE"/>
        </w:rPr>
        <w:t xml:space="preserve">regulatory framework based on the </w:t>
      </w:r>
      <w:r w:rsidR="00E373F5" w:rsidRPr="008F68DB">
        <w:rPr>
          <w:lang w:val="sv-SE" w:eastAsia="sv-SE"/>
        </w:rPr>
        <w:t>Licenced Shar</w:t>
      </w:r>
      <w:r w:rsidR="000470C4">
        <w:rPr>
          <w:lang w:val="sv-SE" w:eastAsia="sv-SE"/>
        </w:rPr>
        <w:t>ed</w:t>
      </w:r>
      <w:r w:rsidR="00E373F5" w:rsidRPr="008F68DB">
        <w:rPr>
          <w:lang w:val="sv-SE" w:eastAsia="sv-SE"/>
        </w:rPr>
        <w:t xml:space="preserve"> Access </w:t>
      </w:r>
      <w:r w:rsidR="000470C4">
        <w:rPr>
          <w:lang w:val="sv-SE" w:eastAsia="sv-SE"/>
        </w:rPr>
        <w:t>concept</w:t>
      </w:r>
      <w:r w:rsidR="00E373F5" w:rsidRPr="008F68DB">
        <w:rPr>
          <w:lang w:val="sv-SE" w:eastAsia="sv-SE"/>
        </w:rPr>
        <w:t>. The working assumption for FM 52 is</w:t>
      </w:r>
      <w:r w:rsidR="000B69D5">
        <w:rPr>
          <w:lang w:val="sv-SE" w:eastAsia="sv-SE"/>
        </w:rPr>
        <w:t xml:space="preserve"> therefore</w:t>
      </w:r>
      <w:r w:rsidR="00E373F5" w:rsidRPr="008F68DB">
        <w:rPr>
          <w:lang w:val="sv-SE" w:eastAsia="sv-SE"/>
        </w:rPr>
        <w:t xml:space="preserve"> that that new applications in the band will be operate</w:t>
      </w:r>
      <w:r w:rsidR="002405C5">
        <w:rPr>
          <w:lang w:val="sv-SE" w:eastAsia="sv-SE"/>
        </w:rPr>
        <w:t>d</w:t>
      </w:r>
      <w:r w:rsidR="00E373F5" w:rsidRPr="008F68DB">
        <w:rPr>
          <w:lang w:val="sv-SE" w:eastAsia="sv-SE"/>
        </w:rPr>
        <w:t xml:space="preserve"> </w:t>
      </w:r>
      <w:r w:rsidR="000470C4">
        <w:rPr>
          <w:lang w:val="sv-SE" w:eastAsia="sv-SE"/>
        </w:rPr>
        <w:t xml:space="preserve">under </w:t>
      </w:r>
      <w:r w:rsidR="00E373F5" w:rsidRPr="008F68DB">
        <w:rPr>
          <w:lang w:val="sv-SE" w:eastAsia="sv-SE"/>
        </w:rPr>
        <w:t>a</w:t>
      </w:r>
      <w:r w:rsidR="002405C5">
        <w:rPr>
          <w:lang w:val="sv-SE" w:eastAsia="sv-SE"/>
        </w:rPr>
        <w:t>n individual</w:t>
      </w:r>
      <w:r w:rsidR="00E373F5" w:rsidRPr="008F68DB">
        <w:rPr>
          <w:lang w:val="sv-SE" w:eastAsia="sv-SE"/>
        </w:rPr>
        <w:t xml:space="preserve"> license regime. The introduction of MBANS in th</w:t>
      </w:r>
      <w:r w:rsidR="000B69D5">
        <w:rPr>
          <w:lang w:val="sv-SE" w:eastAsia="sv-SE"/>
        </w:rPr>
        <w:t>e band 2300-2400 MHz would contradict</w:t>
      </w:r>
      <w:r w:rsidR="00E373F5" w:rsidRPr="008F68DB">
        <w:rPr>
          <w:lang w:val="sv-SE" w:eastAsia="sv-SE"/>
        </w:rPr>
        <w:t xml:space="preserve"> this assumption. It has also to be </w:t>
      </w:r>
      <w:r w:rsidR="000470C4">
        <w:rPr>
          <w:lang w:val="sv-SE" w:eastAsia="sv-SE"/>
        </w:rPr>
        <w:t xml:space="preserve">noted </w:t>
      </w:r>
      <w:r w:rsidR="00E373F5" w:rsidRPr="008F68DB">
        <w:rPr>
          <w:lang w:val="sv-SE" w:eastAsia="sv-SE"/>
        </w:rPr>
        <w:t xml:space="preserve">that in the result of </w:t>
      </w:r>
      <w:r w:rsidR="000470C4">
        <w:rPr>
          <w:lang w:val="sv-SE" w:eastAsia="sv-SE"/>
        </w:rPr>
        <w:t xml:space="preserve">a questionnaire related to the </w:t>
      </w:r>
      <w:r w:rsidR="00E373F5" w:rsidRPr="008F68DB">
        <w:rPr>
          <w:lang w:val="sv-SE" w:eastAsia="sv-SE"/>
        </w:rPr>
        <w:t xml:space="preserve">future plans for the band, presented as input to the first meeting of FM 52, some administration indicated that they consider a possible use of the band for IMT networks. </w:t>
      </w:r>
    </w:p>
    <w:p w:rsidR="000B69D5" w:rsidRDefault="00E373F5" w:rsidP="006E23CC">
      <w:pPr>
        <w:jc w:val="both"/>
        <w:rPr>
          <w:lang w:val="sv-SE" w:eastAsia="sv-SE"/>
        </w:rPr>
      </w:pPr>
      <w:r w:rsidRPr="008F68DB">
        <w:rPr>
          <w:lang w:val="sv-SE" w:eastAsia="sv-SE"/>
        </w:rPr>
        <w:t>As a result of the facts remarked above, it seems that retain</w:t>
      </w:r>
      <w:r w:rsidR="000B69D5">
        <w:rPr>
          <w:lang w:val="sv-SE" w:eastAsia="sv-SE"/>
        </w:rPr>
        <w:t>ing the band 2300-2400 for MBANs</w:t>
      </w:r>
      <w:r w:rsidRPr="008F68DB">
        <w:rPr>
          <w:lang w:val="sv-SE" w:eastAsia="sv-SE"/>
        </w:rPr>
        <w:t xml:space="preserve"> applications will create incosistencies, contradict the planned </w:t>
      </w:r>
      <w:r w:rsidR="000470C4">
        <w:rPr>
          <w:lang w:val="sv-SE" w:eastAsia="sv-SE"/>
        </w:rPr>
        <w:t>implementataion</w:t>
      </w:r>
      <w:r w:rsidR="000470C4" w:rsidRPr="008F68DB">
        <w:rPr>
          <w:lang w:val="sv-SE" w:eastAsia="sv-SE"/>
        </w:rPr>
        <w:t xml:space="preserve"> </w:t>
      </w:r>
      <w:r w:rsidRPr="008F68DB">
        <w:rPr>
          <w:lang w:val="sv-SE" w:eastAsia="sv-SE"/>
        </w:rPr>
        <w:t>of LSA in</w:t>
      </w:r>
      <w:r w:rsidR="000B69D5">
        <w:rPr>
          <w:lang w:val="sv-SE" w:eastAsia="sv-SE"/>
        </w:rPr>
        <w:t xml:space="preserve"> the band, and it is likely to undermine</w:t>
      </w:r>
      <w:r w:rsidRPr="008F68DB">
        <w:rPr>
          <w:lang w:val="sv-SE" w:eastAsia="sv-SE"/>
        </w:rPr>
        <w:t xml:space="preserve"> </w:t>
      </w:r>
      <w:r w:rsidR="000470C4">
        <w:rPr>
          <w:lang w:val="sv-SE" w:eastAsia="sv-SE"/>
        </w:rPr>
        <w:t xml:space="preserve">the </w:t>
      </w:r>
      <w:r w:rsidRPr="008F68DB">
        <w:rPr>
          <w:lang w:val="sv-SE" w:eastAsia="sv-SE"/>
        </w:rPr>
        <w:t>fruitful developeme</w:t>
      </w:r>
      <w:r w:rsidR="000B69D5">
        <w:rPr>
          <w:lang w:val="sv-SE" w:eastAsia="sv-SE"/>
        </w:rPr>
        <w:t>nt of MBANs</w:t>
      </w:r>
    </w:p>
    <w:p w:rsidR="000B69D5" w:rsidRDefault="000B69D5" w:rsidP="001770B3">
      <w:pPr>
        <w:rPr>
          <w:lang w:val="sv-SE" w:eastAsia="sv-SE"/>
        </w:rPr>
      </w:pPr>
    </w:p>
    <w:p w:rsidR="001770B3" w:rsidRPr="000B69D5" w:rsidRDefault="00E373F5" w:rsidP="000B69D5">
      <w:pPr>
        <w:pStyle w:val="Listenabsatz"/>
        <w:ind w:left="284"/>
        <w:rPr>
          <w:b/>
          <w:lang w:val="en-IE"/>
        </w:rPr>
      </w:pPr>
      <w:r w:rsidRPr="008F68DB">
        <w:rPr>
          <w:lang w:val="sv-SE" w:eastAsia="sv-SE"/>
        </w:rPr>
        <w:t xml:space="preserve"> </w:t>
      </w:r>
    </w:p>
    <w:p w:rsidR="008F68DB" w:rsidRDefault="008F68DB" w:rsidP="000B69D5">
      <w:pPr>
        <w:pStyle w:val="Listenabsatz"/>
        <w:numPr>
          <w:ilvl w:val="1"/>
          <w:numId w:val="14"/>
        </w:numPr>
        <w:ind w:left="426" w:hanging="426"/>
        <w:rPr>
          <w:b/>
          <w:lang w:val="en-IE"/>
        </w:rPr>
      </w:pPr>
      <w:r w:rsidRPr="00EE0529">
        <w:rPr>
          <w:b/>
          <w:lang w:val="en-IE"/>
        </w:rPr>
        <w:t xml:space="preserve">Inconsistencies in the consideration of the bands 2400 – 2483.5 MHz </w:t>
      </w:r>
      <w:r w:rsidR="00EE0529">
        <w:rPr>
          <w:b/>
          <w:lang w:val="en-IE"/>
        </w:rPr>
        <w:t>for health care facilities</w:t>
      </w:r>
    </w:p>
    <w:p w:rsidR="00EE0529" w:rsidRPr="00EE0529" w:rsidRDefault="00EE0529" w:rsidP="00EE0529">
      <w:pPr>
        <w:pStyle w:val="Listenabsatz"/>
        <w:rPr>
          <w:b/>
          <w:lang w:val="en-IE"/>
        </w:rPr>
      </w:pPr>
    </w:p>
    <w:p w:rsidR="008F68DB" w:rsidRDefault="008F68DB" w:rsidP="006E23CC">
      <w:pPr>
        <w:jc w:val="both"/>
        <w:rPr>
          <w:lang w:val="en-IE"/>
        </w:rPr>
      </w:pPr>
      <w:r>
        <w:rPr>
          <w:lang w:val="en-IE"/>
        </w:rPr>
        <w:t xml:space="preserve">In its draft </w:t>
      </w:r>
      <w:r w:rsidR="000470C4">
        <w:rPr>
          <w:lang w:val="en-IE"/>
        </w:rPr>
        <w:t>R</w:t>
      </w:r>
      <w:r>
        <w:rPr>
          <w:lang w:val="en-IE"/>
        </w:rPr>
        <w:t xml:space="preserve">eport, SE 24 considers that in </w:t>
      </w:r>
      <w:r w:rsidR="00EE0529">
        <w:rPr>
          <w:lang w:val="en-IE"/>
        </w:rPr>
        <w:t xml:space="preserve">the band 2400-2483.5 MHz coexistence between WLAN systems and MBANS is </w:t>
      </w:r>
      <w:r w:rsidR="009B0525">
        <w:rPr>
          <w:lang w:val="en-IE"/>
        </w:rPr>
        <w:t>not feasible on a co-</w:t>
      </w:r>
      <w:r w:rsidR="00EE0529">
        <w:rPr>
          <w:lang w:val="en-IE"/>
        </w:rPr>
        <w:t>channel mode. From this, the draft</w:t>
      </w:r>
      <w:r w:rsidR="009B0525">
        <w:rPr>
          <w:lang w:val="en-IE"/>
        </w:rPr>
        <w:t xml:space="preserve"> </w:t>
      </w:r>
      <w:r w:rsidR="004C212A">
        <w:rPr>
          <w:lang w:val="en-IE"/>
        </w:rPr>
        <w:t>R</w:t>
      </w:r>
      <w:r w:rsidR="009B0525">
        <w:rPr>
          <w:lang w:val="en-IE"/>
        </w:rPr>
        <w:t>eport</w:t>
      </w:r>
      <w:r w:rsidR="00EE0529">
        <w:rPr>
          <w:lang w:val="en-IE"/>
        </w:rPr>
        <w:t xml:space="preserve">, considering the possible widespread usage of WLANS in health care facilities, draws the preliminary </w:t>
      </w:r>
      <w:r w:rsidR="009B0525">
        <w:rPr>
          <w:lang w:val="en-IE"/>
        </w:rPr>
        <w:t xml:space="preserve">conclusion </w:t>
      </w:r>
      <w:r w:rsidR="00EE0529">
        <w:rPr>
          <w:lang w:val="en-IE"/>
        </w:rPr>
        <w:t xml:space="preserve">that </w:t>
      </w:r>
      <w:r w:rsidR="009B0525">
        <w:rPr>
          <w:lang w:val="en-IE"/>
        </w:rPr>
        <w:t>operation of MBANs</w:t>
      </w:r>
      <w:r w:rsidR="00EE0529">
        <w:rPr>
          <w:lang w:val="en-IE"/>
        </w:rPr>
        <w:t xml:space="preserve"> located in health care facilities will not likely be feasible in the band 2400-2483.15</w:t>
      </w:r>
      <w:r w:rsidR="009B0525">
        <w:rPr>
          <w:lang w:val="en-IE"/>
        </w:rPr>
        <w:t xml:space="preserve"> MHz</w:t>
      </w:r>
      <w:r w:rsidR="00EE0529">
        <w:rPr>
          <w:lang w:val="en-IE"/>
        </w:rPr>
        <w:t>.</w:t>
      </w:r>
    </w:p>
    <w:p w:rsidR="00EE0529" w:rsidRDefault="00EE0529" w:rsidP="006E23CC">
      <w:pPr>
        <w:jc w:val="both"/>
        <w:rPr>
          <w:lang w:val="en-IE"/>
        </w:rPr>
      </w:pPr>
      <w:r>
        <w:rPr>
          <w:lang w:val="en-IE"/>
        </w:rPr>
        <w:t>However, one should note that health care facilities are controlled environments, where it is normally expected that WLAN configuration can be properly managed and enforced. One can expect that the management of the health care facility can quite easily configure the network in order to avoid usage of a given set of Wi-Fi channels, therefore leavi</w:t>
      </w:r>
      <w:r w:rsidR="009B0525">
        <w:rPr>
          <w:lang w:val="en-IE"/>
        </w:rPr>
        <w:t>ng this spectrum usable by MBANs</w:t>
      </w:r>
      <w:r>
        <w:rPr>
          <w:lang w:val="en-IE"/>
        </w:rPr>
        <w:t xml:space="preserve"> in the facility. </w:t>
      </w:r>
    </w:p>
    <w:p w:rsidR="00EE0529" w:rsidRDefault="001C491F" w:rsidP="006E23CC">
      <w:pPr>
        <w:jc w:val="both"/>
        <w:rPr>
          <w:lang w:val="en-IE"/>
        </w:rPr>
      </w:pPr>
      <w:r>
        <w:rPr>
          <w:lang w:val="en-IE"/>
        </w:rPr>
        <w:t>Based on the above considerations, it is proposed that SE 24 should consider the possibility of band segmentation</w:t>
      </w:r>
      <w:r w:rsidR="004C212A">
        <w:rPr>
          <w:lang w:val="en-IE"/>
        </w:rPr>
        <w:t>, between WiFi and MBAN applications,</w:t>
      </w:r>
      <w:r>
        <w:rPr>
          <w:lang w:val="en-IE"/>
        </w:rPr>
        <w:t xml:space="preserve"> inside the premises of health care facilities, operated and controlled</w:t>
      </w:r>
      <w:r w:rsidR="00EE0529">
        <w:rPr>
          <w:lang w:val="en-IE"/>
        </w:rPr>
        <w:t xml:space="preserve"> </w:t>
      </w:r>
      <w:r>
        <w:rPr>
          <w:lang w:val="en-IE"/>
        </w:rPr>
        <w:t>by the facility management.</w:t>
      </w:r>
    </w:p>
    <w:p w:rsidR="00EE0529" w:rsidRDefault="00EE0529" w:rsidP="008F68DB">
      <w:pPr>
        <w:pStyle w:val="Listenabsatz"/>
        <w:rPr>
          <w:lang w:val="en-IE"/>
        </w:rPr>
      </w:pPr>
    </w:p>
    <w:p w:rsidR="00EE0529" w:rsidRPr="006E23CC" w:rsidRDefault="00EE0529" w:rsidP="00EE0529">
      <w:pPr>
        <w:pStyle w:val="Listenabsatz"/>
        <w:numPr>
          <w:ilvl w:val="1"/>
          <w:numId w:val="14"/>
        </w:numPr>
        <w:rPr>
          <w:b/>
          <w:lang w:val="en-IE"/>
        </w:rPr>
      </w:pPr>
      <w:r w:rsidRPr="006E23CC">
        <w:rPr>
          <w:b/>
          <w:lang w:val="en-IE"/>
        </w:rPr>
        <w:t xml:space="preserve">Inconsistencies in the consideration of </w:t>
      </w:r>
      <w:r w:rsidR="001C491F" w:rsidRPr="006E23CC">
        <w:rPr>
          <w:b/>
          <w:lang w:val="en-IE"/>
        </w:rPr>
        <w:t>the case of ambulance and in house/outdoor case</w:t>
      </w:r>
    </w:p>
    <w:p w:rsidR="00FE6755" w:rsidRDefault="00FE6755" w:rsidP="00FE6755">
      <w:pPr>
        <w:rPr>
          <w:lang w:val="en-IE"/>
        </w:rPr>
      </w:pPr>
    </w:p>
    <w:p w:rsidR="001C491F" w:rsidRDefault="00CA606B" w:rsidP="006E23CC">
      <w:pPr>
        <w:pStyle w:val="Listenabsatz"/>
        <w:ind w:left="0"/>
        <w:jc w:val="both"/>
        <w:rPr>
          <w:lang w:val="en-IE"/>
        </w:rPr>
      </w:pPr>
      <w:r>
        <w:rPr>
          <w:lang w:val="en-IE"/>
        </w:rPr>
        <w:t>It is not</w:t>
      </w:r>
      <w:r w:rsidR="001C491F">
        <w:rPr>
          <w:lang w:val="en-IE"/>
        </w:rPr>
        <w:t xml:space="preserve"> </w:t>
      </w:r>
      <w:r w:rsidR="002405C5">
        <w:rPr>
          <w:lang w:val="en-IE"/>
        </w:rPr>
        <w:t>the need for</w:t>
      </w:r>
      <w:r w:rsidR="009B0525">
        <w:rPr>
          <w:lang w:val="en-IE"/>
        </w:rPr>
        <w:t xml:space="preserve"> </w:t>
      </w:r>
      <w:r w:rsidR="002405C5">
        <w:rPr>
          <w:lang w:val="en-IE"/>
        </w:rPr>
        <w:t>making a</w:t>
      </w:r>
      <w:r w:rsidR="001C491F">
        <w:rPr>
          <w:lang w:val="en-IE"/>
        </w:rPr>
        <w:t xml:space="preserve"> distinction between </w:t>
      </w:r>
      <w:r w:rsidR="009B0525">
        <w:rPr>
          <w:lang w:val="en-IE"/>
        </w:rPr>
        <w:t>in-</w:t>
      </w:r>
      <w:r w:rsidR="001C491F">
        <w:rPr>
          <w:lang w:val="en-IE"/>
        </w:rPr>
        <w:t xml:space="preserve">ambulance and in house operations. </w:t>
      </w:r>
      <w:r w:rsidR="00FE6755">
        <w:rPr>
          <w:lang w:val="en-IE"/>
        </w:rPr>
        <w:t xml:space="preserve"> </w:t>
      </w:r>
      <w:r w:rsidR="001C491F">
        <w:rPr>
          <w:lang w:val="en-IE"/>
        </w:rPr>
        <w:t>In fac</w:t>
      </w:r>
      <w:r w:rsidR="00FE6755">
        <w:rPr>
          <w:lang w:val="en-IE"/>
        </w:rPr>
        <w:t>t,</w:t>
      </w:r>
      <w:r w:rsidR="001C491F">
        <w:rPr>
          <w:lang w:val="en-IE"/>
        </w:rPr>
        <w:t xml:space="preserve"> in-house operation of M</w:t>
      </w:r>
      <w:r w:rsidR="004C212A">
        <w:rPr>
          <w:lang w:val="en-IE"/>
        </w:rPr>
        <w:t>BA</w:t>
      </w:r>
      <w:r w:rsidR="001C491F">
        <w:rPr>
          <w:lang w:val="en-IE"/>
        </w:rPr>
        <w:t xml:space="preserve">N entails a possibility of outdoor emission as well as ambulance operations. Moreover, both cases share the </w:t>
      </w:r>
      <w:r w:rsidR="009B0525">
        <w:rPr>
          <w:lang w:val="en-IE"/>
        </w:rPr>
        <w:t>following aspects:</w:t>
      </w:r>
    </w:p>
    <w:p w:rsidR="001C491F" w:rsidRDefault="001C491F" w:rsidP="006E23CC">
      <w:pPr>
        <w:pStyle w:val="Listenabsatz"/>
        <w:numPr>
          <w:ilvl w:val="0"/>
          <w:numId w:val="21"/>
        </w:numPr>
        <w:spacing w:before="120" w:after="120"/>
        <w:ind w:left="142" w:hanging="142"/>
        <w:contextualSpacing w:val="0"/>
        <w:jc w:val="both"/>
        <w:rPr>
          <w:lang w:val="en-IE"/>
        </w:rPr>
      </w:pPr>
      <w:r w:rsidRPr="001C491F">
        <w:rPr>
          <w:lang w:val="en-IE"/>
        </w:rPr>
        <w:lastRenderedPageBreak/>
        <w:t xml:space="preserve">likelihood  </w:t>
      </w:r>
      <w:r>
        <w:rPr>
          <w:lang w:val="en-IE"/>
        </w:rPr>
        <w:t xml:space="preserve">of </w:t>
      </w:r>
      <w:r w:rsidRPr="001C491F">
        <w:rPr>
          <w:lang w:val="en-IE"/>
        </w:rPr>
        <w:t>having only</w:t>
      </w:r>
      <w:r w:rsidR="009B0525">
        <w:rPr>
          <w:lang w:val="en-IE"/>
        </w:rPr>
        <w:t xml:space="preserve"> one</w:t>
      </w:r>
      <w:r w:rsidRPr="001C491F">
        <w:rPr>
          <w:lang w:val="en-IE"/>
        </w:rPr>
        <w:t xml:space="preserve"> patie</w:t>
      </w:r>
      <w:r>
        <w:rPr>
          <w:lang w:val="en-IE"/>
        </w:rPr>
        <w:t>nt to be connected</w:t>
      </w:r>
      <w:r w:rsidRPr="001C491F">
        <w:rPr>
          <w:lang w:val="en-IE"/>
        </w:rPr>
        <w:t xml:space="preserve">, thus both cases </w:t>
      </w:r>
      <w:r>
        <w:rPr>
          <w:lang w:val="en-IE"/>
        </w:rPr>
        <w:t>in principle have a similar requirement of bandwidth</w:t>
      </w:r>
    </w:p>
    <w:p w:rsidR="001C491F" w:rsidRDefault="001C491F" w:rsidP="006E23CC">
      <w:pPr>
        <w:pStyle w:val="Listenabsatz"/>
        <w:numPr>
          <w:ilvl w:val="0"/>
          <w:numId w:val="21"/>
        </w:numPr>
        <w:spacing w:before="120" w:after="120"/>
        <w:ind w:left="142" w:hanging="142"/>
        <w:contextualSpacing w:val="0"/>
        <w:jc w:val="both"/>
        <w:rPr>
          <w:lang w:val="en-IE"/>
        </w:rPr>
      </w:pPr>
      <w:r>
        <w:rPr>
          <w:lang w:val="en-IE"/>
        </w:rPr>
        <w:t xml:space="preserve">both will operate in a non-controlled environment, where the occurrence of interference into and from other services cannot </w:t>
      </w:r>
      <w:r w:rsidR="004C212A">
        <w:rPr>
          <w:lang w:val="en-IE"/>
        </w:rPr>
        <w:t xml:space="preserve">be </w:t>
      </w:r>
      <w:r>
        <w:rPr>
          <w:lang w:val="en-IE"/>
        </w:rPr>
        <w:t>managed via band segmentation</w:t>
      </w:r>
    </w:p>
    <w:p w:rsidR="009B0525" w:rsidRDefault="00422E7A" w:rsidP="00422E7A">
      <w:pPr>
        <w:rPr>
          <w:lang w:val="en-IE"/>
        </w:rPr>
      </w:pPr>
      <w:r>
        <w:rPr>
          <w:lang w:val="en-IE"/>
        </w:rPr>
        <w:t>To this regard, it is noticeable the approach of the FCC in accommodating spectrum requirements for MBANS that considered only two different scenarios and sub bands, name</w:t>
      </w:r>
      <w:r w:rsidR="004C212A">
        <w:rPr>
          <w:lang w:val="en-IE"/>
        </w:rPr>
        <w:t>l</w:t>
      </w:r>
      <w:r>
        <w:rPr>
          <w:lang w:val="en-IE"/>
        </w:rPr>
        <w:t>y one for indoor and one for outdoor.</w:t>
      </w:r>
    </w:p>
    <w:p w:rsidR="00422E7A" w:rsidRDefault="00422E7A" w:rsidP="00422E7A">
      <w:pPr>
        <w:rPr>
          <w:lang w:val="en-IE"/>
        </w:rPr>
      </w:pPr>
    </w:p>
    <w:p w:rsidR="00422E7A" w:rsidRPr="00422E7A" w:rsidRDefault="00422E7A" w:rsidP="00422E7A">
      <w:pPr>
        <w:rPr>
          <w:lang w:val="en-IE"/>
        </w:rPr>
      </w:pPr>
    </w:p>
    <w:p w:rsidR="009B0525" w:rsidRPr="006E23CC" w:rsidRDefault="009B0525" w:rsidP="009B0525">
      <w:pPr>
        <w:pStyle w:val="Listenabsatz"/>
        <w:numPr>
          <w:ilvl w:val="1"/>
          <w:numId w:val="14"/>
        </w:numPr>
        <w:rPr>
          <w:b/>
          <w:lang w:val="en-IE"/>
        </w:rPr>
      </w:pPr>
      <w:r w:rsidRPr="006E23CC">
        <w:rPr>
          <w:b/>
          <w:lang w:val="en-IE"/>
        </w:rPr>
        <w:t>Comparison with the FCC approach</w:t>
      </w:r>
    </w:p>
    <w:p w:rsidR="009B0525" w:rsidRDefault="009B0525" w:rsidP="009B0525">
      <w:pPr>
        <w:pStyle w:val="Listenabsatz"/>
        <w:rPr>
          <w:lang w:val="en-IE"/>
        </w:rPr>
      </w:pPr>
    </w:p>
    <w:p w:rsidR="00225726" w:rsidRDefault="0015542A" w:rsidP="006E23CC">
      <w:pPr>
        <w:pStyle w:val="Listenabsatz"/>
        <w:ind w:left="0"/>
        <w:jc w:val="both"/>
        <w:rPr>
          <w:lang w:val="en-IE"/>
        </w:rPr>
      </w:pPr>
      <w:r>
        <w:rPr>
          <w:lang w:val="en-IE"/>
        </w:rPr>
        <w:t xml:space="preserve">In </w:t>
      </w:r>
      <w:r w:rsidR="00225726">
        <w:rPr>
          <w:lang w:val="en-IE"/>
        </w:rPr>
        <w:t>accommodating spectrum requirements for MBANS</w:t>
      </w:r>
      <w:r w:rsidR="00A867B4">
        <w:rPr>
          <w:lang w:val="en-IE"/>
        </w:rPr>
        <w:t xml:space="preserve">, </w:t>
      </w:r>
      <w:r w:rsidR="00422E7A">
        <w:rPr>
          <w:lang w:val="en-IE"/>
        </w:rPr>
        <w:t>the FCC</w:t>
      </w:r>
      <w:r w:rsidR="00225726">
        <w:rPr>
          <w:lang w:val="en-IE"/>
        </w:rPr>
        <w:t xml:space="preserve"> (see: Federal Register/Vol. 77, No. 176/Tuesday, September 11, 2012/Rules and Regulations) consider</w:t>
      </w:r>
      <w:r w:rsidR="00FE6755">
        <w:rPr>
          <w:lang w:val="en-IE"/>
        </w:rPr>
        <w:t>ed</w:t>
      </w:r>
      <w:r w:rsidR="00225726">
        <w:rPr>
          <w:lang w:val="en-IE"/>
        </w:rPr>
        <w:t xml:space="preserve"> only two different </w:t>
      </w:r>
      <w:r w:rsidR="00FE6755">
        <w:rPr>
          <w:lang w:val="en-IE"/>
        </w:rPr>
        <w:t xml:space="preserve">scenarios and </w:t>
      </w:r>
      <w:r w:rsidR="00225726">
        <w:rPr>
          <w:lang w:val="en-IE"/>
        </w:rPr>
        <w:t xml:space="preserve">sub bands </w:t>
      </w:r>
    </w:p>
    <w:p w:rsidR="0015542A" w:rsidRDefault="00225726" w:rsidP="006E23CC">
      <w:pPr>
        <w:pStyle w:val="Listenabsatz"/>
        <w:numPr>
          <w:ilvl w:val="0"/>
          <w:numId w:val="21"/>
        </w:numPr>
        <w:spacing w:before="120" w:after="120"/>
        <w:ind w:left="142" w:hanging="142"/>
        <w:contextualSpacing w:val="0"/>
        <w:jc w:val="both"/>
        <w:rPr>
          <w:lang w:val="en-IE"/>
        </w:rPr>
      </w:pPr>
      <w:r w:rsidRPr="0015542A">
        <w:rPr>
          <w:lang w:val="en-IE"/>
        </w:rPr>
        <w:t>one for indoor applications (at health care premises)</w:t>
      </w:r>
      <w:r w:rsidR="00CA606B" w:rsidRPr="0015542A">
        <w:rPr>
          <w:lang w:val="en-IE"/>
        </w:rPr>
        <w:t>, for which</w:t>
      </w:r>
      <w:r w:rsidR="00FE6755" w:rsidRPr="0015542A">
        <w:rPr>
          <w:lang w:val="en-IE"/>
        </w:rPr>
        <w:t xml:space="preserve"> 30 MHz</w:t>
      </w:r>
      <w:r w:rsidR="00CA606B" w:rsidRPr="0015542A">
        <w:rPr>
          <w:lang w:val="en-IE"/>
        </w:rPr>
        <w:t xml:space="preserve"> of band were ident</w:t>
      </w:r>
      <w:r w:rsidR="009B0525" w:rsidRPr="0015542A">
        <w:rPr>
          <w:lang w:val="en-IE"/>
        </w:rPr>
        <w:t>i</w:t>
      </w:r>
      <w:r w:rsidR="00CA606B" w:rsidRPr="0015542A">
        <w:rPr>
          <w:lang w:val="en-IE"/>
        </w:rPr>
        <w:t>fied</w:t>
      </w:r>
    </w:p>
    <w:p w:rsidR="00225726" w:rsidRPr="0015542A" w:rsidRDefault="00225726" w:rsidP="006E23CC">
      <w:pPr>
        <w:pStyle w:val="Listenabsatz"/>
        <w:numPr>
          <w:ilvl w:val="0"/>
          <w:numId w:val="21"/>
        </w:numPr>
        <w:spacing w:before="120" w:after="120"/>
        <w:ind w:left="142" w:hanging="142"/>
        <w:contextualSpacing w:val="0"/>
        <w:jc w:val="both"/>
        <w:rPr>
          <w:lang w:val="en-IE"/>
        </w:rPr>
      </w:pPr>
      <w:r w:rsidRPr="0015542A">
        <w:rPr>
          <w:lang w:val="en-IE"/>
        </w:rPr>
        <w:t xml:space="preserve">one for applications at </w:t>
      </w:r>
      <w:r w:rsidR="00FE6755" w:rsidRPr="0015542A">
        <w:rPr>
          <w:lang w:val="en-IE"/>
        </w:rPr>
        <w:t xml:space="preserve">any location (and </w:t>
      </w:r>
      <w:r w:rsidR="00CA606B" w:rsidRPr="0015542A">
        <w:rPr>
          <w:lang w:val="en-IE"/>
        </w:rPr>
        <w:t xml:space="preserve">with </w:t>
      </w:r>
      <w:r w:rsidR="00FE6755" w:rsidRPr="0015542A">
        <w:rPr>
          <w:lang w:val="en-IE"/>
        </w:rPr>
        <w:t>no coordination</w:t>
      </w:r>
      <w:r w:rsidR="00CA606B" w:rsidRPr="0015542A">
        <w:rPr>
          <w:lang w:val="en-IE"/>
        </w:rPr>
        <w:t xml:space="preserve"> requirements</w:t>
      </w:r>
      <w:r w:rsidR="00FE6755" w:rsidRPr="0015542A">
        <w:rPr>
          <w:lang w:val="en-IE"/>
        </w:rPr>
        <w:t>), that received a spectrum identification of 10 MHz</w:t>
      </w:r>
      <w:r w:rsidR="00DB15A7">
        <w:rPr>
          <w:lang w:val="en-IE"/>
        </w:rPr>
        <w:t>.</w:t>
      </w:r>
    </w:p>
    <w:p w:rsidR="00FE6755" w:rsidRDefault="00FE6755" w:rsidP="006E23CC">
      <w:pPr>
        <w:pStyle w:val="Listenabsatz"/>
        <w:ind w:left="426"/>
        <w:jc w:val="both"/>
        <w:rPr>
          <w:lang w:val="en-IE"/>
        </w:rPr>
      </w:pPr>
    </w:p>
    <w:p w:rsidR="009B0525" w:rsidRDefault="009B0525" w:rsidP="00422E7A">
      <w:pPr>
        <w:rPr>
          <w:lang w:val="en-IE"/>
        </w:rPr>
      </w:pPr>
      <w:r>
        <w:rPr>
          <w:lang w:val="en-IE"/>
        </w:rPr>
        <w:t xml:space="preserve">The FCC approach </w:t>
      </w:r>
      <w:r w:rsidR="006E23CC">
        <w:rPr>
          <w:lang w:val="en-IE"/>
        </w:rPr>
        <w:t>has the advantage of considering only two scenarios and sub-</w:t>
      </w:r>
      <w:r w:rsidR="00422E7A">
        <w:rPr>
          <w:lang w:val="en-IE"/>
        </w:rPr>
        <w:t>bands, instead of three</w:t>
      </w:r>
      <w:r w:rsidR="006E23CC">
        <w:rPr>
          <w:lang w:val="en-IE"/>
        </w:rPr>
        <w:t xml:space="preserve"> </w:t>
      </w:r>
      <w:r w:rsidR="00422E7A">
        <w:rPr>
          <w:lang w:val="en-IE"/>
        </w:rPr>
        <w:t>emerging from</w:t>
      </w:r>
      <w:r w:rsidR="006E23CC">
        <w:rPr>
          <w:lang w:val="en-IE"/>
        </w:rPr>
        <w:t xml:space="preserve"> the studies conducted in SE 24. However, the utilization of MBANs in the band 2360-2390 MHz forces the</w:t>
      </w:r>
      <w:r w:rsidR="004C212A">
        <w:rPr>
          <w:lang w:val="en-IE"/>
        </w:rPr>
        <w:t xml:space="preserve"> US</w:t>
      </w:r>
      <w:r w:rsidR="006E23CC">
        <w:rPr>
          <w:lang w:val="en-IE"/>
        </w:rPr>
        <w:t xml:space="preserve"> Regulator to set-up a cumbersome coordination procedure, that will basi</w:t>
      </w:r>
      <w:r w:rsidR="00422E7A">
        <w:rPr>
          <w:lang w:val="en-IE"/>
        </w:rPr>
        <w:t>cally involve all hospitals</w:t>
      </w:r>
      <w:r w:rsidR="006E23CC">
        <w:rPr>
          <w:lang w:val="en-IE"/>
        </w:rPr>
        <w:t xml:space="preserve"> if/when MBANs will become widespread. In order to overcome this major drawback, and considering the observations exposed in the previous paragraphs, the proposal below is made.</w:t>
      </w:r>
      <w:r w:rsidR="00747DFE">
        <w:rPr>
          <w:lang w:val="en-IE"/>
        </w:rPr>
        <w:t xml:space="preserve"> </w:t>
      </w:r>
    </w:p>
    <w:p w:rsidR="00EE0529" w:rsidRDefault="00EE0529" w:rsidP="008F68DB">
      <w:pPr>
        <w:pStyle w:val="Listenabsatz"/>
        <w:rPr>
          <w:lang w:val="en-IE"/>
        </w:rPr>
      </w:pPr>
    </w:p>
    <w:p w:rsidR="00EE0529" w:rsidRPr="00C73D77" w:rsidRDefault="00C73D77" w:rsidP="00C73D77">
      <w:pPr>
        <w:pStyle w:val="Listenabsatz"/>
        <w:numPr>
          <w:ilvl w:val="0"/>
          <w:numId w:val="14"/>
        </w:numPr>
        <w:rPr>
          <w:b/>
          <w:lang w:val="en-IE"/>
        </w:rPr>
      </w:pPr>
      <w:r w:rsidRPr="00C73D77">
        <w:rPr>
          <w:b/>
          <w:lang w:val="en-IE"/>
        </w:rPr>
        <w:t>Usage of the band 2300-2400 in France and considerations with respect to MBANS</w:t>
      </w:r>
    </w:p>
    <w:p w:rsidR="00C73D77" w:rsidRDefault="00C73D77" w:rsidP="00C73D77">
      <w:pPr>
        <w:ind w:left="360"/>
        <w:rPr>
          <w:lang w:val="en-IE"/>
        </w:rPr>
      </w:pPr>
    </w:p>
    <w:p w:rsidR="00C73D77" w:rsidRDefault="00C73D77" w:rsidP="00C73D77">
      <w:pPr>
        <w:rPr>
          <w:rFonts w:cs="Arial"/>
          <w:bCs/>
          <w:lang w:val="en-GB"/>
        </w:rPr>
      </w:pPr>
      <w:r>
        <w:rPr>
          <w:rFonts w:cs="Arial"/>
          <w:bCs/>
          <w:lang w:val="en-GB"/>
        </w:rPr>
        <w:t xml:space="preserve">As mentioned in the French contribution to FM 52, the band 2300-2310 MHz is currently used for both civilian video-links (SAP/SAB ENG/OB) and governmental aeronautical telemetry over specific geographic areas. As for the band 2310-2400 MHz, it is primarily used for governmental terrestrial and aeronautical telemetry (in accordance with ERC/REC 62-02) and other usages including data networks, video links (terrestrial and aeronautical), aeronautical data links and UAS.  In the future, operation of MBANS in this band will not be permitted in France. France is not in favour of an extension of the terms of reference of work item 40. </w:t>
      </w:r>
    </w:p>
    <w:p w:rsidR="00C73D77" w:rsidRDefault="00C73D77" w:rsidP="00C73D77">
      <w:pPr>
        <w:rPr>
          <w:rFonts w:cs="Arial"/>
          <w:bCs/>
          <w:lang w:val="en-GB"/>
        </w:rPr>
      </w:pPr>
    </w:p>
    <w:p w:rsidR="00414AA3" w:rsidRPr="00C73D77" w:rsidRDefault="00414AA3" w:rsidP="00414AA3">
      <w:pPr>
        <w:pStyle w:val="Listenabsatz"/>
        <w:numPr>
          <w:ilvl w:val="0"/>
          <w:numId w:val="14"/>
        </w:numPr>
        <w:rPr>
          <w:b/>
          <w:lang w:val="en-IE"/>
        </w:rPr>
      </w:pPr>
      <w:r w:rsidRPr="00C73D77">
        <w:rPr>
          <w:b/>
          <w:lang w:val="en-IE"/>
        </w:rPr>
        <w:t>Proposed frequency arrangement to be studied of MBANS</w:t>
      </w:r>
    </w:p>
    <w:p w:rsidR="00414AA3" w:rsidRDefault="00414AA3" w:rsidP="00414AA3">
      <w:pPr>
        <w:ind w:left="360"/>
        <w:rPr>
          <w:b/>
          <w:lang w:val="en-IE"/>
        </w:rPr>
      </w:pPr>
    </w:p>
    <w:p w:rsidR="00414AA3" w:rsidRDefault="00414AA3" w:rsidP="00414AA3">
      <w:pPr>
        <w:rPr>
          <w:lang w:val="en-IE"/>
        </w:rPr>
      </w:pPr>
      <w:r>
        <w:rPr>
          <w:lang w:val="en-IE"/>
        </w:rPr>
        <w:t xml:space="preserve">Based on the considerations above, the following frequency arrangement for MBANS is proposed for consideration and further studies: </w:t>
      </w:r>
    </w:p>
    <w:p w:rsidR="00414AA3" w:rsidRDefault="00414AA3" w:rsidP="00414AA3">
      <w:pPr>
        <w:rPr>
          <w:lang w:val="en-IE"/>
        </w:rPr>
      </w:pPr>
    </w:p>
    <w:p w:rsidR="00414AA3" w:rsidRDefault="00414AA3" w:rsidP="00414AA3">
      <w:pPr>
        <w:pStyle w:val="Listenabsatz"/>
        <w:numPr>
          <w:ilvl w:val="0"/>
          <w:numId w:val="21"/>
        </w:numPr>
        <w:spacing w:before="120" w:after="120"/>
        <w:ind w:left="142" w:hanging="142"/>
        <w:contextualSpacing w:val="0"/>
        <w:jc w:val="both"/>
        <w:rPr>
          <w:lang w:val="en-IE"/>
        </w:rPr>
      </w:pPr>
      <w:r>
        <w:rPr>
          <w:lang w:val="en-IE"/>
        </w:rPr>
        <w:t xml:space="preserve">Exclusion of the band 2300-2400 MHz </w:t>
      </w:r>
    </w:p>
    <w:p w:rsidR="002B4D72" w:rsidRDefault="00414AA3" w:rsidP="00414AA3">
      <w:pPr>
        <w:pStyle w:val="Listenabsatz"/>
        <w:numPr>
          <w:ilvl w:val="0"/>
          <w:numId w:val="21"/>
        </w:numPr>
        <w:spacing w:before="120" w:after="120"/>
        <w:ind w:left="142" w:hanging="142"/>
        <w:contextualSpacing w:val="0"/>
        <w:jc w:val="both"/>
        <w:rPr>
          <w:lang w:val="en-IE"/>
        </w:rPr>
      </w:pPr>
      <w:r w:rsidRPr="002B4D72">
        <w:rPr>
          <w:lang w:val="en-IE"/>
        </w:rPr>
        <w:t xml:space="preserve">For indoor applications within the premises of health care, possibility to operate within the band 2400-2483.5, identifying a suitable sub-band. </w:t>
      </w:r>
      <w:r w:rsidR="00DB15A7" w:rsidRPr="002B4D72">
        <w:rPr>
          <w:lang w:val="en-IE"/>
        </w:rPr>
        <w:t xml:space="preserve">Interference with WLANs operated will be resolved by the facility management, via a proper configuration of WLAN networks. </w:t>
      </w:r>
      <w:r w:rsidRPr="002B4D72">
        <w:rPr>
          <w:lang w:val="en-IE"/>
        </w:rPr>
        <w:t xml:space="preserve">One option would be to consider the </w:t>
      </w:r>
      <w:r w:rsidR="007836F6" w:rsidRPr="002B4D72">
        <w:rPr>
          <w:lang w:val="en-IE"/>
        </w:rPr>
        <w:t>sub-</w:t>
      </w:r>
      <w:r w:rsidRPr="002B4D72">
        <w:rPr>
          <w:lang w:val="en-IE"/>
        </w:rPr>
        <w:t xml:space="preserve">band </w:t>
      </w:r>
      <w:r w:rsidR="00DB15A7" w:rsidRPr="002B4D72">
        <w:rPr>
          <w:lang w:val="en-IE"/>
        </w:rPr>
        <w:t>246</w:t>
      </w:r>
      <w:r w:rsidRPr="002B4D72">
        <w:rPr>
          <w:lang w:val="en-IE"/>
        </w:rPr>
        <w:t>0-2483.5</w:t>
      </w:r>
      <w:r w:rsidR="00DB15A7" w:rsidRPr="002B4D72">
        <w:rPr>
          <w:lang w:val="en-IE"/>
        </w:rPr>
        <w:t xml:space="preserve"> MHz</w:t>
      </w:r>
      <w:r w:rsidR="004C212A">
        <w:rPr>
          <w:lang w:val="en-IE"/>
        </w:rPr>
        <w:t xml:space="preserve"> for MBAN;</w:t>
      </w:r>
    </w:p>
    <w:p w:rsidR="00414AA3" w:rsidRPr="002B4D72" w:rsidRDefault="00414AA3" w:rsidP="00414AA3">
      <w:pPr>
        <w:pStyle w:val="Listenabsatz"/>
        <w:numPr>
          <w:ilvl w:val="0"/>
          <w:numId w:val="21"/>
        </w:numPr>
        <w:spacing w:before="120" w:after="120"/>
        <w:ind w:left="142" w:hanging="142"/>
        <w:contextualSpacing w:val="0"/>
        <w:jc w:val="both"/>
        <w:rPr>
          <w:lang w:val="en-IE"/>
        </w:rPr>
      </w:pPr>
      <w:r w:rsidRPr="002B4D72">
        <w:rPr>
          <w:lang w:val="en-IE"/>
        </w:rPr>
        <w:t xml:space="preserve">For in-house/in-ambulance applications, possibility to operate in the band 2483.5-2500 MHz. </w:t>
      </w:r>
    </w:p>
    <w:p w:rsidR="00414AA3" w:rsidRPr="00414AA3" w:rsidRDefault="00414AA3" w:rsidP="00C73D77">
      <w:pPr>
        <w:rPr>
          <w:rFonts w:cs="Arial"/>
          <w:bCs/>
          <w:lang w:val="en-IE"/>
        </w:rPr>
      </w:pPr>
    </w:p>
    <w:p w:rsidR="002405C5" w:rsidRDefault="002405C5" w:rsidP="002405C5">
      <w:pPr>
        <w:rPr>
          <w:rFonts w:cs="Arial"/>
          <w:bCs/>
          <w:lang w:val="en-GB"/>
        </w:rPr>
      </w:pPr>
      <w:r>
        <w:rPr>
          <w:lang w:val="en-IE"/>
        </w:rPr>
        <w:t>The advantage of this proposal is that it does not require any coordination or registration procedure, coherently with the fact that MBANs operate as an SRD application and, as indicated by France in its other occasions, should not require protection from incumbent services.</w:t>
      </w:r>
      <w:r w:rsidDel="00D93264">
        <w:rPr>
          <w:rFonts w:cs="Arial"/>
          <w:bCs/>
          <w:lang w:val="en-IE"/>
        </w:rPr>
        <w:t xml:space="preserve"> </w:t>
      </w:r>
    </w:p>
    <w:p w:rsidR="00C73D77" w:rsidRDefault="00C73D77" w:rsidP="00C73D77">
      <w:pPr>
        <w:rPr>
          <w:rFonts w:cs="Arial"/>
          <w:bCs/>
          <w:lang w:val="en-GB"/>
        </w:rPr>
      </w:pPr>
    </w:p>
    <w:p w:rsidR="001770B3" w:rsidRPr="008F68DB" w:rsidRDefault="001770B3" w:rsidP="0075111B">
      <w:pPr>
        <w:jc w:val="both"/>
        <w:rPr>
          <w:lang w:val="en-US"/>
        </w:rPr>
      </w:pPr>
    </w:p>
    <w:sectPr w:rsidR="001770B3" w:rsidRPr="008F68DB" w:rsidSect="00E330E9">
      <w:headerReference w:type="even" r:id="rId10"/>
      <w:headerReference w:type="default" r:id="rId11"/>
      <w:footerReference w:type="even" r:id="rId12"/>
      <w:footerReference w:type="default" r:id="rId13"/>
      <w:headerReference w:type="first" r:id="rId14"/>
      <w:footerReference w:type="first" r:id="rId15"/>
      <w:pgSz w:w="11909" w:h="16834"/>
      <w:pgMar w:top="1440" w:right="1289" w:bottom="1440" w:left="1260" w:header="993"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51" w:rsidRDefault="007C7051">
      <w:r>
        <w:separator/>
      </w:r>
    </w:p>
  </w:endnote>
  <w:endnote w:type="continuationSeparator" w:id="0">
    <w:p w:rsidR="007C7051" w:rsidRDefault="007C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50" w:rsidRDefault="00077F5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77F50" w:rsidRDefault="00077F5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E9" w:rsidRDefault="00E330E9" w:rsidP="00E330E9">
    <w:pPr>
      <w:pStyle w:val="Fuzeile"/>
      <w:pBdr>
        <w:bottom w:val="single" w:sz="12" w:space="1" w:color="auto"/>
      </w:pBdr>
      <w:tabs>
        <w:tab w:val="clear" w:pos="4153"/>
        <w:tab w:val="clear" w:pos="8306"/>
        <w:tab w:val="left" w:pos="4500"/>
        <w:tab w:val="right" w:pos="8820"/>
      </w:tabs>
      <w:rPr>
        <w:rFonts w:ascii="Arial" w:hAnsi="Arial" w:cs="Arial"/>
        <w:sz w:val="20"/>
        <w:lang w:val="en-IE"/>
      </w:rPr>
    </w:pPr>
  </w:p>
  <w:p w:rsidR="00077F50" w:rsidRPr="003109E8" w:rsidRDefault="000C4962" w:rsidP="00E330E9">
    <w:pPr>
      <w:pStyle w:val="Fuzeile"/>
      <w:tabs>
        <w:tab w:val="clear" w:pos="4153"/>
        <w:tab w:val="clear" w:pos="8306"/>
        <w:tab w:val="left" w:pos="4500"/>
        <w:tab w:val="right" w:pos="8820"/>
      </w:tabs>
      <w:rPr>
        <w:sz w:val="20"/>
        <w:lang w:val="en-IE"/>
      </w:rPr>
    </w:pPr>
    <w:r w:rsidRPr="00337895">
      <w:rPr>
        <w:sz w:val="20"/>
        <w:lang w:val="en-IE"/>
      </w:rPr>
      <w:t>WG SE –</w:t>
    </w:r>
    <w:r w:rsidR="00C34749" w:rsidRPr="00337895">
      <w:rPr>
        <w:bCs/>
        <w:kern w:val="36"/>
        <w:sz w:val="20"/>
      </w:rPr>
      <w:t xml:space="preserve"> </w:t>
    </w:r>
    <w:r w:rsidR="00A65618">
      <w:rPr>
        <w:bCs/>
        <w:kern w:val="36"/>
        <w:sz w:val="20"/>
      </w:rPr>
      <w:t>Lübeck, Germany</w:t>
    </w:r>
    <w:r w:rsidR="00C34749" w:rsidRPr="00337895">
      <w:rPr>
        <w:bCs/>
        <w:kern w:val="36"/>
        <w:sz w:val="20"/>
      </w:rPr>
      <w:t xml:space="preserve"> – </w:t>
    </w:r>
    <w:r w:rsidR="00A65618">
      <w:rPr>
        <w:bCs/>
        <w:kern w:val="36"/>
        <w:sz w:val="20"/>
      </w:rPr>
      <w:t>28 January – 1 February 2013</w:t>
    </w:r>
    <w:r w:rsidR="00E330E9" w:rsidRPr="003109E8">
      <w:rPr>
        <w:sz w:val="20"/>
        <w:lang w:val="en-IE"/>
      </w:rPr>
      <w:tab/>
    </w:r>
    <w:r w:rsidR="00E330E9" w:rsidRPr="003109E8">
      <w:rPr>
        <w:rStyle w:val="Seitenzahl"/>
        <w:sz w:val="20"/>
      </w:rPr>
      <w:fldChar w:fldCharType="begin"/>
    </w:r>
    <w:r w:rsidR="00E330E9" w:rsidRPr="003109E8">
      <w:rPr>
        <w:rStyle w:val="Seitenzahl"/>
        <w:sz w:val="20"/>
      </w:rPr>
      <w:instrText xml:space="preserve"> PAGE </w:instrText>
    </w:r>
    <w:r w:rsidR="00E330E9" w:rsidRPr="003109E8">
      <w:rPr>
        <w:rStyle w:val="Seitenzahl"/>
        <w:sz w:val="20"/>
      </w:rPr>
      <w:fldChar w:fldCharType="separate"/>
    </w:r>
    <w:r w:rsidR="006D5178">
      <w:rPr>
        <w:rStyle w:val="Seitenzahl"/>
        <w:noProof/>
        <w:sz w:val="20"/>
      </w:rPr>
      <w:t>1</w:t>
    </w:r>
    <w:r w:rsidR="00E330E9" w:rsidRPr="003109E8">
      <w:rPr>
        <w:rStyle w:val="Seitenzahl"/>
        <w:sz w:val="20"/>
      </w:rPr>
      <w:fldChar w:fldCharType="end"/>
    </w:r>
    <w:r w:rsidR="00E330E9" w:rsidRPr="003109E8">
      <w:rPr>
        <w:rStyle w:val="Seitenzahl"/>
        <w:sz w:val="20"/>
      </w:rPr>
      <w:t>/</w:t>
    </w:r>
    <w:r w:rsidR="00E330E9" w:rsidRPr="003109E8">
      <w:rPr>
        <w:rStyle w:val="Seitenzahl"/>
        <w:sz w:val="20"/>
      </w:rPr>
      <w:fldChar w:fldCharType="begin"/>
    </w:r>
    <w:r w:rsidR="00E330E9" w:rsidRPr="003109E8">
      <w:rPr>
        <w:rStyle w:val="Seitenzahl"/>
        <w:sz w:val="20"/>
      </w:rPr>
      <w:instrText xml:space="preserve"> NUMPAGES </w:instrText>
    </w:r>
    <w:r w:rsidR="00E330E9" w:rsidRPr="003109E8">
      <w:rPr>
        <w:rStyle w:val="Seitenzahl"/>
        <w:sz w:val="20"/>
      </w:rPr>
      <w:fldChar w:fldCharType="separate"/>
    </w:r>
    <w:r w:rsidR="006D5178">
      <w:rPr>
        <w:rStyle w:val="Seitenzahl"/>
        <w:noProof/>
        <w:sz w:val="20"/>
      </w:rPr>
      <w:t>4</w:t>
    </w:r>
    <w:r w:rsidR="00E330E9" w:rsidRPr="003109E8">
      <w:rPr>
        <w:rStyle w:val="Seitenzah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18" w:rsidRDefault="00A6561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51" w:rsidRDefault="007C7051">
      <w:r>
        <w:separator/>
      </w:r>
    </w:p>
  </w:footnote>
  <w:footnote w:type="continuationSeparator" w:id="0">
    <w:p w:rsidR="007C7051" w:rsidRDefault="007C7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18" w:rsidRDefault="00A6561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18" w:rsidRDefault="00A6561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18" w:rsidRDefault="00A6561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200176"/>
    <w:lvl w:ilvl="0">
      <w:start w:val="1"/>
      <w:numFmt w:val="bullet"/>
      <w:lvlText w:val=""/>
      <w:lvlJc w:val="left"/>
      <w:pPr>
        <w:tabs>
          <w:tab w:val="num" w:pos="360"/>
        </w:tabs>
        <w:ind w:left="360" w:hanging="360"/>
      </w:pPr>
      <w:rPr>
        <w:rFonts w:ascii="Symbol" w:hAnsi="Symbol" w:cs="Times New Roman" w:hint="default"/>
      </w:rPr>
    </w:lvl>
  </w:abstractNum>
  <w:abstractNum w:abstractNumId="1">
    <w:nsid w:val="09FD62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E9F28E8"/>
    <w:multiLevelType w:val="hybridMultilevel"/>
    <w:tmpl w:val="FFB8FB94"/>
    <w:lvl w:ilvl="0" w:tplc="EACAE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3E3E62"/>
    <w:multiLevelType w:val="hybridMultilevel"/>
    <w:tmpl w:val="E5DA81A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1E3F20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3245BC4"/>
    <w:multiLevelType w:val="hybridMultilevel"/>
    <w:tmpl w:val="814244AA"/>
    <w:lvl w:ilvl="0" w:tplc="292A8F5C">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nsid w:val="29AF6994"/>
    <w:multiLevelType w:val="singleLevel"/>
    <w:tmpl w:val="A1C0BFE8"/>
    <w:lvl w:ilvl="0">
      <w:start w:val="2"/>
      <w:numFmt w:val="bullet"/>
      <w:lvlText w:val="-"/>
      <w:lvlJc w:val="left"/>
      <w:pPr>
        <w:tabs>
          <w:tab w:val="num" w:pos="1080"/>
        </w:tabs>
        <w:ind w:left="1080" w:hanging="360"/>
      </w:pPr>
      <w:rPr>
        <w:rFonts w:hint="default"/>
      </w:rPr>
    </w:lvl>
  </w:abstractNum>
  <w:abstractNum w:abstractNumId="7">
    <w:nsid w:val="365929C8"/>
    <w:multiLevelType w:val="hybridMultilevel"/>
    <w:tmpl w:val="4022B9D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47611554"/>
    <w:multiLevelType w:val="hybridMultilevel"/>
    <w:tmpl w:val="CD1072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396B18"/>
    <w:multiLevelType w:val="singleLevel"/>
    <w:tmpl w:val="0809000F"/>
    <w:lvl w:ilvl="0">
      <w:start w:val="1"/>
      <w:numFmt w:val="decimal"/>
      <w:lvlText w:val="%1."/>
      <w:lvlJc w:val="left"/>
      <w:pPr>
        <w:tabs>
          <w:tab w:val="num" w:pos="360"/>
        </w:tabs>
        <w:ind w:left="360" w:hanging="360"/>
      </w:pPr>
    </w:lvl>
  </w:abstractNum>
  <w:abstractNum w:abstractNumId="10">
    <w:nsid w:val="5452114D"/>
    <w:multiLevelType w:val="hybridMultilevel"/>
    <w:tmpl w:val="D482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61478CC"/>
    <w:multiLevelType w:val="hybridMultilevel"/>
    <w:tmpl w:val="1D92E4BA"/>
    <w:lvl w:ilvl="0" w:tplc="350C628C">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601A1194"/>
    <w:multiLevelType w:val="multilevel"/>
    <w:tmpl w:val="862CD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1FB1753"/>
    <w:multiLevelType w:val="hybridMultilevel"/>
    <w:tmpl w:val="EACE9E0A"/>
    <w:lvl w:ilvl="0" w:tplc="5F1408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1E54D1"/>
    <w:multiLevelType w:val="hybridMultilevel"/>
    <w:tmpl w:val="422E6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7534A3"/>
    <w:multiLevelType w:val="singleLevel"/>
    <w:tmpl w:val="A1C0BFE8"/>
    <w:lvl w:ilvl="0">
      <w:start w:val="2"/>
      <w:numFmt w:val="bullet"/>
      <w:lvlText w:val="-"/>
      <w:lvlJc w:val="left"/>
      <w:pPr>
        <w:tabs>
          <w:tab w:val="num" w:pos="1080"/>
        </w:tabs>
        <w:ind w:left="1080" w:hanging="360"/>
      </w:pPr>
      <w:rPr>
        <w:rFonts w:hint="default"/>
      </w:rPr>
    </w:lvl>
  </w:abstractNum>
  <w:abstractNum w:abstractNumId="16">
    <w:nsid w:val="6C0D6C73"/>
    <w:multiLevelType w:val="singleLevel"/>
    <w:tmpl w:val="A1C0BFE8"/>
    <w:lvl w:ilvl="0">
      <w:start w:val="2"/>
      <w:numFmt w:val="bullet"/>
      <w:lvlText w:val="-"/>
      <w:lvlJc w:val="left"/>
      <w:pPr>
        <w:tabs>
          <w:tab w:val="num" w:pos="1080"/>
        </w:tabs>
        <w:ind w:left="1080" w:hanging="360"/>
      </w:pPr>
      <w:rPr>
        <w:rFonts w:hint="default"/>
      </w:rPr>
    </w:lvl>
  </w:abstractNum>
  <w:abstractNum w:abstractNumId="17">
    <w:nsid w:val="7168011F"/>
    <w:multiLevelType w:val="hybridMultilevel"/>
    <w:tmpl w:val="58D8F14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nsid w:val="71843369"/>
    <w:multiLevelType w:val="singleLevel"/>
    <w:tmpl w:val="0409000F"/>
    <w:lvl w:ilvl="0">
      <w:start w:val="1"/>
      <w:numFmt w:val="decimal"/>
      <w:lvlText w:val="%1."/>
      <w:legacy w:legacy="1" w:legacySpace="0" w:legacyIndent="360"/>
      <w:lvlJc w:val="left"/>
      <w:pPr>
        <w:ind w:left="360" w:hanging="360"/>
      </w:pPr>
    </w:lvl>
  </w:abstractNum>
  <w:abstractNum w:abstractNumId="19">
    <w:nsid w:val="75871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AF60EA7"/>
    <w:multiLevelType w:val="hybridMultilevel"/>
    <w:tmpl w:val="CADA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6B5713"/>
    <w:multiLevelType w:val="multilevel"/>
    <w:tmpl w:val="862CD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D56230E"/>
    <w:multiLevelType w:val="hybridMultilevel"/>
    <w:tmpl w:val="8BA01A32"/>
    <w:lvl w:ilvl="0" w:tplc="8B56E234">
      <w:start w:val="1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4"/>
  </w:num>
  <w:num w:numId="3">
    <w:abstractNumId w:val="15"/>
  </w:num>
  <w:num w:numId="4">
    <w:abstractNumId w:val="6"/>
  </w:num>
  <w:num w:numId="5">
    <w:abstractNumId w:val="16"/>
  </w:num>
  <w:num w:numId="6">
    <w:abstractNumId w:val="18"/>
    <w:lvlOverride w:ilvl="0">
      <w:lvl w:ilvl="0">
        <w:start w:val="1"/>
        <w:numFmt w:val="decimal"/>
        <w:lvlText w:val="%1."/>
        <w:legacy w:legacy="1" w:legacySpace="0" w:legacyIndent="360"/>
        <w:lvlJc w:val="left"/>
        <w:pPr>
          <w:ind w:left="360" w:hanging="360"/>
        </w:pPr>
      </w:lvl>
    </w:lvlOverride>
  </w:num>
  <w:num w:numId="7">
    <w:abstractNumId w:val="19"/>
  </w:num>
  <w:num w:numId="8">
    <w:abstractNumId w:val="9"/>
  </w:num>
  <w:num w:numId="9">
    <w:abstractNumId w:val="7"/>
  </w:num>
  <w:num w:numId="10">
    <w:abstractNumId w:val="3"/>
  </w:num>
  <w:num w:numId="11">
    <w:abstractNumId w:val="0"/>
  </w:num>
  <w:num w:numId="12">
    <w:abstractNumId w:val="20"/>
  </w:num>
  <w:num w:numId="13">
    <w:abstractNumId w:val="13"/>
  </w:num>
  <w:num w:numId="14">
    <w:abstractNumId w:val="12"/>
  </w:num>
  <w:num w:numId="15">
    <w:abstractNumId w:val="14"/>
  </w:num>
  <w:num w:numId="16">
    <w:abstractNumId w:val="22"/>
  </w:num>
  <w:num w:numId="17">
    <w:abstractNumId w:val="21"/>
  </w:num>
  <w:num w:numId="18">
    <w:abstractNumId w:val="8"/>
  </w:num>
  <w:num w:numId="19">
    <w:abstractNumId w:val="10"/>
  </w:num>
  <w:num w:numId="20">
    <w:abstractNumId w:val="17"/>
  </w:num>
  <w:num w:numId="21">
    <w:abstractNumId w:val="5"/>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B4"/>
    <w:rsid w:val="00001BF7"/>
    <w:rsid w:val="00025717"/>
    <w:rsid w:val="000470C4"/>
    <w:rsid w:val="00077F50"/>
    <w:rsid w:val="000A1542"/>
    <w:rsid w:val="000B3644"/>
    <w:rsid w:val="000B69D5"/>
    <w:rsid w:val="000C4962"/>
    <w:rsid w:val="000F5F62"/>
    <w:rsid w:val="0015542A"/>
    <w:rsid w:val="00165EB6"/>
    <w:rsid w:val="001770B3"/>
    <w:rsid w:val="001B4A15"/>
    <w:rsid w:val="001B5B01"/>
    <w:rsid w:val="001C36C8"/>
    <w:rsid w:val="001C4666"/>
    <w:rsid w:val="001C491F"/>
    <w:rsid w:val="001D33CE"/>
    <w:rsid w:val="001D668A"/>
    <w:rsid w:val="00215BDD"/>
    <w:rsid w:val="00225726"/>
    <w:rsid w:val="00225901"/>
    <w:rsid w:val="002405C5"/>
    <w:rsid w:val="00257D74"/>
    <w:rsid w:val="00261679"/>
    <w:rsid w:val="002A54ED"/>
    <w:rsid w:val="002B0602"/>
    <w:rsid w:val="002B201E"/>
    <w:rsid w:val="002B4D72"/>
    <w:rsid w:val="002B5308"/>
    <w:rsid w:val="002D6DB4"/>
    <w:rsid w:val="002F05CE"/>
    <w:rsid w:val="0030797A"/>
    <w:rsid w:val="003109E8"/>
    <w:rsid w:val="0033320F"/>
    <w:rsid w:val="00337895"/>
    <w:rsid w:val="003629CB"/>
    <w:rsid w:val="003659D9"/>
    <w:rsid w:val="00367A78"/>
    <w:rsid w:val="00372125"/>
    <w:rsid w:val="0037484F"/>
    <w:rsid w:val="003C7138"/>
    <w:rsid w:val="003F4520"/>
    <w:rsid w:val="004149E0"/>
    <w:rsid w:val="00414AA3"/>
    <w:rsid w:val="0042281B"/>
    <w:rsid w:val="00422E7A"/>
    <w:rsid w:val="00431E60"/>
    <w:rsid w:val="00457E12"/>
    <w:rsid w:val="0047385C"/>
    <w:rsid w:val="00480EB9"/>
    <w:rsid w:val="00484A0D"/>
    <w:rsid w:val="004C212A"/>
    <w:rsid w:val="004C2A48"/>
    <w:rsid w:val="00503613"/>
    <w:rsid w:val="00522441"/>
    <w:rsid w:val="0053052F"/>
    <w:rsid w:val="005330A7"/>
    <w:rsid w:val="005364F0"/>
    <w:rsid w:val="00581E28"/>
    <w:rsid w:val="00591D37"/>
    <w:rsid w:val="005A4932"/>
    <w:rsid w:val="005B3401"/>
    <w:rsid w:val="005C3429"/>
    <w:rsid w:val="00635A32"/>
    <w:rsid w:val="00676739"/>
    <w:rsid w:val="006824F4"/>
    <w:rsid w:val="006928FB"/>
    <w:rsid w:val="00694DCF"/>
    <w:rsid w:val="006C498F"/>
    <w:rsid w:val="006C7574"/>
    <w:rsid w:val="006D5178"/>
    <w:rsid w:val="006E23CC"/>
    <w:rsid w:val="006F1C78"/>
    <w:rsid w:val="0073305B"/>
    <w:rsid w:val="007363C8"/>
    <w:rsid w:val="007456A0"/>
    <w:rsid w:val="00747DFE"/>
    <w:rsid w:val="0075111B"/>
    <w:rsid w:val="00770359"/>
    <w:rsid w:val="007836F6"/>
    <w:rsid w:val="00783914"/>
    <w:rsid w:val="007922F3"/>
    <w:rsid w:val="007A5373"/>
    <w:rsid w:val="007C7051"/>
    <w:rsid w:val="007E5D74"/>
    <w:rsid w:val="007F667B"/>
    <w:rsid w:val="00820E6C"/>
    <w:rsid w:val="00822603"/>
    <w:rsid w:val="00830B89"/>
    <w:rsid w:val="00837A19"/>
    <w:rsid w:val="00850F57"/>
    <w:rsid w:val="008D1FDB"/>
    <w:rsid w:val="008D7C0E"/>
    <w:rsid w:val="008F68DB"/>
    <w:rsid w:val="0092326B"/>
    <w:rsid w:val="00950094"/>
    <w:rsid w:val="0096241E"/>
    <w:rsid w:val="0097414E"/>
    <w:rsid w:val="00990ECD"/>
    <w:rsid w:val="009973D7"/>
    <w:rsid w:val="009B0525"/>
    <w:rsid w:val="009B3A7D"/>
    <w:rsid w:val="009E2710"/>
    <w:rsid w:val="009F4555"/>
    <w:rsid w:val="00A01AAB"/>
    <w:rsid w:val="00A12FA8"/>
    <w:rsid w:val="00A23EAD"/>
    <w:rsid w:val="00A461B8"/>
    <w:rsid w:val="00A65618"/>
    <w:rsid w:val="00A70CE3"/>
    <w:rsid w:val="00A867B4"/>
    <w:rsid w:val="00AB086F"/>
    <w:rsid w:val="00AB3CE7"/>
    <w:rsid w:val="00AD1BF6"/>
    <w:rsid w:val="00B42D07"/>
    <w:rsid w:val="00B576EC"/>
    <w:rsid w:val="00B740EE"/>
    <w:rsid w:val="00B81AB5"/>
    <w:rsid w:val="00BD2606"/>
    <w:rsid w:val="00BE06C5"/>
    <w:rsid w:val="00BE1F50"/>
    <w:rsid w:val="00C03BA4"/>
    <w:rsid w:val="00C12001"/>
    <w:rsid w:val="00C237FF"/>
    <w:rsid w:val="00C32384"/>
    <w:rsid w:val="00C34749"/>
    <w:rsid w:val="00C73D77"/>
    <w:rsid w:val="00CA606B"/>
    <w:rsid w:val="00CC4AC6"/>
    <w:rsid w:val="00CF3D16"/>
    <w:rsid w:val="00D321E6"/>
    <w:rsid w:val="00D36DDD"/>
    <w:rsid w:val="00DA2959"/>
    <w:rsid w:val="00DB15A7"/>
    <w:rsid w:val="00DC0554"/>
    <w:rsid w:val="00DD691A"/>
    <w:rsid w:val="00E0792A"/>
    <w:rsid w:val="00E15B10"/>
    <w:rsid w:val="00E330E9"/>
    <w:rsid w:val="00E373F5"/>
    <w:rsid w:val="00E512EC"/>
    <w:rsid w:val="00E658A7"/>
    <w:rsid w:val="00E84310"/>
    <w:rsid w:val="00EB470D"/>
    <w:rsid w:val="00EE0529"/>
    <w:rsid w:val="00F45C14"/>
    <w:rsid w:val="00F9426D"/>
    <w:rsid w:val="00FC602E"/>
    <w:rsid w:val="00FD4D79"/>
    <w:rsid w:val="00FE67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spacing w:before="240" w:after="60"/>
      <w:outlineLvl w:val="0"/>
    </w:pPr>
    <w:rPr>
      <w:rFonts w:ascii="Arial" w:hAnsi="Arial" w:cs="Arial"/>
      <w:b/>
      <w:bCs/>
      <w:kern w:val="28"/>
      <w:sz w:val="28"/>
      <w:szCs w:val="28"/>
    </w:rPr>
  </w:style>
  <w:style w:type="paragraph" w:styleId="berschrift3">
    <w:name w:val="heading 3"/>
    <w:basedOn w:val="Standard"/>
    <w:next w:val="Standard"/>
    <w:qFormat/>
    <w:pPr>
      <w:keepNext/>
      <w:jc w:val="right"/>
      <w:outlineLvl w:val="2"/>
    </w:pPr>
    <w:rPr>
      <w:rFonts w:ascii="Arial" w:hAnsi="Arial"/>
      <w:b/>
      <w:szCs w:val="20"/>
      <w:lang w:val="en-GB" w:eastAsia="de-DE"/>
    </w:rPr>
  </w:style>
  <w:style w:type="paragraph" w:styleId="berschrift4">
    <w:name w:val="heading 4"/>
    <w:basedOn w:val="Standard"/>
    <w:next w:val="Standard"/>
    <w:link w:val="berschrift4Zchn"/>
    <w:qFormat/>
    <w:pPr>
      <w:keepNext/>
      <w:outlineLvl w:val="3"/>
    </w:pPr>
    <w:rPr>
      <w:rFonts w:ascii="Arial" w:hAnsi="Arial"/>
      <w:b/>
      <w:szCs w:val="20"/>
      <w:lang w:val="en-GB" w:eastAsia="de-DE"/>
    </w:rPr>
  </w:style>
  <w:style w:type="paragraph" w:styleId="berschrift5">
    <w:name w:val="heading 5"/>
    <w:basedOn w:val="Standard"/>
    <w:next w:val="Standard"/>
    <w:qFormat/>
    <w:pPr>
      <w:keepNext/>
      <w:autoSpaceDE w:val="0"/>
      <w:autoSpaceDN w:val="0"/>
      <w:outlineLvl w:val="4"/>
    </w:pPr>
    <w:rPr>
      <w:i/>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rPr>
      <w:szCs w:val="20"/>
      <w:lang w:val="en-GB" w:eastAsia="en-US"/>
    </w:rPr>
  </w:style>
  <w:style w:type="paragraph" w:styleId="Fuzeile">
    <w:name w:val="footer"/>
    <w:basedOn w:val="Standard"/>
    <w:pPr>
      <w:tabs>
        <w:tab w:val="center" w:pos="4153"/>
        <w:tab w:val="right" w:pos="8306"/>
      </w:tabs>
    </w:pPr>
    <w:rPr>
      <w:szCs w:val="20"/>
      <w:lang w:val="en-GB" w:eastAsia="en-US"/>
    </w:rPr>
  </w:style>
  <w:style w:type="character" w:styleId="Seitenzahl">
    <w:name w:val="page number"/>
    <w:basedOn w:val="Absatz-Standardschriftart"/>
  </w:style>
  <w:style w:type="paragraph" w:customStyle="1" w:styleId="ELoverskrift3">
    <w:name w:val="ELoverskrift3"/>
    <w:basedOn w:val="Standard"/>
    <w:next w:val="Standard"/>
    <w:pPr>
      <w:keepNext/>
      <w:keepLines/>
      <w:autoSpaceDE w:val="0"/>
      <w:autoSpaceDN w:val="0"/>
      <w:spacing w:after="120"/>
    </w:pPr>
    <w:rPr>
      <w:b/>
      <w:bCs/>
      <w:lang w:val="en-GB" w:eastAsia="nl-NL"/>
    </w:rPr>
  </w:style>
  <w:style w:type="table" w:styleId="Tabellenraster">
    <w:name w:val="Table Grid"/>
    <w:basedOn w:val="NormaleTabelle"/>
    <w:rsid w:val="0069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chnZchn">
    <w:name w:val="Char Char Zchn Zchn"/>
    <w:basedOn w:val="Standard"/>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el">
    <w:name w:val="Title"/>
    <w:basedOn w:val="Standard"/>
    <w:qFormat/>
    <w:rsid w:val="00480EB9"/>
    <w:pPr>
      <w:tabs>
        <w:tab w:val="right" w:pos="3527"/>
      </w:tabs>
      <w:autoSpaceDE w:val="0"/>
      <w:autoSpaceDN w:val="0"/>
      <w:jc w:val="center"/>
    </w:pPr>
    <w:rPr>
      <w:b/>
      <w:bCs/>
      <w:i/>
      <w:iCs/>
      <w:sz w:val="28"/>
      <w:szCs w:val="28"/>
      <w:lang w:val="en-GB"/>
    </w:rPr>
  </w:style>
  <w:style w:type="character" w:styleId="Hyperlink">
    <w:name w:val="Hyperlink"/>
    <w:rsid w:val="00480EB9"/>
    <w:rPr>
      <w:color w:val="0000FF"/>
      <w:u w:val="single"/>
    </w:rPr>
  </w:style>
  <w:style w:type="character" w:customStyle="1" w:styleId="anti-spider">
    <w:name w:val="anti-spider"/>
    <w:rsid w:val="0073305B"/>
  </w:style>
  <w:style w:type="paragraph" w:customStyle="1" w:styleId="ZT">
    <w:name w:val="ZT"/>
    <w:rsid w:val="00FD4D79"/>
    <w:pPr>
      <w:widowControl w:val="0"/>
      <w:suppressAutoHyphens/>
      <w:overflowPunct w:val="0"/>
      <w:autoSpaceDE w:val="0"/>
      <w:spacing w:line="240" w:lineRule="atLeast"/>
      <w:jc w:val="right"/>
      <w:textAlignment w:val="baseline"/>
    </w:pPr>
    <w:rPr>
      <w:rFonts w:ascii="Arial" w:eastAsia="SimSun" w:hAnsi="Arial" w:cs="Arial"/>
      <w:b/>
      <w:sz w:val="34"/>
      <w:lang w:val="en-GB" w:eastAsia="ar-SA"/>
    </w:rPr>
  </w:style>
  <w:style w:type="paragraph" w:customStyle="1" w:styleId="Normalaftertitle">
    <w:name w:val="Normal_after_title"/>
    <w:basedOn w:val="Standard"/>
    <w:next w:val="Standard"/>
    <w:rsid w:val="00FD4D79"/>
    <w:pPr>
      <w:tabs>
        <w:tab w:val="left" w:pos="794"/>
        <w:tab w:val="left" w:pos="1191"/>
        <w:tab w:val="left" w:pos="1588"/>
        <w:tab w:val="left" w:pos="1985"/>
      </w:tabs>
      <w:suppressAutoHyphens/>
      <w:overflowPunct w:val="0"/>
      <w:autoSpaceDE w:val="0"/>
      <w:spacing w:before="360"/>
      <w:textAlignment w:val="baseline"/>
    </w:pPr>
    <w:rPr>
      <w:rFonts w:ascii="Arial" w:hAnsi="Arial" w:cs="Arial"/>
      <w:szCs w:val="20"/>
      <w:lang w:val="en-GB" w:eastAsia="ar-SA"/>
    </w:rPr>
  </w:style>
  <w:style w:type="paragraph" w:styleId="Sprechblasentext">
    <w:name w:val="Balloon Text"/>
    <w:basedOn w:val="Standard"/>
    <w:link w:val="SprechblasentextZchn"/>
    <w:rsid w:val="001770B3"/>
    <w:rPr>
      <w:rFonts w:ascii="Tahoma" w:hAnsi="Tahoma" w:cs="Tahoma"/>
      <w:sz w:val="16"/>
      <w:szCs w:val="16"/>
    </w:rPr>
  </w:style>
  <w:style w:type="character" w:customStyle="1" w:styleId="SprechblasentextZchn">
    <w:name w:val="Sprechblasentext Zchn"/>
    <w:basedOn w:val="Absatz-Standardschriftart"/>
    <w:link w:val="Sprechblasentext"/>
    <w:rsid w:val="001770B3"/>
    <w:rPr>
      <w:rFonts w:ascii="Tahoma" w:hAnsi="Tahoma" w:cs="Tahoma"/>
      <w:sz w:val="16"/>
      <w:szCs w:val="16"/>
    </w:rPr>
  </w:style>
  <w:style w:type="paragraph" w:styleId="Listenabsatz">
    <w:name w:val="List Paragraph"/>
    <w:basedOn w:val="Standard"/>
    <w:uiPriority w:val="34"/>
    <w:qFormat/>
    <w:rsid w:val="001770B3"/>
    <w:pPr>
      <w:ind w:left="720"/>
      <w:contextualSpacing/>
    </w:pPr>
  </w:style>
  <w:style w:type="paragraph" w:customStyle="1" w:styleId="CharCharCar">
    <w:name w:val="Char Char Car"/>
    <w:basedOn w:val="Standard"/>
    <w:rsid w:val="009973D7"/>
    <w:pPr>
      <w:tabs>
        <w:tab w:val="left" w:pos="540"/>
        <w:tab w:val="left" w:pos="1260"/>
        <w:tab w:val="left" w:pos="1800"/>
      </w:tabs>
      <w:spacing w:before="240" w:after="160" w:line="240" w:lineRule="exact"/>
    </w:pPr>
    <w:rPr>
      <w:rFonts w:ascii="Verdana" w:hAnsi="Verdana"/>
      <w:szCs w:val="20"/>
      <w:lang w:val="en-US" w:eastAsia="en-US"/>
    </w:rPr>
  </w:style>
  <w:style w:type="character" w:styleId="Kommentarzeichen">
    <w:name w:val="annotation reference"/>
    <w:basedOn w:val="Absatz-Standardschriftart"/>
    <w:rsid w:val="004C212A"/>
    <w:rPr>
      <w:sz w:val="16"/>
      <w:szCs w:val="16"/>
    </w:rPr>
  </w:style>
  <w:style w:type="paragraph" w:styleId="Kommentartext">
    <w:name w:val="annotation text"/>
    <w:basedOn w:val="Standard"/>
    <w:link w:val="KommentartextZchn"/>
    <w:rsid w:val="004C212A"/>
    <w:rPr>
      <w:sz w:val="20"/>
      <w:szCs w:val="20"/>
    </w:rPr>
  </w:style>
  <w:style w:type="character" w:customStyle="1" w:styleId="KommentartextZchn">
    <w:name w:val="Kommentartext Zchn"/>
    <w:basedOn w:val="Absatz-Standardschriftart"/>
    <w:link w:val="Kommentartext"/>
    <w:rsid w:val="004C212A"/>
  </w:style>
  <w:style w:type="paragraph" w:styleId="Kommentarthema">
    <w:name w:val="annotation subject"/>
    <w:basedOn w:val="Kommentartext"/>
    <w:next w:val="Kommentartext"/>
    <w:link w:val="KommentarthemaZchn"/>
    <w:rsid w:val="004C212A"/>
    <w:rPr>
      <w:b/>
      <w:bCs/>
    </w:rPr>
  </w:style>
  <w:style w:type="character" w:customStyle="1" w:styleId="KommentarthemaZchn">
    <w:name w:val="Kommentarthema Zchn"/>
    <w:basedOn w:val="KommentartextZchn"/>
    <w:link w:val="Kommentarthema"/>
    <w:rsid w:val="004C212A"/>
    <w:rPr>
      <w:b/>
      <w:bCs/>
    </w:rPr>
  </w:style>
  <w:style w:type="paragraph" w:styleId="berarbeitung">
    <w:name w:val="Revision"/>
    <w:hidden/>
    <w:uiPriority w:val="99"/>
    <w:semiHidden/>
    <w:rsid w:val="004C212A"/>
    <w:rPr>
      <w:sz w:val="24"/>
      <w:szCs w:val="24"/>
    </w:rPr>
  </w:style>
  <w:style w:type="character" w:customStyle="1" w:styleId="berschrift4Zchn">
    <w:name w:val="Überschrift 4 Zchn"/>
    <w:basedOn w:val="Absatz-Standardschriftart"/>
    <w:link w:val="berschrift4"/>
    <w:rsid w:val="006F1C78"/>
    <w:rPr>
      <w:rFonts w:ascii="Arial" w:hAnsi="Arial"/>
      <w:b/>
      <w:sz w:val="24"/>
      <w:lang w:val="en-GB" w:eastAsia="de-DE"/>
    </w:rPr>
  </w:style>
  <w:style w:type="paragraph" w:customStyle="1" w:styleId="CharCharZchnZchn0">
    <w:name w:val="Char Char Zchn Zchn"/>
    <w:basedOn w:val="Standard"/>
    <w:rsid w:val="00B81AB5"/>
    <w:pPr>
      <w:tabs>
        <w:tab w:val="left" w:pos="540"/>
        <w:tab w:val="left" w:pos="1260"/>
        <w:tab w:val="left" w:pos="1800"/>
      </w:tabs>
      <w:spacing w:before="240" w:after="160" w:line="240" w:lineRule="exact"/>
    </w:pPr>
    <w:rPr>
      <w:rFonts w:ascii="Verdana" w:hAnsi="Verdana"/>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spacing w:before="240" w:after="60"/>
      <w:outlineLvl w:val="0"/>
    </w:pPr>
    <w:rPr>
      <w:rFonts w:ascii="Arial" w:hAnsi="Arial" w:cs="Arial"/>
      <w:b/>
      <w:bCs/>
      <w:kern w:val="28"/>
      <w:sz w:val="28"/>
      <w:szCs w:val="28"/>
    </w:rPr>
  </w:style>
  <w:style w:type="paragraph" w:styleId="berschrift3">
    <w:name w:val="heading 3"/>
    <w:basedOn w:val="Standard"/>
    <w:next w:val="Standard"/>
    <w:qFormat/>
    <w:pPr>
      <w:keepNext/>
      <w:jc w:val="right"/>
      <w:outlineLvl w:val="2"/>
    </w:pPr>
    <w:rPr>
      <w:rFonts w:ascii="Arial" w:hAnsi="Arial"/>
      <w:b/>
      <w:szCs w:val="20"/>
      <w:lang w:val="en-GB" w:eastAsia="de-DE"/>
    </w:rPr>
  </w:style>
  <w:style w:type="paragraph" w:styleId="berschrift4">
    <w:name w:val="heading 4"/>
    <w:basedOn w:val="Standard"/>
    <w:next w:val="Standard"/>
    <w:link w:val="berschrift4Zchn"/>
    <w:qFormat/>
    <w:pPr>
      <w:keepNext/>
      <w:outlineLvl w:val="3"/>
    </w:pPr>
    <w:rPr>
      <w:rFonts w:ascii="Arial" w:hAnsi="Arial"/>
      <w:b/>
      <w:szCs w:val="20"/>
      <w:lang w:val="en-GB" w:eastAsia="de-DE"/>
    </w:rPr>
  </w:style>
  <w:style w:type="paragraph" w:styleId="berschrift5">
    <w:name w:val="heading 5"/>
    <w:basedOn w:val="Standard"/>
    <w:next w:val="Standard"/>
    <w:qFormat/>
    <w:pPr>
      <w:keepNext/>
      <w:autoSpaceDE w:val="0"/>
      <w:autoSpaceDN w:val="0"/>
      <w:outlineLvl w:val="4"/>
    </w:pPr>
    <w:rPr>
      <w:i/>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rPr>
      <w:szCs w:val="20"/>
      <w:lang w:val="en-GB" w:eastAsia="en-US"/>
    </w:rPr>
  </w:style>
  <w:style w:type="paragraph" w:styleId="Fuzeile">
    <w:name w:val="footer"/>
    <w:basedOn w:val="Standard"/>
    <w:pPr>
      <w:tabs>
        <w:tab w:val="center" w:pos="4153"/>
        <w:tab w:val="right" w:pos="8306"/>
      </w:tabs>
    </w:pPr>
    <w:rPr>
      <w:szCs w:val="20"/>
      <w:lang w:val="en-GB" w:eastAsia="en-US"/>
    </w:rPr>
  </w:style>
  <w:style w:type="character" w:styleId="Seitenzahl">
    <w:name w:val="page number"/>
    <w:basedOn w:val="Absatz-Standardschriftart"/>
  </w:style>
  <w:style w:type="paragraph" w:customStyle="1" w:styleId="ELoverskrift3">
    <w:name w:val="ELoverskrift3"/>
    <w:basedOn w:val="Standard"/>
    <w:next w:val="Standard"/>
    <w:pPr>
      <w:keepNext/>
      <w:keepLines/>
      <w:autoSpaceDE w:val="0"/>
      <w:autoSpaceDN w:val="0"/>
      <w:spacing w:after="120"/>
    </w:pPr>
    <w:rPr>
      <w:b/>
      <w:bCs/>
      <w:lang w:val="en-GB" w:eastAsia="nl-NL"/>
    </w:rPr>
  </w:style>
  <w:style w:type="table" w:styleId="Tabellenraster">
    <w:name w:val="Table Grid"/>
    <w:basedOn w:val="NormaleTabelle"/>
    <w:rsid w:val="0069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chnZchn">
    <w:name w:val="Char Char Zchn Zchn"/>
    <w:basedOn w:val="Standard"/>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el">
    <w:name w:val="Title"/>
    <w:basedOn w:val="Standard"/>
    <w:qFormat/>
    <w:rsid w:val="00480EB9"/>
    <w:pPr>
      <w:tabs>
        <w:tab w:val="right" w:pos="3527"/>
      </w:tabs>
      <w:autoSpaceDE w:val="0"/>
      <w:autoSpaceDN w:val="0"/>
      <w:jc w:val="center"/>
    </w:pPr>
    <w:rPr>
      <w:b/>
      <w:bCs/>
      <w:i/>
      <w:iCs/>
      <w:sz w:val="28"/>
      <w:szCs w:val="28"/>
      <w:lang w:val="en-GB"/>
    </w:rPr>
  </w:style>
  <w:style w:type="character" w:styleId="Hyperlink">
    <w:name w:val="Hyperlink"/>
    <w:rsid w:val="00480EB9"/>
    <w:rPr>
      <w:color w:val="0000FF"/>
      <w:u w:val="single"/>
    </w:rPr>
  </w:style>
  <w:style w:type="character" w:customStyle="1" w:styleId="anti-spider">
    <w:name w:val="anti-spider"/>
    <w:rsid w:val="0073305B"/>
  </w:style>
  <w:style w:type="paragraph" w:customStyle="1" w:styleId="ZT">
    <w:name w:val="ZT"/>
    <w:rsid w:val="00FD4D79"/>
    <w:pPr>
      <w:widowControl w:val="0"/>
      <w:suppressAutoHyphens/>
      <w:overflowPunct w:val="0"/>
      <w:autoSpaceDE w:val="0"/>
      <w:spacing w:line="240" w:lineRule="atLeast"/>
      <w:jc w:val="right"/>
      <w:textAlignment w:val="baseline"/>
    </w:pPr>
    <w:rPr>
      <w:rFonts w:ascii="Arial" w:eastAsia="SimSun" w:hAnsi="Arial" w:cs="Arial"/>
      <w:b/>
      <w:sz w:val="34"/>
      <w:lang w:val="en-GB" w:eastAsia="ar-SA"/>
    </w:rPr>
  </w:style>
  <w:style w:type="paragraph" w:customStyle="1" w:styleId="Normalaftertitle">
    <w:name w:val="Normal_after_title"/>
    <w:basedOn w:val="Standard"/>
    <w:next w:val="Standard"/>
    <w:rsid w:val="00FD4D79"/>
    <w:pPr>
      <w:tabs>
        <w:tab w:val="left" w:pos="794"/>
        <w:tab w:val="left" w:pos="1191"/>
        <w:tab w:val="left" w:pos="1588"/>
        <w:tab w:val="left" w:pos="1985"/>
      </w:tabs>
      <w:suppressAutoHyphens/>
      <w:overflowPunct w:val="0"/>
      <w:autoSpaceDE w:val="0"/>
      <w:spacing w:before="360"/>
      <w:textAlignment w:val="baseline"/>
    </w:pPr>
    <w:rPr>
      <w:rFonts w:ascii="Arial" w:hAnsi="Arial" w:cs="Arial"/>
      <w:szCs w:val="20"/>
      <w:lang w:val="en-GB" w:eastAsia="ar-SA"/>
    </w:rPr>
  </w:style>
  <w:style w:type="paragraph" w:styleId="Sprechblasentext">
    <w:name w:val="Balloon Text"/>
    <w:basedOn w:val="Standard"/>
    <w:link w:val="SprechblasentextZchn"/>
    <w:rsid w:val="001770B3"/>
    <w:rPr>
      <w:rFonts w:ascii="Tahoma" w:hAnsi="Tahoma" w:cs="Tahoma"/>
      <w:sz w:val="16"/>
      <w:szCs w:val="16"/>
    </w:rPr>
  </w:style>
  <w:style w:type="character" w:customStyle="1" w:styleId="SprechblasentextZchn">
    <w:name w:val="Sprechblasentext Zchn"/>
    <w:basedOn w:val="Absatz-Standardschriftart"/>
    <w:link w:val="Sprechblasentext"/>
    <w:rsid w:val="001770B3"/>
    <w:rPr>
      <w:rFonts w:ascii="Tahoma" w:hAnsi="Tahoma" w:cs="Tahoma"/>
      <w:sz w:val="16"/>
      <w:szCs w:val="16"/>
    </w:rPr>
  </w:style>
  <w:style w:type="paragraph" w:styleId="Listenabsatz">
    <w:name w:val="List Paragraph"/>
    <w:basedOn w:val="Standard"/>
    <w:uiPriority w:val="34"/>
    <w:qFormat/>
    <w:rsid w:val="001770B3"/>
    <w:pPr>
      <w:ind w:left="720"/>
      <w:contextualSpacing/>
    </w:pPr>
  </w:style>
  <w:style w:type="paragraph" w:customStyle="1" w:styleId="CharCharCar">
    <w:name w:val="Char Char Car"/>
    <w:basedOn w:val="Standard"/>
    <w:rsid w:val="009973D7"/>
    <w:pPr>
      <w:tabs>
        <w:tab w:val="left" w:pos="540"/>
        <w:tab w:val="left" w:pos="1260"/>
        <w:tab w:val="left" w:pos="1800"/>
      </w:tabs>
      <w:spacing w:before="240" w:after="160" w:line="240" w:lineRule="exact"/>
    </w:pPr>
    <w:rPr>
      <w:rFonts w:ascii="Verdana" w:hAnsi="Verdana"/>
      <w:szCs w:val="20"/>
      <w:lang w:val="en-US" w:eastAsia="en-US"/>
    </w:rPr>
  </w:style>
  <w:style w:type="character" w:styleId="Kommentarzeichen">
    <w:name w:val="annotation reference"/>
    <w:basedOn w:val="Absatz-Standardschriftart"/>
    <w:rsid w:val="004C212A"/>
    <w:rPr>
      <w:sz w:val="16"/>
      <w:szCs w:val="16"/>
    </w:rPr>
  </w:style>
  <w:style w:type="paragraph" w:styleId="Kommentartext">
    <w:name w:val="annotation text"/>
    <w:basedOn w:val="Standard"/>
    <w:link w:val="KommentartextZchn"/>
    <w:rsid w:val="004C212A"/>
    <w:rPr>
      <w:sz w:val="20"/>
      <w:szCs w:val="20"/>
    </w:rPr>
  </w:style>
  <w:style w:type="character" w:customStyle="1" w:styleId="KommentartextZchn">
    <w:name w:val="Kommentartext Zchn"/>
    <w:basedOn w:val="Absatz-Standardschriftart"/>
    <w:link w:val="Kommentartext"/>
    <w:rsid w:val="004C212A"/>
  </w:style>
  <w:style w:type="paragraph" w:styleId="Kommentarthema">
    <w:name w:val="annotation subject"/>
    <w:basedOn w:val="Kommentartext"/>
    <w:next w:val="Kommentartext"/>
    <w:link w:val="KommentarthemaZchn"/>
    <w:rsid w:val="004C212A"/>
    <w:rPr>
      <w:b/>
      <w:bCs/>
    </w:rPr>
  </w:style>
  <w:style w:type="character" w:customStyle="1" w:styleId="KommentarthemaZchn">
    <w:name w:val="Kommentarthema Zchn"/>
    <w:basedOn w:val="KommentartextZchn"/>
    <w:link w:val="Kommentarthema"/>
    <w:rsid w:val="004C212A"/>
    <w:rPr>
      <w:b/>
      <w:bCs/>
    </w:rPr>
  </w:style>
  <w:style w:type="paragraph" w:styleId="berarbeitung">
    <w:name w:val="Revision"/>
    <w:hidden/>
    <w:uiPriority w:val="99"/>
    <w:semiHidden/>
    <w:rsid w:val="004C212A"/>
    <w:rPr>
      <w:sz w:val="24"/>
      <w:szCs w:val="24"/>
    </w:rPr>
  </w:style>
  <w:style w:type="character" w:customStyle="1" w:styleId="berschrift4Zchn">
    <w:name w:val="Überschrift 4 Zchn"/>
    <w:basedOn w:val="Absatz-Standardschriftart"/>
    <w:link w:val="berschrift4"/>
    <w:rsid w:val="006F1C78"/>
    <w:rPr>
      <w:rFonts w:ascii="Arial" w:hAnsi="Arial"/>
      <w:b/>
      <w:sz w:val="24"/>
      <w:lang w:val="en-GB" w:eastAsia="de-DE"/>
    </w:rPr>
  </w:style>
  <w:style w:type="paragraph" w:customStyle="1" w:styleId="CharCharZchnZchn0">
    <w:name w:val="Char Char Zchn Zchn"/>
    <w:basedOn w:val="Standard"/>
    <w:rsid w:val="00B81AB5"/>
    <w:pPr>
      <w:tabs>
        <w:tab w:val="left" w:pos="540"/>
        <w:tab w:val="left" w:pos="1260"/>
        <w:tab w:val="left" w:pos="1800"/>
      </w:tabs>
      <w:spacing w:before="240" w:after="160" w:line="240" w:lineRule="exact"/>
    </w:pPr>
    <w:rPr>
      <w:rFonts w:ascii="Verdana" w:hAnsi="Verdana"/>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19522">
      <w:bodyDiv w:val="1"/>
      <w:marLeft w:val="0"/>
      <w:marRight w:val="0"/>
      <w:marTop w:val="0"/>
      <w:marBottom w:val="0"/>
      <w:divBdr>
        <w:top w:val="none" w:sz="0" w:space="0" w:color="auto"/>
        <w:left w:val="none" w:sz="0" w:space="0" w:color="auto"/>
        <w:bottom w:val="none" w:sz="0" w:space="0" w:color="auto"/>
        <w:right w:val="none" w:sz="0" w:space="0" w:color="auto"/>
      </w:divBdr>
    </w:div>
    <w:div w:id="201773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3A6E-9C78-400C-B0DB-55CBB4D9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7126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2013-01-23T19:38:00Z</dcterms:created>
  <dcterms:modified xsi:type="dcterms:W3CDTF">2013-01-24T07:23:00Z</dcterms:modified>
</cp:coreProperties>
</file>