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19" w:rsidRPr="00075CD9" w:rsidRDefault="00855A19">
      <w:pPr>
        <w:pStyle w:val="berschrift2"/>
        <w:rPr>
          <w:rFonts w:ascii="Arial" w:hAnsi="Arial" w:cs="Arial"/>
        </w:rPr>
      </w:pPr>
      <w:bookmarkStart w:id="0" w:name="_GoBack"/>
      <w:bookmarkEnd w:id="0"/>
      <w:r w:rsidRPr="00075CD9">
        <w:rPr>
          <w:rFonts w:ascii="Arial" w:hAnsi="Arial" w:cs="Arial"/>
        </w:rPr>
        <w:t xml:space="preserve">WG SE Work Programme, </w:t>
      </w:r>
      <w:r>
        <w:rPr>
          <w:rFonts w:ascii="Arial" w:hAnsi="Arial" w:cs="Arial"/>
        </w:rPr>
        <w:t xml:space="preserve">January 2013 </w:t>
      </w:r>
      <w:r w:rsidRPr="00075CD9">
        <w:rPr>
          <w:rFonts w:ascii="Arial" w:hAnsi="Arial" w:cs="Arial"/>
        </w:rPr>
        <w:t>-</w:t>
      </w:r>
      <w:r>
        <w:rPr>
          <w:rFonts w:ascii="Arial" w:hAnsi="Arial" w:cs="Arial"/>
        </w:rPr>
        <w:t xml:space="preserve"> May 2013</w:t>
      </w:r>
      <w:r w:rsidRPr="00075CD9">
        <w:rPr>
          <w:rFonts w:ascii="Arial" w:hAnsi="Arial" w:cs="Arial"/>
        </w:rPr>
        <w:t xml:space="preserve"> (including work items closed at the </w:t>
      </w:r>
      <w:r>
        <w:rPr>
          <w:rFonts w:ascii="Arial" w:hAnsi="Arial" w:cs="Arial"/>
        </w:rPr>
        <w:t>January 2013</w:t>
      </w:r>
      <w:r w:rsidRPr="00075CD9">
        <w:rPr>
          <w:rFonts w:ascii="Arial" w:hAnsi="Arial" w:cs="Arial"/>
        </w:rPr>
        <w:t xml:space="preserve"> WGSE meeting)</w:t>
      </w:r>
    </w:p>
    <w:p w:rsidR="00855A19" w:rsidRPr="00075CD9" w:rsidRDefault="00855A19">
      <w:pPr>
        <w:rPr>
          <w:rFonts w:ascii="Arial" w:hAnsi="Arial" w:cs="Arial"/>
          <w:sz w:val="22"/>
          <w:lang w:val="en-GB"/>
        </w:rPr>
      </w:pPr>
    </w:p>
    <w:tbl>
      <w:tblPr>
        <w:tblW w:w="16005" w:type="dxa"/>
        <w:tblLayout w:type="fixed"/>
        <w:tblLook w:val="0000" w:firstRow="0" w:lastRow="0" w:firstColumn="0" w:lastColumn="0" w:noHBand="0" w:noVBand="0"/>
      </w:tblPr>
      <w:tblGrid>
        <w:gridCol w:w="966"/>
        <w:gridCol w:w="2701"/>
        <w:gridCol w:w="3431"/>
        <w:gridCol w:w="1389"/>
        <w:gridCol w:w="1094"/>
        <w:gridCol w:w="3046"/>
        <w:gridCol w:w="1689"/>
        <w:gridCol w:w="1689"/>
      </w:tblGrid>
      <w:tr w:rsidR="00855A19" w:rsidRPr="00075CD9" w:rsidTr="008D57AD">
        <w:tc>
          <w:tcPr>
            <w:tcW w:w="966" w:type="dxa"/>
          </w:tcPr>
          <w:p w:rsidR="00855A19" w:rsidRPr="00075CD9" w:rsidRDefault="00855A19">
            <w:pPr>
              <w:jc w:val="center"/>
              <w:rPr>
                <w:b/>
                <w:sz w:val="20"/>
                <w:szCs w:val="20"/>
                <w:lang w:val="en-GB"/>
              </w:rPr>
            </w:pPr>
            <w:r w:rsidRPr="00075CD9">
              <w:rPr>
                <w:b/>
                <w:sz w:val="20"/>
                <w:szCs w:val="20"/>
                <w:lang w:val="en-GB"/>
              </w:rPr>
              <w:t>SE WP Ref#</w:t>
            </w:r>
          </w:p>
        </w:tc>
        <w:tc>
          <w:tcPr>
            <w:tcW w:w="2701" w:type="dxa"/>
          </w:tcPr>
          <w:p w:rsidR="00855A19" w:rsidRPr="00075CD9" w:rsidRDefault="00855A19">
            <w:pPr>
              <w:jc w:val="center"/>
              <w:rPr>
                <w:b/>
                <w:sz w:val="20"/>
                <w:szCs w:val="20"/>
                <w:lang w:val="en-GB"/>
              </w:rPr>
            </w:pPr>
            <w:r w:rsidRPr="00075CD9">
              <w:rPr>
                <w:b/>
                <w:sz w:val="20"/>
                <w:szCs w:val="20"/>
                <w:lang w:val="en-GB"/>
              </w:rPr>
              <w:t>Subject</w:t>
            </w:r>
          </w:p>
        </w:tc>
        <w:tc>
          <w:tcPr>
            <w:tcW w:w="3431" w:type="dxa"/>
          </w:tcPr>
          <w:p w:rsidR="00855A19" w:rsidRPr="00075CD9" w:rsidRDefault="00855A19">
            <w:pPr>
              <w:jc w:val="center"/>
              <w:rPr>
                <w:b/>
                <w:sz w:val="20"/>
                <w:szCs w:val="20"/>
                <w:lang w:val="en-GB"/>
              </w:rPr>
            </w:pPr>
            <w:r w:rsidRPr="00075CD9">
              <w:rPr>
                <w:b/>
                <w:sz w:val="20"/>
                <w:szCs w:val="20"/>
                <w:lang w:val="en-GB"/>
              </w:rPr>
              <w:t>Output</w:t>
            </w:r>
          </w:p>
        </w:tc>
        <w:tc>
          <w:tcPr>
            <w:tcW w:w="1389" w:type="dxa"/>
          </w:tcPr>
          <w:p w:rsidR="00855A19" w:rsidRPr="00075CD9" w:rsidRDefault="00855A19">
            <w:pPr>
              <w:jc w:val="center"/>
              <w:rPr>
                <w:b/>
                <w:sz w:val="20"/>
                <w:szCs w:val="20"/>
                <w:lang w:val="en-GB"/>
              </w:rPr>
            </w:pPr>
            <w:r w:rsidRPr="00075CD9">
              <w:rPr>
                <w:b/>
                <w:sz w:val="20"/>
                <w:szCs w:val="20"/>
                <w:lang w:val="en-GB"/>
              </w:rPr>
              <w:t>Start/Target dates</w:t>
            </w:r>
            <w:r w:rsidRPr="00075CD9">
              <w:rPr>
                <w:rStyle w:val="Funotenzeichen"/>
                <w:b/>
                <w:sz w:val="20"/>
                <w:szCs w:val="20"/>
                <w:lang w:val="en-GB"/>
              </w:rPr>
              <w:footnoteReference w:id="1"/>
            </w:r>
          </w:p>
        </w:tc>
        <w:tc>
          <w:tcPr>
            <w:tcW w:w="1094" w:type="dxa"/>
          </w:tcPr>
          <w:p w:rsidR="00855A19" w:rsidRPr="00075CD9" w:rsidRDefault="00855A19">
            <w:pPr>
              <w:jc w:val="center"/>
              <w:rPr>
                <w:b/>
                <w:sz w:val="20"/>
                <w:szCs w:val="20"/>
                <w:lang w:val="en-GB"/>
              </w:rPr>
            </w:pPr>
            <w:r w:rsidRPr="00075CD9">
              <w:rPr>
                <w:b/>
                <w:sz w:val="20"/>
                <w:szCs w:val="20"/>
                <w:lang w:val="en-GB"/>
              </w:rPr>
              <w:t>Allocated</w:t>
            </w:r>
          </w:p>
        </w:tc>
        <w:tc>
          <w:tcPr>
            <w:tcW w:w="3046" w:type="dxa"/>
          </w:tcPr>
          <w:p w:rsidR="00855A19" w:rsidRPr="00075CD9" w:rsidRDefault="00855A19">
            <w:pPr>
              <w:jc w:val="center"/>
              <w:rPr>
                <w:b/>
                <w:sz w:val="20"/>
                <w:szCs w:val="20"/>
                <w:lang w:val="en-GB"/>
              </w:rPr>
            </w:pPr>
            <w:r w:rsidRPr="00075CD9">
              <w:rPr>
                <w:b/>
                <w:sz w:val="20"/>
                <w:szCs w:val="20"/>
                <w:lang w:val="en-GB"/>
              </w:rPr>
              <w:t>Remarks</w:t>
            </w:r>
          </w:p>
        </w:tc>
        <w:tc>
          <w:tcPr>
            <w:tcW w:w="1689" w:type="dxa"/>
          </w:tcPr>
          <w:p w:rsidR="00855A19" w:rsidRPr="00075CD9" w:rsidRDefault="00855A19">
            <w:pPr>
              <w:jc w:val="center"/>
              <w:rPr>
                <w:b/>
                <w:sz w:val="20"/>
                <w:szCs w:val="20"/>
                <w:lang w:val="en-GB"/>
              </w:rPr>
            </w:pPr>
            <w:r w:rsidRPr="00075CD9">
              <w:rPr>
                <w:b/>
                <w:sz w:val="20"/>
                <w:szCs w:val="20"/>
                <w:lang w:val="en-GB"/>
              </w:rPr>
              <w:t>Triggered by</w:t>
            </w:r>
          </w:p>
        </w:tc>
        <w:tc>
          <w:tcPr>
            <w:tcW w:w="1689" w:type="dxa"/>
          </w:tcPr>
          <w:p w:rsidR="00855A19" w:rsidRPr="00075CD9" w:rsidRDefault="00855A19">
            <w:pPr>
              <w:jc w:val="center"/>
              <w:rPr>
                <w:b/>
                <w:sz w:val="20"/>
                <w:szCs w:val="20"/>
                <w:lang w:val="en-GB"/>
              </w:rPr>
            </w:pPr>
            <w:r w:rsidRPr="00075CD9">
              <w:rPr>
                <w:b/>
                <w:sz w:val="20"/>
                <w:szCs w:val="20"/>
                <w:lang w:val="en-GB"/>
              </w:rPr>
              <w:t>ECO support (Y/N)</w:t>
            </w:r>
          </w:p>
        </w:tc>
      </w:tr>
      <w:tr w:rsidR="00855A19" w:rsidRPr="00075CD9" w:rsidTr="008D57AD">
        <w:tc>
          <w:tcPr>
            <w:tcW w:w="966" w:type="dxa"/>
          </w:tcPr>
          <w:p w:rsidR="00855A19" w:rsidRPr="00075CD9" w:rsidRDefault="00855A19">
            <w:pPr>
              <w:rPr>
                <w:sz w:val="20"/>
                <w:szCs w:val="20"/>
                <w:lang w:val="en-GB"/>
              </w:rPr>
            </w:pPr>
            <w:r w:rsidRPr="00075CD9">
              <w:rPr>
                <w:sz w:val="20"/>
                <w:szCs w:val="20"/>
                <w:lang w:val="en-GB"/>
              </w:rPr>
              <w:t>SE7_15</w:t>
            </w:r>
          </w:p>
        </w:tc>
        <w:tc>
          <w:tcPr>
            <w:tcW w:w="2701" w:type="dxa"/>
          </w:tcPr>
          <w:p w:rsidR="00855A19" w:rsidRPr="00075CD9" w:rsidRDefault="00855A19">
            <w:pPr>
              <w:rPr>
                <w:color w:val="000000"/>
                <w:sz w:val="20"/>
                <w:szCs w:val="20"/>
                <w:lang w:val="en-US"/>
              </w:rPr>
            </w:pPr>
            <w:r w:rsidRPr="00075CD9">
              <w:rPr>
                <w:color w:val="000000"/>
                <w:sz w:val="20"/>
                <w:szCs w:val="20"/>
                <w:lang w:val="en-US"/>
              </w:rPr>
              <w:t xml:space="preserve">Adjacent band compatibility between the mobile networks and PMSE (wireless microphones) in the 1800 MHz range. </w:t>
            </w:r>
          </w:p>
        </w:tc>
        <w:tc>
          <w:tcPr>
            <w:tcW w:w="3431" w:type="dxa"/>
          </w:tcPr>
          <w:p w:rsidR="00855A19" w:rsidRPr="00075CD9" w:rsidRDefault="00855A19" w:rsidP="00431A4B">
            <w:pPr>
              <w:pStyle w:val="StandardWeb"/>
              <w:rPr>
                <w:sz w:val="20"/>
                <w:szCs w:val="20"/>
                <w:lang w:val="en-GB"/>
              </w:rPr>
            </w:pPr>
            <w:r w:rsidRPr="00075CD9">
              <w:rPr>
                <w:sz w:val="20"/>
                <w:szCs w:val="20"/>
                <w:lang w:val="en-GB"/>
              </w:rPr>
              <w:t>ECC Report and guidance to SRD-MG in order to:</w:t>
            </w:r>
          </w:p>
          <w:p w:rsidR="00855A19" w:rsidRPr="00075CD9" w:rsidRDefault="00855A19" w:rsidP="00431A4B">
            <w:pPr>
              <w:pStyle w:val="StandardWeb"/>
              <w:numPr>
                <w:ilvl w:val="0"/>
                <w:numId w:val="29"/>
              </w:numPr>
              <w:rPr>
                <w:sz w:val="20"/>
                <w:szCs w:val="20"/>
                <w:lang w:val="en-GB"/>
              </w:rPr>
            </w:pPr>
            <w:r w:rsidRPr="00075CD9">
              <w:rPr>
                <w:sz w:val="20"/>
                <w:szCs w:val="20"/>
                <w:lang w:val="en-GB"/>
              </w:rPr>
              <w:t>clarify the adjacent band conditions around the 1785 MHz band edge (considering ERC Report 63)</w:t>
            </w:r>
          </w:p>
          <w:p w:rsidR="00855A19" w:rsidRPr="00075CD9" w:rsidRDefault="00855A19" w:rsidP="00431A4B">
            <w:pPr>
              <w:pStyle w:val="StandardWeb"/>
              <w:numPr>
                <w:ilvl w:val="0"/>
                <w:numId w:val="29"/>
              </w:numPr>
              <w:rPr>
                <w:color w:val="000000"/>
                <w:sz w:val="20"/>
                <w:szCs w:val="20"/>
                <w:lang w:val="en-GB"/>
              </w:rPr>
            </w:pPr>
            <w:proofErr w:type="gramStart"/>
            <w:r w:rsidRPr="00075CD9">
              <w:rPr>
                <w:sz w:val="20"/>
                <w:szCs w:val="20"/>
                <w:lang w:val="en-GB"/>
              </w:rPr>
              <w:t>assess</w:t>
            </w:r>
            <w:proofErr w:type="gramEnd"/>
            <w:r w:rsidRPr="00075CD9">
              <w:rPr>
                <w:sz w:val="20"/>
                <w:szCs w:val="20"/>
                <w:lang w:val="en-GB"/>
              </w:rPr>
              <w:t xml:space="preserve"> the potential use of the band 1800-1805 MHz by PMSE applications.</w:t>
            </w:r>
          </w:p>
        </w:tc>
        <w:tc>
          <w:tcPr>
            <w:tcW w:w="1389" w:type="dxa"/>
          </w:tcPr>
          <w:p w:rsidR="00855A19" w:rsidRPr="00075CD9" w:rsidRDefault="00855A19" w:rsidP="00666FF9">
            <w:pPr>
              <w:pStyle w:val="StandardWeb"/>
              <w:rPr>
                <w:color w:val="000000"/>
                <w:sz w:val="20"/>
                <w:szCs w:val="20"/>
                <w:lang w:val="en-GB"/>
              </w:rPr>
            </w:pPr>
            <w:r w:rsidRPr="00075CD9">
              <w:rPr>
                <w:color w:val="000000"/>
                <w:sz w:val="20"/>
                <w:szCs w:val="20"/>
                <w:lang w:val="en-GB"/>
              </w:rPr>
              <w:t>S: May 2011</w:t>
            </w:r>
          </w:p>
          <w:p w:rsidR="00855A19" w:rsidRPr="00075CD9" w:rsidRDefault="00855A19" w:rsidP="00D530E0">
            <w:pPr>
              <w:pStyle w:val="StandardWeb"/>
              <w:rPr>
                <w:color w:val="000000"/>
                <w:sz w:val="20"/>
                <w:szCs w:val="20"/>
                <w:lang w:val="en-GB"/>
              </w:rPr>
            </w:pPr>
            <w:r w:rsidRPr="00075CD9">
              <w:rPr>
                <w:color w:val="000000"/>
                <w:sz w:val="20"/>
                <w:szCs w:val="20"/>
                <w:lang w:val="en-GB"/>
              </w:rPr>
              <w:t>T: May 2013</w:t>
            </w:r>
          </w:p>
        </w:tc>
        <w:tc>
          <w:tcPr>
            <w:tcW w:w="1094" w:type="dxa"/>
          </w:tcPr>
          <w:p w:rsidR="00855A19" w:rsidRPr="00075CD9" w:rsidRDefault="00855A19">
            <w:pPr>
              <w:rPr>
                <w:sz w:val="20"/>
                <w:szCs w:val="20"/>
                <w:lang w:val="en-GB"/>
              </w:rPr>
            </w:pPr>
            <w:r w:rsidRPr="00075CD9">
              <w:rPr>
                <w:sz w:val="20"/>
                <w:szCs w:val="20"/>
                <w:lang w:val="en-GB"/>
              </w:rPr>
              <w:t>SE7</w:t>
            </w:r>
          </w:p>
        </w:tc>
        <w:tc>
          <w:tcPr>
            <w:tcW w:w="3046" w:type="dxa"/>
          </w:tcPr>
          <w:p w:rsidR="00855A19" w:rsidRPr="00075CD9" w:rsidRDefault="00855A19" w:rsidP="00091F8C">
            <w:pPr>
              <w:jc w:val="both"/>
              <w:rPr>
                <w:sz w:val="20"/>
                <w:szCs w:val="20"/>
                <w:lang w:val="en-GB"/>
              </w:rPr>
            </w:pPr>
            <w:r>
              <w:rPr>
                <w:sz w:val="20"/>
                <w:szCs w:val="20"/>
                <w:lang w:val="en-GB"/>
              </w:rPr>
              <w:t>Draft ECC Report 191 for PC. Since the report did not fully consider PMSE as victim, SE7 was tasked to make further studies on the applicability of PMSE in this band.</w:t>
            </w:r>
          </w:p>
        </w:tc>
        <w:tc>
          <w:tcPr>
            <w:tcW w:w="1689" w:type="dxa"/>
          </w:tcPr>
          <w:p w:rsidR="00855A19" w:rsidRPr="00075CD9" w:rsidRDefault="00855A19">
            <w:pPr>
              <w:jc w:val="center"/>
              <w:rPr>
                <w:sz w:val="20"/>
                <w:szCs w:val="20"/>
                <w:lang w:val="en-GB"/>
              </w:rPr>
            </w:pPr>
          </w:p>
        </w:tc>
        <w:tc>
          <w:tcPr>
            <w:tcW w:w="1689" w:type="dxa"/>
          </w:tcPr>
          <w:p w:rsidR="00855A19" w:rsidRPr="00075CD9" w:rsidRDefault="00855A19">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4A39E5">
            <w:pPr>
              <w:rPr>
                <w:sz w:val="20"/>
                <w:szCs w:val="20"/>
                <w:lang w:val="en-GB"/>
              </w:rPr>
            </w:pPr>
            <w:r w:rsidRPr="00075CD9">
              <w:rPr>
                <w:sz w:val="20"/>
                <w:szCs w:val="20"/>
              </w:rPr>
              <w:t>SE7_16</w:t>
            </w:r>
          </w:p>
        </w:tc>
        <w:tc>
          <w:tcPr>
            <w:tcW w:w="2701" w:type="dxa"/>
          </w:tcPr>
          <w:p w:rsidR="00855A19" w:rsidRPr="00075CD9" w:rsidRDefault="00855A19" w:rsidP="004A39E5">
            <w:pPr>
              <w:rPr>
                <w:sz w:val="20"/>
                <w:szCs w:val="20"/>
                <w:lang w:val="en-GB"/>
              </w:rPr>
            </w:pPr>
            <w:r w:rsidRPr="00075CD9">
              <w:rPr>
                <w:sz w:val="20"/>
                <w:szCs w:val="20"/>
                <w:lang w:val="en-GB"/>
              </w:rPr>
              <w:t>To develop technical studies in view of deploying MFCN systems on board aircraft in the following bands:</w:t>
            </w:r>
          </w:p>
          <w:p w:rsidR="00855A19" w:rsidRPr="00075CD9" w:rsidRDefault="00855A19" w:rsidP="004A39E5">
            <w:pPr>
              <w:pStyle w:val="Listenabsatz"/>
              <w:numPr>
                <w:ilvl w:val="0"/>
                <w:numId w:val="30"/>
              </w:numPr>
            </w:pPr>
            <w:r w:rsidRPr="00075CD9">
              <w:t>1920-1980/2110-2170 MHz,</w:t>
            </w:r>
          </w:p>
          <w:p w:rsidR="00855A19" w:rsidRPr="00075CD9" w:rsidRDefault="00855A19" w:rsidP="004A39E5">
            <w:pPr>
              <w:pStyle w:val="Listenabsatz"/>
              <w:numPr>
                <w:ilvl w:val="0"/>
                <w:numId w:val="30"/>
              </w:numPr>
            </w:pPr>
            <w:bookmarkStart w:id="1" w:name="OLE_LINK1"/>
            <w:r w:rsidRPr="00075CD9">
              <w:t>2500-2570/2620-2690 MHz</w:t>
            </w:r>
            <w:bookmarkEnd w:id="1"/>
            <w:r w:rsidRPr="00075CD9">
              <w:t>;</w:t>
            </w:r>
          </w:p>
          <w:p w:rsidR="00855A19" w:rsidRPr="00075CD9" w:rsidRDefault="00855A19" w:rsidP="004A39E5">
            <w:pPr>
              <w:rPr>
                <w:color w:val="000000"/>
                <w:sz w:val="20"/>
                <w:szCs w:val="20"/>
                <w:lang w:val="en-US"/>
              </w:rPr>
            </w:pPr>
            <w:r w:rsidRPr="00075CD9">
              <w:rPr>
                <w:sz w:val="20"/>
                <w:szCs w:val="20"/>
                <w:lang w:val="en-GB"/>
              </w:rPr>
              <w:t>And to develop technical condition to protect ground-based MFCN systems operating in at least the bands already covered by the NCU and 791-821/832-862 MHz taking into account the various technologies used for ground-based systems.</w:t>
            </w:r>
          </w:p>
        </w:tc>
        <w:tc>
          <w:tcPr>
            <w:tcW w:w="3431" w:type="dxa"/>
          </w:tcPr>
          <w:p w:rsidR="00855A19" w:rsidRPr="00075CD9" w:rsidRDefault="00855A19" w:rsidP="004A39E5">
            <w:pPr>
              <w:pStyle w:val="StandardWeb"/>
              <w:rPr>
                <w:sz w:val="20"/>
                <w:szCs w:val="20"/>
                <w:lang w:val="en-GB"/>
              </w:rPr>
            </w:pPr>
            <w:r w:rsidRPr="00075CD9">
              <w:rPr>
                <w:sz w:val="20"/>
                <w:szCs w:val="20"/>
                <w:lang w:val="en-GB"/>
              </w:rPr>
              <w:t>Possible new ECC Report or revision of ECC Report 093.</w:t>
            </w:r>
          </w:p>
        </w:tc>
        <w:tc>
          <w:tcPr>
            <w:tcW w:w="1389" w:type="dxa"/>
          </w:tcPr>
          <w:p w:rsidR="00855A19" w:rsidRPr="00075CD9" w:rsidRDefault="00855A19" w:rsidP="004A39E5">
            <w:pPr>
              <w:pStyle w:val="StandardWeb"/>
              <w:rPr>
                <w:color w:val="000000"/>
                <w:sz w:val="20"/>
                <w:szCs w:val="20"/>
                <w:lang w:val="en-GB"/>
              </w:rPr>
            </w:pPr>
            <w:r w:rsidRPr="00075CD9">
              <w:rPr>
                <w:sz w:val="20"/>
                <w:szCs w:val="20"/>
              </w:rPr>
              <w:t>S: Oct 2011 T: Feb 2013</w:t>
            </w:r>
          </w:p>
        </w:tc>
        <w:tc>
          <w:tcPr>
            <w:tcW w:w="1094" w:type="dxa"/>
          </w:tcPr>
          <w:p w:rsidR="00855A19" w:rsidRPr="00075CD9" w:rsidRDefault="00855A19" w:rsidP="004A39E5">
            <w:pPr>
              <w:rPr>
                <w:sz w:val="20"/>
                <w:szCs w:val="20"/>
                <w:lang w:val="en-GB"/>
              </w:rPr>
            </w:pPr>
            <w:r w:rsidRPr="00075CD9">
              <w:rPr>
                <w:sz w:val="20"/>
                <w:szCs w:val="20"/>
                <w:lang w:val="en-US"/>
              </w:rPr>
              <w:t>SE7</w:t>
            </w:r>
          </w:p>
        </w:tc>
        <w:tc>
          <w:tcPr>
            <w:tcW w:w="3046" w:type="dxa"/>
          </w:tcPr>
          <w:p w:rsidR="00855A19" w:rsidRPr="00075CD9" w:rsidRDefault="00855A19" w:rsidP="004A39E5">
            <w:pPr>
              <w:jc w:val="both"/>
              <w:rPr>
                <w:sz w:val="20"/>
                <w:szCs w:val="20"/>
                <w:lang w:val="en-GB"/>
              </w:rPr>
            </w:pPr>
            <w:r w:rsidRPr="00075CD9">
              <w:rPr>
                <w:sz w:val="20"/>
                <w:szCs w:val="20"/>
                <w:lang w:val="en-GB"/>
              </w:rPr>
              <w:t>ECC Report 187</w:t>
            </w:r>
            <w:r>
              <w:rPr>
                <w:sz w:val="20"/>
                <w:szCs w:val="20"/>
                <w:lang w:val="en-GB"/>
              </w:rPr>
              <w:t xml:space="preserve"> Published. WI is closed</w:t>
            </w:r>
          </w:p>
        </w:tc>
        <w:tc>
          <w:tcPr>
            <w:tcW w:w="1689" w:type="dxa"/>
          </w:tcPr>
          <w:p w:rsidR="00855A19" w:rsidRPr="00075CD9" w:rsidRDefault="00855A19" w:rsidP="004A39E5">
            <w:pPr>
              <w:jc w:val="center"/>
              <w:rPr>
                <w:sz w:val="20"/>
                <w:szCs w:val="20"/>
                <w:lang w:val="en-GB"/>
              </w:rPr>
            </w:pPr>
            <w:r w:rsidRPr="00075CD9">
              <w:rPr>
                <w:sz w:val="20"/>
                <w:szCs w:val="20"/>
                <w:lang w:val="en-GB"/>
              </w:rPr>
              <w:t>WGFM</w:t>
            </w:r>
          </w:p>
        </w:tc>
        <w:tc>
          <w:tcPr>
            <w:tcW w:w="1689" w:type="dxa"/>
          </w:tcPr>
          <w:p w:rsidR="00855A19" w:rsidRPr="00075CD9" w:rsidRDefault="00855A19" w:rsidP="004A39E5">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3B100D">
            <w:pPr>
              <w:rPr>
                <w:sz w:val="20"/>
                <w:szCs w:val="20"/>
              </w:rPr>
            </w:pPr>
            <w:r w:rsidRPr="00075CD9">
              <w:rPr>
                <w:sz w:val="20"/>
                <w:szCs w:val="20"/>
              </w:rPr>
              <w:t>SE7_17</w:t>
            </w:r>
          </w:p>
        </w:tc>
        <w:tc>
          <w:tcPr>
            <w:tcW w:w="2701" w:type="dxa"/>
          </w:tcPr>
          <w:p w:rsidR="00855A19" w:rsidRPr="00075CD9" w:rsidRDefault="00855A19" w:rsidP="00C461B6">
            <w:pPr>
              <w:rPr>
                <w:sz w:val="20"/>
                <w:szCs w:val="20"/>
                <w:lang w:val="en-US"/>
              </w:rPr>
            </w:pPr>
            <w:r w:rsidRPr="00075CD9">
              <w:rPr>
                <w:sz w:val="20"/>
                <w:szCs w:val="20"/>
                <w:lang w:val="en-US"/>
              </w:rPr>
              <w:t xml:space="preserve">Compatibility and sharing studies in support of the activities on the harmonization </w:t>
            </w:r>
            <w:r w:rsidRPr="00075CD9">
              <w:rPr>
                <w:sz w:val="20"/>
                <w:szCs w:val="20"/>
                <w:lang w:val="en-US"/>
              </w:rPr>
              <w:lastRenderedPageBreak/>
              <w:t xml:space="preserve">of the 1452-1492 MHz band.  </w:t>
            </w:r>
          </w:p>
          <w:p w:rsidR="00855A19" w:rsidRPr="00075CD9" w:rsidRDefault="00855A19" w:rsidP="00C461B6">
            <w:pPr>
              <w:pStyle w:val="ECCParagraph"/>
              <w:rPr>
                <w:szCs w:val="20"/>
                <w:lang w:val="en-US"/>
              </w:rPr>
            </w:pPr>
          </w:p>
        </w:tc>
        <w:tc>
          <w:tcPr>
            <w:tcW w:w="3431" w:type="dxa"/>
          </w:tcPr>
          <w:p w:rsidR="00855A19" w:rsidRPr="00075CD9" w:rsidRDefault="00855A19" w:rsidP="00C461B6">
            <w:pPr>
              <w:rPr>
                <w:sz w:val="20"/>
                <w:szCs w:val="20"/>
                <w:lang w:val="en-US"/>
              </w:rPr>
            </w:pPr>
            <w:r w:rsidRPr="00075CD9">
              <w:rPr>
                <w:sz w:val="20"/>
                <w:szCs w:val="20"/>
                <w:lang w:val="en-US"/>
              </w:rPr>
              <w:lastRenderedPageBreak/>
              <w:t>Draft ECC Report</w:t>
            </w:r>
          </w:p>
          <w:p w:rsidR="00855A19" w:rsidRPr="00075CD9" w:rsidRDefault="00855A19" w:rsidP="00C461B6">
            <w:pPr>
              <w:rPr>
                <w:sz w:val="20"/>
                <w:szCs w:val="20"/>
                <w:lang w:val="en-US"/>
              </w:rPr>
            </w:pPr>
          </w:p>
          <w:p w:rsidR="00855A19" w:rsidRPr="00075CD9" w:rsidRDefault="00855A19" w:rsidP="00C461B6">
            <w:pPr>
              <w:rPr>
                <w:sz w:val="20"/>
                <w:szCs w:val="20"/>
                <w:lang w:val="en-GB"/>
              </w:rPr>
            </w:pPr>
            <w:r w:rsidRPr="00075CD9">
              <w:rPr>
                <w:sz w:val="20"/>
                <w:szCs w:val="20"/>
                <w:lang w:val="en-GB"/>
              </w:rPr>
              <w:t xml:space="preserve">An expected output would consist in </w:t>
            </w:r>
            <w:r w:rsidRPr="00075CD9">
              <w:rPr>
                <w:sz w:val="20"/>
                <w:szCs w:val="20"/>
                <w:lang w:val="en-GB"/>
              </w:rPr>
              <w:lastRenderedPageBreak/>
              <w:t>specifying</w:t>
            </w:r>
            <w:r>
              <w:rPr>
                <w:sz w:val="20"/>
                <w:szCs w:val="20"/>
                <w:lang w:val="en-GB"/>
              </w:rPr>
              <w:t xml:space="preserve"> OOB emission limits</w:t>
            </w:r>
            <w:r w:rsidRPr="00075CD9">
              <w:rPr>
                <w:sz w:val="20"/>
                <w:szCs w:val="20"/>
                <w:lang w:val="en-GB"/>
              </w:rPr>
              <w:t xml:space="preserve"> </w:t>
            </w:r>
            <w:r>
              <w:rPr>
                <w:sz w:val="20"/>
                <w:szCs w:val="20"/>
                <w:lang w:val="en-GB"/>
              </w:rPr>
              <w:t xml:space="preserve">for MFCN </w:t>
            </w:r>
            <w:proofErr w:type="gramStart"/>
            <w:r>
              <w:rPr>
                <w:sz w:val="20"/>
                <w:szCs w:val="20"/>
                <w:lang w:val="en-GB"/>
              </w:rPr>
              <w:t>SDL(</w:t>
            </w:r>
            <w:proofErr w:type="gramEnd"/>
            <w:r>
              <w:rPr>
                <w:sz w:val="20"/>
                <w:szCs w:val="20"/>
                <w:lang w:val="en-GB"/>
              </w:rPr>
              <w:t>supplementary downlink)</w:t>
            </w:r>
            <w:r w:rsidRPr="00075CD9">
              <w:rPr>
                <w:sz w:val="20"/>
                <w:szCs w:val="20"/>
                <w:lang w:val="en-GB"/>
              </w:rPr>
              <w:t xml:space="preserve"> to be considered in the 1452-1492 MHz band</w:t>
            </w:r>
            <w:r>
              <w:rPr>
                <w:sz w:val="20"/>
                <w:szCs w:val="20"/>
                <w:lang w:val="en-GB"/>
              </w:rPr>
              <w:t xml:space="preserve"> to protect services in adjacent band</w:t>
            </w:r>
            <w:r w:rsidRPr="00075CD9">
              <w:rPr>
                <w:sz w:val="20"/>
                <w:szCs w:val="20"/>
                <w:lang w:val="en-GB"/>
              </w:rPr>
              <w:t>.</w:t>
            </w:r>
          </w:p>
        </w:tc>
        <w:tc>
          <w:tcPr>
            <w:tcW w:w="1389" w:type="dxa"/>
          </w:tcPr>
          <w:p w:rsidR="00855A19" w:rsidRPr="00075CD9" w:rsidRDefault="00855A19" w:rsidP="00C461B6">
            <w:pPr>
              <w:rPr>
                <w:sz w:val="20"/>
                <w:szCs w:val="20"/>
                <w:lang w:val="en-GB"/>
              </w:rPr>
            </w:pPr>
            <w:r w:rsidRPr="00075CD9">
              <w:rPr>
                <w:sz w:val="20"/>
                <w:szCs w:val="20"/>
                <w:lang w:val="en-GB"/>
              </w:rPr>
              <w:lastRenderedPageBreak/>
              <w:t>S: Sep 2012</w:t>
            </w:r>
          </w:p>
          <w:p w:rsidR="00855A19" w:rsidRPr="00075CD9" w:rsidRDefault="00855A19" w:rsidP="00D530E0">
            <w:pPr>
              <w:rPr>
                <w:sz w:val="20"/>
                <w:szCs w:val="20"/>
                <w:lang w:val="en-GB"/>
              </w:rPr>
            </w:pPr>
            <w:r w:rsidRPr="00075CD9">
              <w:rPr>
                <w:sz w:val="20"/>
                <w:szCs w:val="20"/>
                <w:lang w:val="en-GB"/>
              </w:rPr>
              <w:t>T: Sep 2013</w:t>
            </w:r>
          </w:p>
        </w:tc>
        <w:tc>
          <w:tcPr>
            <w:tcW w:w="1094" w:type="dxa"/>
          </w:tcPr>
          <w:p w:rsidR="00855A19" w:rsidRPr="00075CD9" w:rsidRDefault="00855A19" w:rsidP="00C461B6">
            <w:pPr>
              <w:rPr>
                <w:sz w:val="20"/>
                <w:szCs w:val="20"/>
              </w:rPr>
            </w:pPr>
            <w:r w:rsidRPr="00075CD9">
              <w:rPr>
                <w:sz w:val="20"/>
                <w:szCs w:val="20"/>
              </w:rPr>
              <w:t>SE7</w:t>
            </w:r>
          </w:p>
        </w:tc>
        <w:tc>
          <w:tcPr>
            <w:tcW w:w="3046" w:type="dxa"/>
          </w:tcPr>
          <w:p w:rsidR="00855A19" w:rsidRPr="00C82F9D" w:rsidRDefault="00855A19" w:rsidP="00640E65">
            <w:pPr>
              <w:autoSpaceDE w:val="0"/>
              <w:autoSpaceDN w:val="0"/>
              <w:adjustRightInd w:val="0"/>
              <w:rPr>
                <w:sz w:val="20"/>
                <w:szCs w:val="20"/>
                <w:lang w:val="en-GB"/>
              </w:rPr>
            </w:pPr>
            <w:r>
              <w:rPr>
                <w:sz w:val="20"/>
                <w:szCs w:val="20"/>
                <w:lang w:val="en-GB"/>
              </w:rPr>
              <w:t>C</w:t>
            </w:r>
            <w:r w:rsidRPr="00C82F9D">
              <w:rPr>
                <w:sz w:val="20"/>
                <w:szCs w:val="20"/>
                <w:lang w:val="en-GB"/>
              </w:rPr>
              <w:t xml:space="preserve">arry out adjacent channel compatibility studies between MFCN SDL and other terrestrial </w:t>
            </w:r>
            <w:r w:rsidRPr="00C82F9D">
              <w:rPr>
                <w:sz w:val="20"/>
                <w:szCs w:val="20"/>
                <w:lang w:val="en-GB"/>
              </w:rPr>
              <w:lastRenderedPageBreak/>
              <w:t>applications in the band, to take into account national circumstances</w:t>
            </w:r>
            <w:r>
              <w:rPr>
                <w:sz w:val="20"/>
                <w:szCs w:val="20"/>
                <w:lang w:val="en-GB"/>
              </w:rPr>
              <w:t xml:space="preserve"> and address in band cross border coordination between MFCN SDL and other terrestrial applications.</w:t>
            </w:r>
          </w:p>
          <w:p w:rsidR="00855A19" w:rsidRPr="00C82F9D" w:rsidRDefault="00855A19" w:rsidP="00E832B7">
            <w:pPr>
              <w:rPr>
                <w:sz w:val="20"/>
                <w:szCs w:val="20"/>
                <w:lang w:val="en-GB"/>
              </w:rPr>
            </w:pPr>
          </w:p>
          <w:p w:rsidR="00855A19" w:rsidRPr="00C82F9D" w:rsidRDefault="00855A19" w:rsidP="000318E3">
            <w:pPr>
              <w:rPr>
                <w:sz w:val="20"/>
                <w:szCs w:val="20"/>
                <w:lang w:val="en-GB"/>
              </w:rPr>
            </w:pPr>
            <w:r w:rsidRPr="00C82F9D">
              <w:rPr>
                <w:sz w:val="20"/>
                <w:szCs w:val="20"/>
                <w:lang w:val="en-GB"/>
              </w:rPr>
              <w:t>Cross-border coordination (mobile to mobile) in the frequency band 1452-1492 MHz will be handled in ECC PT1 as part of their regular activities on mobile cross-border coordination.</w:t>
            </w:r>
          </w:p>
          <w:p w:rsidR="00855A19" w:rsidRPr="00C82F9D" w:rsidRDefault="00855A19" w:rsidP="000318E3">
            <w:pPr>
              <w:rPr>
                <w:sz w:val="20"/>
                <w:szCs w:val="20"/>
                <w:lang w:val="en-GB"/>
              </w:rPr>
            </w:pPr>
          </w:p>
        </w:tc>
        <w:tc>
          <w:tcPr>
            <w:tcW w:w="1689" w:type="dxa"/>
          </w:tcPr>
          <w:p w:rsidR="00855A19" w:rsidRPr="00075CD9" w:rsidRDefault="00855A19" w:rsidP="00C461B6">
            <w:pPr>
              <w:rPr>
                <w:sz w:val="20"/>
                <w:szCs w:val="20"/>
                <w:lang w:val="en-GB"/>
              </w:rPr>
            </w:pPr>
            <w:r w:rsidRPr="009A7A75">
              <w:rPr>
                <w:sz w:val="20"/>
                <w:szCs w:val="20"/>
                <w:lang w:val="en-GB"/>
              </w:rPr>
              <w:lastRenderedPageBreak/>
              <w:t xml:space="preserve">WGSE (for supporting administrations, </w:t>
            </w:r>
            <w:r w:rsidRPr="009A7A75">
              <w:rPr>
                <w:sz w:val="20"/>
                <w:szCs w:val="20"/>
                <w:lang w:val="en-GB"/>
              </w:rPr>
              <w:lastRenderedPageBreak/>
              <w:t>see SE(12)079, section 5.2.2)</w:t>
            </w:r>
          </w:p>
          <w:p w:rsidR="00855A19" w:rsidRPr="00075CD9" w:rsidRDefault="00855A19" w:rsidP="009B121D">
            <w:pPr>
              <w:rPr>
                <w:sz w:val="20"/>
                <w:szCs w:val="20"/>
                <w:lang w:val="en-GB"/>
              </w:rPr>
            </w:pPr>
          </w:p>
        </w:tc>
        <w:tc>
          <w:tcPr>
            <w:tcW w:w="1689" w:type="dxa"/>
          </w:tcPr>
          <w:p w:rsidR="00855A19" w:rsidRPr="00075CD9" w:rsidRDefault="00855A19" w:rsidP="00C461B6">
            <w:pPr>
              <w:jc w:val="center"/>
              <w:rPr>
                <w:sz w:val="20"/>
                <w:szCs w:val="20"/>
                <w:lang w:val="en-GB"/>
              </w:rPr>
            </w:pPr>
            <w:r w:rsidRPr="00075CD9">
              <w:rPr>
                <w:sz w:val="20"/>
                <w:szCs w:val="20"/>
                <w:lang w:val="en-GB"/>
              </w:rPr>
              <w:lastRenderedPageBreak/>
              <w:t>Y</w:t>
            </w:r>
          </w:p>
        </w:tc>
      </w:tr>
      <w:tr w:rsidR="00855A19" w:rsidRPr="00075CD9" w:rsidTr="008D57AD">
        <w:tc>
          <w:tcPr>
            <w:tcW w:w="966" w:type="dxa"/>
          </w:tcPr>
          <w:p w:rsidR="00855A19" w:rsidRPr="00C82F9D" w:rsidRDefault="00855A19" w:rsidP="003B100D">
            <w:pPr>
              <w:rPr>
                <w:sz w:val="20"/>
                <w:szCs w:val="20"/>
                <w:lang w:val="en-US"/>
              </w:rPr>
            </w:pPr>
            <w:r w:rsidRPr="00C82F9D">
              <w:rPr>
                <w:sz w:val="20"/>
                <w:szCs w:val="20"/>
                <w:lang w:val="en-US"/>
              </w:rPr>
              <w:lastRenderedPageBreak/>
              <w:t>SE7_18</w:t>
            </w:r>
          </w:p>
        </w:tc>
        <w:tc>
          <w:tcPr>
            <w:tcW w:w="2701" w:type="dxa"/>
          </w:tcPr>
          <w:p w:rsidR="00855A19" w:rsidRPr="00075CD9" w:rsidRDefault="00855A19" w:rsidP="00C461B6">
            <w:pPr>
              <w:rPr>
                <w:sz w:val="20"/>
                <w:szCs w:val="20"/>
                <w:lang w:val="en-US"/>
              </w:rPr>
            </w:pPr>
            <w:r>
              <w:rPr>
                <w:sz w:val="20"/>
                <w:szCs w:val="20"/>
                <w:lang w:val="en-US"/>
              </w:rPr>
              <w:t xml:space="preserve">Compatibility and sharing studies in the </w:t>
            </w:r>
            <w:r w:rsidRPr="00C82F9D">
              <w:rPr>
                <w:sz w:val="20"/>
                <w:szCs w:val="20"/>
                <w:lang w:val="en-US"/>
              </w:rPr>
              <w:t>1900-1920 MHz and 2010-2025 MHz</w:t>
            </w:r>
            <w:r>
              <w:rPr>
                <w:sz w:val="20"/>
                <w:szCs w:val="20"/>
                <w:lang w:val="en-US"/>
              </w:rPr>
              <w:t xml:space="preserve"> band for </w:t>
            </w:r>
            <w:r w:rsidRPr="00C82F9D">
              <w:rPr>
                <w:sz w:val="20"/>
                <w:szCs w:val="20"/>
                <w:lang w:val="en-US"/>
              </w:rPr>
              <w:t>PMSE, DECT</w:t>
            </w:r>
            <w:r>
              <w:rPr>
                <w:sz w:val="20"/>
                <w:szCs w:val="20"/>
                <w:lang w:val="en-US"/>
              </w:rPr>
              <w:t xml:space="preserve"> (extension)</w:t>
            </w:r>
            <w:r w:rsidRPr="00C82F9D">
              <w:rPr>
                <w:sz w:val="20"/>
                <w:szCs w:val="20"/>
                <w:lang w:val="en-US"/>
              </w:rPr>
              <w:t>, PPDR</w:t>
            </w:r>
            <w:r>
              <w:rPr>
                <w:sz w:val="20"/>
                <w:szCs w:val="20"/>
                <w:lang w:val="en-US"/>
              </w:rPr>
              <w:t xml:space="preserve"> and sharing with Broadband DA2GC.</w:t>
            </w:r>
          </w:p>
        </w:tc>
        <w:tc>
          <w:tcPr>
            <w:tcW w:w="3431" w:type="dxa"/>
          </w:tcPr>
          <w:p w:rsidR="00855A19" w:rsidRPr="00075CD9" w:rsidRDefault="00855A19" w:rsidP="00C461B6">
            <w:pPr>
              <w:rPr>
                <w:sz w:val="20"/>
                <w:szCs w:val="20"/>
                <w:lang w:val="en-US"/>
              </w:rPr>
            </w:pPr>
            <w:r w:rsidRPr="00C82F9D">
              <w:rPr>
                <w:sz w:val="20"/>
                <w:szCs w:val="20"/>
                <w:lang w:val="en-US"/>
              </w:rPr>
              <w:t xml:space="preserve">Draft ECC Report will consider the compatibility of PMSE, DECT (extension), </w:t>
            </w:r>
            <w:proofErr w:type="gramStart"/>
            <w:r w:rsidRPr="00C82F9D">
              <w:rPr>
                <w:sz w:val="20"/>
                <w:szCs w:val="20"/>
                <w:lang w:val="en-US"/>
              </w:rPr>
              <w:t>PPDR</w:t>
            </w:r>
            <w:proofErr w:type="gramEnd"/>
            <w:r w:rsidRPr="00C82F9D">
              <w:rPr>
                <w:sz w:val="20"/>
                <w:szCs w:val="20"/>
                <w:lang w:val="en-US"/>
              </w:rPr>
              <w:t xml:space="preserve"> with existing systems in adjacent bands and in-band sharing between PMSE, DECT (extension), PPDR and additionally Broadband DA2GC.</w:t>
            </w:r>
          </w:p>
        </w:tc>
        <w:tc>
          <w:tcPr>
            <w:tcW w:w="1389" w:type="dxa"/>
          </w:tcPr>
          <w:p w:rsidR="00855A19" w:rsidRPr="00C82F9D" w:rsidRDefault="00855A19" w:rsidP="00CA1F0A">
            <w:pPr>
              <w:rPr>
                <w:sz w:val="20"/>
                <w:szCs w:val="20"/>
                <w:lang w:val="en-US"/>
              </w:rPr>
            </w:pPr>
            <w:r w:rsidRPr="00C82F9D">
              <w:rPr>
                <w:sz w:val="20"/>
                <w:szCs w:val="20"/>
                <w:lang w:val="en-US"/>
              </w:rPr>
              <w:t>S: Jan 2013</w:t>
            </w:r>
          </w:p>
          <w:p w:rsidR="00855A19" w:rsidRPr="00C82F9D" w:rsidRDefault="00855A19" w:rsidP="00CA1F0A">
            <w:pPr>
              <w:rPr>
                <w:sz w:val="20"/>
                <w:szCs w:val="20"/>
                <w:lang w:val="en-US"/>
              </w:rPr>
            </w:pPr>
            <w:r w:rsidRPr="00C82F9D">
              <w:rPr>
                <w:sz w:val="20"/>
                <w:szCs w:val="20"/>
                <w:lang w:val="en-US"/>
              </w:rPr>
              <w:t>T: Jan 2014</w:t>
            </w:r>
          </w:p>
        </w:tc>
        <w:tc>
          <w:tcPr>
            <w:tcW w:w="1094" w:type="dxa"/>
          </w:tcPr>
          <w:p w:rsidR="00855A19" w:rsidRPr="00C82F9D" w:rsidRDefault="00855A19" w:rsidP="00C461B6">
            <w:pPr>
              <w:rPr>
                <w:sz w:val="20"/>
                <w:szCs w:val="20"/>
                <w:lang w:val="en-US"/>
              </w:rPr>
            </w:pPr>
            <w:r w:rsidRPr="00C82F9D">
              <w:rPr>
                <w:sz w:val="20"/>
                <w:szCs w:val="20"/>
                <w:lang w:val="en-US"/>
              </w:rPr>
              <w:t>SE7</w:t>
            </w:r>
          </w:p>
        </w:tc>
        <w:tc>
          <w:tcPr>
            <w:tcW w:w="3046" w:type="dxa"/>
          </w:tcPr>
          <w:p w:rsidR="00855A19" w:rsidRDefault="00855A19" w:rsidP="00E832B7">
            <w:pPr>
              <w:rPr>
                <w:sz w:val="20"/>
                <w:szCs w:val="20"/>
                <w:lang w:val="en-US"/>
              </w:rPr>
            </w:pPr>
            <w:r w:rsidRPr="00C82F9D">
              <w:rPr>
                <w:sz w:val="20"/>
                <w:szCs w:val="20"/>
                <w:lang w:val="en-US"/>
              </w:rPr>
              <w:t xml:space="preserve">The technical parameters provided by </w:t>
            </w:r>
            <w:r>
              <w:rPr>
                <w:sz w:val="20"/>
                <w:szCs w:val="20"/>
                <w:lang w:val="en-US"/>
              </w:rPr>
              <w:t xml:space="preserve">(DA2GC) </w:t>
            </w:r>
            <w:r w:rsidRPr="00C82F9D">
              <w:rPr>
                <w:sz w:val="20"/>
                <w:szCs w:val="20"/>
                <w:lang w:val="en-US"/>
              </w:rPr>
              <w:t>FM48/</w:t>
            </w:r>
            <w:r>
              <w:rPr>
                <w:sz w:val="20"/>
                <w:szCs w:val="20"/>
                <w:lang w:val="en-US"/>
              </w:rPr>
              <w:t xml:space="preserve"> (PMSE) </w:t>
            </w:r>
            <w:r w:rsidRPr="00C82F9D">
              <w:rPr>
                <w:sz w:val="20"/>
                <w:szCs w:val="20"/>
                <w:lang w:val="en-US"/>
              </w:rPr>
              <w:t>FM51 will be taken onboard by SE7</w:t>
            </w:r>
            <w:r>
              <w:rPr>
                <w:sz w:val="20"/>
                <w:szCs w:val="20"/>
                <w:lang w:val="en-US"/>
              </w:rPr>
              <w:t>.</w:t>
            </w:r>
          </w:p>
          <w:p w:rsidR="00855A19" w:rsidRPr="00C82F9D" w:rsidRDefault="00855A19" w:rsidP="00E832B7">
            <w:pPr>
              <w:rPr>
                <w:sz w:val="20"/>
                <w:szCs w:val="20"/>
                <w:lang w:val="en-US"/>
              </w:rPr>
            </w:pPr>
            <w:r>
              <w:rPr>
                <w:sz w:val="20"/>
                <w:szCs w:val="20"/>
                <w:lang w:val="en-US"/>
              </w:rPr>
              <w:t>SE7 and SE44 to work in close cooperation</w:t>
            </w:r>
          </w:p>
        </w:tc>
        <w:tc>
          <w:tcPr>
            <w:tcW w:w="1689" w:type="dxa"/>
          </w:tcPr>
          <w:p w:rsidR="00855A19" w:rsidRPr="009A7A75" w:rsidRDefault="00855A19" w:rsidP="00C461B6">
            <w:pPr>
              <w:rPr>
                <w:sz w:val="20"/>
                <w:szCs w:val="20"/>
                <w:lang w:val="en-GB"/>
              </w:rPr>
            </w:pPr>
            <w:r>
              <w:rPr>
                <w:sz w:val="20"/>
                <w:szCs w:val="20"/>
                <w:lang w:val="en-GB"/>
              </w:rPr>
              <w:t>ECC and WGFM</w:t>
            </w:r>
          </w:p>
        </w:tc>
        <w:tc>
          <w:tcPr>
            <w:tcW w:w="1689" w:type="dxa"/>
          </w:tcPr>
          <w:p w:rsidR="00855A19" w:rsidRPr="00075CD9" w:rsidRDefault="00855A19" w:rsidP="00C461B6">
            <w:pPr>
              <w:jc w:val="center"/>
              <w:rPr>
                <w:sz w:val="20"/>
                <w:szCs w:val="20"/>
                <w:lang w:val="en-GB"/>
              </w:rPr>
            </w:pPr>
            <w:r>
              <w:rPr>
                <w:sz w:val="20"/>
                <w:szCs w:val="20"/>
                <w:lang w:val="en-GB"/>
              </w:rPr>
              <w:t>Y</w:t>
            </w:r>
          </w:p>
        </w:tc>
      </w:tr>
      <w:tr w:rsidR="00855A19" w:rsidRPr="00075CD9" w:rsidTr="008D57AD">
        <w:tc>
          <w:tcPr>
            <w:tcW w:w="966" w:type="dxa"/>
          </w:tcPr>
          <w:p w:rsidR="00855A19" w:rsidRPr="00075CD9" w:rsidRDefault="00855A19">
            <w:pPr>
              <w:rPr>
                <w:sz w:val="20"/>
                <w:szCs w:val="20"/>
                <w:lang w:val="en-GB"/>
              </w:rPr>
            </w:pPr>
            <w:r w:rsidRPr="00075CD9">
              <w:rPr>
                <w:sz w:val="20"/>
                <w:szCs w:val="20"/>
                <w:lang w:val="en-GB"/>
              </w:rPr>
              <w:t>SE19_24</w:t>
            </w:r>
          </w:p>
        </w:tc>
        <w:tc>
          <w:tcPr>
            <w:tcW w:w="2701" w:type="dxa"/>
          </w:tcPr>
          <w:p w:rsidR="00855A19" w:rsidRPr="00075CD9" w:rsidRDefault="00855A19">
            <w:pPr>
              <w:rPr>
                <w:sz w:val="20"/>
                <w:szCs w:val="20"/>
                <w:lang w:val="en-GB"/>
              </w:rPr>
            </w:pPr>
            <w:r w:rsidRPr="00075CD9">
              <w:rPr>
                <w:sz w:val="20"/>
                <w:szCs w:val="20"/>
                <w:lang w:val="en-GB"/>
              </w:rPr>
              <w:t>Coordinated inputs to ITU-R: WP5C</w:t>
            </w:r>
          </w:p>
        </w:tc>
        <w:tc>
          <w:tcPr>
            <w:tcW w:w="3431" w:type="dxa"/>
          </w:tcPr>
          <w:p w:rsidR="00855A19" w:rsidRPr="00075CD9" w:rsidRDefault="00855A19">
            <w:pPr>
              <w:jc w:val="both"/>
              <w:rPr>
                <w:sz w:val="20"/>
                <w:szCs w:val="20"/>
                <w:lang w:val="en-US"/>
              </w:rPr>
            </w:pPr>
            <w:r w:rsidRPr="00075CD9">
              <w:rPr>
                <w:sz w:val="20"/>
                <w:szCs w:val="20"/>
                <w:lang w:val="en-US"/>
              </w:rPr>
              <w:t>Coordination of contributions related to FS channel arrangements to ITU-R F series recommendations</w:t>
            </w:r>
          </w:p>
        </w:tc>
        <w:tc>
          <w:tcPr>
            <w:tcW w:w="1389" w:type="dxa"/>
          </w:tcPr>
          <w:p w:rsidR="00855A19" w:rsidRPr="00075CD9" w:rsidRDefault="00855A19" w:rsidP="00A96DEB">
            <w:pPr>
              <w:rPr>
                <w:sz w:val="20"/>
                <w:szCs w:val="20"/>
                <w:lang w:val="en-US"/>
              </w:rPr>
            </w:pPr>
            <w:r w:rsidRPr="00075CD9">
              <w:rPr>
                <w:sz w:val="20"/>
                <w:szCs w:val="20"/>
                <w:lang w:val="en-US"/>
              </w:rPr>
              <w:t>T: 2015</w:t>
            </w:r>
          </w:p>
        </w:tc>
        <w:tc>
          <w:tcPr>
            <w:tcW w:w="1094" w:type="dxa"/>
          </w:tcPr>
          <w:p w:rsidR="00855A19" w:rsidRPr="00075CD9" w:rsidRDefault="00855A19">
            <w:pPr>
              <w:rPr>
                <w:sz w:val="20"/>
                <w:szCs w:val="20"/>
                <w:lang w:val="en-US"/>
              </w:rPr>
            </w:pPr>
            <w:r w:rsidRPr="00075CD9">
              <w:rPr>
                <w:sz w:val="20"/>
                <w:szCs w:val="20"/>
                <w:lang w:val="en-US"/>
              </w:rPr>
              <w:t>SE19</w:t>
            </w:r>
          </w:p>
        </w:tc>
        <w:tc>
          <w:tcPr>
            <w:tcW w:w="3046" w:type="dxa"/>
          </w:tcPr>
          <w:p w:rsidR="00855A19" w:rsidRPr="00075CD9" w:rsidRDefault="00855A19" w:rsidP="006129CD">
            <w:pPr>
              <w:rPr>
                <w:sz w:val="20"/>
                <w:szCs w:val="20"/>
                <w:lang w:val="en-US"/>
              </w:rPr>
            </w:pPr>
          </w:p>
        </w:tc>
        <w:tc>
          <w:tcPr>
            <w:tcW w:w="1689" w:type="dxa"/>
          </w:tcPr>
          <w:p w:rsidR="00855A19" w:rsidRPr="00075CD9" w:rsidRDefault="00855A19">
            <w:pPr>
              <w:jc w:val="center"/>
              <w:rPr>
                <w:sz w:val="20"/>
                <w:szCs w:val="20"/>
                <w:lang w:val="en-US"/>
              </w:rPr>
            </w:pPr>
          </w:p>
        </w:tc>
        <w:tc>
          <w:tcPr>
            <w:tcW w:w="1689" w:type="dxa"/>
          </w:tcPr>
          <w:p w:rsidR="00855A19" w:rsidRPr="00075CD9" w:rsidRDefault="00855A19">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pPr>
              <w:rPr>
                <w:sz w:val="20"/>
                <w:szCs w:val="20"/>
                <w:lang w:val="en-US"/>
              </w:rPr>
            </w:pPr>
            <w:r w:rsidRPr="00075CD9">
              <w:rPr>
                <w:sz w:val="20"/>
                <w:szCs w:val="20"/>
                <w:lang w:val="en-US"/>
              </w:rPr>
              <w:t>SE19_26</w:t>
            </w:r>
          </w:p>
        </w:tc>
        <w:tc>
          <w:tcPr>
            <w:tcW w:w="2701" w:type="dxa"/>
          </w:tcPr>
          <w:p w:rsidR="00855A19" w:rsidRPr="00075CD9" w:rsidRDefault="00855A19">
            <w:pPr>
              <w:rPr>
                <w:sz w:val="20"/>
                <w:szCs w:val="20"/>
                <w:lang w:val="en-US"/>
              </w:rPr>
            </w:pPr>
            <w:r w:rsidRPr="00075CD9">
              <w:rPr>
                <w:sz w:val="20"/>
                <w:szCs w:val="20"/>
                <w:lang w:val="en-US"/>
              </w:rPr>
              <w:t>Guidelines on technical aspects for coordination/licensing conditions currently used for PP systems</w:t>
            </w:r>
          </w:p>
        </w:tc>
        <w:tc>
          <w:tcPr>
            <w:tcW w:w="3431" w:type="dxa"/>
          </w:tcPr>
          <w:p w:rsidR="00855A19" w:rsidRPr="00075CD9" w:rsidRDefault="00855A19">
            <w:pPr>
              <w:jc w:val="both"/>
              <w:rPr>
                <w:sz w:val="20"/>
                <w:szCs w:val="20"/>
                <w:lang w:val="en-US"/>
              </w:rPr>
            </w:pPr>
            <w:r w:rsidRPr="00075CD9">
              <w:rPr>
                <w:sz w:val="20"/>
                <w:szCs w:val="20"/>
                <w:lang w:val="en-US"/>
              </w:rPr>
              <w:t>ECC Report and/or Recommendation</w:t>
            </w:r>
          </w:p>
        </w:tc>
        <w:tc>
          <w:tcPr>
            <w:tcW w:w="1389" w:type="dxa"/>
          </w:tcPr>
          <w:p w:rsidR="00855A19" w:rsidRPr="00075CD9" w:rsidRDefault="00855A19" w:rsidP="006544FD">
            <w:pPr>
              <w:rPr>
                <w:sz w:val="20"/>
                <w:szCs w:val="20"/>
              </w:rPr>
            </w:pPr>
            <w:r w:rsidRPr="00075CD9">
              <w:rPr>
                <w:sz w:val="20"/>
                <w:szCs w:val="20"/>
              </w:rPr>
              <w:t>S: Jan 2011</w:t>
            </w:r>
          </w:p>
          <w:p w:rsidR="00855A19" w:rsidRPr="00075CD9" w:rsidRDefault="00855A19" w:rsidP="00D0600C">
            <w:pPr>
              <w:rPr>
                <w:sz w:val="20"/>
                <w:szCs w:val="20"/>
                <w:lang w:val="en-US"/>
              </w:rPr>
            </w:pPr>
            <w:r w:rsidRPr="00075CD9">
              <w:rPr>
                <w:sz w:val="20"/>
                <w:szCs w:val="20"/>
              </w:rPr>
              <w:t>T: Sep 2013</w:t>
            </w:r>
          </w:p>
        </w:tc>
        <w:tc>
          <w:tcPr>
            <w:tcW w:w="1094" w:type="dxa"/>
          </w:tcPr>
          <w:p w:rsidR="00855A19" w:rsidRPr="00075CD9" w:rsidRDefault="00855A19">
            <w:pPr>
              <w:rPr>
                <w:sz w:val="20"/>
                <w:szCs w:val="20"/>
                <w:lang w:val="en-US"/>
              </w:rPr>
            </w:pPr>
            <w:r w:rsidRPr="00075CD9">
              <w:rPr>
                <w:sz w:val="20"/>
                <w:szCs w:val="20"/>
                <w:lang w:val="en-US"/>
              </w:rPr>
              <w:t>SE19</w:t>
            </w:r>
          </w:p>
        </w:tc>
        <w:tc>
          <w:tcPr>
            <w:tcW w:w="3046" w:type="dxa"/>
          </w:tcPr>
          <w:p w:rsidR="00855A19" w:rsidRPr="00075CD9" w:rsidRDefault="00855A19" w:rsidP="006129CD">
            <w:pPr>
              <w:rPr>
                <w:sz w:val="20"/>
                <w:szCs w:val="20"/>
                <w:lang w:val="en-US"/>
              </w:rPr>
            </w:pPr>
            <w:r>
              <w:rPr>
                <w:sz w:val="20"/>
                <w:szCs w:val="20"/>
                <w:lang w:val="en-US"/>
              </w:rPr>
              <w:t>Draft ECC Report 198 sent for public consultation.</w:t>
            </w:r>
          </w:p>
        </w:tc>
        <w:tc>
          <w:tcPr>
            <w:tcW w:w="1689" w:type="dxa"/>
          </w:tcPr>
          <w:p w:rsidR="00855A19" w:rsidRPr="00075CD9" w:rsidRDefault="00855A19">
            <w:pPr>
              <w:jc w:val="center"/>
              <w:rPr>
                <w:sz w:val="20"/>
                <w:szCs w:val="20"/>
                <w:lang w:val="en-US"/>
              </w:rPr>
            </w:pPr>
          </w:p>
        </w:tc>
        <w:tc>
          <w:tcPr>
            <w:tcW w:w="1689" w:type="dxa"/>
          </w:tcPr>
          <w:p w:rsidR="00855A19" w:rsidRPr="00075CD9" w:rsidRDefault="00855A19">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0363B0">
            <w:pPr>
              <w:rPr>
                <w:sz w:val="20"/>
                <w:szCs w:val="20"/>
                <w:lang w:val="en-US"/>
              </w:rPr>
            </w:pPr>
            <w:r w:rsidRPr="00075CD9">
              <w:rPr>
                <w:sz w:val="20"/>
                <w:szCs w:val="20"/>
              </w:rPr>
              <w:t>SE19_27</w:t>
            </w:r>
          </w:p>
        </w:tc>
        <w:tc>
          <w:tcPr>
            <w:tcW w:w="2701" w:type="dxa"/>
          </w:tcPr>
          <w:p w:rsidR="00855A19" w:rsidRPr="00075CD9" w:rsidRDefault="00855A19" w:rsidP="000363B0">
            <w:pPr>
              <w:rPr>
                <w:sz w:val="20"/>
                <w:szCs w:val="20"/>
                <w:lang w:val="en-US"/>
              </w:rPr>
            </w:pPr>
            <w:r w:rsidRPr="00075CD9">
              <w:rPr>
                <w:sz w:val="20"/>
                <w:szCs w:val="20"/>
                <w:lang w:val="en-GB"/>
              </w:rPr>
              <w:t>Technical assessment of the benefit  of using asymmetric duplex for point-to-point links in terms of spectrum efficiency and increase of complexity of the coordination process</w:t>
            </w:r>
          </w:p>
        </w:tc>
        <w:tc>
          <w:tcPr>
            <w:tcW w:w="3431" w:type="dxa"/>
          </w:tcPr>
          <w:p w:rsidR="00855A19" w:rsidRPr="00075CD9" w:rsidRDefault="00855A19" w:rsidP="000363B0">
            <w:pPr>
              <w:jc w:val="both"/>
              <w:rPr>
                <w:sz w:val="20"/>
                <w:szCs w:val="20"/>
                <w:lang w:val="en-US"/>
              </w:rPr>
            </w:pPr>
            <w:r w:rsidRPr="00075CD9">
              <w:rPr>
                <w:sz w:val="20"/>
                <w:szCs w:val="20"/>
                <w:lang w:val="en-US"/>
              </w:rPr>
              <w:t>ECC Report with the aim to study:</w:t>
            </w:r>
          </w:p>
          <w:p w:rsidR="00855A19" w:rsidRPr="00075CD9" w:rsidRDefault="00855A19" w:rsidP="00C01991">
            <w:pPr>
              <w:pStyle w:val="Listenabsatz"/>
              <w:numPr>
                <w:ilvl w:val="0"/>
                <w:numId w:val="31"/>
              </w:numPr>
              <w:jc w:val="both"/>
              <w:rPr>
                <w:lang w:val="en-US"/>
              </w:rPr>
            </w:pPr>
            <w:r w:rsidRPr="00075CD9">
              <w:rPr>
                <w:lang w:val="en-US"/>
              </w:rPr>
              <w:t xml:space="preserve">How the </w:t>
            </w:r>
            <w:r w:rsidRPr="00075CD9">
              <w:t xml:space="preserve">asymmetric channels and duplex in point-to-point links and their coordination might be practically implemented. </w:t>
            </w:r>
          </w:p>
          <w:p w:rsidR="00855A19" w:rsidRPr="00075CD9" w:rsidRDefault="00855A19" w:rsidP="00C01991">
            <w:pPr>
              <w:pStyle w:val="Listenabsatz"/>
              <w:numPr>
                <w:ilvl w:val="0"/>
                <w:numId w:val="31"/>
              </w:numPr>
              <w:jc w:val="both"/>
              <w:rPr>
                <w:lang w:val="en-US"/>
              </w:rPr>
            </w:pPr>
            <w:r w:rsidRPr="00075CD9">
              <w:rPr>
                <w:lang w:val="en-US"/>
              </w:rPr>
              <w:t>The impact on the existing ERC/ECC Recommendations on FS channel plans.</w:t>
            </w:r>
          </w:p>
        </w:tc>
        <w:tc>
          <w:tcPr>
            <w:tcW w:w="1389" w:type="dxa"/>
          </w:tcPr>
          <w:p w:rsidR="00855A19" w:rsidRDefault="00855A19" w:rsidP="00D0600C">
            <w:pPr>
              <w:rPr>
                <w:sz w:val="20"/>
                <w:szCs w:val="20"/>
                <w:lang w:val="en-US"/>
              </w:rPr>
            </w:pPr>
            <w:r w:rsidRPr="00075CD9">
              <w:rPr>
                <w:sz w:val="20"/>
                <w:szCs w:val="20"/>
                <w:lang w:val="en-US"/>
              </w:rPr>
              <w:t xml:space="preserve">S: Oct 2011 </w:t>
            </w:r>
          </w:p>
          <w:p w:rsidR="00855A19" w:rsidRPr="00075CD9" w:rsidRDefault="00855A19" w:rsidP="00D0600C">
            <w:pPr>
              <w:rPr>
                <w:sz w:val="20"/>
                <w:szCs w:val="20"/>
              </w:rPr>
            </w:pPr>
            <w:r w:rsidRPr="00075CD9">
              <w:rPr>
                <w:sz w:val="20"/>
                <w:szCs w:val="20"/>
                <w:lang w:val="en-US"/>
              </w:rPr>
              <w:t>T: Feb 2014</w:t>
            </w:r>
          </w:p>
        </w:tc>
        <w:tc>
          <w:tcPr>
            <w:tcW w:w="1094" w:type="dxa"/>
          </w:tcPr>
          <w:p w:rsidR="00855A19" w:rsidRPr="00075CD9" w:rsidRDefault="00855A19" w:rsidP="000363B0">
            <w:pPr>
              <w:rPr>
                <w:sz w:val="20"/>
                <w:szCs w:val="20"/>
                <w:lang w:val="en-US"/>
              </w:rPr>
            </w:pPr>
            <w:r w:rsidRPr="00075CD9">
              <w:rPr>
                <w:sz w:val="20"/>
                <w:szCs w:val="20"/>
                <w:lang w:val="en-US"/>
              </w:rPr>
              <w:t>SE19</w:t>
            </w:r>
          </w:p>
        </w:tc>
        <w:tc>
          <w:tcPr>
            <w:tcW w:w="3046" w:type="dxa"/>
          </w:tcPr>
          <w:p w:rsidR="00855A19" w:rsidRPr="00075CD9" w:rsidRDefault="00855A19" w:rsidP="000363B0">
            <w:pPr>
              <w:rPr>
                <w:sz w:val="20"/>
                <w:szCs w:val="20"/>
              </w:rPr>
            </w:pPr>
            <w:r w:rsidRPr="00075CD9">
              <w:rPr>
                <w:sz w:val="20"/>
                <w:szCs w:val="20"/>
                <w:lang w:val="en-GB"/>
              </w:rPr>
              <w:t xml:space="preserve">It is proposed to assess the technical feasibility of introducing asymmetric duplex for FS point-to-point links and possible inclusion of extra channel size granularity (e.g. n*7 MHz steps). </w:t>
            </w:r>
            <w:r w:rsidRPr="00075CD9">
              <w:rPr>
                <w:sz w:val="20"/>
                <w:szCs w:val="20"/>
              </w:rPr>
              <w:t xml:space="preserve">The </w:t>
            </w:r>
            <w:proofErr w:type="spellStart"/>
            <w:r w:rsidRPr="00075CD9">
              <w:rPr>
                <w:sz w:val="20"/>
                <w:szCs w:val="20"/>
              </w:rPr>
              <w:t>following</w:t>
            </w:r>
            <w:proofErr w:type="spellEnd"/>
            <w:r w:rsidRPr="00075CD9">
              <w:rPr>
                <w:sz w:val="20"/>
                <w:szCs w:val="20"/>
              </w:rPr>
              <w:t xml:space="preserve"> impacts are to </w:t>
            </w:r>
            <w:proofErr w:type="spellStart"/>
            <w:r w:rsidRPr="00075CD9">
              <w:rPr>
                <w:sz w:val="20"/>
                <w:szCs w:val="20"/>
              </w:rPr>
              <w:t>be</w:t>
            </w:r>
            <w:proofErr w:type="spellEnd"/>
            <w:r w:rsidRPr="00075CD9">
              <w:rPr>
                <w:sz w:val="20"/>
                <w:szCs w:val="20"/>
              </w:rPr>
              <w:t xml:space="preserve"> </w:t>
            </w:r>
            <w:proofErr w:type="spellStart"/>
            <w:r w:rsidRPr="00075CD9">
              <w:rPr>
                <w:sz w:val="20"/>
                <w:szCs w:val="20"/>
              </w:rPr>
              <w:t>evaluated</w:t>
            </w:r>
            <w:proofErr w:type="spellEnd"/>
            <w:r w:rsidRPr="00075CD9">
              <w:rPr>
                <w:sz w:val="20"/>
                <w:szCs w:val="20"/>
              </w:rPr>
              <w:t xml:space="preserve">: </w:t>
            </w:r>
          </w:p>
          <w:p w:rsidR="00855A19" w:rsidRPr="00075CD9" w:rsidRDefault="00855A19" w:rsidP="000363B0">
            <w:pPr>
              <w:pStyle w:val="Listenabsatz"/>
              <w:numPr>
                <w:ilvl w:val="0"/>
                <w:numId w:val="32"/>
              </w:numPr>
            </w:pPr>
            <w:r w:rsidRPr="00075CD9">
              <w:t>saving spectrum</w:t>
            </w:r>
          </w:p>
          <w:p w:rsidR="00855A19" w:rsidRPr="00075CD9" w:rsidRDefault="00855A19" w:rsidP="000363B0">
            <w:pPr>
              <w:pStyle w:val="Listenabsatz"/>
              <w:numPr>
                <w:ilvl w:val="0"/>
                <w:numId w:val="32"/>
              </w:numPr>
            </w:pPr>
            <w:r w:rsidRPr="00075CD9">
              <w:lastRenderedPageBreak/>
              <w:t>coordination requirement</w:t>
            </w:r>
          </w:p>
          <w:p w:rsidR="00855A19" w:rsidRPr="00075CD9" w:rsidRDefault="00855A19" w:rsidP="000363B0">
            <w:pPr>
              <w:pStyle w:val="Listenabsatz"/>
              <w:numPr>
                <w:ilvl w:val="0"/>
                <w:numId w:val="32"/>
              </w:numPr>
            </w:pPr>
            <w:r w:rsidRPr="00075CD9">
              <w:t>new channel arrangement and its usage</w:t>
            </w:r>
          </w:p>
          <w:p w:rsidR="00855A19" w:rsidRPr="00075CD9" w:rsidRDefault="00855A19" w:rsidP="000363B0">
            <w:pPr>
              <w:pStyle w:val="Listenabsatz"/>
              <w:numPr>
                <w:ilvl w:val="0"/>
                <w:numId w:val="32"/>
              </w:numPr>
            </w:pPr>
            <w:proofErr w:type="gramStart"/>
            <w:r w:rsidRPr="00075CD9">
              <w:t>fees</w:t>
            </w:r>
            <w:proofErr w:type="gramEnd"/>
            <w:r w:rsidRPr="00075CD9">
              <w:t>.</w:t>
            </w:r>
          </w:p>
          <w:p w:rsidR="00855A19" w:rsidRPr="00075CD9" w:rsidRDefault="00855A19" w:rsidP="000363B0">
            <w:pPr>
              <w:rPr>
                <w:sz w:val="20"/>
                <w:szCs w:val="20"/>
              </w:rPr>
            </w:pPr>
          </w:p>
          <w:p w:rsidR="00855A19" w:rsidRPr="00075CD9" w:rsidRDefault="00855A19" w:rsidP="000363B0">
            <w:pPr>
              <w:rPr>
                <w:sz w:val="20"/>
                <w:szCs w:val="20"/>
                <w:lang w:val="en-US"/>
              </w:rPr>
            </w:pPr>
          </w:p>
        </w:tc>
        <w:tc>
          <w:tcPr>
            <w:tcW w:w="1689" w:type="dxa"/>
          </w:tcPr>
          <w:p w:rsidR="00855A19" w:rsidRPr="00075CD9" w:rsidRDefault="00855A19" w:rsidP="000363B0">
            <w:pPr>
              <w:jc w:val="center"/>
              <w:rPr>
                <w:sz w:val="20"/>
                <w:szCs w:val="20"/>
                <w:lang w:val="en-US"/>
              </w:rPr>
            </w:pPr>
            <w:r w:rsidRPr="00075CD9">
              <w:rPr>
                <w:sz w:val="20"/>
                <w:szCs w:val="20"/>
                <w:lang w:val="en-US"/>
              </w:rPr>
              <w:lastRenderedPageBreak/>
              <w:t>SE19 through WGSE</w:t>
            </w:r>
          </w:p>
        </w:tc>
        <w:tc>
          <w:tcPr>
            <w:tcW w:w="1689" w:type="dxa"/>
          </w:tcPr>
          <w:p w:rsidR="00855A19" w:rsidRPr="00075CD9" w:rsidRDefault="00855A19" w:rsidP="000363B0">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0363B0">
            <w:pPr>
              <w:rPr>
                <w:sz w:val="20"/>
                <w:szCs w:val="20"/>
              </w:rPr>
            </w:pPr>
            <w:r w:rsidRPr="00075CD9">
              <w:rPr>
                <w:sz w:val="20"/>
                <w:szCs w:val="20"/>
              </w:rPr>
              <w:lastRenderedPageBreak/>
              <w:t>SE19_28</w:t>
            </w:r>
          </w:p>
        </w:tc>
        <w:tc>
          <w:tcPr>
            <w:tcW w:w="2701" w:type="dxa"/>
          </w:tcPr>
          <w:p w:rsidR="00855A19" w:rsidRPr="00075CD9" w:rsidRDefault="00855A19" w:rsidP="00862DD1">
            <w:pPr>
              <w:rPr>
                <w:sz w:val="20"/>
                <w:szCs w:val="20"/>
                <w:lang w:val="en-GB"/>
              </w:rPr>
            </w:pPr>
            <w:r w:rsidRPr="00075CD9">
              <w:rPr>
                <w:sz w:val="20"/>
                <w:szCs w:val="20"/>
                <w:lang w:val="en-GB"/>
              </w:rPr>
              <w:t xml:space="preserve">To assess  the technical feasibility of </w:t>
            </w:r>
            <w:r w:rsidRPr="00075CD9">
              <w:rPr>
                <w:sz w:val="20"/>
                <w:szCs w:val="20"/>
                <w:lang w:val="en-US"/>
              </w:rPr>
              <w:t xml:space="preserve"> introducing narrow channel spacing </w:t>
            </w:r>
            <w:r w:rsidRPr="00075CD9">
              <w:rPr>
                <w:sz w:val="20"/>
                <w:szCs w:val="20"/>
                <w:lang w:val="en-GB"/>
              </w:rPr>
              <w:t xml:space="preserve">(e.g. similar channel spacing, 25 kHz to 2 MHz, to those used in 1375-1400/1427-1452 MHz) </w:t>
            </w:r>
            <w:r w:rsidRPr="00075CD9">
              <w:rPr>
                <w:sz w:val="20"/>
                <w:szCs w:val="20"/>
                <w:lang w:val="en-US"/>
              </w:rPr>
              <w:t xml:space="preserve">in </w:t>
            </w:r>
            <w:r w:rsidRPr="00075CD9">
              <w:rPr>
                <w:sz w:val="20"/>
                <w:szCs w:val="20"/>
                <w:lang w:val="en-GB"/>
              </w:rPr>
              <w:t>some existing plans,</w:t>
            </w:r>
            <w:r w:rsidRPr="00075CD9">
              <w:rPr>
                <w:sz w:val="20"/>
                <w:szCs w:val="20"/>
                <w:lang w:val="en-US"/>
              </w:rPr>
              <w:t xml:space="preserve"> guard bands and center gaps </w:t>
            </w:r>
            <w:r w:rsidRPr="00075CD9">
              <w:rPr>
                <w:sz w:val="20"/>
                <w:szCs w:val="20"/>
                <w:lang w:val="en-GB"/>
              </w:rPr>
              <w:t xml:space="preserve">of FWS channel arrangement between 3 GHz and 15GHz. </w:t>
            </w:r>
          </w:p>
        </w:tc>
        <w:tc>
          <w:tcPr>
            <w:tcW w:w="3431" w:type="dxa"/>
          </w:tcPr>
          <w:p w:rsidR="00855A19" w:rsidRPr="00075CD9" w:rsidRDefault="00855A19" w:rsidP="000363B0">
            <w:pPr>
              <w:jc w:val="both"/>
              <w:rPr>
                <w:sz w:val="20"/>
                <w:szCs w:val="20"/>
                <w:lang w:val="en-US"/>
              </w:rPr>
            </w:pPr>
            <w:r w:rsidRPr="00075CD9">
              <w:rPr>
                <w:sz w:val="20"/>
                <w:szCs w:val="20"/>
                <w:lang w:val="en-US"/>
              </w:rPr>
              <w:t xml:space="preserve">ECC Report </w:t>
            </w:r>
          </w:p>
        </w:tc>
        <w:tc>
          <w:tcPr>
            <w:tcW w:w="1389" w:type="dxa"/>
          </w:tcPr>
          <w:p w:rsidR="00855A19" w:rsidRPr="00075CD9" w:rsidRDefault="00855A19" w:rsidP="00D0600C">
            <w:pPr>
              <w:rPr>
                <w:sz w:val="20"/>
                <w:szCs w:val="20"/>
                <w:lang w:val="en-US"/>
              </w:rPr>
            </w:pPr>
            <w:r w:rsidRPr="00075CD9">
              <w:rPr>
                <w:sz w:val="20"/>
                <w:szCs w:val="20"/>
                <w:lang w:val="en-US"/>
              </w:rPr>
              <w:t>S: Oct 2011 T: Feb 2014</w:t>
            </w:r>
          </w:p>
        </w:tc>
        <w:tc>
          <w:tcPr>
            <w:tcW w:w="1094" w:type="dxa"/>
          </w:tcPr>
          <w:p w:rsidR="00855A19" w:rsidRPr="00075CD9" w:rsidRDefault="00855A19" w:rsidP="000363B0">
            <w:pPr>
              <w:rPr>
                <w:sz w:val="20"/>
                <w:szCs w:val="20"/>
                <w:lang w:val="en-US"/>
              </w:rPr>
            </w:pPr>
            <w:r w:rsidRPr="00075CD9">
              <w:rPr>
                <w:sz w:val="20"/>
                <w:szCs w:val="20"/>
                <w:lang w:val="en-US"/>
              </w:rPr>
              <w:t>SE19</w:t>
            </w:r>
          </w:p>
        </w:tc>
        <w:tc>
          <w:tcPr>
            <w:tcW w:w="3046" w:type="dxa"/>
          </w:tcPr>
          <w:p w:rsidR="00855A19" w:rsidRPr="00075CD9" w:rsidRDefault="00855A19" w:rsidP="003B100D">
            <w:pPr>
              <w:rPr>
                <w:sz w:val="20"/>
                <w:szCs w:val="20"/>
                <w:lang w:val="en-GB"/>
              </w:rPr>
            </w:pPr>
            <w:r w:rsidRPr="00075CD9">
              <w:rPr>
                <w:sz w:val="20"/>
                <w:szCs w:val="20"/>
                <w:lang w:val="en-US"/>
              </w:rPr>
              <w:t xml:space="preserve">The aim of the report is to assess the possibility of introducing narrow channel spacing </w:t>
            </w:r>
            <w:r w:rsidRPr="00075CD9">
              <w:rPr>
                <w:sz w:val="20"/>
                <w:szCs w:val="20"/>
                <w:lang w:val="en-GB"/>
              </w:rPr>
              <w:t xml:space="preserve">some existing plans, </w:t>
            </w:r>
            <w:r w:rsidRPr="00075CD9">
              <w:rPr>
                <w:sz w:val="20"/>
                <w:szCs w:val="20"/>
                <w:lang w:val="en-US"/>
              </w:rPr>
              <w:t>in guard bands and center gaps of ERC/ECC Recommendations</w:t>
            </w:r>
            <w:r w:rsidRPr="00075CD9">
              <w:rPr>
                <w:sz w:val="20"/>
                <w:szCs w:val="20"/>
                <w:lang w:val="en-GB"/>
              </w:rPr>
              <w:t xml:space="preserve"> defining for FWS channel arrangements between 3 GHz and 15 GHz</w:t>
            </w:r>
            <w:proofErr w:type="gramStart"/>
            <w:r w:rsidRPr="00075CD9">
              <w:rPr>
                <w:sz w:val="20"/>
                <w:szCs w:val="20"/>
                <w:lang w:val="en-GB"/>
              </w:rPr>
              <w:t>.</w:t>
            </w:r>
            <w:r w:rsidRPr="00075CD9">
              <w:rPr>
                <w:sz w:val="20"/>
                <w:szCs w:val="20"/>
                <w:lang w:val="en-US"/>
              </w:rPr>
              <w:t>.</w:t>
            </w:r>
            <w:proofErr w:type="gramEnd"/>
            <w:r w:rsidRPr="00075CD9">
              <w:rPr>
                <w:sz w:val="20"/>
                <w:szCs w:val="20"/>
                <w:lang w:val="en-US"/>
              </w:rPr>
              <w:t xml:space="preserve"> </w:t>
            </w:r>
            <w:r w:rsidRPr="00075CD9">
              <w:rPr>
                <w:sz w:val="20"/>
                <w:szCs w:val="20"/>
                <w:lang w:val="en-GB"/>
              </w:rPr>
              <w:t xml:space="preserve">The following are to be evaluated: compatibility /sharing studies, coordination issues, </w:t>
            </w:r>
            <w:proofErr w:type="gramStart"/>
            <w:r w:rsidRPr="00075CD9">
              <w:rPr>
                <w:sz w:val="20"/>
                <w:szCs w:val="20"/>
                <w:lang w:val="en-GB"/>
              </w:rPr>
              <w:t>demand</w:t>
            </w:r>
            <w:proofErr w:type="gramEnd"/>
            <w:r w:rsidRPr="00075CD9">
              <w:rPr>
                <w:sz w:val="20"/>
                <w:szCs w:val="20"/>
                <w:lang w:val="en-GB"/>
              </w:rPr>
              <w:t xml:space="preserve"> versus equipment design/cost challenges.</w:t>
            </w:r>
          </w:p>
        </w:tc>
        <w:tc>
          <w:tcPr>
            <w:tcW w:w="1689" w:type="dxa"/>
          </w:tcPr>
          <w:p w:rsidR="00855A19" w:rsidRPr="00075CD9" w:rsidRDefault="00855A19" w:rsidP="000363B0">
            <w:pPr>
              <w:jc w:val="center"/>
              <w:rPr>
                <w:sz w:val="20"/>
                <w:szCs w:val="20"/>
                <w:lang w:val="en-US"/>
              </w:rPr>
            </w:pPr>
            <w:r w:rsidRPr="00075CD9">
              <w:rPr>
                <w:sz w:val="20"/>
                <w:szCs w:val="20"/>
                <w:lang w:val="en-US"/>
              </w:rPr>
              <w:t>SE19 through WGSE</w:t>
            </w:r>
          </w:p>
        </w:tc>
        <w:tc>
          <w:tcPr>
            <w:tcW w:w="1689" w:type="dxa"/>
          </w:tcPr>
          <w:p w:rsidR="00855A19" w:rsidRPr="00075CD9" w:rsidRDefault="00855A19" w:rsidP="000363B0">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454EE4">
            <w:pPr>
              <w:rPr>
                <w:sz w:val="20"/>
                <w:szCs w:val="20"/>
              </w:rPr>
            </w:pPr>
            <w:r w:rsidRPr="00075CD9">
              <w:rPr>
                <w:sz w:val="20"/>
                <w:szCs w:val="20"/>
              </w:rPr>
              <w:t>SE19_29</w:t>
            </w:r>
          </w:p>
        </w:tc>
        <w:tc>
          <w:tcPr>
            <w:tcW w:w="2701" w:type="dxa"/>
          </w:tcPr>
          <w:p w:rsidR="00855A19" w:rsidRPr="00075CD9" w:rsidRDefault="00855A19" w:rsidP="00454EE4">
            <w:pPr>
              <w:rPr>
                <w:sz w:val="20"/>
                <w:szCs w:val="20"/>
                <w:lang w:val="en-GB"/>
              </w:rPr>
            </w:pPr>
            <w:r w:rsidRPr="00075CD9">
              <w:rPr>
                <w:sz w:val="20"/>
                <w:szCs w:val="20"/>
                <w:lang w:val="en-GB"/>
              </w:rPr>
              <w:t xml:space="preserve">Add in the </w:t>
            </w:r>
            <w:r w:rsidRPr="00075CD9">
              <w:rPr>
                <w:sz w:val="20"/>
                <w:szCs w:val="20"/>
                <w:lang w:val="en-US"/>
              </w:rPr>
              <w:t>ECC/</w:t>
            </w:r>
            <w:proofErr w:type="gramStart"/>
            <w:r w:rsidRPr="00075CD9">
              <w:rPr>
                <w:sz w:val="20"/>
                <w:szCs w:val="20"/>
                <w:lang w:val="en-US"/>
              </w:rPr>
              <w:t>REC(</w:t>
            </w:r>
            <w:proofErr w:type="gramEnd"/>
            <w:r w:rsidRPr="00075CD9">
              <w:rPr>
                <w:sz w:val="20"/>
                <w:szCs w:val="20"/>
                <w:lang w:val="en-US"/>
              </w:rPr>
              <w:t xml:space="preserve">05)07 </w:t>
            </w:r>
            <w:r w:rsidRPr="00075CD9">
              <w:rPr>
                <w:sz w:val="20"/>
                <w:szCs w:val="20"/>
                <w:lang w:val="en-GB"/>
              </w:rPr>
              <w:t>the option of subdividing a number of contiguous 250 MHz channels into 50 MHz or/and 62.5 MHz slots in order to provide smaller channel spacing (n x 50 MHz up to 200 MHz) or/and (62.5 MHz and 125 MHz).</w:t>
            </w:r>
          </w:p>
        </w:tc>
        <w:tc>
          <w:tcPr>
            <w:tcW w:w="3431" w:type="dxa"/>
          </w:tcPr>
          <w:p w:rsidR="00855A19" w:rsidRPr="00075CD9" w:rsidRDefault="00855A19" w:rsidP="00454EE4">
            <w:pPr>
              <w:rPr>
                <w:sz w:val="20"/>
                <w:szCs w:val="20"/>
                <w:lang w:val="en-GB"/>
              </w:rPr>
            </w:pPr>
            <w:r w:rsidRPr="00075CD9">
              <w:rPr>
                <w:sz w:val="20"/>
                <w:szCs w:val="20"/>
                <w:lang w:val="en-US"/>
              </w:rPr>
              <w:t>Revision of the ECC/REC(05)07 (Radio frequency channel arrangements for Fixed Service Systems operating in the bands 71 – 76 GHz and 81 – 86 GHz)</w:t>
            </w:r>
          </w:p>
        </w:tc>
        <w:tc>
          <w:tcPr>
            <w:tcW w:w="1389" w:type="dxa"/>
          </w:tcPr>
          <w:p w:rsidR="00855A19" w:rsidRPr="00075CD9" w:rsidRDefault="00855A19" w:rsidP="00454EE4">
            <w:pPr>
              <w:rPr>
                <w:sz w:val="20"/>
                <w:szCs w:val="20"/>
              </w:rPr>
            </w:pPr>
            <w:r w:rsidRPr="00075CD9">
              <w:rPr>
                <w:sz w:val="20"/>
                <w:szCs w:val="20"/>
              </w:rPr>
              <w:t>S: Sep 2012</w:t>
            </w:r>
          </w:p>
          <w:p w:rsidR="00855A19" w:rsidRPr="00075CD9" w:rsidRDefault="00855A19" w:rsidP="00454EE4">
            <w:pPr>
              <w:rPr>
                <w:sz w:val="20"/>
                <w:szCs w:val="20"/>
              </w:rPr>
            </w:pPr>
            <w:r w:rsidRPr="00075CD9">
              <w:rPr>
                <w:sz w:val="20"/>
                <w:szCs w:val="20"/>
              </w:rPr>
              <w:t>T: May 2013</w:t>
            </w:r>
          </w:p>
        </w:tc>
        <w:tc>
          <w:tcPr>
            <w:tcW w:w="1094" w:type="dxa"/>
          </w:tcPr>
          <w:p w:rsidR="00855A19" w:rsidRPr="00075CD9" w:rsidRDefault="00855A19" w:rsidP="00454EE4">
            <w:pPr>
              <w:rPr>
                <w:sz w:val="20"/>
                <w:szCs w:val="20"/>
              </w:rPr>
            </w:pPr>
            <w:r w:rsidRPr="00075CD9">
              <w:rPr>
                <w:sz w:val="20"/>
                <w:szCs w:val="20"/>
              </w:rPr>
              <w:t>SE19</w:t>
            </w:r>
          </w:p>
        </w:tc>
        <w:tc>
          <w:tcPr>
            <w:tcW w:w="3046" w:type="dxa"/>
          </w:tcPr>
          <w:p w:rsidR="00855A19" w:rsidRPr="00075CD9" w:rsidRDefault="00855A19" w:rsidP="00454EE4">
            <w:pPr>
              <w:rPr>
                <w:sz w:val="20"/>
                <w:szCs w:val="20"/>
                <w:lang w:val="en-GB"/>
              </w:rPr>
            </w:pPr>
            <w:r>
              <w:rPr>
                <w:sz w:val="20"/>
                <w:szCs w:val="20"/>
                <w:lang w:val="en-GB"/>
              </w:rPr>
              <w:t>Draft revision ECC REC (05)07 sent for public consultation</w:t>
            </w:r>
          </w:p>
        </w:tc>
        <w:tc>
          <w:tcPr>
            <w:tcW w:w="1689" w:type="dxa"/>
          </w:tcPr>
          <w:p w:rsidR="00855A19" w:rsidRPr="00075CD9" w:rsidRDefault="00855A19" w:rsidP="00454EE4">
            <w:pPr>
              <w:jc w:val="center"/>
              <w:rPr>
                <w:sz w:val="20"/>
                <w:szCs w:val="20"/>
                <w:lang w:val="en-GB"/>
              </w:rPr>
            </w:pPr>
            <w:r w:rsidRPr="00075CD9">
              <w:rPr>
                <w:sz w:val="20"/>
                <w:szCs w:val="20"/>
                <w:lang w:val="en-GB"/>
              </w:rPr>
              <w:t xml:space="preserve">SE19 </w:t>
            </w:r>
            <w:r w:rsidRPr="00075CD9">
              <w:rPr>
                <w:sz w:val="20"/>
                <w:szCs w:val="20"/>
                <w:lang w:val="en-US"/>
              </w:rPr>
              <w:t>through WGSE</w:t>
            </w:r>
            <w:r>
              <w:rPr>
                <w:sz w:val="20"/>
                <w:szCs w:val="20"/>
                <w:lang w:val="en-US"/>
              </w:rPr>
              <w:t xml:space="preserve"> </w:t>
            </w:r>
            <w:r w:rsidRPr="009A7A75">
              <w:rPr>
                <w:sz w:val="20"/>
                <w:szCs w:val="20"/>
                <w:lang w:val="en-GB"/>
              </w:rPr>
              <w:t xml:space="preserve">(for supporting administrations, see SE(12)079, section </w:t>
            </w:r>
            <w:r>
              <w:rPr>
                <w:sz w:val="20"/>
                <w:szCs w:val="20"/>
                <w:lang w:val="en-GB"/>
              </w:rPr>
              <w:t>6.2.5.2</w:t>
            </w:r>
            <w:r w:rsidRPr="009A7A75">
              <w:rPr>
                <w:sz w:val="20"/>
                <w:szCs w:val="20"/>
                <w:lang w:val="en-GB"/>
              </w:rPr>
              <w:t>)</w:t>
            </w:r>
            <w:r w:rsidRPr="00075CD9">
              <w:rPr>
                <w:sz w:val="20"/>
                <w:szCs w:val="20"/>
                <w:lang w:val="en-GB"/>
              </w:rPr>
              <w:t xml:space="preserve"> </w:t>
            </w:r>
          </w:p>
          <w:p w:rsidR="00855A19" w:rsidRPr="00075CD9" w:rsidRDefault="00855A19" w:rsidP="00454EE4">
            <w:pPr>
              <w:jc w:val="center"/>
              <w:rPr>
                <w:sz w:val="20"/>
                <w:szCs w:val="20"/>
                <w:lang w:val="en-GB"/>
              </w:rPr>
            </w:pPr>
          </w:p>
        </w:tc>
        <w:tc>
          <w:tcPr>
            <w:tcW w:w="1689" w:type="dxa"/>
          </w:tcPr>
          <w:p w:rsidR="00855A19" w:rsidRPr="00075CD9" w:rsidRDefault="00855A19" w:rsidP="00454EE4">
            <w:pPr>
              <w:jc w:val="center"/>
              <w:rPr>
                <w:sz w:val="20"/>
                <w:szCs w:val="20"/>
              </w:rPr>
            </w:pPr>
            <w:r w:rsidRPr="00075CD9">
              <w:rPr>
                <w:sz w:val="20"/>
                <w:szCs w:val="20"/>
              </w:rPr>
              <w:t>Y</w:t>
            </w:r>
          </w:p>
        </w:tc>
      </w:tr>
      <w:tr w:rsidR="00855A19" w:rsidRPr="00075CD9" w:rsidTr="008D57AD">
        <w:tc>
          <w:tcPr>
            <w:tcW w:w="966" w:type="dxa"/>
          </w:tcPr>
          <w:p w:rsidR="00855A19" w:rsidRPr="00075CD9" w:rsidRDefault="00855A19" w:rsidP="00454EE4">
            <w:pPr>
              <w:rPr>
                <w:sz w:val="20"/>
                <w:szCs w:val="20"/>
              </w:rPr>
            </w:pPr>
            <w:r w:rsidRPr="00075CD9">
              <w:rPr>
                <w:sz w:val="20"/>
                <w:szCs w:val="20"/>
              </w:rPr>
              <w:t>SE19_30</w:t>
            </w:r>
          </w:p>
        </w:tc>
        <w:tc>
          <w:tcPr>
            <w:tcW w:w="2701" w:type="dxa"/>
          </w:tcPr>
          <w:p w:rsidR="00855A19" w:rsidRPr="00075CD9" w:rsidRDefault="00855A19" w:rsidP="00454EE4">
            <w:pPr>
              <w:rPr>
                <w:sz w:val="20"/>
                <w:szCs w:val="20"/>
                <w:lang w:val="en-GB"/>
              </w:rPr>
            </w:pPr>
            <w:r w:rsidRPr="00075CD9">
              <w:rPr>
                <w:sz w:val="20"/>
                <w:szCs w:val="20"/>
                <w:lang w:val="en-GB"/>
              </w:rPr>
              <w:t>Generate a new recommendation to provide channel arrangement in the 90 GHz band (92000-94000 and</w:t>
            </w:r>
          </w:p>
          <w:p w:rsidR="00855A19" w:rsidRPr="00075CD9" w:rsidRDefault="00855A19" w:rsidP="00454EE4">
            <w:pPr>
              <w:rPr>
                <w:sz w:val="20"/>
                <w:szCs w:val="20"/>
              </w:rPr>
            </w:pPr>
            <w:r w:rsidRPr="00075CD9">
              <w:rPr>
                <w:sz w:val="20"/>
                <w:szCs w:val="20"/>
              </w:rPr>
              <w:t>94100-95000 MHz)</w:t>
            </w:r>
          </w:p>
        </w:tc>
        <w:tc>
          <w:tcPr>
            <w:tcW w:w="3431" w:type="dxa"/>
          </w:tcPr>
          <w:p w:rsidR="00855A19" w:rsidRPr="00075CD9" w:rsidRDefault="00855A19" w:rsidP="00454EE4">
            <w:pPr>
              <w:rPr>
                <w:sz w:val="20"/>
                <w:szCs w:val="20"/>
                <w:lang w:val="en-US"/>
              </w:rPr>
            </w:pPr>
            <w:r w:rsidRPr="00075CD9">
              <w:rPr>
                <w:sz w:val="20"/>
                <w:szCs w:val="20"/>
                <w:lang w:val="en-US"/>
              </w:rPr>
              <w:t>Recommendation</w:t>
            </w:r>
          </w:p>
        </w:tc>
        <w:tc>
          <w:tcPr>
            <w:tcW w:w="1389" w:type="dxa"/>
          </w:tcPr>
          <w:p w:rsidR="00855A19" w:rsidRPr="00075CD9" w:rsidRDefault="00855A19" w:rsidP="00454EE4">
            <w:pPr>
              <w:rPr>
                <w:sz w:val="20"/>
                <w:szCs w:val="20"/>
              </w:rPr>
            </w:pPr>
            <w:r w:rsidRPr="00075CD9">
              <w:rPr>
                <w:sz w:val="20"/>
                <w:szCs w:val="20"/>
              </w:rPr>
              <w:t>S: Sep 2012</w:t>
            </w:r>
          </w:p>
          <w:p w:rsidR="00855A19" w:rsidRPr="00075CD9" w:rsidRDefault="00855A19" w:rsidP="00454EE4">
            <w:pPr>
              <w:rPr>
                <w:sz w:val="20"/>
                <w:szCs w:val="20"/>
              </w:rPr>
            </w:pPr>
            <w:r w:rsidRPr="00075CD9">
              <w:rPr>
                <w:sz w:val="20"/>
                <w:szCs w:val="20"/>
              </w:rPr>
              <w:t>T: Sep 2013</w:t>
            </w:r>
          </w:p>
        </w:tc>
        <w:tc>
          <w:tcPr>
            <w:tcW w:w="1094" w:type="dxa"/>
          </w:tcPr>
          <w:p w:rsidR="00855A19" w:rsidRPr="00075CD9" w:rsidRDefault="00855A19" w:rsidP="00454EE4">
            <w:pPr>
              <w:rPr>
                <w:sz w:val="20"/>
                <w:szCs w:val="20"/>
              </w:rPr>
            </w:pPr>
            <w:r w:rsidRPr="00075CD9">
              <w:rPr>
                <w:sz w:val="20"/>
                <w:szCs w:val="20"/>
              </w:rPr>
              <w:t>SE19</w:t>
            </w:r>
          </w:p>
        </w:tc>
        <w:tc>
          <w:tcPr>
            <w:tcW w:w="3046" w:type="dxa"/>
          </w:tcPr>
          <w:p w:rsidR="00855A19" w:rsidRPr="00075CD9" w:rsidRDefault="00855A19" w:rsidP="00454EE4">
            <w:pPr>
              <w:rPr>
                <w:sz w:val="20"/>
                <w:szCs w:val="20"/>
                <w:lang w:val="en-GB"/>
              </w:rPr>
            </w:pPr>
            <w:r w:rsidRPr="00075CD9">
              <w:rPr>
                <w:sz w:val="20"/>
                <w:szCs w:val="20"/>
                <w:lang w:val="en-GB"/>
              </w:rPr>
              <w:t>There is no CEPT recommendation for this band. Outcome of AI 1.8 (WRC-12) to be included</w:t>
            </w:r>
          </w:p>
        </w:tc>
        <w:tc>
          <w:tcPr>
            <w:tcW w:w="1689" w:type="dxa"/>
          </w:tcPr>
          <w:p w:rsidR="00855A19" w:rsidRPr="00075CD9" w:rsidRDefault="00855A19" w:rsidP="000318E3">
            <w:pPr>
              <w:jc w:val="center"/>
              <w:rPr>
                <w:sz w:val="20"/>
                <w:szCs w:val="20"/>
                <w:lang w:val="en-GB"/>
              </w:rPr>
            </w:pPr>
            <w:r w:rsidRPr="00075CD9">
              <w:rPr>
                <w:sz w:val="20"/>
                <w:szCs w:val="20"/>
                <w:lang w:val="en-GB"/>
              </w:rPr>
              <w:t xml:space="preserve">SE19 </w:t>
            </w:r>
            <w:r w:rsidRPr="00075CD9">
              <w:rPr>
                <w:sz w:val="20"/>
                <w:szCs w:val="20"/>
                <w:lang w:val="en-US"/>
              </w:rPr>
              <w:t>through WGSE</w:t>
            </w:r>
            <w:r w:rsidRPr="00075CD9">
              <w:rPr>
                <w:sz w:val="20"/>
                <w:szCs w:val="20"/>
                <w:lang w:val="en-GB"/>
              </w:rPr>
              <w:t xml:space="preserve"> </w:t>
            </w:r>
            <w:r w:rsidRPr="009A7A75">
              <w:rPr>
                <w:sz w:val="20"/>
                <w:szCs w:val="20"/>
                <w:lang w:val="en-GB"/>
              </w:rPr>
              <w:t xml:space="preserve">(for supporting administrations, see SE(12)079, section </w:t>
            </w:r>
            <w:r>
              <w:rPr>
                <w:sz w:val="20"/>
                <w:szCs w:val="20"/>
                <w:lang w:val="en-GB"/>
              </w:rPr>
              <w:t>6.2.5.1</w:t>
            </w:r>
            <w:r w:rsidRPr="009A7A75">
              <w:rPr>
                <w:sz w:val="20"/>
                <w:szCs w:val="20"/>
                <w:lang w:val="en-GB"/>
              </w:rPr>
              <w:t>)</w:t>
            </w:r>
          </w:p>
        </w:tc>
        <w:tc>
          <w:tcPr>
            <w:tcW w:w="1689" w:type="dxa"/>
          </w:tcPr>
          <w:p w:rsidR="00855A19" w:rsidRPr="00075CD9" w:rsidRDefault="00855A19" w:rsidP="00454EE4">
            <w:pPr>
              <w:jc w:val="center"/>
              <w:rPr>
                <w:sz w:val="20"/>
                <w:szCs w:val="20"/>
              </w:rPr>
            </w:pPr>
            <w:r w:rsidRPr="00075CD9">
              <w:rPr>
                <w:sz w:val="20"/>
                <w:szCs w:val="20"/>
              </w:rPr>
              <w:t>Y</w:t>
            </w: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t>SE21_9</w:t>
            </w:r>
          </w:p>
        </w:tc>
        <w:tc>
          <w:tcPr>
            <w:tcW w:w="2701" w:type="dxa"/>
          </w:tcPr>
          <w:p w:rsidR="00855A19" w:rsidRPr="00075CD9" w:rsidRDefault="00855A19" w:rsidP="000363B0">
            <w:pPr>
              <w:rPr>
                <w:sz w:val="20"/>
                <w:szCs w:val="20"/>
                <w:lang w:val="en-GB"/>
              </w:rPr>
            </w:pPr>
            <w:r w:rsidRPr="00075CD9">
              <w:rPr>
                <w:sz w:val="20"/>
                <w:szCs w:val="20"/>
                <w:lang w:val="en-GB"/>
              </w:rPr>
              <w:t xml:space="preserve">Coordinated inputs to ITU-R: WP1A </w:t>
            </w:r>
            <w:r w:rsidRPr="00075CD9">
              <w:rPr>
                <w:sz w:val="20"/>
                <w:szCs w:val="20"/>
                <w:lang w:val="en-US"/>
              </w:rPr>
              <w:t xml:space="preserve">and other relevant ITU-R groups (in particular </w:t>
            </w:r>
            <w:r w:rsidRPr="00075CD9">
              <w:rPr>
                <w:sz w:val="20"/>
                <w:szCs w:val="20"/>
                <w:lang w:val="en-US"/>
              </w:rPr>
              <w:lastRenderedPageBreak/>
              <w:t>WP 5B) on unwanted emission issues</w:t>
            </w:r>
          </w:p>
        </w:tc>
        <w:tc>
          <w:tcPr>
            <w:tcW w:w="3431" w:type="dxa"/>
          </w:tcPr>
          <w:p w:rsidR="00855A19" w:rsidRPr="00075CD9" w:rsidRDefault="00855A19" w:rsidP="000363B0">
            <w:pPr>
              <w:rPr>
                <w:sz w:val="20"/>
                <w:szCs w:val="20"/>
                <w:lang w:val="en-GB"/>
              </w:rPr>
            </w:pPr>
            <w:r w:rsidRPr="00075CD9">
              <w:rPr>
                <w:sz w:val="20"/>
                <w:szCs w:val="20"/>
                <w:lang w:val="en-GB"/>
              </w:rPr>
              <w:lastRenderedPageBreak/>
              <w:t xml:space="preserve">Coordination of contributions related to unwanted emission issues  to ITU-R  WP 1A </w:t>
            </w:r>
            <w:r w:rsidRPr="00075CD9">
              <w:rPr>
                <w:sz w:val="20"/>
                <w:szCs w:val="20"/>
                <w:lang w:val="en-US"/>
              </w:rPr>
              <w:t xml:space="preserve">and other relevant ITU-R </w:t>
            </w:r>
            <w:r w:rsidRPr="00075CD9">
              <w:rPr>
                <w:sz w:val="20"/>
                <w:szCs w:val="20"/>
                <w:lang w:val="en-US"/>
              </w:rPr>
              <w:lastRenderedPageBreak/>
              <w:t>groups (in particular WP 5B)</w:t>
            </w:r>
            <w:r w:rsidRPr="00075CD9">
              <w:rPr>
                <w:sz w:val="20"/>
                <w:szCs w:val="20"/>
                <w:lang w:val="en-GB"/>
              </w:rPr>
              <w:t>.</w:t>
            </w:r>
          </w:p>
        </w:tc>
        <w:tc>
          <w:tcPr>
            <w:tcW w:w="1389" w:type="dxa"/>
          </w:tcPr>
          <w:p w:rsidR="00855A19" w:rsidRPr="00075CD9" w:rsidRDefault="00855A19" w:rsidP="008A523C">
            <w:pPr>
              <w:rPr>
                <w:sz w:val="20"/>
                <w:szCs w:val="20"/>
                <w:lang w:val="en-GB"/>
              </w:rPr>
            </w:pPr>
            <w:r w:rsidRPr="00075CD9">
              <w:rPr>
                <w:sz w:val="20"/>
                <w:szCs w:val="20"/>
                <w:lang w:val="en-GB"/>
              </w:rPr>
              <w:lastRenderedPageBreak/>
              <w:t>T: Sep 2015</w:t>
            </w:r>
          </w:p>
        </w:tc>
        <w:tc>
          <w:tcPr>
            <w:tcW w:w="1094" w:type="dxa"/>
          </w:tcPr>
          <w:p w:rsidR="00855A19" w:rsidRPr="00075CD9" w:rsidRDefault="00855A19" w:rsidP="000363B0">
            <w:pPr>
              <w:rPr>
                <w:sz w:val="20"/>
                <w:szCs w:val="20"/>
                <w:lang w:val="en-GB"/>
              </w:rPr>
            </w:pPr>
            <w:r w:rsidRPr="00075CD9">
              <w:rPr>
                <w:sz w:val="20"/>
                <w:szCs w:val="20"/>
                <w:lang w:val="en-GB"/>
              </w:rPr>
              <w:t>SE21</w:t>
            </w:r>
          </w:p>
        </w:tc>
        <w:tc>
          <w:tcPr>
            <w:tcW w:w="3046" w:type="dxa"/>
          </w:tcPr>
          <w:p w:rsidR="00855A19" w:rsidRPr="00075CD9" w:rsidRDefault="00855A19" w:rsidP="000363B0">
            <w:pPr>
              <w:rPr>
                <w:sz w:val="20"/>
                <w:szCs w:val="20"/>
                <w:lang w:val="en-GB"/>
              </w:rPr>
            </w:pPr>
          </w:p>
        </w:tc>
        <w:tc>
          <w:tcPr>
            <w:tcW w:w="1689" w:type="dxa"/>
          </w:tcPr>
          <w:p w:rsidR="00855A19" w:rsidRPr="00075CD9" w:rsidRDefault="00855A19" w:rsidP="000363B0">
            <w:pPr>
              <w:jc w:val="center"/>
              <w:rPr>
                <w:sz w:val="20"/>
                <w:szCs w:val="20"/>
                <w:lang w:val="en-GB"/>
              </w:rPr>
            </w:pPr>
          </w:p>
        </w:tc>
        <w:tc>
          <w:tcPr>
            <w:tcW w:w="1689" w:type="dxa"/>
          </w:tcPr>
          <w:p w:rsidR="00855A19" w:rsidRPr="00075CD9" w:rsidRDefault="00855A19" w:rsidP="000363B0">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Del="00655B6E" w:rsidRDefault="00855A19" w:rsidP="003B100D">
            <w:pPr>
              <w:rPr>
                <w:sz w:val="20"/>
                <w:szCs w:val="20"/>
                <w:lang w:val="en-GB"/>
              </w:rPr>
            </w:pPr>
            <w:r w:rsidRPr="00075CD9">
              <w:rPr>
                <w:sz w:val="20"/>
                <w:szCs w:val="20"/>
                <w:lang w:val="en-GB"/>
              </w:rPr>
              <w:lastRenderedPageBreak/>
              <w:t>SE21_17</w:t>
            </w:r>
          </w:p>
        </w:tc>
        <w:tc>
          <w:tcPr>
            <w:tcW w:w="2701" w:type="dxa"/>
          </w:tcPr>
          <w:p w:rsidR="00855A19" w:rsidRPr="00075CD9" w:rsidDel="00655B6E" w:rsidRDefault="00855A19" w:rsidP="003B100D">
            <w:pPr>
              <w:rPr>
                <w:sz w:val="20"/>
                <w:szCs w:val="20"/>
                <w:lang w:val="en-GB"/>
              </w:rPr>
            </w:pPr>
            <w:r w:rsidRPr="00075CD9">
              <w:rPr>
                <w:sz w:val="20"/>
                <w:szCs w:val="20"/>
                <w:lang w:val="en-GB"/>
              </w:rPr>
              <w:t>Review the characterisation of the unwanted emissions to achieve a more efficient use of the spectrum in long-term</w:t>
            </w:r>
          </w:p>
        </w:tc>
        <w:tc>
          <w:tcPr>
            <w:tcW w:w="3431" w:type="dxa"/>
          </w:tcPr>
          <w:p w:rsidR="00855A19" w:rsidRPr="00075CD9" w:rsidDel="00655B6E" w:rsidRDefault="00855A19" w:rsidP="00D530E0">
            <w:pPr>
              <w:rPr>
                <w:sz w:val="20"/>
                <w:szCs w:val="20"/>
                <w:lang w:val="en-GB"/>
              </w:rPr>
            </w:pPr>
            <w:r w:rsidRPr="00075CD9">
              <w:rPr>
                <w:sz w:val="20"/>
                <w:szCs w:val="20"/>
                <w:lang w:val="en-GB"/>
              </w:rPr>
              <w:t>ECC Report and if appropriate, revision of relevant ERC/ECC Recommendations</w:t>
            </w:r>
          </w:p>
        </w:tc>
        <w:tc>
          <w:tcPr>
            <w:tcW w:w="1389" w:type="dxa"/>
          </w:tcPr>
          <w:p w:rsidR="00855A19" w:rsidRPr="00075CD9" w:rsidDel="00655B6E" w:rsidRDefault="00855A19" w:rsidP="003B100D">
            <w:pPr>
              <w:rPr>
                <w:sz w:val="20"/>
                <w:szCs w:val="20"/>
                <w:lang w:val="en-GB"/>
              </w:rPr>
            </w:pPr>
            <w:r w:rsidRPr="00075CD9">
              <w:rPr>
                <w:sz w:val="20"/>
                <w:szCs w:val="20"/>
                <w:lang w:val="en-GB"/>
              </w:rPr>
              <w:t>S: Sep 2012</w:t>
            </w:r>
            <w:r w:rsidRPr="00075CD9">
              <w:rPr>
                <w:sz w:val="20"/>
                <w:szCs w:val="20"/>
                <w:lang w:val="en-GB"/>
              </w:rPr>
              <w:br/>
              <w:t>T: Feb 2015</w:t>
            </w:r>
          </w:p>
        </w:tc>
        <w:tc>
          <w:tcPr>
            <w:tcW w:w="1094" w:type="dxa"/>
          </w:tcPr>
          <w:p w:rsidR="00855A19" w:rsidRPr="00075CD9" w:rsidDel="00655B6E" w:rsidRDefault="00855A19" w:rsidP="003B100D">
            <w:pPr>
              <w:rPr>
                <w:sz w:val="20"/>
                <w:szCs w:val="20"/>
                <w:lang w:val="en-GB"/>
              </w:rPr>
            </w:pPr>
            <w:r w:rsidRPr="00075CD9">
              <w:rPr>
                <w:sz w:val="20"/>
                <w:szCs w:val="20"/>
                <w:lang w:val="en-GB"/>
              </w:rPr>
              <w:t>SE21</w:t>
            </w:r>
          </w:p>
        </w:tc>
        <w:tc>
          <w:tcPr>
            <w:tcW w:w="3046" w:type="dxa"/>
          </w:tcPr>
          <w:p w:rsidR="00855A19" w:rsidRPr="00075CD9" w:rsidRDefault="00855A19" w:rsidP="003B100D">
            <w:pPr>
              <w:rPr>
                <w:sz w:val="20"/>
                <w:szCs w:val="20"/>
                <w:lang w:val="en-GB"/>
              </w:rPr>
            </w:pPr>
            <w:r w:rsidRPr="00075CD9">
              <w:rPr>
                <w:sz w:val="20"/>
                <w:szCs w:val="20"/>
                <w:lang w:val="en-GB"/>
              </w:rPr>
              <w:t>The review will include considerations on the out-of-band and spurious domains as well as the boundary between them, taking into account the development of technology</w:t>
            </w:r>
            <w:r>
              <w:rPr>
                <w:sz w:val="20"/>
                <w:szCs w:val="20"/>
                <w:lang w:val="en-GB"/>
              </w:rPr>
              <w:t xml:space="preserve"> for extremely narrow band and wideband systems</w:t>
            </w:r>
            <w:r w:rsidRPr="00075CD9">
              <w:rPr>
                <w:sz w:val="20"/>
                <w:szCs w:val="20"/>
                <w:lang w:val="en-GB"/>
              </w:rPr>
              <w:t>.</w:t>
            </w:r>
          </w:p>
          <w:p w:rsidR="00855A19" w:rsidRPr="00075CD9" w:rsidRDefault="00855A19" w:rsidP="00D530E0">
            <w:pPr>
              <w:rPr>
                <w:sz w:val="20"/>
                <w:szCs w:val="20"/>
                <w:lang w:val="en-GB"/>
              </w:rPr>
            </w:pPr>
          </w:p>
          <w:p w:rsidR="00855A19" w:rsidRPr="00075CD9" w:rsidDel="00655B6E" w:rsidRDefault="00855A19" w:rsidP="00D530E0">
            <w:pPr>
              <w:rPr>
                <w:sz w:val="20"/>
                <w:szCs w:val="20"/>
                <w:lang w:val="en-US"/>
              </w:rPr>
            </w:pPr>
            <w:r w:rsidRPr="00075CD9">
              <w:rPr>
                <w:sz w:val="20"/>
                <w:szCs w:val="20"/>
                <w:lang w:val="en-GB"/>
              </w:rPr>
              <w:t>Contributions to ITU-R WP1A,</w:t>
            </w:r>
          </w:p>
        </w:tc>
        <w:tc>
          <w:tcPr>
            <w:tcW w:w="1689" w:type="dxa"/>
          </w:tcPr>
          <w:p w:rsidR="00855A19" w:rsidRPr="00075CD9" w:rsidRDefault="00855A19" w:rsidP="00D530E0">
            <w:pPr>
              <w:jc w:val="center"/>
              <w:rPr>
                <w:sz w:val="20"/>
                <w:szCs w:val="20"/>
                <w:lang w:val="en-GB"/>
              </w:rPr>
            </w:pPr>
            <w:r w:rsidRPr="00075CD9">
              <w:rPr>
                <w:sz w:val="20"/>
                <w:szCs w:val="20"/>
                <w:lang w:val="en-GB"/>
              </w:rPr>
              <w:t>SE21 through</w:t>
            </w:r>
          </w:p>
          <w:p w:rsidR="00855A19" w:rsidRPr="00075CD9" w:rsidRDefault="00855A19" w:rsidP="000318E3">
            <w:pPr>
              <w:jc w:val="center"/>
              <w:rPr>
                <w:sz w:val="20"/>
                <w:szCs w:val="20"/>
                <w:lang w:val="en-GB"/>
              </w:rPr>
            </w:pPr>
            <w:r w:rsidRPr="00075CD9">
              <w:rPr>
                <w:sz w:val="20"/>
                <w:szCs w:val="20"/>
                <w:lang w:val="en-GB"/>
              </w:rPr>
              <w:t>WGSE</w:t>
            </w:r>
            <w:r>
              <w:rPr>
                <w:sz w:val="20"/>
                <w:szCs w:val="20"/>
                <w:lang w:val="en-GB"/>
              </w:rPr>
              <w:t xml:space="preserve"> </w:t>
            </w:r>
            <w:r w:rsidRPr="009A7A75">
              <w:rPr>
                <w:sz w:val="20"/>
                <w:szCs w:val="20"/>
                <w:lang w:val="en-GB"/>
              </w:rPr>
              <w:t xml:space="preserve">(for supporting administrations, see SE(12)079, section </w:t>
            </w:r>
            <w:r>
              <w:rPr>
                <w:sz w:val="20"/>
                <w:szCs w:val="20"/>
                <w:lang w:val="en-GB"/>
              </w:rPr>
              <w:t>7.3</w:t>
            </w:r>
            <w:r w:rsidRPr="009A7A75">
              <w:rPr>
                <w:sz w:val="20"/>
                <w:szCs w:val="20"/>
                <w:lang w:val="en-GB"/>
              </w:rPr>
              <w:t>)</w:t>
            </w:r>
          </w:p>
        </w:tc>
        <w:tc>
          <w:tcPr>
            <w:tcW w:w="1689" w:type="dxa"/>
          </w:tcPr>
          <w:p w:rsidR="00855A19" w:rsidRPr="00075CD9" w:rsidDel="00655B6E" w:rsidRDefault="00855A19" w:rsidP="003B100D">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0363B0">
            <w:pPr>
              <w:rPr>
                <w:sz w:val="20"/>
                <w:szCs w:val="20"/>
              </w:rPr>
            </w:pPr>
            <w:r w:rsidRPr="00075CD9">
              <w:rPr>
                <w:sz w:val="20"/>
                <w:szCs w:val="20"/>
              </w:rPr>
              <w:t>SE24_37</w:t>
            </w:r>
          </w:p>
        </w:tc>
        <w:tc>
          <w:tcPr>
            <w:tcW w:w="2701" w:type="dxa"/>
          </w:tcPr>
          <w:p w:rsidR="00855A19" w:rsidRPr="00075CD9" w:rsidRDefault="00855A19" w:rsidP="000363B0">
            <w:pPr>
              <w:tabs>
                <w:tab w:val="left" w:pos="110"/>
                <w:tab w:val="left" w:pos="290"/>
              </w:tabs>
              <w:rPr>
                <w:b/>
                <w:bCs/>
                <w:lang w:val="en-IE"/>
              </w:rPr>
            </w:pPr>
            <w:r w:rsidRPr="00075CD9">
              <w:rPr>
                <w:iCs/>
                <w:sz w:val="20"/>
                <w:szCs w:val="20"/>
                <w:lang w:val="en-GB"/>
              </w:rPr>
              <w:t xml:space="preserve">Analyses of UWB LDC mitigation technique with respect to incumbent </w:t>
            </w:r>
            <w:proofErr w:type="spellStart"/>
            <w:r w:rsidRPr="00075CD9">
              <w:rPr>
                <w:iCs/>
                <w:sz w:val="20"/>
                <w:szCs w:val="20"/>
                <w:lang w:val="en-GB"/>
              </w:rPr>
              <w:t>radiocommunication</w:t>
            </w:r>
            <w:proofErr w:type="spellEnd"/>
            <w:r w:rsidRPr="00075CD9">
              <w:rPr>
                <w:iCs/>
                <w:sz w:val="20"/>
                <w:szCs w:val="20"/>
                <w:lang w:val="en-GB"/>
              </w:rPr>
              <w:t xml:space="preserve"> services in the band 2.69 to 5 GHz</w:t>
            </w:r>
          </w:p>
          <w:p w:rsidR="00855A19" w:rsidRPr="00075CD9" w:rsidRDefault="00855A19" w:rsidP="000363B0">
            <w:pPr>
              <w:rPr>
                <w:sz w:val="20"/>
                <w:szCs w:val="20"/>
                <w:lang w:val="en-US"/>
              </w:rPr>
            </w:pPr>
          </w:p>
        </w:tc>
        <w:tc>
          <w:tcPr>
            <w:tcW w:w="3431" w:type="dxa"/>
          </w:tcPr>
          <w:p w:rsidR="00855A19" w:rsidRPr="00075CD9" w:rsidRDefault="00855A19" w:rsidP="000363B0">
            <w:pPr>
              <w:jc w:val="both"/>
              <w:rPr>
                <w:sz w:val="20"/>
                <w:szCs w:val="20"/>
                <w:lang w:val="en-US"/>
              </w:rPr>
            </w:pPr>
            <w:r w:rsidRPr="00075CD9">
              <w:rPr>
                <w:iCs/>
                <w:sz w:val="20"/>
                <w:szCs w:val="20"/>
                <w:lang w:val="en-GB"/>
              </w:rPr>
              <w:t>ECC Report</w:t>
            </w:r>
          </w:p>
        </w:tc>
        <w:tc>
          <w:tcPr>
            <w:tcW w:w="1389" w:type="dxa"/>
          </w:tcPr>
          <w:p w:rsidR="00855A19" w:rsidRPr="00075CD9" w:rsidRDefault="00855A19" w:rsidP="000363B0">
            <w:pPr>
              <w:tabs>
                <w:tab w:val="left" w:pos="110"/>
                <w:tab w:val="left" w:pos="290"/>
              </w:tabs>
              <w:rPr>
                <w:iCs/>
                <w:sz w:val="20"/>
                <w:szCs w:val="20"/>
                <w:lang w:val="en-GB"/>
              </w:rPr>
            </w:pPr>
            <w:r w:rsidRPr="00075CD9">
              <w:rPr>
                <w:iCs/>
                <w:sz w:val="20"/>
                <w:szCs w:val="20"/>
                <w:lang w:val="en-GB"/>
              </w:rPr>
              <w:t>S: May 2011</w:t>
            </w:r>
          </w:p>
          <w:p w:rsidR="00855A19" w:rsidRPr="00075CD9" w:rsidRDefault="00855A19" w:rsidP="003B100D">
            <w:pPr>
              <w:rPr>
                <w:sz w:val="20"/>
                <w:szCs w:val="20"/>
                <w:lang w:val="en-US"/>
              </w:rPr>
            </w:pPr>
            <w:r w:rsidRPr="00075CD9">
              <w:rPr>
                <w:iCs/>
                <w:sz w:val="20"/>
                <w:szCs w:val="20"/>
                <w:lang w:val="en-GB"/>
              </w:rPr>
              <w:t>T: May 2014</w:t>
            </w:r>
          </w:p>
        </w:tc>
        <w:tc>
          <w:tcPr>
            <w:tcW w:w="1094" w:type="dxa"/>
          </w:tcPr>
          <w:p w:rsidR="00855A19" w:rsidRPr="00075CD9" w:rsidRDefault="00855A19" w:rsidP="000363B0">
            <w:pPr>
              <w:rPr>
                <w:sz w:val="20"/>
                <w:szCs w:val="20"/>
                <w:lang w:val="en-US"/>
              </w:rPr>
            </w:pPr>
            <w:r w:rsidRPr="00075CD9">
              <w:rPr>
                <w:iCs/>
                <w:sz w:val="20"/>
                <w:szCs w:val="20"/>
                <w:lang w:val="en-GB"/>
              </w:rPr>
              <w:t>SE24</w:t>
            </w:r>
          </w:p>
        </w:tc>
        <w:tc>
          <w:tcPr>
            <w:tcW w:w="3046" w:type="dxa"/>
          </w:tcPr>
          <w:p w:rsidR="00855A19" w:rsidRPr="00075CD9" w:rsidRDefault="00855A19" w:rsidP="000363B0">
            <w:pPr>
              <w:tabs>
                <w:tab w:val="left" w:pos="110"/>
                <w:tab w:val="left" w:pos="290"/>
              </w:tabs>
              <w:rPr>
                <w:iCs/>
                <w:sz w:val="20"/>
                <w:szCs w:val="20"/>
                <w:lang w:val="en-GB"/>
              </w:rPr>
            </w:pPr>
            <w:r w:rsidRPr="00075CD9">
              <w:rPr>
                <w:iCs/>
                <w:sz w:val="20"/>
                <w:szCs w:val="20"/>
                <w:lang w:val="en-GB"/>
              </w:rPr>
              <w:t xml:space="preserve">The report should take into account existing studies (ECC Report 94 and ECC Report </w:t>
            </w:r>
            <w:proofErr w:type="gramStart"/>
            <w:r w:rsidRPr="00075CD9">
              <w:rPr>
                <w:iCs/>
                <w:sz w:val="20"/>
                <w:szCs w:val="20"/>
                <w:lang w:val="en-GB"/>
              </w:rPr>
              <w:t>123  and</w:t>
            </w:r>
            <w:proofErr w:type="gramEnd"/>
            <w:r w:rsidRPr="00075CD9">
              <w:rPr>
                <w:iCs/>
                <w:sz w:val="20"/>
                <w:szCs w:val="20"/>
                <w:lang w:val="en-GB"/>
              </w:rPr>
              <w:t xml:space="preserve"> ECC report 170). </w:t>
            </w:r>
            <w:proofErr w:type="gramStart"/>
            <w:r w:rsidRPr="00075CD9">
              <w:rPr>
                <w:iCs/>
                <w:sz w:val="20"/>
                <w:szCs w:val="20"/>
                <w:lang w:val="en-GB"/>
              </w:rPr>
              <w:t>Studies in ECC Report 94 addresses</w:t>
            </w:r>
            <w:proofErr w:type="gramEnd"/>
            <w:r w:rsidRPr="00075CD9">
              <w:rPr>
                <w:iCs/>
                <w:sz w:val="20"/>
                <w:szCs w:val="20"/>
                <w:lang w:val="en-GB"/>
              </w:rPr>
              <w:t xml:space="preserve"> only the impact of LDC on </w:t>
            </w:r>
            <w:proofErr w:type="spellStart"/>
            <w:r w:rsidRPr="00075CD9">
              <w:rPr>
                <w:iCs/>
                <w:sz w:val="20"/>
                <w:szCs w:val="20"/>
                <w:lang w:val="en-GB"/>
              </w:rPr>
              <w:t>WiMAX</w:t>
            </w:r>
            <w:proofErr w:type="spellEnd"/>
            <w:r w:rsidRPr="00075CD9">
              <w:rPr>
                <w:iCs/>
                <w:sz w:val="20"/>
                <w:szCs w:val="20"/>
                <w:lang w:val="en-GB"/>
              </w:rPr>
              <w:t>.</w:t>
            </w:r>
          </w:p>
          <w:p w:rsidR="00855A19" w:rsidRPr="00075CD9" w:rsidRDefault="00855A19" w:rsidP="000363B0">
            <w:pPr>
              <w:tabs>
                <w:tab w:val="left" w:pos="110"/>
                <w:tab w:val="left" w:pos="290"/>
              </w:tabs>
              <w:rPr>
                <w:iCs/>
                <w:sz w:val="20"/>
                <w:szCs w:val="20"/>
                <w:lang w:val="en-GB"/>
              </w:rPr>
            </w:pPr>
          </w:p>
          <w:p w:rsidR="00855A19" w:rsidRPr="00075CD9" w:rsidRDefault="00855A19" w:rsidP="000363B0">
            <w:pPr>
              <w:tabs>
                <w:tab w:val="left" w:pos="110"/>
                <w:tab w:val="left" w:pos="290"/>
              </w:tabs>
              <w:rPr>
                <w:iCs/>
                <w:sz w:val="20"/>
                <w:szCs w:val="20"/>
                <w:lang w:val="en-GB"/>
              </w:rPr>
            </w:pPr>
            <w:r w:rsidRPr="00075CD9">
              <w:rPr>
                <w:iCs/>
                <w:sz w:val="20"/>
                <w:szCs w:val="20"/>
                <w:lang w:val="en-GB"/>
              </w:rPr>
              <w:t xml:space="preserve">Further studies should address in particular the following services: </w:t>
            </w:r>
            <w:proofErr w:type="spellStart"/>
            <w:r w:rsidRPr="00075CD9">
              <w:rPr>
                <w:iCs/>
                <w:sz w:val="20"/>
                <w:szCs w:val="20"/>
                <w:lang w:val="en-GB"/>
              </w:rPr>
              <w:t>Radionavigation</w:t>
            </w:r>
            <w:proofErr w:type="spellEnd"/>
            <w:r w:rsidRPr="00075CD9">
              <w:rPr>
                <w:iCs/>
                <w:sz w:val="20"/>
                <w:szCs w:val="20"/>
                <w:lang w:val="en-GB"/>
              </w:rPr>
              <w:t xml:space="preserve">, </w:t>
            </w:r>
            <w:smartTag w:uri="urn:schemas-microsoft-com:office:smarttags" w:element="City">
              <w:smartTag w:uri="urn:schemas-microsoft-com:office:smarttags" w:element="place">
                <w:r w:rsidRPr="00075CD9">
                  <w:rPr>
                    <w:iCs/>
                    <w:sz w:val="20"/>
                    <w:szCs w:val="20"/>
                    <w:lang w:val="en-GB"/>
                  </w:rPr>
                  <w:t>RAS</w:t>
                </w:r>
              </w:smartTag>
              <w:r w:rsidRPr="00075CD9">
                <w:rPr>
                  <w:iCs/>
                  <w:sz w:val="20"/>
                  <w:szCs w:val="20"/>
                  <w:lang w:val="en-GB"/>
                </w:rPr>
                <w:t xml:space="preserve">, </w:t>
              </w:r>
              <w:smartTag w:uri="urn:schemas-microsoft-com:office:smarttags" w:element="State">
                <w:r w:rsidRPr="00075CD9">
                  <w:rPr>
                    <w:iCs/>
                    <w:sz w:val="20"/>
                    <w:szCs w:val="20"/>
                    <w:lang w:val="en-GB"/>
                  </w:rPr>
                  <w:t>MS</w:t>
                </w:r>
              </w:smartTag>
            </w:smartTag>
            <w:r w:rsidRPr="00075CD9">
              <w:rPr>
                <w:iCs/>
                <w:sz w:val="20"/>
                <w:szCs w:val="20"/>
                <w:lang w:val="en-GB"/>
              </w:rPr>
              <w:t>…</w:t>
            </w:r>
          </w:p>
          <w:p w:rsidR="00855A19" w:rsidRPr="00075CD9" w:rsidRDefault="00855A19" w:rsidP="000363B0">
            <w:pPr>
              <w:tabs>
                <w:tab w:val="left" w:pos="110"/>
                <w:tab w:val="left" w:pos="290"/>
              </w:tabs>
              <w:rPr>
                <w:iCs/>
                <w:sz w:val="20"/>
                <w:szCs w:val="20"/>
                <w:lang w:val="en-GB"/>
              </w:rPr>
            </w:pPr>
          </w:p>
          <w:p w:rsidR="00855A19" w:rsidRPr="00075CD9" w:rsidRDefault="00855A19" w:rsidP="000363B0">
            <w:pPr>
              <w:tabs>
                <w:tab w:val="left" w:pos="110"/>
                <w:tab w:val="left" w:pos="290"/>
              </w:tabs>
              <w:rPr>
                <w:iCs/>
                <w:sz w:val="20"/>
                <w:szCs w:val="20"/>
                <w:lang w:val="en-GB"/>
              </w:rPr>
            </w:pPr>
            <w:r w:rsidRPr="00075CD9">
              <w:rPr>
                <w:iCs/>
                <w:sz w:val="20"/>
                <w:szCs w:val="20"/>
                <w:lang w:val="en-GB"/>
              </w:rPr>
              <w:t>Cooperation with ETSI STF 411and TG UWB.</w:t>
            </w:r>
          </w:p>
          <w:p w:rsidR="00855A19" w:rsidRPr="00075CD9" w:rsidRDefault="00855A19" w:rsidP="000363B0">
            <w:pPr>
              <w:jc w:val="both"/>
              <w:rPr>
                <w:sz w:val="20"/>
                <w:szCs w:val="20"/>
                <w:lang w:val="en-US"/>
              </w:rPr>
            </w:pPr>
          </w:p>
        </w:tc>
        <w:tc>
          <w:tcPr>
            <w:tcW w:w="1689" w:type="dxa"/>
          </w:tcPr>
          <w:p w:rsidR="00855A19" w:rsidRPr="00075CD9" w:rsidRDefault="00855A19" w:rsidP="000363B0">
            <w:pPr>
              <w:jc w:val="center"/>
              <w:rPr>
                <w:sz w:val="20"/>
                <w:szCs w:val="20"/>
                <w:lang w:val="en-US"/>
              </w:rPr>
            </w:pPr>
          </w:p>
        </w:tc>
        <w:tc>
          <w:tcPr>
            <w:tcW w:w="1689" w:type="dxa"/>
          </w:tcPr>
          <w:p w:rsidR="00855A19" w:rsidRPr="00075CD9" w:rsidRDefault="00855A19" w:rsidP="000363B0">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0363B0">
            <w:pPr>
              <w:rPr>
                <w:sz w:val="20"/>
                <w:szCs w:val="20"/>
              </w:rPr>
            </w:pPr>
            <w:r w:rsidRPr="00075CD9">
              <w:rPr>
                <w:sz w:val="20"/>
                <w:szCs w:val="20"/>
              </w:rPr>
              <w:t>SE24_38</w:t>
            </w:r>
          </w:p>
        </w:tc>
        <w:tc>
          <w:tcPr>
            <w:tcW w:w="2701" w:type="dxa"/>
          </w:tcPr>
          <w:p w:rsidR="00855A19" w:rsidRPr="00075CD9" w:rsidRDefault="00855A19" w:rsidP="000363B0">
            <w:pPr>
              <w:tabs>
                <w:tab w:val="left" w:pos="110"/>
                <w:tab w:val="left" w:pos="290"/>
              </w:tabs>
              <w:rPr>
                <w:iCs/>
                <w:sz w:val="20"/>
                <w:szCs w:val="20"/>
                <w:lang w:val="en-GB"/>
              </w:rPr>
            </w:pPr>
            <w:r w:rsidRPr="00075CD9">
              <w:rPr>
                <w:sz w:val="20"/>
                <w:szCs w:val="20"/>
                <w:lang w:val="en-GB"/>
              </w:rPr>
              <w:t>Compatibility between SRD and Earth Exploration Satellite Service (EESS) at 122 GHz</w:t>
            </w:r>
          </w:p>
        </w:tc>
        <w:tc>
          <w:tcPr>
            <w:tcW w:w="3431" w:type="dxa"/>
          </w:tcPr>
          <w:p w:rsidR="00855A19" w:rsidRPr="00075CD9" w:rsidRDefault="00855A19" w:rsidP="000363B0">
            <w:pPr>
              <w:jc w:val="both"/>
              <w:rPr>
                <w:iCs/>
                <w:sz w:val="20"/>
                <w:szCs w:val="20"/>
                <w:lang w:val="en-GB"/>
              </w:rPr>
            </w:pPr>
            <w:r w:rsidRPr="00075CD9">
              <w:rPr>
                <w:sz w:val="20"/>
                <w:szCs w:val="20"/>
                <w:lang w:val="en-US"/>
              </w:rPr>
              <w:t xml:space="preserve">ECC Report </w:t>
            </w:r>
          </w:p>
        </w:tc>
        <w:tc>
          <w:tcPr>
            <w:tcW w:w="1389" w:type="dxa"/>
          </w:tcPr>
          <w:p w:rsidR="00855A19" w:rsidRPr="00075CD9" w:rsidRDefault="00855A19" w:rsidP="000363B0">
            <w:pPr>
              <w:tabs>
                <w:tab w:val="left" w:pos="110"/>
                <w:tab w:val="left" w:pos="290"/>
              </w:tabs>
              <w:rPr>
                <w:iCs/>
                <w:sz w:val="20"/>
                <w:szCs w:val="20"/>
                <w:lang w:val="en-GB"/>
              </w:rPr>
            </w:pPr>
            <w:r w:rsidRPr="00075CD9">
              <w:rPr>
                <w:sz w:val="20"/>
                <w:szCs w:val="20"/>
                <w:lang w:val="en-US"/>
              </w:rPr>
              <w:t xml:space="preserve">S: Oct 2011 T: </w:t>
            </w:r>
            <w:r w:rsidRPr="00075CD9">
              <w:rPr>
                <w:iCs/>
                <w:sz w:val="20"/>
                <w:szCs w:val="20"/>
                <w:lang w:val="en-GB"/>
              </w:rPr>
              <w:t>May 2013</w:t>
            </w:r>
          </w:p>
        </w:tc>
        <w:tc>
          <w:tcPr>
            <w:tcW w:w="1094" w:type="dxa"/>
          </w:tcPr>
          <w:p w:rsidR="00855A19" w:rsidRPr="00075CD9" w:rsidRDefault="00855A19" w:rsidP="000363B0">
            <w:pPr>
              <w:rPr>
                <w:iCs/>
                <w:sz w:val="20"/>
                <w:szCs w:val="20"/>
                <w:lang w:val="en-GB"/>
              </w:rPr>
            </w:pPr>
            <w:r w:rsidRPr="00075CD9">
              <w:rPr>
                <w:sz w:val="20"/>
                <w:szCs w:val="20"/>
                <w:lang w:val="en-US"/>
              </w:rPr>
              <w:t>SE24</w:t>
            </w:r>
          </w:p>
        </w:tc>
        <w:tc>
          <w:tcPr>
            <w:tcW w:w="3046" w:type="dxa"/>
          </w:tcPr>
          <w:p w:rsidR="00855A19" w:rsidRPr="00075CD9" w:rsidRDefault="00855A19" w:rsidP="003B100D">
            <w:pPr>
              <w:tabs>
                <w:tab w:val="left" w:pos="110"/>
                <w:tab w:val="left" w:pos="290"/>
              </w:tabs>
              <w:rPr>
                <w:iCs/>
                <w:sz w:val="20"/>
                <w:szCs w:val="20"/>
                <w:lang w:val="en-GB"/>
              </w:rPr>
            </w:pPr>
            <w:r>
              <w:rPr>
                <w:sz w:val="20"/>
                <w:szCs w:val="20"/>
                <w:lang w:val="en-US"/>
              </w:rPr>
              <w:t>Draft ECC Report 190 for public consultation.</w:t>
            </w:r>
          </w:p>
        </w:tc>
        <w:tc>
          <w:tcPr>
            <w:tcW w:w="1689" w:type="dxa"/>
          </w:tcPr>
          <w:p w:rsidR="00855A19" w:rsidRPr="00075CD9" w:rsidRDefault="00855A19" w:rsidP="000363B0">
            <w:pPr>
              <w:jc w:val="center"/>
              <w:rPr>
                <w:sz w:val="20"/>
                <w:szCs w:val="20"/>
                <w:lang w:val="en-US"/>
              </w:rPr>
            </w:pPr>
            <w:r w:rsidRPr="00075CD9">
              <w:rPr>
                <w:sz w:val="20"/>
                <w:szCs w:val="20"/>
                <w:lang w:val="en-US"/>
              </w:rPr>
              <w:t>WG FM</w:t>
            </w:r>
          </w:p>
        </w:tc>
        <w:tc>
          <w:tcPr>
            <w:tcW w:w="1689" w:type="dxa"/>
          </w:tcPr>
          <w:p w:rsidR="00855A19" w:rsidRPr="00075CD9" w:rsidRDefault="00855A19" w:rsidP="000363B0">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0363B0">
            <w:pPr>
              <w:rPr>
                <w:sz w:val="20"/>
                <w:szCs w:val="20"/>
              </w:rPr>
            </w:pPr>
            <w:r w:rsidRPr="00075CD9">
              <w:rPr>
                <w:sz w:val="20"/>
                <w:szCs w:val="20"/>
              </w:rPr>
              <w:t>SE24_39</w:t>
            </w:r>
          </w:p>
        </w:tc>
        <w:tc>
          <w:tcPr>
            <w:tcW w:w="2701" w:type="dxa"/>
          </w:tcPr>
          <w:p w:rsidR="00855A19" w:rsidRPr="00075CD9" w:rsidRDefault="00855A19" w:rsidP="000363B0">
            <w:pPr>
              <w:jc w:val="both"/>
              <w:rPr>
                <w:rFonts w:eastAsia="Batang"/>
                <w:sz w:val="20"/>
                <w:szCs w:val="20"/>
              </w:rPr>
            </w:pPr>
            <w:r w:rsidRPr="00075CD9">
              <w:rPr>
                <w:rFonts w:eastAsia="Batang"/>
                <w:sz w:val="20"/>
                <w:szCs w:val="20"/>
              </w:rPr>
              <w:t xml:space="preserve">Non-UWB </w:t>
            </w:r>
            <w:proofErr w:type="spellStart"/>
            <w:r w:rsidRPr="00075CD9">
              <w:rPr>
                <w:rFonts w:eastAsia="Batang"/>
                <w:sz w:val="20"/>
                <w:szCs w:val="20"/>
              </w:rPr>
              <w:t>industrial</w:t>
            </w:r>
            <w:proofErr w:type="spellEnd"/>
            <w:r w:rsidRPr="00075CD9">
              <w:rPr>
                <w:rFonts w:eastAsia="Batang"/>
                <w:sz w:val="20"/>
                <w:szCs w:val="20"/>
              </w:rPr>
              <w:t xml:space="preserve"> applications</w:t>
            </w:r>
          </w:p>
          <w:p w:rsidR="00855A19" w:rsidRPr="00075CD9" w:rsidRDefault="00855A19" w:rsidP="000363B0">
            <w:pPr>
              <w:tabs>
                <w:tab w:val="left" w:pos="110"/>
                <w:tab w:val="left" w:pos="290"/>
              </w:tabs>
              <w:rPr>
                <w:iCs/>
                <w:sz w:val="20"/>
                <w:szCs w:val="20"/>
                <w:lang w:val="en-GB"/>
              </w:rPr>
            </w:pPr>
          </w:p>
        </w:tc>
        <w:tc>
          <w:tcPr>
            <w:tcW w:w="3431" w:type="dxa"/>
          </w:tcPr>
          <w:p w:rsidR="00855A19" w:rsidRPr="00075CD9" w:rsidRDefault="00855A19" w:rsidP="000363B0">
            <w:pPr>
              <w:jc w:val="both"/>
              <w:rPr>
                <w:iCs/>
                <w:sz w:val="20"/>
                <w:szCs w:val="20"/>
                <w:lang w:val="en-GB"/>
              </w:rPr>
            </w:pPr>
            <w:r w:rsidRPr="00075CD9">
              <w:rPr>
                <w:sz w:val="20"/>
                <w:szCs w:val="20"/>
                <w:lang w:val="en-US"/>
              </w:rPr>
              <w:t xml:space="preserve">ECC Report </w:t>
            </w:r>
          </w:p>
        </w:tc>
        <w:tc>
          <w:tcPr>
            <w:tcW w:w="1389" w:type="dxa"/>
          </w:tcPr>
          <w:p w:rsidR="00855A19" w:rsidRPr="00075CD9" w:rsidRDefault="00855A19" w:rsidP="000363B0">
            <w:pPr>
              <w:tabs>
                <w:tab w:val="left" w:pos="110"/>
                <w:tab w:val="left" w:pos="290"/>
              </w:tabs>
              <w:rPr>
                <w:iCs/>
                <w:sz w:val="20"/>
                <w:szCs w:val="20"/>
                <w:lang w:val="en-GB"/>
              </w:rPr>
            </w:pPr>
            <w:r w:rsidRPr="00075CD9">
              <w:rPr>
                <w:sz w:val="20"/>
                <w:szCs w:val="20"/>
                <w:lang w:val="en-US"/>
              </w:rPr>
              <w:t>S: Oct 2011 T: Sep 2013</w:t>
            </w:r>
          </w:p>
        </w:tc>
        <w:tc>
          <w:tcPr>
            <w:tcW w:w="1094" w:type="dxa"/>
          </w:tcPr>
          <w:p w:rsidR="00855A19" w:rsidRPr="00075CD9" w:rsidRDefault="00855A19" w:rsidP="000363B0">
            <w:pPr>
              <w:rPr>
                <w:iCs/>
                <w:sz w:val="20"/>
                <w:szCs w:val="20"/>
                <w:lang w:val="en-GB"/>
              </w:rPr>
            </w:pPr>
            <w:r w:rsidRPr="00075CD9">
              <w:rPr>
                <w:sz w:val="20"/>
                <w:szCs w:val="20"/>
                <w:lang w:val="en-US"/>
              </w:rPr>
              <w:t>SE24</w:t>
            </w:r>
          </w:p>
        </w:tc>
        <w:tc>
          <w:tcPr>
            <w:tcW w:w="3046" w:type="dxa"/>
          </w:tcPr>
          <w:p w:rsidR="00855A19" w:rsidRPr="00075CD9" w:rsidRDefault="00855A19" w:rsidP="000363B0">
            <w:pPr>
              <w:jc w:val="both"/>
              <w:rPr>
                <w:sz w:val="20"/>
                <w:szCs w:val="20"/>
                <w:lang w:val="en-GB"/>
              </w:rPr>
            </w:pPr>
            <w:r w:rsidRPr="00075CD9">
              <w:rPr>
                <w:sz w:val="20"/>
                <w:szCs w:val="20"/>
                <w:lang w:val="en-US"/>
              </w:rPr>
              <w:t>To conduct compatibility studies relating to non-UWB industrial applications</w:t>
            </w:r>
            <w:r w:rsidRPr="00075CD9">
              <w:rPr>
                <w:rFonts w:eastAsia="Batang"/>
                <w:sz w:val="20"/>
                <w:szCs w:val="20"/>
                <w:lang w:val="en-GB"/>
              </w:rPr>
              <w:t xml:space="preserve"> (see document </w:t>
            </w:r>
            <w:hyperlink r:id="rId8" w:tooltip="SE_11_070_LS_to_WG_SE_on_non-UWB_Wireless_Industrial_Applications.zip" w:history="1">
              <w:r w:rsidRPr="00075CD9">
                <w:rPr>
                  <w:color w:val="3A77B1"/>
                  <w:sz w:val="20"/>
                  <w:szCs w:val="20"/>
                  <w:u w:val="single"/>
                  <w:lang w:val="en-GB"/>
                </w:rPr>
                <w:t>SE(11)070</w:t>
              </w:r>
            </w:hyperlink>
            <w:r w:rsidRPr="00075CD9">
              <w:rPr>
                <w:rFonts w:eastAsia="Batang"/>
                <w:sz w:val="20"/>
                <w:szCs w:val="20"/>
                <w:lang w:val="en-GB"/>
              </w:rPr>
              <w:t>)</w:t>
            </w:r>
            <w:r>
              <w:rPr>
                <w:rFonts w:eastAsia="Batang"/>
                <w:sz w:val="20"/>
                <w:szCs w:val="20"/>
                <w:lang w:val="en-GB"/>
              </w:rPr>
              <w:t xml:space="preserve"> </w:t>
            </w:r>
            <w:r w:rsidRPr="00EA2701">
              <w:rPr>
                <w:rFonts w:ascii="Tahoma" w:hAnsi="Tahoma" w:cs="Tahoma"/>
                <w:color w:val="000000"/>
                <w:sz w:val="16"/>
                <w:szCs w:val="16"/>
                <w:lang w:val="en-US" w:eastAsia="da-DK"/>
              </w:rPr>
              <w:t>)</w:t>
            </w:r>
            <w:r>
              <w:rPr>
                <w:rFonts w:ascii="Tahoma" w:hAnsi="Tahoma" w:cs="Tahoma"/>
                <w:color w:val="000000"/>
                <w:sz w:val="16"/>
                <w:szCs w:val="16"/>
                <w:lang w:val="en-US" w:eastAsia="da-DK"/>
              </w:rPr>
              <w:t xml:space="preserve"> </w:t>
            </w:r>
            <w:r w:rsidRPr="00C82F9D">
              <w:rPr>
                <w:sz w:val="20"/>
                <w:szCs w:val="20"/>
                <w:lang w:val="en-US"/>
              </w:rPr>
              <w:t>in the frequency range 5.725-5.875 GHz.</w:t>
            </w:r>
            <w:r w:rsidRPr="00075CD9">
              <w:rPr>
                <w:rFonts w:eastAsia="Batang"/>
                <w:sz w:val="20"/>
                <w:szCs w:val="20"/>
                <w:lang w:val="en-GB"/>
              </w:rPr>
              <w:t xml:space="preserve"> </w:t>
            </w:r>
          </w:p>
          <w:p w:rsidR="00855A19" w:rsidRPr="00075CD9" w:rsidRDefault="00855A19" w:rsidP="000363B0">
            <w:pPr>
              <w:tabs>
                <w:tab w:val="left" w:pos="110"/>
                <w:tab w:val="left" w:pos="290"/>
              </w:tabs>
              <w:rPr>
                <w:iCs/>
                <w:sz w:val="20"/>
                <w:szCs w:val="20"/>
                <w:lang w:val="en-GB"/>
              </w:rPr>
            </w:pPr>
          </w:p>
        </w:tc>
        <w:tc>
          <w:tcPr>
            <w:tcW w:w="1689" w:type="dxa"/>
          </w:tcPr>
          <w:p w:rsidR="00855A19" w:rsidRPr="00075CD9" w:rsidRDefault="00855A19" w:rsidP="000363B0">
            <w:pPr>
              <w:jc w:val="center"/>
              <w:rPr>
                <w:sz w:val="20"/>
                <w:szCs w:val="20"/>
                <w:lang w:val="en-US"/>
              </w:rPr>
            </w:pPr>
            <w:r w:rsidRPr="00075CD9">
              <w:rPr>
                <w:sz w:val="20"/>
                <w:szCs w:val="20"/>
                <w:lang w:val="en-US"/>
              </w:rPr>
              <w:t>WG FM</w:t>
            </w:r>
          </w:p>
        </w:tc>
        <w:tc>
          <w:tcPr>
            <w:tcW w:w="1689" w:type="dxa"/>
          </w:tcPr>
          <w:p w:rsidR="00855A19" w:rsidRPr="00075CD9" w:rsidRDefault="00855A19" w:rsidP="000363B0">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0363B0">
            <w:pPr>
              <w:rPr>
                <w:sz w:val="20"/>
                <w:szCs w:val="20"/>
              </w:rPr>
            </w:pPr>
            <w:r w:rsidRPr="00075CD9">
              <w:rPr>
                <w:sz w:val="20"/>
                <w:szCs w:val="20"/>
              </w:rPr>
              <w:t>SE24_40</w:t>
            </w:r>
          </w:p>
        </w:tc>
        <w:tc>
          <w:tcPr>
            <w:tcW w:w="2701" w:type="dxa"/>
          </w:tcPr>
          <w:p w:rsidR="00855A19" w:rsidRPr="00075CD9" w:rsidRDefault="00855A19" w:rsidP="000363B0">
            <w:pPr>
              <w:tabs>
                <w:tab w:val="left" w:pos="110"/>
                <w:tab w:val="left" w:pos="290"/>
              </w:tabs>
              <w:rPr>
                <w:iCs/>
                <w:sz w:val="20"/>
                <w:szCs w:val="20"/>
                <w:lang w:val="en-GB"/>
              </w:rPr>
            </w:pPr>
            <w:r w:rsidRPr="00075CD9">
              <w:rPr>
                <w:sz w:val="20"/>
                <w:szCs w:val="20"/>
                <w:lang w:val="en-GB"/>
              </w:rPr>
              <w:t xml:space="preserve">Medical Body Area Network Systems (MBANS) </w:t>
            </w:r>
          </w:p>
        </w:tc>
        <w:tc>
          <w:tcPr>
            <w:tcW w:w="3431" w:type="dxa"/>
          </w:tcPr>
          <w:p w:rsidR="00855A19" w:rsidRPr="00075CD9" w:rsidRDefault="00855A19" w:rsidP="000363B0">
            <w:pPr>
              <w:jc w:val="both"/>
              <w:rPr>
                <w:iCs/>
                <w:sz w:val="20"/>
                <w:szCs w:val="20"/>
                <w:lang w:val="en-GB"/>
              </w:rPr>
            </w:pPr>
            <w:r w:rsidRPr="00075CD9">
              <w:rPr>
                <w:sz w:val="20"/>
                <w:szCs w:val="20"/>
                <w:lang w:val="en-US"/>
              </w:rPr>
              <w:t xml:space="preserve">ECC Report </w:t>
            </w:r>
          </w:p>
        </w:tc>
        <w:tc>
          <w:tcPr>
            <w:tcW w:w="1389" w:type="dxa"/>
          </w:tcPr>
          <w:p w:rsidR="00855A19" w:rsidRPr="00075CD9" w:rsidRDefault="00855A19" w:rsidP="000363B0">
            <w:pPr>
              <w:tabs>
                <w:tab w:val="left" w:pos="110"/>
                <w:tab w:val="left" w:pos="290"/>
              </w:tabs>
              <w:rPr>
                <w:iCs/>
                <w:sz w:val="20"/>
                <w:szCs w:val="20"/>
                <w:lang w:val="en-GB"/>
              </w:rPr>
            </w:pPr>
            <w:r w:rsidRPr="00075CD9">
              <w:rPr>
                <w:sz w:val="20"/>
                <w:szCs w:val="20"/>
                <w:lang w:val="en-US"/>
              </w:rPr>
              <w:t>S: Oct 2011 T: Sep 2013</w:t>
            </w:r>
          </w:p>
        </w:tc>
        <w:tc>
          <w:tcPr>
            <w:tcW w:w="1094" w:type="dxa"/>
          </w:tcPr>
          <w:p w:rsidR="00855A19" w:rsidRPr="00075CD9" w:rsidRDefault="00855A19" w:rsidP="000363B0">
            <w:pPr>
              <w:rPr>
                <w:iCs/>
                <w:sz w:val="20"/>
                <w:szCs w:val="20"/>
                <w:lang w:val="en-GB"/>
              </w:rPr>
            </w:pPr>
            <w:r w:rsidRPr="00075CD9">
              <w:rPr>
                <w:sz w:val="20"/>
                <w:szCs w:val="20"/>
                <w:lang w:val="en-US"/>
              </w:rPr>
              <w:t>SE24</w:t>
            </w:r>
          </w:p>
        </w:tc>
        <w:tc>
          <w:tcPr>
            <w:tcW w:w="3046" w:type="dxa"/>
          </w:tcPr>
          <w:p w:rsidR="00855A19" w:rsidRPr="00075CD9" w:rsidRDefault="00855A19" w:rsidP="003B100D">
            <w:pPr>
              <w:jc w:val="both"/>
              <w:rPr>
                <w:iCs/>
                <w:sz w:val="20"/>
                <w:szCs w:val="20"/>
                <w:lang w:val="en-GB"/>
              </w:rPr>
            </w:pPr>
            <w:r w:rsidRPr="00075CD9">
              <w:rPr>
                <w:sz w:val="20"/>
                <w:szCs w:val="20"/>
                <w:lang w:val="en-US"/>
              </w:rPr>
              <w:t>To conduct compatibility studies relating to MBAN</w:t>
            </w:r>
            <w:r w:rsidRPr="00075CD9">
              <w:rPr>
                <w:rFonts w:eastAsia="Batang"/>
                <w:sz w:val="20"/>
                <w:szCs w:val="20"/>
                <w:lang w:val="en-GB"/>
              </w:rPr>
              <w:t xml:space="preserve"> (see document </w:t>
            </w:r>
            <w:hyperlink r:id="rId9" w:tooltip="SE_11_072_LS_to_WGSE_on_Medical_Body_Area_Network_Systems__MBANS_.zip" w:history="1">
              <w:r w:rsidRPr="00075CD9">
                <w:rPr>
                  <w:color w:val="3A77B1"/>
                  <w:sz w:val="20"/>
                  <w:szCs w:val="20"/>
                  <w:u w:val="single"/>
                  <w:lang w:val="en-GB"/>
                </w:rPr>
                <w:t>SE(11)072</w:t>
              </w:r>
            </w:hyperlink>
            <w:r w:rsidRPr="00075CD9">
              <w:rPr>
                <w:rFonts w:eastAsia="Batang"/>
                <w:sz w:val="20"/>
                <w:szCs w:val="20"/>
                <w:lang w:val="en-GB"/>
              </w:rPr>
              <w:t xml:space="preserve">). </w:t>
            </w:r>
          </w:p>
        </w:tc>
        <w:tc>
          <w:tcPr>
            <w:tcW w:w="1689" w:type="dxa"/>
          </w:tcPr>
          <w:p w:rsidR="00855A19" w:rsidRPr="00075CD9" w:rsidRDefault="00855A19" w:rsidP="000363B0">
            <w:pPr>
              <w:jc w:val="center"/>
              <w:rPr>
                <w:sz w:val="20"/>
                <w:szCs w:val="20"/>
                <w:lang w:val="en-US"/>
              </w:rPr>
            </w:pPr>
            <w:r w:rsidRPr="00075CD9">
              <w:rPr>
                <w:sz w:val="20"/>
                <w:szCs w:val="20"/>
                <w:lang w:val="en-US"/>
              </w:rPr>
              <w:t>WG FM</w:t>
            </w:r>
          </w:p>
        </w:tc>
        <w:tc>
          <w:tcPr>
            <w:tcW w:w="1689" w:type="dxa"/>
          </w:tcPr>
          <w:p w:rsidR="00855A19" w:rsidRPr="00075CD9" w:rsidRDefault="00855A19" w:rsidP="000363B0">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0363B0">
            <w:pPr>
              <w:rPr>
                <w:sz w:val="20"/>
                <w:szCs w:val="20"/>
              </w:rPr>
            </w:pPr>
            <w:r w:rsidRPr="00075CD9">
              <w:rPr>
                <w:sz w:val="20"/>
                <w:szCs w:val="20"/>
              </w:rPr>
              <w:t>SE24_41</w:t>
            </w:r>
          </w:p>
        </w:tc>
        <w:tc>
          <w:tcPr>
            <w:tcW w:w="2701" w:type="dxa"/>
          </w:tcPr>
          <w:p w:rsidR="00855A19" w:rsidRPr="00075CD9" w:rsidRDefault="00855A19" w:rsidP="000363B0">
            <w:pPr>
              <w:tabs>
                <w:tab w:val="left" w:pos="110"/>
                <w:tab w:val="left" w:pos="290"/>
              </w:tabs>
              <w:rPr>
                <w:iCs/>
                <w:sz w:val="20"/>
                <w:szCs w:val="20"/>
                <w:lang w:val="en-GB"/>
              </w:rPr>
            </w:pPr>
            <w:r w:rsidRPr="00075CD9">
              <w:rPr>
                <w:sz w:val="20"/>
                <w:szCs w:val="20"/>
                <w:lang w:val="en-GB"/>
              </w:rPr>
              <w:t xml:space="preserve">SRDs in the bands </w:t>
            </w:r>
            <w:r w:rsidRPr="00075CD9">
              <w:rPr>
                <w:sz w:val="20"/>
                <w:szCs w:val="20"/>
                <w:lang w:val="en-US"/>
              </w:rPr>
              <w:t xml:space="preserve">870-876 </w:t>
            </w:r>
            <w:r w:rsidRPr="00075CD9">
              <w:rPr>
                <w:sz w:val="20"/>
                <w:szCs w:val="20"/>
                <w:lang w:val="en-US"/>
              </w:rPr>
              <w:lastRenderedPageBreak/>
              <w:t>MHz/915-921 MHz</w:t>
            </w:r>
          </w:p>
        </w:tc>
        <w:tc>
          <w:tcPr>
            <w:tcW w:w="3431" w:type="dxa"/>
          </w:tcPr>
          <w:p w:rsidR="00855A19" w:rsidRPr="00075CD9" w:rsidRDefault="00855A19" w:rsidP="000363B0">
            <w:pPr>
              <w:jc w:val="both"/>
              <w:rPr>
                <w:iCs/>
                <w:sz w:val="20"/>
                <w:szCs w:val="20"/>
                <w:lang w:val="en-GB"/>
              </w:rPr>
            </w:pPr>
            <w:r w:rsidRPr="00075CD9">
              <w:rPr>
                <w:sz w:val="20"/>
                <w:szCs w:val="20"/>
                <w:lang w:val="en-US"/>
              </w:rPr>
              <w:lastRenderedPageBreak/>
              <w:t xml:space="preserve">ECC Report </w:t>
            </w:r>
          </w:p>
        </w:tc>
        <w:tc>
          <w:tcPr>
            <w:tcW w:w="1389" w:type="dxa"/>
          </w:tcPr>
          <w:p w:rsidR="00855A19" w:rsidRPr="00075CD9" w:rsidRDefault="00855A19" w:rsidP="000363B0">
            <w:pPr>
              <w:tabs>
                <w:tab w:val="left" w:pos="110"/>
                <w:tab w:val="left" w:pos="290"/>
              </w:tabs>
              <w:rPr>
                <w:iCs/>
                <w:sz w:val="20"/>
                <w:szCs w:val="20"/>
                <w:lang w:val="en-GB"/>
              </w:rPr>
            </w:pPr>
            <w:r w:rsidRPr="00075CD9">
              <w:rPr>
                <w:sz w:val="20"/>
                <w:szCs w:val="20"/>
                <w:lang w:val="en-US"/>
              </w:rPr>
              <w:t xml:space="preserve">S: Oct 2011 </w:t>
            </w:r>
            <w:r w:rsidRPr="00075CD9">
              <w:rPr>
                <w:sz w:val="20"/>
                <w:szCs w:val="20"/>
                <w:lang w:val="en-US"/>
              </w:rPr>
              <w:lastRenderedPageBreak/>
              <w:t>T: Sep 2013</w:t>
            </w:r>
          </w:p>
        </w:tc>
        <w:tc>
          <w:tcPr>
            <w:tcW w:w="1094" w:type="dxa"/>
          </w:tcPr>
          <w:p w:rsidR="00855A19" w:rsidRPr="00075CD9" w:rsidRDefault="00855A19" w:rsidP="000363B0">
            <w:pPr>
              <w:rPr>
                <w:iCs/>
                <w:sz w:val="20"/>
                <w:szCs w:val="20"/>
                <w:lang w:val="en-GB"/>
              </w:rPr>
            </w:pPr>
            <w:r w:rsidRPr="00075CD9">
              <w:rPr>
                <w:sz w:val="20"/>
                <w:szCs w:val="20"/>
                <w:lang w:val="en-US"/>
              </w:rPr>
              <w:lastRenderedPageBreak/>
              <w:t>SE24</w:t>
            </w:r>
          </w:p>
        </w:tc>
        <w:tc>
          <w:tcPr>
            <w:tcW w:w="3046" w:type="dxa"/>
          </w:tcPr>
          <w:p w:rsidR="00855A19" w:rsidRPr="00075CD9" w:rsidRDefault="00855A19" w:rsidP="000363B0">
            <w:pPr>
              <w:tabs>
                <w:tab w:val="left" w:pos="110"/>
                <w:tab w:val="left" w:pos="290"/>
              </w:tabs>
              <w:rPr>
                <w:iCs/>
                <w:sz w:val="20"/>
                <w:szCs w:val="20"/>
                <w:lang w:val="en-GB"/>
              </w:rPr>
            </w:pPr>
            <w:r w:rsidRPr="00075CD9">
              <w:rPr>
                <w:sz w:val="20"/>
                <w:szCs w:val="20"/>
                <w:lang w:val="en-US"/>
              </w:rPr>
              <w:t xml:space="preserve">See item 3.1 in </w:t>
            </w:r>
            <w:hyperlink r:id="rId10" w:tooltip="SE_11_073_Annex_1_Annex_1_to_SE_11_073__Request_for_studies_under_the_Roadmap_for_future_UHF_Spectrum_Requirements_for_UHF_SRD__RFID__Smart_Metering_and_Smart_Grid_Applications.zip" w:history="1">
              <w:r w:rsidRPr="00075CD9">
                <w:rPr>
                  <w:color w:val="3A77B1"/>
                  <w:sz w:val="20"/>
                  <w:szCs w:val="20"/>
                  <w:u w:val="single"/>
                  <w:lang w:val="en-GB"/>
                </w:rPr>
                <w:t xml:space="preserve">Annex 1 to </w:t>
              </w:r>
              <w:r w:rsidRPr="00075CD9">
                <w:rPr>
                  <w:color w:val="3A77B1"/>
                  <w:sz w:val="20"/>
                  <w:szCs w:val="20"/>
                  <w:u w:val="single"/>
                  <w:lang w:val="en-GB"/>
                </w:rPr>
                <w:lastRenderedPageBreak/>
                <w:t>SE(11)073</w:t>
              </w:r>
            </w:hyperlink>
            <w:r w:rsidRPr="00075CD9">
              <w:rPr>
                <w:rFonts w:eastAsia="Batang"/>
                <w:sz w:val="20"/>
                <w:szCs w:val="20"/>
                <w:lang w:val="en-GB"/>
              </w:rPr>
              <w:t xml:space="preserve"> (</w:t>
            </w:r>
            <w:r w:rsidRPr="00075CD9">
              <w:rPr>
                <w:sz w:val="20"/>
                <w:szCs w:val="20"/>
                <w:lang w:val="en-US"/>
              </w:rPr>
              <w:t xml:space="preserve">LTE in the spectrum below 915 MHz (MS uplink), ER-GSM in 918-921 MHz, R-GSM above 921 MHz… and  intra-SRD compatibility situation). Studies should consider </w:t>
            </w:r>
            <w:r w:rsidRPr="00075CD9">
              <w:rPr>
                <w:sz w:val="20"/>
                <w:szCs w:val="20"/>
              </w:rPr>
              <w:t>the</w:t>
            </w:r>
            <w:r w:rsidRPr="00075CD9">
              <w:rPr>
                <w:sz w:val="20"/>
                <w:szCs w:val="20"/>
                <w:lang w:val="en-GB"/>
              </w:rPr>
              <w:t xml:space="preserve"> </w:t>
            </w:r>
            <w:r w:rsidRPr="00075CD9">
              <w:rPr>
                <w:sz w:val="20"/>
                <w:szCs w:val="20"/>
                <w:lang w:val="en-IE"/>
              </w:rPr>
              <w:t>governmental uses.</w:t>
            </w:r>
          </w:p>
        </w:tc>
        <w:tc>
          <w:tcPr>
            <w:tcW w:w="1689" w:type="dxa"/>
          </w:tcPr>
          <w:p w:rsidR="00855A19" w:rsidRPr="00075CD9" w:rsidRDefault="00855A19" w:rsidP="000363B0">
            <w:pPr>
              <w:jc w:val="center"/>
              <w:rPr>
                <w:sz w:val="20"/>
                <w:szCs w:val="20"/>
                <w:lang w:val="en-US"/>
              </w:rPr>
            </w:pPr>
            <w:r w:rsidRPr="00075CD9">
              <w:rPr>
                <w:sz w:val="20"/>
                <w:szCs w:val="20"/>
                <w:lang w:val="en-US"/>
              </w:rPr>
              <w:lastRenderedPageBreak/>
              <w:t>WG FM</w:t>
            </w:r>
          </w:p>
        </w:tc>
        <w:tc>
          <w:tcPr>
            <w:tcW w:w="1689" w:type="dxa"/>
          </w:tcPr>
          <w:p w:rsidR="00855A19" w:rsidRPr="00075CD9" w:rsidRDefault="00855A19" w:rsidP="000363B0">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lastRenderedPageBreak/>
              <w:t>SE24_42</w:t>
            </w:r>
          </w:p>
        </w:tc>
        <w:tc>
          <w:tcPr>
            <w:tcW w:w="2701" w:type="dxa"/>
          </w:tcPr>
          <w:p w:rsidR="00855A19" w:rsidRPr="00075CD9" w:rsidRDefault="00855A19" w:rsidP="000363B0">
            <w:pPr>
              <w:tabs>
                <w:tab w:val="left" w:pos="110"/>
                <w:tab w:val="left" w:pos="290"/>
              </w:tabs>
              <w:rPr>
                <w:iCs/>
                <w:sz w:val="20"/>
                <w:szCs w:val="20"/>
                <w:lang w:val="en-GB"/>
              </w:rPr>
            </w:pPr>
            <w:r w:rsidRPr="00075CD9">
              <w:rPr>
                <w:sz w:val="20"/>
                <w:szCs w:val="20"/>
                <w:lang w:val="en-US"/>
              </w:rPr>
              <w:t>Improvements for SRD in 863-870 MHz</w:t>
            </w:r>
          </w:p>
        </w:tc>
        <w:tc>
          <w:tcPr>
            <w:tcW w:w="3431" w:type="dxa"/>
          </w:tcPr>
          <w:p w:rsidR="00855A19" w:rsidRPr="00075CD9" w:rsidRDefault="00855A19" w:rsidP="000363B0">
            <w:pPr>
              <w:jc w:val="both"/>
              <w:rPr>
                <w:iCs/>
                <w:sz w:val="20"/>
                <w:szCs w:val="20"/>
                <w:lang w:val="en-GB"/>
              </w:rPr>
            </w:pPr>
            <w:r w:rsidRPr="00075CD9">
              <w:rPr>
                <w:sz w:val="20"/>
                <w:szCs w:val="20"/>
                <w:lang w:val="en-US"/>
              </w:rPr>
              <w:t xml:space="preserve">ECC Report </w:t>
            </w:r>
          </w:p>
        </w:tc>
        <w:tc>
          <w:tcPr>
            <w:tcW w:w="1389" w:type="dxa"/>
          </w:tcPr>
          <w:p w:rsidR="00855A19" w:rsidRPr="00075CD9" w:rsidRDefault="00855A19" w:rsidP="000363B0">
            <w:pPr>
              <w:tabs>
                <w:tab w:val="left" w:pos="110"/>
                <w:tab w:val="left" w:pos="290"/>
              </w:tabs>
              <w:rPr>
                <w:iCs/>
                <w:sz w:val="20"/>
                <w:szCs w:val="20"/>
                <w:lang w:val="en-GB"/>
              </w:rPr>
            </w:pPr>
            <w:r w:rsidRPr="00075CD9">
              <w:rPr>
                <w:sz w:val="20"/>
                <w:szCs w:val="20"/>
                <w:lang w:val="en-US"/>
              </w:rPr>
              <w:t xml:space="preserve">S: Oct 2011 T: </w:t>
            </w:r>
            <w:r>
              <w:rPr>
                <w:sz w:val="20"/>
                <w:szCs w:val="20"/>
                <w:lang w:val="en-US"/>
              </w:rPr>
              <w:t>Jan 2014</w:t>
            </w:r>
          </w:p>
        </w:tc>
        <w:tc>
          <w:tcPr>
            <w:tcW w:w="1094" w:type="dxa"/>
          </w:tcPr>
          <w:p w:rsidR="00855A19" w:rsidRPr="00075CD9" w:rsidRDefault="00855A19" w:rsidP="000363B0">
            <w:pPr>
              <w:rPr>
                <w:iCs/>
                <w:sz w:val="20"/>
                <w:szCs w:val="20"/>
                <w:lang w:val="en-GB"/>
              </w:rPr>
            </w:pPr>
            <w:r w:rsidRPr="00075CD9">
              <w:rPr>
                <w:sz w:val="20"/>
                <w:szCs w:val="20"/>
                <w:lang w:val="en-US"/>
              </w:rPr>
              <w:t>SE24</w:t>
            </w:r>
          </w:p>
        </w:tc>
        <w:tc>
          <w:tcPr>
            <w:tcW w:w="3046" w:type="dxa"/>
          </w:tcPr>
          <w:p w:rsidR="00855A19" w:rsidRPr="00075CD9" w:rsidRDefault="00855A19" w:rsidP="00DB4DD9">
            <w:pPr>
              <w:rPr>
                <w:sz w:val="20"/>
                <w:szCs w:val="20"/>
                <w:lang w:val="en-US"/>
              </w:rPr>
            </w:pPr>
            <w:r w:rsidRPr="00075CD9">
              <w:rPr>
                <w:sz w:val="20"/>
                <w:szCs w:val="20"/>
                <w:lang w:val="en-US"/>
              </w:rPr>
              <w:t xml:space="preserve">See item 3.2 in </w:t>
            </w:r>
            <w:hyperlink r:id="rId11" w:tooltip="SE_11_073_Annex_1_Annex_1_to_SE_11_073__Request_for_studies_under_the_Roadmap_for_future_UHF_Spectrum_Requirements_for_UHF_SRD__RFID__Smart_Metering_and_Smart_Grid_Applications.zip" w:history="1">
              <w:r w:rsidRPr="00075CD9">
                <w:rPr>
                  <w:color w:val="3A77B1"/>
                  <w:sz w:val="20"/>
                  <w:szCs w:val="20"/>
                  <w:u w:val="single"/>
                  <w:lang w:val="en-GB"/>
                </w:rPr>
                <w:t>Annex 1 to SE(11)073</w:t>
              </w:r>
            </w:hyperlink>
            <w:r w:rsidRPr="00075CD9">
              <w:rPr>
                <w:rFonts w:eastAsia="Batang"/>
                <w:sz w:val="20"/>
                <w:szCs w:val="20"/>
                <w:lang w:val="en-GB"/>
              </w:rPr>
              <w:t xml:space="preserve"> (</w:t>
            </w:r>
            <w:r w:rsidRPr="00075CD9">
              <w:rPr>
                <w:sz w:val="20"/>
                <w:szCs w:val="20"/>
                <w:lang w:val="en-US"/>
              </w:rPr>
              <w:t xml:space="preserve">intra-SRD compatibility situation and sharing in 863-865 MHz and 865-868 MHz). </w:t>
            </w:r>
          </w:p>
          <w:p w:rsidR="00855A19" w:rsidRPr="00075CD9" w:rsidRDefault="00855A19" w:rsidP="00DB4DD9">
            <w:pPr>
              <w:rPr>
                <w:sz w:val="20"/>
                <w:szCs w:val="20"/>
                <w:lang w:val="en-US"/>
              </w:rPr>
            </w:pPr>
            <w:r w:rsidRPr="00075CD9">
              <w:rPr>
                <w:sz w:val="20"/>
                <w:szCs w:val="20"/>
                <w:lang w:val="en-GB"/>
              </w:rPr>
              <w:t xml:space="preserve">Should also take into account impact of the MS Uplink below 862 </w:t>
            </w:r>
            <w:proofErr w:type="spellStart"/>
            <w:r w:rsidRPr="00075CD9">
              <w:rPr>
                <w:sz w:val="20"/>
                <w:szCs w:val="20"/>
                <w:lang w:val="en-GB"/>
              </w:rPr>
              <w:t>MHz.</w:t>
            </w:r>
            <w:proofErr w:type="spellEnd"/>
          </w:p>
          <w:p w:rsidR="00855A19" w:rsidRPr="00075CD9" w:rsidRDefault="00855A19" w:rsidP="000363B0">
            <w:pPr>
              <w:tabs>
                <w:tab w:val="left" w:pos="110"/>
                <w:tab w:val="left" w:pos="290"/>
              </w:tabs>
              <w:rPr>
                <w:iCs/>
                <w:sz w:val="20"/>
                <w:szCs w:val="20"/>
                <w:lang w:val="en-US"/>
              </w:rPr>
            </w:pPr>
          </w:p>
        </w:tc>
        <w:tc>
          <w:tcPr>
            <w:tcW w:w="1689" w:type="dxa"/>
          </w:tcPr>
          <w:p w:rsidR="00855A19" w:rsidRPr="00075CD9" w:rsidRDefault="00855A19" w:rsidP="000363B0">
            <w:pPr>
              <w:jc w:val="center"/>
              <w:rPr>
                <w:sz w:val="20"/>
                <w:szCs w:val="20"/>
                <w:lang w:val="en-US"/>
              </w:rPr>
            </w:pPr>
            <w:r w:rsidRPr="00075CD9">
              <w:rPr>
                <w:sz w:val="20"/>
                <w:szCs w:val="20"/>
                <w:lang w:val="en-US"/>
              </w:rPr>
              <w:t>WG FM</w:t>
            </w:r>
          </w:p>
        </w:tc>
        <w:tc>
          <w:tcPr>
            <w:tcW w:w="1689" w:type="dxa"/>
          </w:tcPr>
          <w:p w:rsidR="00855A19" w:rsidRPr="00075CD9" w:rsidRDefault="00855A19" w:rsidP="000363B0">
            <w:pPr>
              <w:jc w:val="center"/>
              <w:rPr>
                <w:sz w:val="20"/>
                <w:szCs w:val="20"/>
                <w:lang w:val="en-US"/>
              </w:rPr>
            </w:pPr>
            <w:r w:rsidRPr="00075CD9">
              <w:rPr>
                <w:sz w:val="20"/>
                <w:szCs w:val="20"/>
                <w:lang w:val="en-US"/>
              </w:rPr>
              <w:t>Y</w:t>
            </w:r>
          </w:p>
        </w:tc>
      </w:tr>
      <w:tr w:rsidR="00855A19" w:rsidRPr="00075CD9" w:rsidTr="008D57AD">
        <w:tc>
          <w:tcPr>
            <w:tcW w:w="966" w:type="dxa"/>
          </w:tcPr>
          <w:p w:rsidR="00855A19" w:rsidRPr="00075CD9" w:rsidRDefault="00855A19" w:rsidP="00005C86">
            <w:pPr>
              <w:rPr>
                <w:sz w:val="20"/>
                <w:szCs w:val="20"/>
              </w:rPr>
            </w:pPr>
            <w:r w:rsidRPr="00075CD9">
              <w:rPr>
                <w:sz w:val="20"/>
                <w:szCs w:val="20"/>
              </w:rPr>
              <w:t>SE24_43</w:t>
            </w:r>
          </w:p>
        </w:tc>
        <w:tc>
          <w:tcPr>
            <w:tcW w:w="2701" w:type="dxa"/>
          </w:tcPr>
          <w:p w:rsidR="00855A19" w:rsidRPr="00075CD9" w:rsidRDefault="00855A19" w:rsidP="00005C86">
            <w:pPr>
              <w:tabs>
                <w:tab w:val="left" w:pos="110"/>
                <w:tab w:val="left" w:pos="290"/>
              </w:tabs>
              <w:rPr>
                <w:sz w:val="20"/>
                <w:szCs w:val="20"/>
                <w:lang w:val="en-US"/>
              </w:rPr>
            </w:pPr>
            <w:r w:rsidRPr="00075CD9">
              <w:rPr>
                <w:sz w:val="20"/>
                <w:szCs w:val="20"/>
                <w:lang w:val="en-US"/>
              </w:rPr>
              <w:t xml:space="preserve">Support in the revision of the regulations at 169 MHz </w:t>
            </w:r>
          </w:p>
          <w:p w:rsidR="00855A19" w:rsidRPr="00075CD9" w:rsidRDefault="00855A19" w:rsidP="00005C86">
            <w:pPr>
              <w:tabs>
                <w:tab w:val="left" w:pos="110"/>
                <w:tab w:val="left" w:pos="290"/>
              </w:tabs>
              <w:rPr>
                <w:sz w:val="20"/>
                <w:szCs w:val="20"/>
                <w:lang w:val="en-US"/>
              </w:rPr>
            </w:pPr>
          </w:p>
        </w:tc>
        <w:tc>
          <w:tcPr>
            <w:tcW w:w="3431" w:type="dxa"/>
          </w:tcPr>
          <w:p w:rsidR="00855A19" w:rsidRPr="00075CD9" w:rsidRDefault="00855A19" w:rsidP="00005C86">
            <w:pPr>
              <w:jc w:val="both"/>
              <w:rPr>
                <w:sz w:val="20"/>
                <w:szCs w:val="20"/>
                <w:lang w:val="en-US"/>
              </w:rPr>
            </w:pPr>
            <w:r w:rsidRPr="00075CD9">
              <w:rPr>
                <w:sz w:val="20"/>
                <w:szCs w:val="20"/>
                <w:lang w:val="en-US"/>
              </w:rPr>
              <w:t>LS to SRD-MG. ECC Report if appropriate</w:t>
            </w:r>
          </w:p>
        </w:tc>
        <w:tc>
          <w:tcPr>
            <w:tcW w:w="1389" w:type="dxa"/>
          </w:tcPr>
          <w:p w:rsidR="00855A19" w:rsidRPr="00075CD9" w:rsidRDefault="00855A19" w:rsidP="00005C86">
            <w:pPr>
              <w:tabs>
                <w:tab w:val="left" w:pos="110"/>
                <w:tab w:val="left" w:pos="290"/>
              </w:tabs>
              <w:rPr>
                <w:sz w:val="20"/>
                <w:szCs w:val="20"/>
                <w:lang w:val="en-US"/>
              </w:rPr>
            </w:pPr>
            <w:r w:rsidRPr="00075CD9">
              <w:rPr>
                <w:sz w:val="20"/>
                <w:szCs w:val="20"/>
                <w:lang w:val="en-US"/>
              </w:rPr>
              <w:t xml:space="preserve">S: March 2012 T: </w:t>
            </w:r>
            <w:r>
              <w:rPr>
                <w:sz w:val="20"/>
                <w:szCs w:val="20"/>
                <w:lang w:val="en-US"/>
              </w:rPr>
              <w:t>Jan 2014</w:t>
            </w:r>
          </w:p>
        </w:tc>
        <w:tc>
          <w:tcPr>
            <w:tcW w:w="1094" w:type="dxa"/>
          </w:tcPr>
          <w:p w:rsidR="00855A19" w:rsidRPr="00075CD9" w:rsidRDefault="00855A19" w:rsidP="00005C86">
            <w:pPr>
              <w:rPr>
                <w:sz w:val="20"/>
                <w:szCs w:val="20"/>
                <w:lang w:val="en-US"/>
              </w:rPr>
            </w:pPr>
            <w:r w:rsidRPr="00075CD9">
              <w:rPr>
                <w:sz w:val="20"/>
                <w:szCs w:val="20"/>
                <w:lang w:val="en-US"/>
              </w:rPr>
              <w:t>SE24</w:t>
            </w:r>
          </w:p>
        </w:tc>
        <w:tc>
          <w:tcPr>
            <w:tcW w:w="3046" w:type="dxa"/>
          </w:tcPr>
          <w:p w:rsidR="00855A19" w:rsidRPr="00075CD9" w:rsidRDefault="00855A19" w:rsidP="00005C86">
            <w:pPr>
              <w:rPr>
                <w:rFonts w:cs="Calibri"/>
                <w:sz w:val="20"/>
                <w:szCs w:val="20"/>
                <w:lang w:val="en-IE"/>
              </w:rPr>
            </w:pPr>
            <w:r w:rsidRPr="00075CD9">
              <w:rPr>
                <w:sz w:val="20"/>
                <w:szCs w:val="20"/>
                <w:lang w:val="en-US"/>
              </w:rPr>
              <w:t xml:space="preserve">CEPT Report 43 and </w:t>
            </w:r>
            <w:r w:rsidRPr="00075CD9">
              <w:rPr>
                <w:sz w:val="20"/>
                <w:szCs w:val="20"/>
                <w:lang w:val="en-IE"/>
              </w:rPr>
              <w:t xml:space="preserve">Decision 2005/928/EC. </w:t>
            </w:r>
            <w:r w:rsidRPr="00075CD9">
              <w:rPr>
                <w:rFonts w:cs="Calibri"/>
                <w:sz w:val="20"/>
                <w:szCs w:val="20"/>
                <w:lang w:val="en-IE"/>
              </w:rPr>
              <w:t xml:space="preserve">Work related to the EC Mandate on 169 </w:t>
            </w:r>
            <w:proofErr w:type="spellStart"/>
            <w:r w:rsidRPr="00075CD9">
              <w:rPr>
                <w:rFonts w:cs="Calibri"/>
                <w:sz w:val="20"/>
                <w:szCs w:val="20"/>
                <w:lang w:val="en-IE"/>
              </w:rPr>
              <w:t>MHz.</w:t>
            </w:r>
            <w:proofErr w:type="spellEnd"/>
            <w:r w:rsidRPr="00075CD9">
              <w:rPr>
                <w:rFonts w:cs="Calibri"/>
                <w:sz w:val="20"/>
                <w:szCs w:val="20"/>
                <w:lang w:val="en-IE"/>
              </w:rPr>
              <w:t xml:space="preserve"> WGFM split the activity into 2 tasks. Task 1 deals with LDC limit in the 169 MHz band and task 2 deals with s</w:t>
            </w:r>
            <w:r w:rsidRPr="00075CD9">
              <w:rPr>
                <w:sz w:val="20"/>
                <w:szCs w:val="20"/>
                <w:lang w:val="en-IE"/>
              </w:rPr>
              <w:t xml:space="preserve">tudies including </w:t>
            </w:r>
            <w:r w:rsidRPr="00075CD9">
              <w:rPr>
                <w:rFonts w:cs="Calibri"/>
                <w:sz w:val="20"/>
                <w:szCs w:val="20"/>
                <w:lang w:val="en-IE"/>
              </w:rPr>
              <w:t xml:space="preserve">174-216 </w:t>
            </w:r>
            <w:proofErr w:type="spellStart"/>
            <w:r w:rsidRPr="00075CD9">
              <w:rPr>
                <w:rFonts w:cs="Calibri"/>
                <w:sz w:val="20"/>
                <w:szCs w:val="20"/>
                <w:lang w:val="en-IE"/>
              </w:rPr>
              <w:t>MHz.</w:t>
            </w:r>
            <w:proofErr w:type="spellEnd"/>
            <w:r w:rsidRPr="00075CD9">
              <w:rPr>
                <w:rFonts w:cs="Calibri"/>
                <w:sz w:val="20"/>
                <w:szCs w:val="20"/>
                <w:lang w:val="en-IE"/>
              </w:rPr>
              <w:t xml:space="preserve"> Task 1 is finalised, and a LS was sent to SRDMG.</w:t>
            </w:r>
          </w:p>
          <w:p w:rsidR="00855A19" w:rsidRPr="00075CD9" w:rsidRDefault="00855A19" w:rsidP="00005C86">
            <w:pPr>
              <w:rPr>
                <w:sz w:val="20"/>
                <w:szCs w:val="20"/>
                <w:lang w:val="en-US"/>
              </w:rPr>
            </w:pPr>
          </w:p>
        </w:tc>
        <w:tc>
          <w:tcPr>
            <w:tcW w:w="1689" w:type="dxa"/>
          </w:tcPr>
          <w:p w:rsidR="00855A19" w:rsidRPr="00075CD9" w:rsidRDefault="00855A19" w:rsidP="00005C86">
            <w:pPr>
              <w:jc w:val="center"/>
              <w:rPr>
                <w:sz w:val="20"/>
                <w:szCs w:val="20"/>
                <w:lang w:val="en-US"/>
              </w:rPr>
            </w:pPr>
            <w:r w:rsidRPr="00075CD9">
              <w:rPr>
                <w:sz w:val="20"/>
                <w:szCs w:val="20"/>
                <w:lang w:val="en-US"/>
              </w:rPr>
              <w:t>WG FM</w:t>
            </w:r>
          </w:p>
        </w:tc>
        <w:tc>
          <w:tcPr>
            <w:tcW w:w="1689" w:type="dxa"/>
          </w:tcPr>
          <w:p w:rsidR="00855A19" w:rsidRPr="00075CD9" w:rsidRDefault="00855A19" w:rsidP="00005C86">
            <w:pPr>
              <w:jc w:val="center"/>
              <w:rPr>
                <w:sz w:val="20"/>
                <w:szCs w:val="20"/>
                <w:lang w:val="en-US"/>
              </w:rPr>
            </w:pPr>
            <w:r w:rsidRPr="00075CD9">
              <w:rPr>
                <w:sz w:val="20"/>
                <w:szCs w:val="20"/>
                <w:lang w:val="en-US"/>
              </w:rPr>
              <w:t>Y</w:t>
            </w:r>
          </w:p>
        </w:tc>
      </w:tr>
      <w:tr w:rsidR="00855A19" w:rsidRPr="00075CD9" w:rsidTr="008D57AD">
        <w:tblPrEx>
          <w:tblLook w:val="00A0" w:firstRow="1" w:lastRow="0" w:firstColumn="1" w:lastColumn="0" w:noHBand="0" w:noVBand="0"/>
        </w:tblPrEx>
        <w:tc>
          <w:tcPr>
            <w:tcW w:w="966" w:type="dxa"/>
          </w:tcPr>
          <w:p w:rsidR="00855A19" w:rsidRPr="00075CD9" w:rsidRDefault="00855A19" w:rsidP="001E30B0">
            <w:pPr>
              <w:rPr>
                <w:sz w:val="20"/>
                <w:szCs w:val="20"/>
                <w:lang w:val="en-GB"/>
              </w:rPr>
            </w:pPr>
            <w:r w:rsidRPr="00075CD9">
              <w:rPr>
                <w:sz w:val="20"/>
                <w:szCs w:val="20"/>
                <w:lang w:val="en-GB"/>
              </w:rPr>
              <w:t>SE24_44</w:t>
            </w:r>
          </w:p>
        </w:tc>
        <w:tc>
          <w:tcPr>
            <w:tcW w:w="2701" w:type="dxa"/>
          </w:tcPr>
          <w:p w:rsidR="00855A19" w:rsidRPr="00075CD9" w:rsidRDefault="00855A19" w:rsidP="00D530E0">
            <w:pPr>
              <w:rPr>
                <w:sz w:val="20"/>
                <w:szCs w:val="20"/>
                <w:lang w:val="en-US"/>
              </w:rPr>
            </w:pPr>
            <w:r w:rsidRPr="00075CD9">
              <w:rPr>
                <w:sz w:val="20"/>
                <w:szCs w:val="20"/>
                <w:lang w:val="en-US"/>
              </w:rPr>
              <w:t xml:space="preserve">Assistive Listening devices (ALD) in the bands 870-876 MHz,  915-921 </w:t>
            </w:r>
            <w:proofErr w:type="spellStart"/>
            <w:r w:rsidRPr="00075CD9">
              <w:rPr>
                <w:sz w:val="20"/>
                <w:szCs w:val="20"/>
                <w:lang w:val="en-US"/>
              </w:rPr>
              <w:t>MHz</w:t>
            </w:r>
            <w:r>
              <w:rPr>
                <w:sz w:val="20"/>
                <w:szCs w:val="20"/>
                <w:lang w:val="en-US"/>
              </w:rPr>
              <w:t>.</w:t>
            </w:r>
            <w:proofErr w:type="spellEnd"/>
          </w:p>
        </w:tc>
        <w:tc>
          <w:tcPr>
            <w:tcW w:w="3431" w:type="dxa"/>
          </w:tcPr>
          <w:p w:rsidR="00855A19" w:rsidRPr="00075CD9" w:rsidRDefault="00855A19">
            <w:pPr>
              <w:rPr>
                <w:sz w:val="20"/>
                <w:szCs w:val="20"/>
                <w:lang w:val="en-GB"/>
              </w:rPr>
            </w:pPr>
            <w:r w:rsidRPr="00075CD9">
              <w:rPr>
                <w:sz w:val="20"/>
                <w:szCs w:val="20"/>
                <w:lang w:val="en-US"/>
              </w:rPr>
              <w:t xml:space="preserve">ECC Report </w:t>
            </w:r>
          </w:p>
        </w:tc>
        <w:tc>
          <w:tcPr>
            <w:tcW w:w="1389" w:type="dxa"/>
          </w:tcPr>
          <w:p w:rsidR="00855A19" w:rsidRPr="00075CD9" w:rsidRDefault="00855A19">
            <w:pPr>
              <w:rPr>
                <w:sz w:val="20"/>
                <w:szCs w:val="20"/>
                <w:lang w:val="en-GB"/>
              </w:rPr>
            </w:pPr>
            <w:r w:rsidRPr="00075CD9">
              <w:rPr>
                <w:sz w:val="20"/>
                <w:szCs w:val="20"/>
                <w:lang w:val="en-GB"/>
              </w:rPr>
              <w:t>S: Sep 2012</w:t>
            </w:r>
          </w:p>
          <w:p w:rsidR="00855A19" w:rsidRDefault="00855A19">
            <w:pPr>
              <w:rPr>
                <w:sz w:val="20"/>
                <w:szCs w:val="20"/>
                <w:lang w:val="en-GB"/>
              </w:rPr>
            </w:pPr>
            <w:r w:rsidRPr="00075CD9">
              <w:rPr>
                <w:sz w:val="20"/>
                <w:szCs w:val="20"/>
                <w:lang w:val="en-GB"/>
              </w:rPr>
              <w:t>T: Sep 2013</w:t>
            </w:r>
          </w:p>
          <w:p w:rsidR="00855A19" w:rsidRPr="00075CD9" w:rsidRDefault="00855A19">
            <w:pPr>
              <w:rPr>
                <w:sz w:val="20"/>
                <w:szCs w:val="20"/>
                <w:lang w:val="en-GB"/>
              </w:rPr>
            </w:pPr>
            <w:r>
              <w:rPr>
                <w:sz w:val="20"/>
                <w:szCs w:val="20"/>
                <w:lang w:val="en-GB"/>
              </w:rPr>
              <w:t>On hold</w:t>
            </w:r>
          </w:p>
        </w:tc>
        <w:tc>
          <w:tcPr>
            <w:tcW w:w="1094" w:type="dxa"/>
          </w:tcPr>
          <w:p w:rsidR="00855A19" w:rsidRPr="00075CD9" w:rsidRDefault="00855A19">
            <w:pPr>
              <w:rPr>
                <w:sz w:val="20"/>
                <w:szCs w:val="20"/>
                <w:lang w:val="en-GB"/>
              </w:rPr>
            </w:pPr>
            <w:r w:rsidRPr="00075CD9">
              <w:rPr>
                <w:sz w:val="20"/>
                <w:szCs w:val="20"/>
                <w:lang w:val="en-GB"/>
              </w:rPr>
              <w:t>SE24</w:t>
            </w:r>
          </w:p>
        </w:tc>
        <w:tc>
          <w:tcPr>
            <w:tcW w:w="3046" w:type="dxa"/>
          </w:tcPr>
          <w:p w:rsidR="00855A19" w:rsidRPr="00075CD9" w:rsidRDefault="00855A19">
            <w:pPr>
              <w:rPr>
                <w:sz w:val="20"/>
                <w:szCs w:val="20"/>
                <w:lang w:val="en-GB"/>
              </w:rPr>
            </w:pPr>
          </w:p>
          <w:p w:rsidR="00855A19" w:rsidRDefault="00855A19" w:rsidP="00D530E0">
            <w:pPr>
              <w:rPr>
                <w:sz w:val="20"/>
                <w:szCs w:val="20"/>
                <w:lang w:val="en-GB"/>
              </w:rPr>
            </w:pPr>
            <w:r w:rsidRPr="00075CD9">
              <w:rPr>
                <w:sz w:val="20"/>
                <w:szCs w:val="20"/>
                <w:lang w:val="en-GB"/>
              </w:rPr>
              <w:t>The work address the issue of ALDs in the bands 870-876 MHz,</w:t>
            </w:r>
            <w:r>
              <w:rPr>
                <w:sz w:val="20"/>
                <w:szCs w:val="20"/>
                <w:lang w:val="en-GB"/>
              </w:rPr>
              <w:t xml:space="preserve"> and</w:t>
            </w:r>
            <w:r w:rsidRPr="00075CD9">
              <w:rPr>
                <w:sz w:val="20"/>
                <w:szCs w:val="20"/>
                <w:lang w:val="en-GB"/>
              </w:rPr>
              <w:t xml:space="preserve"> 915-921 MHz taking into account that the bands 870-876 MHz and 915-921 MHz are also considered under the existing work item SE24_41.</w:t>
            </w:r>
          </w:p>
          <w:p w:rsidR="00855A19" w:rsidRPr="00075CD9" w:rsidRDefault="00855A19" w:rsidP="00D530E0">
            <w:pPr>
              <w:rPr>
                <w:sz w:val="20"/>
                <w:szCs w:val="20"/>
                <w:lang w:val="en-GB"/>
              </w:rPr>
            </w:pPr>
            <w:r>
              <w:rPr>
                <w:sz w:val="20"/>
                <w:szCs w:val="20"/>
                <w:lang w:val="en-GB"/>
              </w:rPr>
              <w:t xml:space="preserve">WGFM requested WGSE in January 2013 (SE(13)11) to stop studies in the band 960-1215 MHz and to put the activities for the </w:t>
            </w:r>
            <w:r>
              <w:rPr>
                <w:sz w:val="20"/>
                <w:szCs w:val="20"/>
                <w:lang w:val="en-GB"/>
              </w:rPr>
              <w:lastRenderedPageBreak/>
              <w:t xml:space="preserve">band </w:t>
            </w:r>
            <w:r w:rsidRPr="00075CD9">
              <w:rPr>
                <w:sz w:val="20"/>
                <w:szCs w:val="20"/>
                <w:lang w:val="en-US"/>
              </w:rPr>
              <w:t>870-876 MHz,  915-921 MHz</w:t>
            </w:r>
            <w:r>
              <w:rPr>
                <w:sz w:val="20"/>
                <w:szCs w:val="20"/>
                <w:lang w:val="en-US"/>
              </w:rPr>
              <w:t xml:space="preserve"> </w:t>
            </w:r>
            <w:r>
              <w:rPr>
                <w:sz w:val="20"/>
                <w:szCs w:val="20"/>
                <w:lang w:val="en-GB"/>
              </w:rPr>
              <w:t>on hold until clarification from ETSI ERM is received. WI is on hold.</w:t>
            </w:r>
          </w:p>
          <w:p w:rsidR="00855A19" w:rsidRPr="00075CD9" w:rsidRDefault="00855A19" w:rsidP="00D530E0">
            <w:pPr>
              <w:rPr>
                <w:sz w:val="20"/>
                <w:szCs w:val="20"/>
                <w:lang w:val="en-GB"/>
              </w:rPr>
            </w:pPr>
          </w:p>
        </w:tc>
        <w:tc>
          <w:tcPr>
            <w:tcW w:w="1689" w:type="dxa"/>
          </w:tcPr>
          <w:p w:rsidR="00855A19" w:rsidRPr="00075CD9" w:rsidRDefault="00855A19">
            <w:pPr>
              <w:jc w:val="center"/>
              <w:rPr>
                <w:sz w:val="20"/>
                <w:szCs w:val="20"/>
                <w:lang w:val="en-GB"/>
              </w:rPr>
            </w:pPr>
            <w:r w:rsidRPr="00075CD9">
              <w:rPr>
                <w:sz w:val="20"/>
                <w:szCs w:val="20"/>
                <w:lang w:val="en-GB"/>
              </w:rPr>
              <w:lastRenderedPageBreak/>
              <w:t>WGFM</w:t>
            </w:r>
          </w:p>
        </w:tc>
        <w:tc>
          <w:tcPr>
            <w:tcW w:w="1689" w:type="dxa"/>
          </w:tcPr>
          <w:p w:rsidR="00855A19" w:rsidRPr="00075CD9" w:rsidRDefault="00855A19">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3B100D">
            <w:pPr>
              <w:rPr>
                <w:sz w:val="20"/>
                <w:szCs w:val="20"/>
                <w:lang w:val="en-GB"/>
              </w:rPr>
            </w:pPr>
            <w:r w:rsidRPr="00075CD9">
              <w:rPr>
                <w:sz w:val="20"/>
                <w:szCs w:val="20"/>
                <w:lang w:val="en-GB"/>
              </w:rPr>
              <w:lastRenderedPageBreak/>
              <w:t>SE24_45</w:t>
            </w:r>
          </w:p>
        </w:tc>
        <w:tc>
          <w:tcPr>
            <w:tcW w:w="2701" w:type="dxa"/>
          </w:tcPr>
          <w:p w:rsidR="00855A19" w:rsidRPr="00075CD9" w:rsidRDefault="00855A19" w:rsidP="00EC7490">
            <w:pPr>
              <w:rPr>
                <w:sz w:val="20"/>
                <w:szCs w:val="20"/>
                <w:lang w:val="en-GB"/>
              </w:rPr>
            </w:pPr>
            <w:r w:rsidRPr="00075CD9">
              <w:rPr>
                <w:sz w:val="20"/>
                <w:szCs w:val="20"/>
                <w:lang w:val="en-US"/>
              </w:rPr>
              <w:t>RFIDs at 13.56 MHz</w:t>
            </w:r>
          </w:p>
        </w:tc>
        <w:tc>
          <w:tcPr>
            <w:tcW w:w="3431" w:type="dxa"/>
          </w:tcPr>
          <w:p w:rsidR="00855A19" w:rsidRPr="00075CD9" w:rsidRDefault="00855A19" w:rsidP="00EC7490">
            <w:pPr>
              <w:rPr>
                <w:sz w:val="20"/>
                <w:szCs w:val="20"/>
                <w:lang w:val="en-GB"/>
              </w:rPr>
            </w:pPr>
            <w:r w:rsidRPr="00075CD9">
              <w:rPr>
                <w:sz w:val="20"/>
                <w:szCs w:val="20"/>
                <w:lang w:val="en-US"/>
              </w:rPr>
              <w:t xml:space="preserve">ECC Report </w:t>
            </w:r>
          </w:p>
          <w:p w:rsidR="00855A19" w:rsidRPr="00075CD9" w:rsidRDefault="00855A19" w:rsidP="00EC7490">
            <w:pPr>
              <w:rPr>
                <w:sz w:val="20"/>
                <w:szCs w:val="20"/>
                <w:lang w:val="en-GB"/>
              </w:rPr>
            </w:pPr>
          </w:p>
        </w:tc>
        <w:tc>
          <w:tcPr>
            <w:tcW w:w="1389" w:type="dxa"/>
          </w:tcPr>
          <w:p w:rsidR="00855A19" w:rsidRPr="00075CD9" w:rsidRDefault="00855A19" w:rsidP="00EC7490">
            <w:pPr>
              <w:rPr>
                <w:sz w:val="20"/>
                <w:szCs w:val="20"/>
                <w:lang w:val="en-GB"/>
              </w:rPr>
            </w:pPr>
            <w:r w:rsidRPr="00075CD9">
              <w:rPr>
                <w:sz w:val="20"/>
                <w:szCs w:val="20"/>
                <w:lang w:val="en-GB"/>
              </w:rPr>
              <w:t>S: Sep 2012</w:t>
            </w:r>
          </w:p>
          <w:p w:rsidR="00855A19" w:rsidRPr="00075CD9" w:rsidRDefault="00855A19" w:rsidP="00EC7490">
            <w:pPr>
              <w:rPr>
                <w:sz w:val="20"/>
                <w:szCs w:val="20"/>
                <w:lang w:val="en-GB"/>
              </w:rPr>
            </w:pPr>
            <w:r w:rsidRPr="00075CD9">
              <w:rPr>
                <w:sz w:val="20"/>
                <w:szCs w:val="20"/>
                <w:lang w:val="en-GB"/>
              </w:rPr>
              <w:t xml:space="preserve">T: </w:t>
            </w:r>
            <w:r>
              <w:rPr>
                <w:sz w:val="20"/>
                <w:szCs w:val="20"/>
                <w:lang w:val="en-GB"/>
              </w:rPr>
              <w:t>Jan 2014</w:t>
            </w:r>
          </w:p>
        </w:tc>
        <w:tc>
          <w:tcPr>
            <w:tcW w:w="1094" w:type="dxa"/>
          </w:tcPr>
          <w:p w:rsidR="00855A19" w:rsidRPr="00075CD9" w:rsidRDefault="00855A19" w:rsidP="00EC7490">
            <w:pPr>
              <w:rPr>
                <w:sz w:val="20"/>
                <w:szCs w:val="20"/>
                <w:lang w:val="en-GB"/>
              </w:rPr>
            </w:pPr>
            <w:r w:rsidRPr="00075CD9">
              <w:rPr>
                <w:sz w:val="20"/>
                <w:szCs w:val="20"/>
                <w:lang w:val="en-GB"/>
              </w:rPr>
              <w:t>SE24</w:t>
            </w:r>
          </w:p>
        </w:tc>
        <w:tc>
          <w:tcPr>
            <w:tcW w:w="3046" w:type="dxa"/>
          </w:tcPr>
          <w:p w:rsidR="00855A19" w:rsidRPr="00075CD9" w:rsidRDefault="00855A19" w:rsidP="00EC7490">
            <w:pPr>
              <w:rPr>
                <w:sz w:val="20"/>
                <w:szCs w:val="20"/>
                <w:lang w:val="en-US"/>
              </w:rPr>
            </w:pPr>
            <w:r w:rsidRPr="00075CD9">
              <w:rPr>
                <w:sz w:val="20"/>
                <w:szCs w:val="20"/>
                <w:lang w:val="en-US"/>
              </w:rPr>
              <w:t>To conduct compatibility studies on the impact of the relaxed emission mask for RFIDs as proposed in ETSI TR 103 059 on existing radio services. Cooperation with SE21 if necessary.</w:t>
            </w:r>
          </w:p>
          <w:p w:rsidR="00855A19" w:rsidRPr="00075CD9" w:rsidRDefault="00855A19" w:rsidP="00EC7490">
            <w:pPr>
              <w:rPr>
                <w:sz w:val="20"/>
                <w:szCs w:val="20"/>
                <w:lang w:val="en-GB"/>
              </w:rPr>
            </w:pPr>
          </w:p>
        </w:tc>
        <w:tc>
          <w:tcPr>
            <w:tcW w:w="1689" w:type="dxa"/>
          </w:tcPr>
          <w:p w:rsidR="00855A19" w:rsidRPr="00075CD9" w:rsidRDefault="00855A19" w:rsidP="00EC7490">
            <w:pPr>
              <w:jc w:val="center"/>
              <w:rPr>
                <w:sz w:val="20"/>
                <w:szCs w:val="20"/>
                <w:lang w:val="en-GB"/>
              </w:rPr>
            </w:pPr>
            <w:r w:rsidRPr="00075CD9">
              <w:rPr>
                <w:sz w:val="20"/>
                <w:szCs w:val="20"/>
                <w:lang w:val="en-GB"/>
              </w:rPr>
              <w:t>WG SE</w:t>
            </w:r>
            <w:r>
              <w:rPr>
                <w:sz w:val="20"/>
                <w:szCs w:val="20"/>
                <w:lang w:val="en-GB"/>
              </w:rPr>
              <w:t xml:space="preserve"> </w:t>
            </w:r>
            <w:r w:rsidRPr="009A7A75">
              <w:rPr>
                <w:sz w:val="20"/>
                <w:szCs w:val="20"/>
                <w:lang w:val="en-GB"/>
              </w:rPr>
              <w:t xml:space="preserve">(for supporting administrations, see SE(12)079, section </w:t>
            </w:r>
            <w:r w:rsidRPr="000318E3">
              <w:rPr>
                <w:sz w:val="20"/>
                <w:szCs w:val="20"/>
                <w:lang w:val="en-GB"/>
              </w:rPr>
              <w:t>8.2.8.2)</w:t>
            </w:r>
          </w:p>
          <w:p w:rsidR="00855A19" w:rsidRPr="00075CD9" w:rsidRDefault="00855A19" w:rsidP="009A7A75">
            <w:pPr>
              <w:rPr>
                <w:sz w:val="20"/>
                <w:szCs w:val="20"/>
                <w:lang w:val="en-GB"/>
              </w:rPr>
            </w:pPr>
          </w:p>
        </w:tc>
        <w:tc>
          <w:tcPr>
            <w:tcW w:w="1689" w:type="dxa"/>
          </w:tcPr>
          <w:p w:rsidR="00855A19" w:rsidRPr="00075CD9" w:rsidRDefault="00855A19" w:rsidP="00EC7490">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C82F9D" w:rsidRDefault="00855A19" w:rsidP="003B100D">
            <w:pPr>
              <w:rPr>
                <w:sz w:val="20"/>
                <w:szCs w:val="20"/>
                <w:lang w:val="en-US"/>
              </w:rPr>
            </w:pPr>
            <w:r w:rsidRPr="00C82F9D">
              <w:rPr>
                <w:sz w:val="20"/>
                <w:szCs w:val="20"/>
                <w:lang w:val="en-US"/>
              </w:rPr>
              <w:t>SE24_</w:t>
            </w:r>
            <w:r>
              <w:rPr>
                <w:sz w:val="20"/>
                <w:szCs w:val="20"/>
                <w:lang w:val="en-US"/>
              </w:rPr>
              <w:t>46</w:t>
            </w:r>
          </w:p>
        </w:tc>
        <w:tc>
          <w:tcPr>
            <w:tcW w:w="2701" w:type="dxa"/>
          </w:tcPr>
          <w:p w:rsidR="00855A19" w:rsidRPr="00075CD9" w:rsidRDefault="00855A19" w:rsidP="00EC7490">
            <w:pPr>
              <w:rPr>
                <w:sz w:val="20"/>
                <w:szCs w:val="20"/>
                <w:lang w:val="en-US"/>
              </w:rPr>
            </w:pPr>
            <w:r w:rsidRPr="00C82F9D">
              <w:rPr>
                <w:sz w:val="20"/>
                <w:szCs w:val="20"/>
                <w:lang w:val="en-US"/>
              </w:rPr>
              <w:t>Time domain dynamics for SRD in SEAMCAT</w:t>
            </w:r>
          </w:p>
        </w:tc>
        <w:tc>
          <w:tcPr>
            <w:tcW w:w="3431" w:type="dxa"/>
          </w:tcPr>
          <w:p w:rsidR="00855A19" w:rsidRPr="00C82F9D" w:rsidRDefault="00855A19" w:rsidP="007C09FA">
            <w:pPr>
              <w:rPr>
                <w:sz w:val="20"/>
                <w:szCs w:val="20"/>
                <w:lang w:val="en-US"/>
              </w:rPr>
            </w:pPr>
            <w:r w:rsidRPr="00C82F9D">
              <w:rPr>
                <w:sz w:val="20"/>
                <w:szCs w:val="20"/>
                <w:lang w:val="en-US"/>
              </w:rPr>
              <w:t>Guidance document for the implementation in S</w:t>
            </w:r>
            <w:r>
              <w:rPr>
                <w:sz w:val="20"/>
                <w:szCs w:val="20"/>
                <w:lang w:val="en-US"/>
              </w:rPr>
              <w:t>EAMCAT</w:t>
            </w:r>
            <w:r w:rsidRPr="00C82F9D">
              <w:rPr>
                <w:sz w:val="20"/>
                <w:szCs w:val="20"/>
                <w:lang w:val="en-US"/>
              </w:rPr>
              <w:t xml:space="preserve"> </w:t>
            </w:r>
          </w:p>
          <w:p w:rsidR="00855A19" w:rsidRPr="00075CD9" w:rsidRDefault="00855A19" w:rsidP="00EC7490">
            <w:pPr>
              <w:rPr>
                <w:sz w:val="20"/>
                <w:szCs w:val="20"/>
                <w:lang w:val="en-US"/>
              </w:rPr>
            </w:pPr>
          </w:p>
        </w:tc>
        <w:tc>
          <w:tcPr>
            <w:tcW w:w="1389" w:type="dxa"/>
          </w:tcPr>
          <w:p w:rsidR="00855A19" w:rsidRPr="00C82F9D" w:rsidRDefault="00855A19" w:rsidP="00EC7490">
            <w:pPr>
              <w:rPr>
                <w:sz w:val="20"/>
                <w:szCs w:val="20"/>
                <w:lang w:val="en-US"/>
              </w:rPr>
            </w:pPr>
            <w:r w:rsidRPr="00C82F9D">
              <w:rPr>
                <w:sz w:val="20"/>
                <w:szCs w:val="20"/>
                <w:lang w:val="en-US"/>
              </w:rPr>
              <w:t>S: 02/2013</w:t>
            </w:r>
            <w:r>
              <w:rPr>
                <w:sz w:val="20"/>
                <w:szCs w:val="20"/>
                <w:lang w:val="en-US"/>
              </w:rPr>
              <w:br/>
            </w:r>
            <w:r w:rsidRPr="00C82F9D">
              <w:rPr>
                <w:sz w:val="20"/>
                <w:szCs w:val="20"/>
                <w:lang w:val="en-US"/>
              </w:rPr>
              <w:t>T: 05/201</w:t>
            </w:r>
            <w:r>
              <w:rPr>
                <w:sz w:val="20"/>
                <w:szCs w:val="20"/>
                <w:lang w:val="en-US"/>
              </w:rPr>
              <w:t>5</w:t>
            </w:r>
          </w:p>
        </w:tc>
        <w:tc>
          <w:tcPr>
            <w:tcW w:w="1094" w:type="dxa"/>
          </w:tcPr>
          <w:p w:rsidR="00855A19" w:rsidRPr="00C82F9D" w:rsidRDefault="00855A19" w:rsidP="00EC7490">
            <w:pPr>
              <w:rPr>
                <w:sz w:val="20"/>
                <w:szCs w:val="20"/>
                <w:lang w:val="en-US"/>
              </w:rPr>
            </w:pPr>
            <w:r w:rsidRPr="00C82F9D">
              <w:rPr>
                <w:sz w:val="20"/>
                <w:szCs w:val="20"/>
                <w:lang w:val="en-US"/>
              </w:rPr>
              <w:t>SE24</w:t>
            </w:r>
          </w:p>
        </w:tc>
        <w:tc>
          <w:tcPr>
            <w:tcW w:w="3046" w:type="dxa"/>
          </w:tcPr>
          <w:p w:rsidR="00855A19" w:rsidRPr="00C82F9D" w:rsidRDefault="00855A19" w:rsidP="007C09FA">
            <w:pPr>
              <w:rPr>
                <w:sz w:val="20"/>
                <w:szCs w:val="20"/>
                <w:lang w:val="en-US"/>
              </w:rPr>
            </w:pPr>
            <w:r w:rsidRPr="00C82F9D">
              <w:rPr>
                <w:sz w:val="20"/>
                <w:szCs w:val="20"/>
                <w:lang w:val="en-US"/>
              </w:rPr>
              <w:t>Guidance document for the implementation in S</w:t>
            </w:r>
            <w:r>
              <w:rPr>
                <w:sz w:val="20"/>
                <w:szCs w:val="20"/>
                <w:lang w:val="en-US"/>
              </w:rPr>
              <w:t>EAMCAT</w:t>
            </w:r>
            <w:r w:rsidRPr="00C82F9D">
              <w:rPr>
                <w:sz w:val="20"/>
                <w:szCs w:val="20"/>
                <w:lang w:val="en-US"/>
              </w:rPr>
              <w:t xml:space="preserve"> of system dynamics and system interrelations for SRD in the time domain. </w:t>
            </w:r>
          </w:p>
          <w:p w:rsidR="00855A19" w:rsidRPr="00075CD9" w:rsidRDefault="00855A19" w:rsidP="007C09FA">
            <w:pPr>
              <w:rPr>
                <w:sz w:val="20"/>
                <w:szCs w:val="20"/>
                <w:lang w:val="en-US"/>
              </w:rPr>
            </w:pPr>
            <w:r w:rsidRPr="00C82F9D">
              <w:rPr>
                <w:sz w:val="20"/>
                <w:szCs w:val="20"/>
                <w:lang w:val="en-US"/>
              </w:rPr>
              <w:t>These will include adaptive interference mitigation mechanisms (LBT, AFH, etc.) and Duty Cycle random access. To be undertaken in collaboration with STG.</w:t>
            </w:r>
          </w:p>
        </w:tc>
        <w:tc>
          <w:tcPr>
            <w:tcW w:w="1689" w:type="dxa"/>
          </w:tcPr>
          <w:p w:rsidR="00855A19" w:rsidRPr="00075CD9" w:rsidRDefault="00855A19" w:rsidP="00392A59">
            <w:pPr>
              <w:jc w:val="center"/>
              <w:rPr>
                <w:sz w:val="20"/>
                <w:szCs w:val="20"/>
                <w:lang w:val="en-GB"/>
              </w:rPr>
            </w:pPr>
            <w:r w:rsidRPr="00075CD9">
              <w:rPr>
                <w:sz w:val="20"/>
                <w:szCs w:val="20"/>
                <w:lang w:val="en-GB"/>
              </w:rPr>
              <w:t>SE2</w:t>
            </w:r>
            <w:r>
              <w:rPr>
                <w:sz w:val="20"/>
                <w:szCs w:val="20"/>
                <w:lang w:val="en-GB"/>
              </w:rPr>
              <w:t>4</w:t>
            </w:r>
            <w:r w:rsidRPr="00075CD9">
              <w:rPr>
                <w:sz w:val="20"/>
                <w:szCs w:val="20"/>
                <w:lang w:val="en-GB"/>
              </w:rPr>
              <w:t xml:space="preserve"> through</w:t>
            </w:r>
          </w:p>
          <w:p w:rsidR="00855A19" w:rsidRPr="00C82F9D" w:rsidRDefault="00855A19" w:rsidP="001A575A">
            <w:pPr>
              <w:jc w:val="center"/>
              <w:rPr>
                <w:sz w:val="20"/>
                <w:szCs w:val="20"/>
                <w:lang w:val="en-US"/>
              </w:rPr>
            </w:pPr>
            <w:r w:rsidRPr="00075CD9">
              <w:rPr>
                <w:sz w:val="20"/>
                <w:szCs w:val="20"/>
                <w:lang w:val="en-GB"/>
              </w:rPr>
              <w:t>WGSE</w:t>
            </w:r>
            <w:r>
              <w:rPr>
                <w:sz w:val="20"/>
                <w:szCs w:val="20"/>
                <w:lang w:val="en-GB"/>
              </w:rPr>
              <w:t xml:space="preserve"> </w:t>
            </w:r>
            <w:r w:rsidRPr="009A7A75">
              <w:rPr>
                <w:sz w:val="20"/>
                <w:szCs w:val="20"/>
                <w:lang w:val="en-GB"/>
              </w:rPr>
              <w:t>(for supporting administrations, see SE(1</w:t>
            </w:r>
            <w:r>
              <w:rPr>
                <w:sz w:val="20"/>
                <w:szCs w:val="20"/>
                <w:lang w:val="en-GB"/>
              </w:rPr>
              <w:t>3</w:t>
            </w:r>
            <w:r w:rsidRPr="009A7A75">
              <w:rPr>
                <w:sz w:val="20"/>
                <w:szCs w:val="20"/>
                <w:lang w:val="en-GB"/>
              </w:rPr>
              <w:t>)0</w:t>
            </w:r>
            <w:r>
              <w:rPr>
                <w:sz w:val="20"/>
                <w:szCs w:val="20"/>
                <w:lang w:val="en-GB"/>
              </w:rPr>
              <w:t>49,</w:t>
            </w:r>
            <w:r w:rsidRPr="00C82F9D">
              <w:rPr>
                <w:sz w:val="20"/>
                <w:szCs w:val="20"/>
                <w:highlight w:val="yellow"/>
                <w:lang w:val="en-GB"/>
              </w:rPr>
              <w:t xml:space="preserve"> </w:t>
            </w:r>
            <w:r w:rsidRPr="001A575A">
              <w:rPr>
                <w:sz w:val="20"/>
                <w:szCs w:val="20"/>
                <w:lang w:val="en-GB"/>
              </w:rPr>
              <w:t xml:space="preserve">section </w:t>
            </w:r>
            <w:r w:rsidR="001A575A" w:rsidRPr="001A575A">
              <w:rPr>
                <w:sz w:val="20"/>
                <w:szCs w:val="20"/>
                <w:lang w:val="en-GB"/>
              </w:rPr>
              <w:t>9.</w:t>
            </w:r>
            <w:r w:rsidR="001A575A">
              <w:rPr>
                <w:sz w:val="20"/>
                <w:szCs w:val="20"/>
                <w:lang w:val="en-GB"/>
              </w:rPr>
              <w:t>3.1</w:t>
            </w:r>
            <w:r w:rsidRPr="009A7A75">
              <w:rPr>
                <w:sz w:val="20"/>
                <w:szCs w:val="20"/>
                <w:lang w:val="en-GB"/>
              </w:rPr>
              <w:t>)</w:t>
            </w:r>
          </w:p>
        </w:tc>
        <w:tc>
          <w:tcPr>
            <w:tcW w:w="1689" w:type="dxa"/>
          </w:tcPr>
          <w:p w:rsidR="00855A19" w:rsidRPr="00075CD9" w:rsidRDefault="00855A19" w:rsidP="00EC7490">
            <w:pPr>
              <w:jc w:val="center"/>
              <w:rPr>
                <w:sz w:val="20"/>
                <w:szCs w:val="20"/>
                <w:lang w:val="en-GB"/>
              </w:rPr>
            </w:pPr>
            <w:r>
              <w:rPr>
                <w:sz w:val="20"/>
                <w:szCs w:val="20"/>
                <w:lang w:val="en-GB"/>
              </w:rPr>
              <w:t>Y</w:t>
            </w:r>
          </w:p>
        </w:tc>
      </w:tr>
      <w:tr w:rsidR="00855A19" w:rsidRPr="00075CD9" w:rsidTr="008D57AD">
        <w:tc>
          <w:tcPr>
            <w:tcW w:w="966" w:type="dxa"/>
          </w:tcPr>
          <w:p w:rsidR="00855A19" w:rsidRPr="007C09FA" w:rsidRDefault="00855A19" w:rsidP="003B100D">
            <w:pPr>
              <w:rPr>
                <w:sz w:val="20"/>
                <w:szCs w:val="20"/>
                <w:lang w:val="en-US"/>
              </w:rPr>
            </w:pPr>
            <w:r>
              <w:rPr>
                <w:sz w:val="20"/>
                <w:szCs w:val="20"/>
                <w:lang w:val="en-US"/>
              </w:rPr>
              <w:t>SE24_47</w:t>
            </w:r>
          </w:p>
        </w:tc>
        <w:tc>
          <w:tcPr>
            <w:tcW w:w="2701" w:type="dxa"/>
          </w:tcPr>
          <w:p w:rsidR="00855A19" w:rsidRPr="007C09FA" w:rsidRDefault="00855A19" w:rsidP="00EC7490">
            <w:pPr>
              <w:rPr>
                <w:sz w:val="20"/>
                <w:szCs w:val="20"/>
                <w:lang w:val="en-US"/>
              </w:rPr>
            </w:pPr>
            <w:r w:rsidRPr="00C82F9D">
              <w:rPr>
                <w:sz w:val="20"/>
                <w:szCs w:val="20"/>
                <w:lang w:val="en-US"/>
              </w:rPr>
              <w:t>SRD applications</w:t>
            </w:r>
            <w:r>
              <w:rPr>
                <w:sz w:val="20"/>
                <w:szCs w:val="20"/>
                <w:lang w:val="en-US"/>
              </w:rPr>
              <w:t xml:space="preserve"> used </w:t>
            </w:r>
            <w:r w:rsidRPr="00C82F9D">
              <w:rPr>
                <w:sz w:val="20"/>
                <w:szCs w:val="20"/>
                <w:lang w:val="en-US"/>
              </w:rPr>
              <w:t>in the band 862-863 MHz</w:t>
            </w:r>
          </w:p>
        </w:tc>
        <w:tc>
          <w:tcPr>
            <w:tcW w:w="3431" w:type="dxa"/>
          </w:tcPr>
          <w:p w:rsidR="00855A19" w:rsidRPr="007C09FA" w:rsidRDefault="00855A19" w:rsidP="007C09FA">
            <w:pPr>
              <w:rPr>
                <w:sz w:val="20"/>
                <w:szCs w:val="20"/>
                <w:lang w:val="en-US"/>
              </w:rPr>
            </w:pPr>
            <w:r w:rsidRPr="00C82F9D">
              <w:rPr>
                <w:sz w:val="20"/>
                <w:szCs w:val="20"/>
                <w:lang w:val="en-US"/>
              </w:rPr>
              <w:t>ECC Report</w:t>
            </w:r>
          </w:p>
        </w:tc>
        <w:tc>
          <w:tcPr>
            <w:tcW w:w="1389" w:type="dxa"/>
          </w:tcPr>
          <w:p w:rsidR="00855A19" w:rsidRPr="007C09FA" w:rsidRDefault="00855A19" w:rsidP="00EC7490">
            <w:pPr>
              <w:rPr>
                <w:sz w:val="20"/>
                <w:szCs w:val="20"/>
                <w:lang w:val="en-US"/>
              </w:rPr>
            </w:pPr>
            <w:r w:rsidRPr="00C82F9D">
              <w:rPr>
                <w:sz w:val="20"/>
                <w:szCs w:val="20"/>
                <w:lang w:val="en-US"/>
              </w:rPr>
              <w:t>S: 02/2013</w:t>
            </w:r>
            <w:r>
              <w:rPr>
                <w:sz w:val="20"/>
                <w:szCs w:val="20"/>
                <w:lang w:val="en-US"/>
              </w:rPr>
              <w:br/>
            </w:r>
            <w:r w:rsidRPr="00C82F9D">
              <w:rPr>
                <w:sz w:val="20"/>
                <w:szCs w:val="20"/>
                <w:lang w:val="en-US"/>
              </w:rPr>
              <w:t>T: 05/2014</w:t>
            </w:r>
          </w:p>
        </w:tc>
        <w:tc>
          <w:tcPr>
            <w:tcW w:w="1094" w:type="dxa"/>
          </w:tcPr>
          <w:p w:rsidR="00855A19" w:rsidRPr="007C09FA" w:rsidRDefault="00855A19" w:rsidP="00EC7490">
            <w:pPr>
              <w:rPr>
                <w:sz w:val="20"/>
                <w:szCs w:val="20"/>
                <w:lang w:val="en-US"/>
              </w:rPr>
            </w:pPr>
            <w:r>
              <w:rPr>
                <w:sz w:val="20"/>
                <w:szCs w:val="20"/>
                <w:lang w:val="en-US"/>
              </w:rPr>
              <w:t>SE24</w:t>
            </w:r>
          </w:p>
        </w:tc>
        <w:tc>
          <w:tcPr>
            <w:tcW w:w="3046" w:type="dxa"/>
          </w:tcPr>
          <w:p w:rsidR="00855A19" w:rsidRPr="007C09FA" w:rsidRDefault="00855A19" w:rsidP="007C09FA">
            <w:pPr>
              <w:rPr>
                <w:sz w:val="20"/>
                <w:szCs w:val="20"/>
                <w:lang w:val="en-US"/>
              </w:rPr>
            </w:pPr>
            <w:r w:rsidRPr="00C82F9D">
              <w:rPr>
                <w:sz w:val="20"/>
                <w:szCs w:val="20"/>
                <w:lang w:val="en-US"/>
              </w:rPr>
              <w:t xml:space="preserve">To support SRD/MG on the impact of SRD applications used in the band 862-863 MHz on applications in the band below 862 MHz (LTE) and on the cordless audio applications operating in 863-865 </w:t>
            </w:r>
            <w:proofErr w:type="spellStart"/>
            <w:r w:rsidRPr="00C82F9D">
              <w:rPr>
                <w:sz w:val="20"/>
                <w:szCs w:val="20"/>
                <w:lang w:val="en-US"/>
              </w:rPr>
              <w:t>MHz.</w:t>
            </w:r>
            <w:proofErr w:type="spellEnd"/>
            <w:r w:rsidRPr="00C82F9D">
              <w:rPr>
                <w:sz w:val="20"/>
                <w:szCs w:val="20"/>
                <w:lang w:val="en-US"/>
              </w:rPr>
              <w:t xml:space="preserve"> Priority on existing WIs (WI41 and WI42). Further information in SE(13)007. Close cooperation with SRD/MG.</w:t>
            </w:r>
          </w:p>
        </w:tc>
        <w:tc>
          <w:tcPr>
            <w:tcW w:w="1689" w:type="dxa"/>
          </w:tcPr>
          <w:p w:rsidR="00855A19" w:rsidRPr="007C09FA" w:rsidRDefault="00855A19" w:rsidP="00EC7490">
            <w:pPr>
              <w:jc w:val="center"/>
              <w:rPr>
                <w:sz w:val="20"/>
                <w:szCs w:val="20"/>
                <w:lang w:val="en-US"/>
              </w:rPr>
            </w:pPr>
            <w:r w:rsidRPr="00C82F9D">
              <w:rPr>
                <w:sz w:val="20"/>
                <w:szCs w:val="20"/>
                <w:lang w:val="en-US"/>
              </w:rPr>
              <w:t>WGFM</w:t>
            </w:r>
          </w:p>
        </w:tc>
        <w:tc>
          <w:tcPr>
            <w:tcW w:w="1689" w:type="dxa"/>
          </w:tcPr>
          <w:p w:rsidR="00855A19" w:rsidRPr="00075CD9" w:rsidRDefault="00855A19" w:rsidP="00EC7490">
            <w:pPr>
              <w:jc w:val="center"/>
              <w:rPr>
                <w:sz w:val="20"/>
                <w:szCs w:val="20"/>
                <w:lang w:val="en-GB"/>
              </w:rPr>
            </w:pPr>
            <w:r>
              <w:rPr>
                <w:sz w:val="20"/>
                <w:szCs w:val="20"/>
                <w:lang w:val="en-GB"/>
              </w:rPr>
              <w:t>Y</w:t>
            </w: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t>SE40_18</w:t>
            </w:r>
          </w:p>
        </w:tc>
        <w:tc>
          <w:tcPr>
            <w:tcW w:w="2701" w:type="dxa"/>
          </w:tcPr>
          <w:p w:rsidR="00855A19" w:rsidRPr="00075CD9" w:rsidRDefault="00855A19" w:rsidP="000363B0">
            <w:pPr>
              <w:rPr>
                <w:sz w:val="20"/>
                <w:szCs w:val="20"/>
                <w:lang w:val="en-US"/>
              </w:rPr>
            </w:pPr>
            <w:r w:rsidRPr="00075CD9">
              <w:rPr>
                <w:sz w:val="20"/>
                <w:szCs w:val="20"/>
                <w:lang w:val="en-US"/>
              </w:rPr>
              <w:t>Compatibility between ECN and MSS terminals at 2 GHz</w:t>
            </w:r>
          </w:p>
        </w:tc>
        <w:tc>
          <w:tcPr>
            <w:tcW w:w="3431" w:type="dxa"/>
          </w:tcPr>
          <w:p w:rsidR="00855A19" w:rsidRPr="00075CD9" w:rsidRDefault="00855A19" w:rsidP="000363B0">
            <w:pPr>
              <w:jc w:val="both"/>
              <w:rPr>
                <w:sz w:val="20"/>
                <w:szCs w:val="20"/>
                <w:lang w:val="en-GB"/>
              </w:rPr>
            </w:pPr>
            <w:r w:rsidRPr="00075CD9">
              <w:rPr>
                <w:sz w:val="20"/>
                <w:szCs w:val="20"/>
                <w:lang w:val="en-GB"/>
              </w:rPr>
              <w:t xml:space="preserve">ECC Report </w:t>
            </w:r>
          </w:p>
        </w:tc>
        <w:tc>
          <w:tcPr>
            <w:tcW w:w="1389" w:type="dxa"/>
          </w:tcPr>
          <w:p w:rsidR="00855A19" w:rsidRPr="00075CD9" w:rsidRDefault="00855A19" w:rsidP="000363B0">
            <w:pPr>
              <w:rPr>
                <w:sz w:val="20"/>
                <w:szCs w:val="20"/>
                <w:lang w:val="en-GB"/>
              </w:rPr>
            </w:pPr>
            <w:r w:rsidRPr="00075CD9">
              <w:rPr>
                <w:sz w:val="20"/>
                <w:szCs w:val="20"/>
                <w:lang w:val="en-GB"/>
              </w:rPr>
              <w:t>S: Sep 2010</w:t>
            </w:r>
          </w:p>
          <w:p w:rsidR="00855A19" w:rsidRPr="00075CD9" w:rsidRDefault="00855A19" w:rsidP="000363B0">
            <w:pPr>
              <w:rPr>
                <w:sz w:val="20"/>
                <w:szCs w:val="20"/>
                <w:lang w:val="en-GB"/>
              </w:rPr>
            </w:pPr>
            <w:r w:rsidRPr="00075CD9">
              <w:rPr>
                <w:sz w:val="20"/>
                <w:szCs w:val="20"/>
                <w:lang w:val="en-GB"/>
              </w:rPr>
              <w:t>T: May 2013</w:t>
            </w:r>
          </w:p>
          <w:p w:rsidR="00855A19" w:rsidRPr="00075CD9" w:rsidRDefault="00855A19" w:rsidP="000363B0">
            <w:pPr>
              <w:rPr>
                <w:sz w:val="20"/>
                <w:szCs w:val="20"/>
                <w:lang w:val="en-GB"/>
              </w:rPr>
            </w:pPr>
          </w:p>
        </w:tc>
        <w:tc>
          <w:tcPr>
            <w:tcW w:w="1094" w:type="dxa"/>
          </w:tcPr>
          <w:p w:rsidR="00855A19" w:rsidRPr="00075CD9" w:rsidRDefault="00855A19" w:rsidP="000363B0">
            <w:pPr>
              <w:rPr>
                <w:sz w:val="20"/>
                <w:szCs w:val="20"/>
                <w:lang w:val="en-GB"/>
              </w:rPr>
            </w:pPr>
            <w:r w:rsidRPr="00075CD9">
              <w:rPr>
                <w:sz w:val="20"/>
                <w:szCs w:val="20"/>
                <w:lang w:val="en-GB"/>
              </w:rPr>
              <w:t>SE40</w:t>
            </w:r>
          </w:p>
        </w:tc>
        <w:tc>
          <w:tcPr>
            <w:tcW w:w="3046" w:type="dxa"/>
          </w:tcPr>
          <w:p w:rsidR="00855A19" w:rsidRDefault="00855A19" w:rsidP="000363B0">
            <w:pPr>
              <w:rPr>
                <w:sz w:val="20"/>
                <w:szCs w:val="20"/>
                <w:lang w:val="en-GB"/>
              </w:rPr>
            </w:pPr>
            <w:r>
              <w:rPr>
                <w:sz w:val="20"/>
                <w:szCs w:val="20"/>
                <w:lang w:val="en-US"/>
              </w:rPr>
              <w:t>[</w:t>
            </w:r>
            <w:r w:rsidRPr="00075CD9">
              <w:rPr>
                <w:sz w:val="20"/>
                <w:szCs w:val="20"/>
                <w:lang w:val="en-GB"/>
              </w:rPr>
              <w:t>.</w:t>
            </w:r>
            <w:r>
              <w:rPr>
                <w:sz w:val="20"/>
                <w:szCs w:val="20"/>
                <w:lang w:val="en-GB"/>
              </w:rPr>
              <w:t>]</w:t>
            </w:r>
          </w:p>
          <w:p w:rsidR="00855A19" w:rsidRPr="00075CD9" w:rsidRDefault="00855A19" w:rsidP="000363B0">
            <w:pPr>
              <w:rPr>
                <w:sz w:val="20"/>
                <w:szCs w:val="20"/>
                <w:lang w:val="en-GB"/>
              </w:rPr>
            </w:pPr>
            <w:r>
              <w:rPr>
                <w:sz w:val="20"/>
                <w:szCs w:val="20"/>
                <w:lang w:val="en-GB"/>
              </w:rPr>
              <w:t>Draft ECC Report 197 sent for Public Consultation.</w:t>
            </w:r>
          </w:p>
        </w:tc>
        <w:tc>
          <w:tcPr>
            <w:tcW w:w="1689" w:type="dxa"/>
          </w:tcPr>
          <w:p w:rsidR="00855A19" w:rsidRPr="00075CD9" w:rsidRDefault="00855A19" w:rsidP="000363B0">
            <w:pPr>
              <w:jc w:val="center"/>
              <w:rPr>
                <w:sz w:val="20"/>
                <w:szCs w:val="20"/>
                <w:lang w:val="en-GB"/>
              </w:rPr>
            </w:pPr>
          </w:p>
        </w:tc>
        <w:tc>
          <w:tcPr>
            <w:tcW w:w="1689" w:type="dxa"/>
          </w:tcPr>
          <w:p w:rsidR="00855A19" w:rsidRPr="00075CD9" w:rsidRDefault="00855A19" w:rsidP="000363B0">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290BF9">
            <w:pPr>
              <w:rPr>
                <w:sz w:val="20"/>
                <w:szCs w:val="20"/>
                <w:lang w:val="en-GB"/>
              </w:rPr>
            </w:pPr>
            <w:r w:rsidRPr="00075CD9">
              <w:rPr>
                <w:sz w:val="20"/>
                <w:szCs w:val="20"/>
                <w:lang w:val="en-GB"/>
              </w:rPr>
              <w:t>SE40_21</w:t>
            </w:r>
          </w:p>
        </w:tc>
        <w:tc>
          <w:tcPr>
            <w:tcW w:w="2701" w:type="dxa"/>
          </w:tcPr>
          <w:p w:rsidR="00855A19" w:rsidRPr="00075CD9" w:rsidRDefault="00855A19" w:rsidP="00290BF9">
            <w:pPr>
              <w:rPr>
                <w:sz w:val="20"/>
                <w:szCs w:val="20"/>
                <w:lang w:val="en-GB"/>
              </w:rPr>
            </w:pPr>
            <w:r w:rsidRPr="00075CD9">
              <w:rPr>
                <w:sz w:val="20"/>
                <w:szCs w:val="20"/>
                <w:lang w:val="en-GB"/>
              </w:rPr>
              <w:t xml:space="preserve">Sharing between FS and FSS </w:t>
            </w:r>
            <w:r w:rsidRPr="00075CD9">
              <w:rPr>
                <w:sz w:val="20"/>
                <w:szCs w:val="20"/>
                <w:lang w:val="en-GB"/>
              </w:rPr>
              <w:lastRenderedPageBreak/>
              <w:t xml:space="preserve">in the frequency band 17.7-19.7 GHz </w:t>
            </w:r>
          </w:p>
        </w:tc>
        <w:tc>
          <w:tcPr>
            <w:tcW w:w="3431" w:type="dxa"/>
          </w:tcPr>
          <w:p w:rsidR="00855A19" w:rsidRPr="00075CD9" w:rsidRDefault="00855A19" w:rsidP="00290BF9">
            <w:pPr>
              <w:rPr>
                <w:sz w:val="20"/>
                <w:szCs w:val="20"/>
                <w:lang w:val="en-GB"/>
              </w:rPr>
            </w:pPr>
            <w:r w:rsidRPr="00075CD9">
              <w:rPr>
                <w:sz w:val="20"/>
                <w:szCs w:val="20"/>
                <w:lang w:val="en-US"/>
              </w:rPr>
              <w:lastRenderedPageBreak/>
              <w:t>ECC report</w:t>
            </w:r>
          </w:p>
        </w:tc>
        <w:tc>
          <w:tcPr>
            <w:tcW w:w="1389" w:type="dxa"/>
          </w:tcPr>
          <w:p w:rsidR="00855A19" w:rsidRPr="00075CD9" w:rsidRDefault="00855A19" w:rsidP="00290BF9">
            <w:pPr>
              <w:rPr>
                <w:sz w:val="20"/>
                <w:szCs w:val="20"/>
                <w:lang w:val="en-GB"/>
              </w:rPr>
            </w:pPr>
            <w:r w:rsidRPr="00075CD9">
              <w:rPr>
                <w:sz w:val="20"/>
                <w:szCs w:val="20"/>
                <w:lang w:val="en-GB"/>
              </w:rPr>
              <w:t>S: Sep 2012</w:t>
            </w:r>
          </w:p>
          <w:p w:rsidR="00855A19" w:rsidRPr="00075CD9" w:rsidRDefault="00855A19" w:rsidP="00290BF9">
            <w:pPr>
              <w:rPr>
                <w:sz w:val="20"/>
                <w:szCs w:val="20"/>
                <w:lang w:val="en-GB"/>
              </w:rPr>
            </w:pPr>
            <w:r w:rsidRPr="00075CD9">
              <w:rPr>
                <w:sz w:val="20"/>
                <w:szCs w:val="20"/>
                <w:lang w:val="en-GB"/>
              </w:rPr>
              <w:lastRenderedPageBreak/>
              <w:t>T: Sep 2014</w:t>
            </w:r>
          </w:p>
        </w:tc>
        <w:tc>
          <w:tcPr>
            <w:tcW w:w="1094" w:type="dxa"/>
          </w:tcPr>
          <w:p w:rsidR="00855A19" w:rsidRPr="00075CD9" w:rsidRDefault="00855A19" w:rsidP="00290BF9">
            <w:pPr>
              <w:rPr>
                <w:sz w:val="20"/>
                <w:szCs w:val="20"/>
                <w:lang w:val="en-GB"/>
              </w:rPr>
            </w:pPr>
            <w:r w:rsidRPr="00075CD9">
              <w:rPr>
                <w:sz w:val="20"/>
                <w:szCs w:val="20"/>
                <w:lang w:val="en-GB"/>
              </w:rPr>
              <w:lastRenderedPageBreak/>
              <w:t>SE40</w:t>
            </w:r>
          </w:p>
        </w:tc>
        <w:tc>
          <w:tcPr>
            <w:tcW w:w="3046" w:type="dxa"/>
          </w:tcPr>
          <w:p w:rsidR="00855A19" w:rsidRPr="00075CD9" w:rsidRDefault="00855A19" w:rsidP="00290BF9">
            <w:pPr>
              <w:rPr>
                <w:sz w:val="20"/>
                <w:szCs w:val="20"/>
                <w:lang w:val="en-US"/>
              </w:rPr>
            </w:pPr>
            <w:r w:rsidRPr="00075CD9">
              <w:rPr>
                <w:sz w:val="20"/>
                <w:szCs w:val="20"/>
                <w:lang w:val="en-US"/>
              </w:rPr>
              <w:t xml:space="preserve">The following issues should be </w:t>
            </w:r>
            <w:r w:rsidRPr="00075CD9">
              <w:rPr>
                <w:sz w:val="20"/>
                <w:szCs w:val="20"/>
                <w:lang w:val="en-US"/>
              </w:rPr>
              <w:lastRenderedPageBreak/>
              <w:t>covered:</w:t>
            </w:r>
          </w:p>
          <w:p w:rsidR="00855A19" w:rsidRPr="00075CD9" w:rsidRDefault="00855A19" w:rsidP="00290BF9">
            <w:pPr>
              <w:numPr>
                <w:ilvl w:val="0"/>
                <w:numId w:val="33"/>
              </w:numPr>
              <w:jc w:val="both"/>
              <w:rPr>
                <w:sz w:val="20"/>
                <w:szCs w:val="20"/>
                <w:lang w:val="en-GB"/>
              </w:rPr>
            </w:pPr>
            <w:r w:rsidRPr="00075CD9">
              <w:rPr>
                <w:sz w:val="20"/>
                <w:szCs w:val="20"/>
                <w:lang w:val="en-GB"/>
              </w:rPr>
              <w:t>Determine the probability that an Earth station in the FSS receives a given level of FS interference in an area where FS is deployed.</w:t>
            </w:r>
          </w:p>
          <w:p w:rsidR="00855A19" w:rsidRPr="00075CD9" w:rsidRDefault="00855A19" w:rsidP="00290BF9">
            <w:pPr>
              <w:numPr>
                <w:ilvl w:val="0"/>
                <w:numId w:val="33"/>
              </w:numPr>
              <w:jc w:val="both"/>
              <w:rPr>
                <w:sz w:val="20"/>
                <w:szCs w:val="20"/>
                <w:lang w:val="en-GB"/>
              </w:rPr>
            </w:pPr>
            <w:r w:rsidRPr="00075CD9">
              <w:rPr>
                <w:sz w:val="20"/>
                <w:szCs w:val="20"/>
                <w:lang w:val="en-GB"/>
              </w:rPr>
              <w:t>The amount of spectrum available for FSS use within the band 17.7-19.7 GHz on a local basis and under a given FS interference threshold.</w:t>
            </w:r>
          </w:p>
          <w:p w:rsidR="00855A19" w:rsidRPr="00075CD9" w:rsidRDefault="00855A19" w:rsidP="003B100D">
            <w:pPr>
              <w:numPr>
                <w:ilvl w:val="0"/>
                <w:numId w:val="33"/>
              </w:numPr>
              <w:jc w:val="both"/>
              <w:rPr>
                <w:sz w:val="20"/>
                <w:szCs w:val="20"/>
                <w:lang w:val="en-GB"/>
              </w:rPr>
            </w:pPr>
            <w:r w:rsidRPr="00075CD9">
              <w:rPr>
                <w:sz w:val="20"/>
                <w:szCs w:val="20"/>
                <w:lang w:val="en-GB"/>
              </w:rPr>
              <w:t>Characterise the FS interference environment as experienced by a FSS Earth station, so that specific areas and/or sub-bands of 17.7-19.7 GHz can be identified as more favourable for FSS use.</w:t>
            </w:r>
          </w:p>
          <w:p w:rsidR="00855A19" w:rsidRPr="00075CD9" w:rsidRDefault="00855A19" w:rsidP="00D530E0">
            <w:pPr>
              <w:jc w:val="both"/>
              <w:rPr>
                <w:sz w:val="20"/>
                <w:szCs w:val="20"/>
                <w:lang w:val="en-GB"/>
              </w:rPr>
            </w:pPr>
          </w:p>
          <w:p w:rsidR="00855A19" w:rsidRPr="00075CD9" w:rsidRDefault="00855A19" w:rsidP="00D530E0">
            <w:pPr>
              <w:ind w:left="-1"/>
              <w:jc w:val="both"/>
              <w:rPr>
                <w:sz w:val="20"/>
                <w:szCs w:val="20"/>
                <w:lang w:val="en-GB"/>
              </w:rPr>
            </w:pPr>
            <w:r w:rsidRPr="00075CD9">
              <w:rPr>
                <w:sz w:val="20"/>
                <w:szCs w:val="20"/>
                <w:lang w:val="en-GB"/>
              </w:rPr>
              <w:t>Work in cooperation with SE19 to obtain FS characteristics and to inform SE19 of its work.</w:t>
            </w:r>
          </w:p>
        </w:tc>
        <w:tc>
          <w:tcPr>
            <w:tcW w:w="1689" w:type="dxa"/>
          </w:tcPr>
          <w:p w:rsidR="00855A19" w:rsidRPr="00075CD9" w:rsidRDefault="00855A19" w:rsidP="00290BF9">
            <w:pPr>
              <w:jc w:val="center"/>
              <w:rPr>
                <w:sz w:val="20"/>
                <w:szCs w:val="20"/>
                <w:lang w:val="en-GB"/>
              </w:rPr>
            </w:pPr>
            <w:r w:rsidRPr="00075CD9">
              <w:rPr>
                <w:sz w:val="20"/>
                <w:szCs w:val="20"/>
                <w:lang w:val="en-GB"/>
              </w:rPr>
              <w:lastRenderedPageBreak/>
              <w:t xml:space="preserve">SE40 through </w:t>
            </w:r>
            <w:r w:rsidRPr="00075CD9">
              <w:rPr>
                <w:sz w:val="20"/>
                <w:szCs w:val="20"/>
                <w:lang w:val="en-GB"/>
              </w:rPr>
              <w:lastRenderedPageBreak/>
              <w:t>WGSE</w:t>
            </w:r>
            <w:r>
              <w:rPr>
                <w:sz w:val="20"/>
                <w:szCs w:val="20"/>
                <w:lang w:val="en-GB"/>
              </w:rPr>
              <w:t xml:space="preserve">. </w:t>
            </w:r>
            <w:r w:rsidRPr="009A7A75">
              <w:rPr>
                <w:sz w:val="20"/>
                <w:szCs w:val="20"/>
                <w:lang w:val="en-GB"/>
              </w:rPr>
              <w:t xml:space="preserve">(for supporting administrations, see SE(12)079, section </w:t>
            </w:r>
            <w:r>
              <w:rPr>
                <w:sz w:val="20"/>
                <w:szCs w:val="20"/>
                <w:lang w:val="en-GB"/>
              </w:rPr>
              <w:t>9.2.3</w:t>
            </w:r>
            <w:r w:rsidRPr="009A7A75">
              <w:rPr>
                <w:sz w:val="20"/>
                <w:szCs w:val="20"/>
                <w:lang w:val="en-GB"/>
              </w:rPr>
              <w:t>)</w:t>
            </w:r>
          </w:p>
          <w:p w:rsidR="00855A19" w:rsidRPr="00075CD9" w:rsidRDefault="00855A19" w:rsidP="003B100D">
            <w:pPr>
              <w:jc w:val="center"/>
              <w:rPr>
                <w:sz w:val="20"/>
                <w:szCs w:val="20"/>
                <w:lang w:val="en-GB"/>
              </w:rPr>
            </w:pPr>
          </w:p>
        </w:tc>
        <w:tc>
          <w:tcPr>
            <w:tcW w:w="1689" w:type="dxa"/>
          </w:tcPr>
          <w:p w:rsidR="00855A19" w:rsidRPr="00075CD9" w:rsidRDefault="00855A19" w:rsidP="00290BF9">
            <w:pPr>
              <w:jc w:val="center"/>
              <w:rPr>
                <w:sz w:val="20"/>
                <w:szCs w:val="20"/>
                <w:lang w:val="en-GB"/>
              </w:rPr>
            </w:pPr>
            <w:r w:rsidRPr="00075CD9">
              <w:rPr>
                <w:sz w:val="20"/>
                <w:szCs w:val="20"/>
                <w:lang w:val="en-GB"/>
              </w:rPr>
              <w:lastRenderedPageBreak/>
              <w:t>Y</w:t>
            </w: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lastRenderedPageBreak/>
              <w:t>SE43_02</w:t>
            </w:r>
          </w:p>
        </w:tc>
        <w:tc>
          <w:tcPr>
            <w:tcW w:w="2701" w:type="dxa"/>
          </w:tcPr>
          <w:p w:rsidR="00855A19" w:rsidRPr="00075CD9" w:rsidRDefault="00855A19" w:rsidP="000363B0">
            <w:pPr>
              <w:rPr>
                <w:sz w:val="20"/>
                <w:szCs w:val="20"/>
                <w:lang w:val="en-US"/>
              </w:rPr>
            </w:pPr>
            <w:r w:rsidRPr="00075CD9">
              <w:rPr>
                <w:sz w:val="20"/>
                <w:szCs w:val="20"/>
                <w:lang w:val="en-US"/>
              </w:rPr>
              <w:t>Further definition of technical and operational requirements for the operation of White Space Devices in the band 470-790 MHz taking into account  Chapter 11 of ECC Report 159.</w:t>
            </w:r>
          </w:p>
        </w:tc>
        <w:tc>
          <w:tcPr>
            <w:tcW w:w="3431" w:type="dxa"/>
          </w:tcPr>
          <w:p w:rsidR="00855A19" w:rsidRPr="00075CD9" w:rsidRDefault="00855A19" w:rsidP="002E46A3">
            <w:pPr>
              <w:jc w:val="both"/>
              <w:rPr>
                <w:sz w:val="20"/>
                <w:szCs w:val="20"/>
                <w:lang w:val="en-GB"/>
              </w:rPr>
            </w:pPr>
            <w:r w:rsidRPr="00075CD9">
              <w:rPr>
                <w:sz w:val="20"/>
                <w:szCs w:val="20"/>
                <w:lang w:val="en-GB"/>
              </w:rPr>
              <w:t>New ECC Report complementary to ECC Report 159</w:t>
            </w:r>
          </w:p>
          <w:p w:rsidR="00855A19" w:rsidRPr="00075CD9" w:rsidRDefault="00855A19" w:rsidP="002E46A3">
            <w:pPr>
              <w:jc w:val="both"/>
              <w:rPr>
                <w:sz w:val="20"/>
                <w:szCs w:val="20"/>
                <w:lang w:val="en-GB"/>
              </w:rPr>
            </w:pPr>
            <w:r w:rsidRPr="00075CD9">
              <w:rPr>
                <w:sz w:val="20"/>
                <w:szCs w:val="20"/>
                <w:lang w:val="en-GB"/>
              </w:rPr>
              <w:t>New ECC Report on geo-location</w:t>
            </w:r>
          </w:p>
          <w:p w:rsidR="00855A19" w:rsidRPr="00075CD9" w:rsidRDefault="00855A19" w:rsidP="002E46A3">
            <w:pPr>
              <w:jc w:val="both"/>
              <w:rPr>
                <w:sz w:val="20"/>
                <w:szCs w:val="20"/>
                <w:lang w:val="en-GB"/>
              </w:rPr>
            </w:pPr>
            <w:r w:rsidRPr="00075CD9">
              <w:rPr>
                <w:sz w:val="20"/>
                <w:szCs w:val="20"/>
                <w:lang w:val="en-GB"/>
              </w:rPr>
              <w:t xml:space="preserve"> Revision of ECC Report 159 if necessary and as appropriate</w:t>
            </w:r>
          </w:p>
        </w:tc>
        <w:tc>
          <w:tcPr>
            <w:tcW w:w="1389" w:type="dxa"/>
          </w:tcPr>
          <w:p w:rsidR="00855A19" w:rsidRPr="00075CD9" w:rsidRDefault="00855A19" w:rsidP="000363B0">
            <w:pPr>
              <w:rPr>
                <w:sz w:val="20"/>
                <w:szCs w:val="20"/>
                <w:lang w:val="en-GB"/>
              </w:rPr>
            </w:pPr>
            <w:r w:rsidRPr="00075CD9">
              <w:rPr>
                <w:sz w:val="20"/>
                <w:szCs w:val="20"/>
                <w:lang w:val="en-GB"/>
              </w:rPr>
              <w:t>S: Jan 2011</w:t>
            </w:r>
          </w:p>
          <w:p w:rsidR="00855A19" w:rsidRPr="00075CD9" w:rsidRDefault="00855A19" w:rsidP="00091F8C">
            <w:pPr>
              <w:rPr>
                <w:sz w:val="20"/>
                <w:szCs w:val="20"/>
                <w:lang w:val="en-GB"/>
              </w:rPr>
            </w:pPr>
            <w:r w:rsidRPr="00075CD9">
              <w:rPr>
                <w:sz w:val="20"/>
                <w:szCs w:val="20"/>
                <w:lang w:val="en-GB"/>
              </w:rPr>
              <w:t>T: Feb 2013</w:t>
            </w:r>
          </w:p>
        </w:tc>
        <w:tc>
          <w:tcPr>
            <w:tcW w:w="1094" w:type="dxa"/>
          </w:tcPr>
          <w:p w:rsidR="00855A19" w:rsidRPr="00075CD9" w:rsidRDefault="00855A19" w:rsidP="000363B0">
            <w:pPr>
              <w:rPr>
                <w:sz w:val="20"/>
                <w:szCs w:val="20"/>
                <w:lang w:val="en-GB"/>
              </w:rPr>
            </w:pPr>
            <w:r w:rsidRPr="00075CD9">
              <w:rPr>
                <w:sz w:val="20"/>
                <w:szCs w:val="20"/>
                <w:lang w:val="en-GB"/>
              </w:rPr>
              <w:t>SE43</w:t>
            </w:r>
          </w:p>
        </w:tc>
        <w:tc>
          <w:tcPr>
            <w:tcW w:w="3046" w:type="dxa"/>
          </w:tcPr>
          <w:p w:rsidR="00855A19" w:rsidRPr="00075CD9" w:rsidRDefault="00855A19" w:rsidP="003B100D">
            <w:pPr>
              <w:rPr>
                <w:sz w:val="20"/>
                <w:szCs w:val="20"/>
                <w:lang w:val="en-GB"/>
              </w:rPr>
            </w:pPr>
            <w:r w:rsidRPr="00075CD9">
              <w:rPr>
                <w:sz w:val="20"/>
                <w:szCs w:val="20"/>
                <w:lang w:val="en-GB"/>
              </w:rPr>
              <w:t xml:space="preserve">ECC Report 185and 186 </w:t>
            </w:r>
            <w:r>
              <w:rPr>
                <w:sz w:val="20"/>
                <w:szCs w:val="20"/>
                <w:lang w:val="en-GB"/>
              </w:rPr>
              <w:t>published</w:t>
            </w:r>
            <w:r w:rsidRPr="00075CD9">
              <w:rPr>
                <w:sz w:val="20"/>
                <w:szCs w:val="20"/>
                <w:lang w:val="en-GB"/>
              </w:rPr>
              <w:t>.</w:t>
            </w:r>
            <w:r>
              <w:rPr>
                <w:sz w:val="20"/>
                <w:szCs w:val="20"/>
                <w:lang w:val="en-GB"/>
              </w:rPr>
              <w:t xml:space="preserve"> WI is closed.</w:t>
            </w:r>
          </w:p>
          <w:p w:rsidR="00855A19" w:rsidRPr="00075CD9" w:rsidDel="00A76874" w:rsidRDefault="00855A19" w:rsidP="00D530E0">
            <w:pPr>
              <w:rPr>
                <w:sz w:val="20"/>
                <w:szCs w:val="20"/>
                <w:lang w:val="en-GB"/>
              </w:rPr>
            </w:pPr>
            <w:r w:rsidRPr="00075CD9">
              <w:rPr>
                <w:sz w:val="20"/>
                <w:szCs w:val="20"/>
                <w:lang w:val="en-GB"/>
              </w:rPr>
              <w:t xml:space="preserve"> </w:t>
            </w:r>
            <w:r>
              <w:rPr>
                <w:sz w:val="20"/>
                <w:szCs w:val="20"/>
                <w:lang w:val="en-GB"/>
              </w:rPr>
              <w:t>PT is closed.</w:t>
            </w:r>
          </w:p>
        </w:tc>
        <w:tc>
          <w:tcPr>
            <w:tcW w:w="1689" w:type="dxa"/>
          </w:tcPr>
          <w:p w:rsidR="00855A19" w:rsidRPr="00075CD9" w:rsidRDefault="00855A19" w:rsidP="000363B0">
            <w:pPr>
              <w:jc w:val="center"/>
              <w:rPr>
                <w:sz w:val="20"/>
                <w:szCs w:val="20"/>
                <w:lang w:val="en-GB"/>
              </w:rPr>
            </w:pPr>
          </w:p>
        </w:tc>
        <w:tc>
          <w:tcPr>
            <w:tcW w:w="1689" w:type="dxa"/>
          </w:tcPr>
          <w:p w:rsidR="00855A19" w:rsidRPr="00075CD9" w:rsidRDefault="00855A19" w:rsidP="000363B0">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t>SE44_01</w:t>
            </w:r>
          </w:p>
        </w:tc>
        <w:tc>
          <w:tcPr>
            <w:tcW w:w="2701" w:type="dxa"/>
          </w:tcPr>
          <w:p w:rsidR="00855A19" w:rsidRPr="00075CD9" w:rsidRDefault="00855A19" w:rsidP="000363B0">
            <w:pPr>
              <w:rPr>
                <w:sz w:val="20"/>
                <w:szCs w:val="20"/>
                <w:lang w:val="en-US"/>
              </w:rPr>
            </w:pPr>
            <w:r w:rsidRPr="00075CD9">
              <w:rPr>
                <w:sz w:val="20"/>
                <w:szCs w:val="20"/>
                <w:lang w:val="en-US"/>
              </w:rPr>
              <w:t>Compatibility/sharing studies related to Broadband Direct-Air-to-Ground Communications (DA2GC) in the frequency bands identified by WG FM/FM 48</w:t>
            </w:r>
          </w:p>
        </w:tc>
        <w:tc>
          <w:tcPr>
            <w:tcW w:w="3431" w:type="dxa"/>
          </w:tcPr>
          <w:p w:rsidR="00855A19" w:rsidRPr="00075CD9" w:rsidRDefault="00855A19" w:rsidP="000363B0">
            <w:pPr>
              <w:jc w:val="both"/>
              <w:rPr>
                <w:sz w:val="20"/>
                <w:szCs w:val="20"/>
                <w:lang w:val="en-GB"/>
              </w:rPr>
            </w:pPr>
            <w:r w:rsidRPr="00075CD9">
              <w:rPr>
                <w:sz w:val="20"/>
                <w:szCs w:val="20"/>
                <w:lang w:val="en-GB"/>
              </w:rPr>
              <w:t>ECC Report and liaison to FM 48</w:t>
            </w:r>
          </w:p>
        </w:tc>
        <w:tc>
          <w:tcPr>
            <w:tcW w:w="1389" w:type="dxa"/>
          </w:tcPr>
          <w:p w:rsidR="00855A19" w:rsidRPr="00075CD9" w:rsidRDefault="00855A19" w:rsidP="000363B0">
            <w:pPr>
              <w:rPr>
                <w:sz w:val="20"/>
                <w:szCs w:val="20"/>
                <w:lang w:val="en-GB"/>
              </w:rPr>
            </w:pPr>
            <w:r w:rsidRPr="00075CD9">
              <w:rPr>
                <w:sz w:val="20"/>
                <w:szCs w:val="20"/>
                <w:lang w:val="en-GB"/>
              </w:rPr>
              <w:t>S: May 2011</w:t>
            </w:r>
          </w:p>
          <w:p w:rsidR="00855A19" w:rsidRPr="00075CD9" w:rsidRDefault="00855A19" w:rsidP="003B100D">
            <w:pPr>
              <w:rPr>
                <w:sz w:val="20"/>
                <w:szCs w:val="20"/>
                <w:lang w:val="en-GB"/>
              </w:rPr>
            </w:pPr>
            <w:r w:rsidRPr="00075CD9">
              <w:rPr>
                <w:sz w:val="20"/>
                <w:szCs w:val="20"/>
                <w:lang w:val="en-GB"/>
              </w:rPr>
              <w:t xml:space="preserve">T: </w:t>
            </w:r>
            <w:r>
              <w:rPr>
                <w:sz w:val="20"/>
                <w:szCs w:val="20"/>
                <w:lang w:val="en-GB"/>
              </w:rPr>
              <w:t>September</w:t>
            </w:r>
            <w:r w:rsidRPr="00075CD9">
              <w:rPr>
                <w:sz w:val="20"/>
                <w:szCs w:val="20"/>
                <w:lang w:val="en-GB"/>
              </w:rPr>
              <w:t xml:space="preserve"> 2013</w:t>
            </w:r>
          </w:p>
        </w:tc>
        <w:tc>
          <w:tcPr>
            <w:tcW w:w="1094" w:type="dxa"/>
          </w:tcPr>
          <w:p w:rsidR="00855A19" w:rsidRPr="00075CD9" w:rsidRDefault="00855A19" w:rsidP="000363B0">
            <w:pPr>
              <w:rPr>
                <w:sz w:val="20"/>
                <w:szCs w:val="20"/>
                <w:lang w:val="en-GB"/>
              </w:rPr>
            </w:pPr>
            <w:r w:rsidRPr="00075CD9">
              <w:rPr>
                <w:sz w:val="20"/>
                <w:szCs w:val="20"/>
                <w:lang w:val="en-GB"/>
              </w:rPr>
              <w:t>SE44</w:t>
            </w:r>
          </w:p>
        </w:tc>
        <w:tc>
          <w:tcPr>
            <w:tcW w:w="3046" w:type="dxa"/>
          </w:tcPr>
          <w:p w:rsidR="00855A19" w:rsidRPr="00075CD9" w:rsidRDefault="00855A19" w:rsidP="000363B0">
            <w:pPr>
              <w:rPr>
                <w:iCs/>
                <w:sz w:val="20"/>
                <w:szCs w:val="20"/>
                <w:lang w:val="en-GB"/>
              </w:rPr>
            </w:pPr>
            <w:r w:rsidRPr="00075CD9">
              <w:rPr>
                <w:iCs/>
                <w:sz w:val="20"/>
                <w:szCs w:val="20"/>
                <w:lang w:val="en-GB"/>
              </w:rPr>
              <w:t xml:space="preserve">The following bands are to be studied: </w:t>
            </w:r>
          </w:p>
          <w:p w:rsidR="00855A19" w:rsidRPr="00075CD9" w:rsidRDefault="00855A19" w:rsidP="000363B0">
            <w:pPr>
              <w:numPr>
                <w:ilvl w:val="0"/>
                <w:numId w:val="25"/>
              </w:numPr>
              <w:rPr>
                <w:iCs/>
                <w:sz w:val="20"/>
                <w:szCs w:val="20"/>
                <w:lang w:val="en-GB"/>
              </w:rPr>
            </w:pPr>
            <w:r w:rsidRPr="00075CD9">
              <w:rPr>
                <w:iCs/>
                <w:sz w:val="20"/>
                <w:szCs w:val="20"/>
                <w:lang w:val="en-GB"/>
              </w:rPr>
              <w:t>1900 – 1920 MHz / 2010 – 2025 MHz</w:t>
            </w:r>
          </w:p>
          <w:p w:rsidR="00855A19" w:rsidRPr="00075CD9" w:rsidRDefault="00855A19" w:rsidP="000363B0">
            <w:pPr>
              <w:numPr>
                <w:ilvl w:val="0"/>
                <w:numId w:val="25"/>
              </w:numPr>
              <w:rPr>
                <w:iCs/>
                <w:sz w:val="20"/>
                <w:szCs w:val="20"/>
                <w:lang w:val="en-GB"/>
              </w:rPr>
            </w:pPr>
            <w:r w:rsidRPr="00075CD9">
              <w:rPr>
                <w:iCs/>
                <w:sz w:val="20"/>
                <w:szCs w:val="20"/>
                <w:lang w:val="en-GB" w:eastAsia="en-GB"/>
              </w:rPr>
              <w:t>5855-5875 MHz,</w:t>
            </w:r>
          </w:p>
          <w:p w:rsidR="00855A19" w:rsidRPr="00C82F9D" w:rsidRDefault="00855A19" w:rsidP="00C82F9D">
            <w:pPr>
              <w:jc w:val="both"/>
              <w:rPr>
                <w:sz w:val="20"/>
                <w:szCs w:val="20"/>
                <w:lang w:val="en-US"/>
              </w:rPr>
            </w:pPr>
            <w:r w:rsidRPr="00075CD9">
              <w:rPr>
                <w:iCs/>
                <w:sz w:val="20"/>
                <w:szCs w:val="20"/>
                <w:lang w:val="en-GB"/>
              </w:rPr>
              <w:t xml:space="preserve">The studies should take into account both directions for Broadband DA2GC (ground to </w:t>
            </w:r>
            <w:r w:rsidRPr="00075CD9">
              <w:rPr>
                <w:iCs/>
                <w:sz w:val="20"/>
                <w:szCs w:val="20"/>
                <w:lang w:val="en-GB"/>
              </w:rPr>
              <w:lastRenderedPageBreak/>
              <w:t xml:space="preserve">aircraft and aircraft to ground), FDD  as well as TDD. </w:t>
            </w:r>
          </w:p>
          <w:p w:rsidR="00855A19" w:rsidRPr="00C82F9D" w:rsidRDefault="00855A19" w:rsidP="000363B0">
            <w:pPr>
              <w:rPr>
                <w:sz w:val="20"/>
                <w:szCs w:val="20"/>
                <w:lang w:val="en-IE"/>
              </w:rPr>
            </w:pPr>
          </w:p>
          <w:p w:rsidR="00855A19" w:rsidRPr="00075CD9" w:rsidRDefault="00855A19" w:rsidP="000363B0">
            <w:pPr>
              <w:rPr>
                <w:sz w:val="20"/>
                <w:szCs w:val="20"/>
                <w:lang w:val="en-GB"/>
              </w:rPr>
            </w:pPr>
          </w:p>
        </w:tc>
        <w:tc>
          <w:tcPr>
            <w:tcW w:w="1689" w:type="dxa"/>
          </w:tcPr>
          <w:p w:rsidR="00855A19" w:rsidRPr="00075CD9" w:rsidRDefault="00855A19" w:rsidP="000363B0">
            <w:pPr>
              <w:jc w:val="center"/>
              <w:rPr>
                <w:sz w:val="20"/>
                <w:szCs w:val="20"/>
                <w:lang w:val="en-GB"/>
              </w:rPr>
            </w:pPr>
            <w:r w:rsidRPr="00075CD9">
              <w:rPr>
                <w:sz w:val="20"/>
                <w:szCs w:val="20"/>
                <w:lang w:val="en-GB"/>
              </w:rPr>
              <w:lastRenderedPageBreak/>
              <w:t>WG FM</w:t>
            </w:r>
          </w:p>
        </w:tc>
        <w:tc>
          <w:tcPr>
            <w:tcW w:w="1689" w:type="dxa"/>
          </w:tcPr>
          <w:p w:rsidR="00855A19" w:rsidRPr="00075CD9" w:rsidRDefault="00855A19" w:rsidP="000363B0">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lastRenderedPageBreak/>
              <w:t>STG_1</w:t>
            </w:r>
          </w:p>
        </w:tc>
        <w:tc>
          <w:tcPr>
            <w:tcW w:w="2701" w:type="dxa"/>
          </w:tcPr>
          <w:p w:rsidR="00855A19" w:rsidRPr="00075CD9" w:rsidRDefault="00855A19" w:rsidP="000363B0">
            <w:pPr>
              <w:rPr>
                <w:sz w:val="20"/>
                <w:szCs w:val="20"/>
                <w:lang w:val="en-GB"/>
              </w:rPr>
            </w:pPr>
            <w:r w:rsidRPr="00075CD9">
              <w:rPr>
                <w:sz w:val="20"/>
                <w:szCs w:val="20"/>
                <w:lang w:val="en-GB"/>
              </w:rPr>
              <w:t>SEAMCAT</w:t>
            </w:r>
          </w:p>
        </w:tc>
        <w:tc>
          <w:tcPr>
            <w:tcW w:w="3431" w:type="dxa"/>
          </w:tcPr>
          <w:p w:rsidR="00855A19" w:rsidRPr="00075CD9" w:rsidRDefault="00855A19" w:rsidP="000363B0">
            <w:pPr>
              <w:jc w:val="both"/>
              <w:rPr>
                <w:sz w:val="20"/>
                <w:szCs w:val="20"/>
                <w:lang w:val="en-GB"/>
              </w:rPr>
            </w:pPr>
            <w:r w:rsidRPr="00075CD9">
              <w:rPr>
                <w:sz w:val="20"/>
                <w:szCs w:val="20"/>
                <w:lang w:val="en-GB"/>
              </w:rPr>
              <w:t>Technical support and development of SEAMCAT.</w:t>
            </w:r>
          </w:p>
        </w:tc>
        <w:tc>
          <w:tcPr>
            <w:tcW w:w="1389" w:type="dxa"/>
          </w:tcPr>
          <w:p w:rsidR="00855A19" w:rsidRPr="00075CD9" w:rsidRDefault="00855A19" w:rsidP="000363B0">
            <w:pPr>
              <w:rPr>
                <w:sz w:val="20"/>
                <w:szCs w:val="20"/>
                <w:lang w:val="en-GB"/>
              </w:rPr>
            </w:pPr>
            <w:r w:rsidRPr="00075CD9">
              <w:rPr>
                <w:sz w:val="20"/>
                <w:szCs w:val="20"/>
                <w:lang w:val="en-GB"/>
              </w:rPr>
              <w:t>Continuous</w:t>
            </w:r>
          </w:p>
        </w:tc>
        <w:tc>
          <w:tcPr>
            <w:tcW w:w="1094" w:type="dxa"/>
          </w:tcPr>
          <w:p w:rsidR="00855A19" w:rsidRPr="00075CD9" w:rsidRDefault="00855A19" w:rsidP="000363B0">
            <w:pPr>
              <w:rPr>
                <w:sz w:val="20"/>
                <w:szCs w:val="20"/>
                <w:lang w:val="en-GB"/>
              </w:rPr>
            </w:pPr>
            <w:r w:rsidRPr="00075CD9">
              <w:rPr>
                <w:sz w:val="20"/>
                <w:szCs w:val="20"/>
                <w:lang w:val="en-GB"/>
              </w:rPr>
              <w:t>ECO</w:t>
            </w:r>
          </w:p>
          <w:p w:rsidR="00855A19" w:rsidRPr="00075CD9" w:rsidRDefault="00855A19" w:rsidP="000363B0">
            <w:pPr>
              <w:rPr>
                <w:sz w:val="20"/>
                <w:szCs w:val="20"/>
                <w:lang w:val="en-GB"/>
              </w:rPr>
            </w:pPr>
            <w:r w:rsidRPr="00075CD9">
              <w:rPr>
                <w:sz w:val="20"/>
                <w:szCs w:val="20"/>
                <w:lang w:val="en-GB"/>
              </w:rPr>
              <w:t>STG</w:t>
            </w:r>
          </w:p>
          <w:p w:rsidR="00855A19" w:rsidRPr="00075CD9" w:rsidRDefault="00855A19" w:rsidP="000363B0">
            <w:pPr>
              <w:rPr>
                <w:sz w:val="20"/>
                <w:szCs w:val="20"/>
                <w:lang w:val="en-GB"/>
              </w:rPr>
            </w:pPr>
          </w:p>
        </w:tc>
        <w:tc>
          <w:tcPr>
            <w:tcW w:w="3046" w:type="dxa"/>
          </w:tcPr>
          <w:p w:rsidR="00855A19" w:rsidRPr="00075CD9" w:rsidRDefault="00855A19" w:rsidP="00FF6F3B">
            <w:pPr>
              <w:rPr>
                <w:sz w:val="20"/>
                <w:szCs w:val="20"/>
                <w:lang w:val="en-GB"/>
              </w:rPr>
            </w:pPr>
            <w:r w:rsidRPr="00075CD9">
              <w:rPr>
                <w:sz w:val="20"/>
                <w:szCs w:val="20"/>
                <w:lang w:val="en-GB"/>
              </w:rPr>
              <w:t>2012 activities status reviewed. SEAMCAT-4 to be released by June 2012. Further evolution is planned in STG. Promotion of the features of the SEAMCAT software (e.g. through contribution to the ITU-R)</w:t>
            </w:r>
          </w:p>
        </w:tc>
        <w:tc>
          <w:tcPr>
            <w:tcW w:w="1689" w:type="dxa"/>
          </w:tcPr>
          <w:p w:rsidR="00855A19" w:rsidRPr="00075CD9" w:rsidRDefault="00855A19" w:rsidP="000363B0">
            <w:pPr>
              <w:jc w:val="center"/>
              <w:rPr>
                <w:sz w:val="20"/>
                <w:szCs w:val="20"/>
                <w:lang w:val="en-GB"/>
              </w:rPr>
            </w:pPr>
          </w:p>
        </w:tc>
        <w:tc>
          <w:tcPr>
            <w:tcW w:w="1689" w:type="dxa"/>
          </w:tcPr>
          <w:p w:rsidR="00855A19" w:rsidRPr="00075CD9" w:rsidRDefault="00855A19" w:rsidP="000363B0">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t>STG_2</w:t>
            </w:r>
          </w:p>
        </w:tc>
        <w:tc>
          <w:tcPr>
            <w:tcW w:w="2701" w:type="dxa"/>
          </w:tcPr>
          <w:p w:rsidR="00855A19" w:rsidRPr="00075CD9" w:rsidRDefault="00855A19" w:rsidP="000363B0">
            <w:pPr>
              <w:rPr>
                <w:sz w:val="20"/>
                <w:szCs w:val="20"/>
                <w:lang w:val="en-GB"/>
              </w:rPr>
            </w:pPr>
            <w:r w:rsidRPr="00075CD9">
              <w:rPr>
                <w:sz w:val="20"/>
                <w:szCs w:val="20"/>
                <w:lang w:val="en-GB"/>
              </w:rPr>
              <w:t xml:space="preserve">Revision of ERC Report 68 and Inclusion of the WINNER  model </w:t>
            </w:r>
          </w:p>
        </w:tc>
        <w:tc>
          <w:tcPr>
            <w:tcW w:w="3431" w:type="dxa"/>
          </w:tcPr>
          <w:p w:rsidR="00855A19" w:rsidRDefault="00855A19" w:rsidP="000363B0">
            <w:pPr>
              <w:jc w:val="both"/>
              <w:rPr>
                <w:sz w:val="20"/>
                <w:szCs w:val="20"/>
                <w:lang w:val="en-GB"/>
              </w:rPr>
            </w:pPr>
            <w:r w:rsidRPr="00075CD9">
              <w:rPr>
                <w:sz w:val="20"/>
                <w:szCs w:val="20"/>
                <w:lang w:val="en-GB"/>
              </w:rPr>
              <w:t xml:space="preserve">To revise the ERC Report 68 </w:t>
            </w:r>
            <w:r>
              <w:rPr>
                <w:sz w:val="20"/>
                <w:szCs w:val="20"/>
                <w:lang w:val="en-GB"/>
              </w:rPr>
              <w:t>with inclusion of algorithms.</w:t>
            </w:r>
          </w:p>
          <w:p w:rsidR="00855A19" w:rsidRPr="00075CD9" w:rsidRDefault="00855A19" w:rsidP="000363B0">
            <w:pPr>
              <w:jc w:val="both"/>
              <w:rPr>
                <w:sz w:val="20"/>
                <w:szCs w:val="20"/>
                <w:lang w:val="en-GB"/>
              </w:rPr>
            </w:pPr>
            <w:r>
              <w:rPr>
                <w:sz w:val="20"/>
                <w:szCs w:val="20"/>
                <w:lang w:val="en-GB"/>
              </w:rPr>
              <w:t>T</w:t>
            </w:r>
            <w:r w:rsidRPr="00075CD9">
              <w:rPr>
                <w:sz w:val="20"/>
                <w:szCs w:val="20"/>
                <w:lang w:val="en-GB"/>
              </w:rPr>
              <w:t>o include the WINNER propagation. The WINNER module to be implemented in SEAMCAT.</w:t>
            </w:r>
          </w:p>
        </w:tc>
        <w:tc>
          <w:tcPr>
            <w:tcW w:w="1389" w:type="dxa"/>
          </w:tcPr>
          <w:p w:rsidR="00855A19" w:rsidRPr="00075CD9" w:rsidRDefault="00855A19" w:rsidP="000363B0">
            <w:pPr>
              <w:rPr>
                <w:sz w:val="20"/>
                <w:szCs w:val="20"/>
                <w:lang w:val="en-GB"/>
              </w:rPr>
            </w:pPr>
            <w:r w:rsidRPr="00075CD9">
              <w:rPr>
                <w:sz w:val="20"/>
                <w:szCs w:val="20"/>
                <w:lang w:val="en-GB"/>
              </w:rPr>
              <w:t>S: May 2008</w:t>
            </w:r>
          </w:p>
          <w:p w:rsidR="00855A19" w:rsidRPr="00075CD9" w:rsidRDefault="00855A19" w:rsidP="00A96DEB">
            <w:pPr>
              <w:rPr>
                <w:sz w:val="20"/>
                <w:szCs w:val="20"/>
                <w:lang w:val="en-GB"/>
              </w:rPr>
            </w:pPr>
            <w:r w:rsidRPr="00075CD9">
              <w:rPr>
                <w:sz w:val="20"/>
                <w:szCs w:val="20"/>
                <w:lang w:val="en-GB"/>
              </w:rPr>
              <w:t>T: May 2013</w:t>
            </w:r>
          </w:p>
        </w:tc>
        <w:tc>
          <w:tcPr>
            <w:tcW w:w="1094" w:type="dxa"/>
          </w:tcPr>
          <w:p w:rsidR="00855A19" w:rsidRPr="00075CD9" w:rsidRDefault="00855A19" w:rsidP="000363B0">
            <w:pPr>
              <w:rPr>
                <w:sz w:val="20"/>
                <w:szCs w:val="20"/>
                <w:lang w:val="en-GB"/>
              </w:rPr>
            </w:pPr>
            <w:r w:rsidRPr="00075CD9">
              <w:rPr>
                <w:sz w:val="20"/>
                <w:szCs w:val="20"/>
                <w:lang w:val="en-GB"/>
              </w:rPr>
              <w:t>ECO</w:t>
            </w:r>
          </w:p>
          <w:p w:rsidR="00855A19" w:rsidRPr="00075CD9" w:rsidRDefault="00855A19" w:rsidP="000363B0">
            <w:pPr>
              <w:rPr>
                <w:sz w:val="20"/>
                <w:szCs w:val="20"/>
                <w:lang w:val="en-GB"/>
              </w:rPr>
            </w:pPr>
            <w:r w:rsidRPr="00075CD9">
              <w:rPr>
                <w:sz w:val="20"/>
                <w:szCs w:val="20"/>
                <w:lang w:val="en-GB"/>
              </w:rPr>
              <w:t>STG</w:t>
            </w:r>
          </w:p>
        </w:tc>
        <w:tc>
          <w:tcPr>
            <w:tcW w:w="3046" w:type="dxa"/>
          </w:tcPr>
          <w:p w:rsidR="00855A19" w:rsidRPr="00075CD9" w:rsidRDefault="00855A19" w:rsidP="000363B0">
            <w:pPr>
              <w:rPr>
                <w:sz w:val="20"/>
                <w:szCs w:val="20"/>
                <w:lang w:val="en-GB"/>
              </w:rPr>
            </w:pPr>
            <w:r w:rsidRPr="00075CD9">
              <w:rPr>
                <w:sz w:val="20"/>
                <w:szCs w:val="20"/>
                <w:lang w:val="en-GB"/>
              </w:rPr>
              <w:t>Reflect the latest update of SEAMCAT development in ERC Report 68 and the SEAMCAT Handbook. To consider the revision of the ITU-R Report SM 2028.</w:t>
            </w:r>
          </w:p>
        </w:tc>
        <w:tc>
          <w:tcPr>
            <w:tcW w:w="1689" w:type="dxa"/>
          </w:tcPr>
          <w:p w:rsidR="00855A19" w:rsidRPr="00075CD9" w:rsidRDefault="00855A19" w:rsidP="000363B0">
            <w:pPr>
              <w:jc w:val="center"/>
              <w:rPr>
                <w:sz w:val="20"/>
                <w:szCs w:val="20"/>
                <w:lang w:val="en-GB"/>
              </w:rPr>
            </w:pPr>
          </w:p>
        </w:tc>
        <w:tc>
          <w:tcPr>
            <w:tcW w:w="1689" w:type="dxa"/>
          </w:tcPr>
          <w:p w:rsidR="00855A19" w:rsidRPr="00075CD9" w:rsidRDefault="00855A19" w:rsidP="000363B0">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0363B0">
            <w:pPr>
              <w:rPr>
                <w:sz w:val="20"/>
                <w:szCs w:val="20"/>
                <w:lang w:val="en-GB"/>
              </w:rPr>
            </w:pPr>
            <w:r>
              <w:rPr>
                <w:sz w:val="20"/>
                <w:szCs w:val="20"/>
                <w:lang w:val="en-GB"/>
              </w:rPr>
              <w:t>STG_3</w:t>
            </w:r>
          </w:p>
        </w:tc>
        <w:tc>
          <w:tcPr>
            <w:tcW w:w="2701" w:type="dxa"/>
          </w:tcPr>
          <w:p w:rsidR="00855A19" w:rsidRDefault="00855A19" w:rsidP="000363B0">
            <w:pPr>
              <w:rPr>
                <w:sz w:val="20"/>
                <w:szCs w:val="20"/>
                <w:lang w:val="en-GB"/>
              </w:rPr>
            </w:pPr>
            <w:r>
              <w:rPr>
                <w:sz w:val="20"/>
                <w:szCs w:val="20"/>
                <w:lang w:val="en-GB"/>
              </w:rPr>
              <w:t>To correct the voice activity factor algorithm in the CDMA module</w:t>
            </w:r>
          </w:p>
          <w:p w:rsidR="00855A19" w:rsidRPr="00075CD9" w:rsidRDefault="00855A19" w:rsidP="000363B0">
            <w:pPr>
              <w:rPr>
                <w:sz w:val="20"/>
                <w:szCs w:val="20"/>
                <w:lang w:val="en-GB"/>
              </w:rPr>
            </w:pPr>
          </w:p>
        </w:tc>
        <w:tc>
          <w:tcPr>
            <w:tcW w:w="3431" w:type="dxa"/>
          </w:tcPr>
          <w:p w:rsidR="00855A19" w:rsidRPr="00075CD9" w:rsidRDefault="00855A19" w:rsidP="000363B0">
            <w:pPr>
              <w:jc w:val="both"/>
              <w:rPr>
                <w:sz w:val="20"/>
                <w:szCs w:val="20"/>
                <w:lang w:val="en-GB"/>
              </w:rPr>
            </w:pPr>
            <w:r>
              <w:rPr>
                <w:sz w:val="20"/>
                <w:szCs w:val="20"/>
                <w:lang w:val="en-GB"/>
              </w:rPr>
              <w:t xml:space="preserve">To provide algorithm and testing </w:t>
            </w:r>
          </w:p>
        </w:tc>
        <w:tc>
          <w:tcPr>
            <w:tcW w:w="1389" w:type="dxa"/>
          </w:tcPr>
          <w:p w:rsidR="00855A19" w:rsidRDefault="00855A19" w:rsidP="000363B0">
            <w:pPr>
              <w:rPr>
                <w:sz w:val="20"/>
                <w:szCs w:val="20"/>
                <w:lang w:val="en-GB"/>
              </w:rPr>
            </w:pPr>
            <w:r>
              <w:rPr>
                <w:sz w:val="20"/>
                <w:szCs w:val="20"/>
                <w:lang w:val="en-GB"/>
              </w:rPr>
              <w:t>S: Jan 2013</w:t>
            </w:r>
          </w:p>
          <w:p w:rsidR="00855A19" w:rsidRPr="00075CD9" w:rsidRDefault="00855A19" w:rsidP="000363B0">
            <w:pPr>
              <w:rPr>
                <w:sz w:val="20"/>
                <w:szCs w:val="20"/>
                <w:lang w:val="en-GB"/>
              </w:rPr>
            </w:pPr>
            <w:r>
              <w:rPr>
                <w:sz w:val="20"/>
                <w:szCs w:val="20"/>
                <w:lang w:val="en-GB"/>
              </w:rPr>
              <w:t>T: May 2014</w:t>
            </w:r>
          </w:p>
        </w:tc>
        <w:tc>
          <w:tcPr>
            <w:tcW w:w="1094" w:type="dxa"/>
          </w:tcPr>
          <w:p w:rsidR="00855A19" w:rsidRDefault="00855A19" w:rsidP="000363B0">
            <w:pPr>
              <w:rPr>
                <w:sz w:val="20"/>
                <w:szCs w:val="20"/>
                <w:lang w:val="en-GB"/>
              </w:rPr>
            </w:pPr>
            <w:r>
              <w:rPr>
                <w:sz w:val="20"/>
                <w:szCs w:val="20"/>
                <w:lang w:val="en-GB"/>
              </w:rPr>
              <w:t>ECO</w:t>
            </w:r>
          </w:p>
          <w:p w:rsidR="00855A19" w:rsidRPr="00075CD9" w:rsidRDefault="00855A19" w:rsidP="000363B0">
            <w:pPr>
              <w:rPr>
                <w:sz w:val="20"/>
                <w:szCs w:val="20"/>
                <w:lang w:val="en-GB"/>
              </w:rPr>
            </w:pPr>
            <w:r>
              <w:rPr>
                <w:sz w:val="20"/>
                <w:szCs w:val="20"/>
                <w:lang w:val="en-GB"/>
              </w:rPr>
              <w:t>STG</w:t>
            </w:r>
          </w:p>
        </w:tc>
        <w:tc>
          <w:tcPr>
            <w:tcW w:w="3046" w:type="dxa"/>
          </w:tcPr>
          <w:p w:rsidR="00855A19" w:rsidRPr="00075CD9" w:rsidRDefault="00855A19" w:rsidP="000363B0">
            <w:pPr>
              <w:rPr>
                <w:sz w:val="20"/>
                <w:szCs w:val="20"/>
                <w:lang w:val="en-GB"/>
              </w:rPr>
            </w:pPr>
            <w:r>
              <w:rPr>
                <w:sz w:val="20"/>
                <w:szCs w:val="20"/>
                <w:lang w:val="en-GB"/>
              </w:rPr>
              <w:t>To update the current CDMA algorithm. WSGE in January 2014 locked the voice activity factor value to 100% while the algorithm is corrected.</w:t>
            </w:r>
          </w:p>
        </w:tc>
        <w:tc>
          <w:tcPr>
            <w:tcW w:w="1689" w:type="dxa"/>
          </w:tcPr>
          <w:p w:rsidR="00855A19" w:rsidRPr="00075CD9" w:rsidRDefault="00855A19" w:rsidP="001A575A">
            <w:pPr>
              <w:jc w:val="center"/>
              <w:rPr>
                <w:sz w:val="20"/>
                <w:szCs w:val="20"/>
                <w:lang w:val="en-GB"/>
              </w:rPr>
            </w:pPr>
            <w:r>
              <w:rPr>
                <w:sz w:val="20"/>
                <w:szCs w:val="20"/>
                <w:lang w:val="en-GB"/>
              </w:rPr>
              <w:t xml:space="preserve">WGSE </w:t>
            </w:r>
            <w:r w:rsidRPr="009A7A75">
              <w:rPr>
                <w:sz w:val="20"/>
                <w:szCs w:val="20"/>
                <w:lang w:val="en-GB"/>
              </w:rPr>
              <w:t>(for suppo</w:t>
            </w:r>
            <w:r>
              <w:rPr>
                <w:sz w:val="20"/>
                <w:szCs w:val="20"/>
                <w:lang w:val="en-GB"/>
              </w:rPr>
              <w:t>rting administrations, see SE(13)0</w:t>
            </w:r>
            <w:r w:rsidRPr="00C82F9D">
              <w:rPr>
                <w:sz w:val="20"/>
                <w:szCs w:val="20"/>
                <w:lang w:val="en-GB"/>
              </w:rPr>
              <w:t>4</w:t>
            </w:r>
            <w:r>
              <w:rPr>
                <w:sz w:val="20"/>
                <w:szCs w:val="20"/>
                <w:lang w:val="en-GB"/>
              </w:rPr>
              <w:t xml:space="preserve">9, </w:t>
            </w:r>
            <w:r w:rsidRPr="001A575A">
              <w:rPr>
                <w:sz w:val="20"/>
                <w:szCs w:val="20"/>
                <w:lang w:val="en-GB"/>
              </w:rPr>
              <w:t xml:space="preserve">section </w:t>
            </w:r>
            <w:r w:rsidR="001A575A" w:rsidRPr="001A575A">
              <w:rPr>
                <w:sz w:val="20"/>
                <w:szCs w:val="20"/>
                <w:lang w:val="en-GB"/>
              </w:rPr>
              <w:t>1</w:t>
            </w:r>
            <w:r w:rsidR="001A575A">
              <w:rPr>
                <w:sz w:val="20"/>
                <w:szCs w:val="20"/>
                <w:lang w:val="en-GB"/>
              </w:rPr>
              <w:t>3.1.1</w:t>
            </w:r>
            <w:r w:rsidRPr="009A7A75">
              <w:rPr>
                <w:sz w:val="20"/>
                <w:szCs w:val="20"/>
                <w:lang w:val="en-GB"/>
              </w:rPr>
              <w:t>)</w:t>
            </w:r>
          </w:p>
        </w:tc>
        <w:tc>
          <w:tcPr>
            <w:tcW w:w="1689" w:type="dxa"/>
          </w:tcPr>
          <w:p w:rsidR="00855A19" w:rsidRPr="00075CD9" w:rsidRDefault="00855A19" w:rsidP="000363B0">
            <w:pPr>
              <w:jc w:val="center"/>
              <w:rPr>
                <w:sz w:val="20"/>
                <w:szCs w:val="20"/>
                <w:lang w:val="en-GB"/>
              </w:rPr>
            </w:pPr>
            <w:r>
              <w:rPr>
                <w:sz w:val="20"/>
                <w:szCs w:val="20"/>
                <w:lang w:val="en-GB"/>
              </w:rPr>
              <w:t>Y</w:t>
            </w:r>
          </w:p>
        </w:tc>
      </w:tr>
      <w:tr w:rsidR="00855A19" w:rsidRPr="00075CD9" w:rsidTr="008D57AD">
        <w:tc>
          <w:tcPr>
            <w:tcW w:w="966" w:type="dxa"/>
          </w:tcPr>
          <w:p w:rsidR="00855A19" w:rsidRDefault="00855A19" w:rsidP="000363B0">
            <w:pPr>
              <w:rPr>
                <w:sz w:val="20"/>
                <w:szCs w:val="20"/>
                <w:lang w:val="en-GB"/>
              </w:rPr>
            </w:pPr>
            <w:r w:rsidRPr="00C82F9D">
              <w:rPr>
                <w:sz w:val="20"/>
                <w:szCs w:val="20"/>
                <w:lang w:val="en-GB"/>
              </w:rPr>
              <w:t>JFGPLT_1</w:t>
            </w:r>
          </w:p>
        </w:tc>
        <w:tc>
          <w:tcPr>
            <w:tcW w:w="2701" w:type="dxa"/>
          </w:tcPr>
          <w:p w:rsidR="00855A19" w:rsidRDefault="00855A19" w:rsidP="000363B0">
            <w:pPr>
              <w:rPr>
                <w:sz w:val="20"/>
                <w:szCs w:val="20"/>
                <w:lang w:val="en-GB"/>
              </w:rPr>
            </w:pPr>
            <w:r w:rsidRPr="00C82F9D">
              <w:rPr>
                <w:sz w:val="20"/>
                <w:szCs w:val="20"/>
                <w:lang w:val="en-GB"/>
              </w:rPr>
              <w:t>Information on Power Line Transmission (PLT)</w:t>
            </w:r>
          </w:p>
        </w:tc>
        <w:tc>
          <w:tcPr>
            <w:tcW w:w="3431" w:type="dxa"/>
          </w:tcPr>
          <w:p w:rsidR="00855A19" w:rsidRDefault="00855A19" w:rsidP="000363B0">
            <w:pPr>
              <w:jc w:val="both"/>
              <w:rPr>
                <w:sz w:val="20"/>
                <w:szCs w:val="20"/>
                <w:lang w:val="en-GB"/>
              </w:rPr>
            </w:pPr>
            <w:r w:rsidRPr="00C82F9D">
              <w:rPr>
                <w:sz w:val="20"/>
                <w:szCs w:val="20"/>
                <w:lang w:val="en-GB"/>
              </w:rPr>
              <w:t xml:space="preserve">see Terms of reference available at </w:t>
            </w:r>
            <w:hyperlink r:id="rId12" w:history="1">
              <w:r w:rsidRPr="00C82F9D">
                <w:rPr>
                  <w:sz w:val="20"/>
                  <w:szCs w:val="20"/>
                  <w:lang w:val="en-GB"/>
                </w:rPr>
                <w:t>http://www.cept.org/ecc/groups/ecc/wg-se/jfg-plt/page/terms-of-reference</w:t>
              </w:r>
            </w:hyperlink>
          </w:p>
        </w:tc>
        <w:tc>
          <w:tcPr>
            <w:tcW w:w="1389" w:type="dxa"/>
          </w:tcPr>
          <w:p w:rsidR="00855A19" w:rsidRDefault="00855A19" w:rsidP="000363B0">
            <w:pPr>
              <w:rPr>
                <w:sz w:val="20"/>
                <w:szCs w:val="20"/>
                <w:lang w:val="en-GB"/>
              </w:rPr>
            </w:pPr>
            <w:r w:rsidRPr="00C82F9D">
              <w:rPr>
                <w:sz w:val="20"/>
                <w:szCs w:val="20"/>
                <w:lang w:val="en-GB"/>
              </w:rPr>
              <w:t>S: 01/10/2011</w:t>
            </w:r>
            <w:r>
              <w:rPr>
                <w:sz w:val="20"/>
                <w:szCs w:val="20"/>
                <w:lang w:val="en-GB"/>
              </w:rPr>
              <w:br/>
            </w:r>
            <w:r w:rsidRPr="00C82F9D">
              <w:rPr>
                <w:sz w:val="20"/>
                <w:szCs w:val="20"/>
                <w:lang w:val="en-GB"/>
              </w:rPr>
              <w:t>T: 01/10/2014</w:t>
            </w:r>
          </w:p>
        </w:tc>
        <w:tc>
          <w:tcPr>
            <w:tcW w:w="1094" w:type="dxa"/>
          </w:tcPr>
          <w:p w:rsidR="00855A19" w:rsidRDefault="00855A19" w:rsidP="000363B0">
            <w:pPr>
              <w:rPr>
                <w:sz w:val="20"/>
                <w:szCs w:val="20"/>
                <w:lang w:val="en-GB"/>
              </w:rPr>
            </w:pPr>
          </w:p>
        </w:tc>
        <w:tc>
          <w:tcPr>
            <w:tcW w:w="3046" w:type="dxa"/>
          </w:tcPr>
          <w:p w:rsidR="00855A19" w:rsidRDefault="00855A19" w:rsidP="000363B0">
            <w:pPr>
              <w:rPr>
                <w:sz w:val="20"/>
                <w:szCs w:val="20"/>
                <w:lang w:val="en-GB"/>
              </w:rPr>
            </w:pPr>
          </w:p>
        </w:tc>
        <w:tc>
          <w:tcPr>
            <w:tcW w:w="1689" w:type="dxa"/>
          </w:tcPr>
          <w:p w:rsidR="00855A19" w:rsidRPr="00075CD9" w:rsidRDefault="00855A19" w:rsidP="000363B0">
            <w:pPr>
              <w:jc w:val="center"/>
              <w:rPr>
                <w:sz w:val="20"/>
                <w:szCs w:val="20"/>
                <w:lang w:val="en-GB"/>
              </w:rPr>
            </w:pPr>
          </w:p>
        </w:tc>
        <w:tc>
          <w:tcPr>
            <w:tcW w:w="1689" w:type="dxa"/>
          </w:tcPr>
          <w:p w:rsidR="00855A19" w:rsidRDefault="00855A19" w:rsidP="000363B0">
            <w:pPr>
              <w:jc w:val="center"/>
              <w:rPr>
                <w:sz w:val="20"/>
                <w:szCs w:val="20"/>
                <w:lang w:val="en-GB"/>
              </w:rPr>
            </w:pP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t>SE_9</w:t>
            </w:r>
          </w:p>
        </w:tc>
        <w:tc>
          <w:tcPr>
            <w:tcW w:w="2701" w:type="dxa"/>
          </w:tcPr>
          <w:p w:rsidR="00855A19" w:rsidRPr="00075CD9" w:rsidRDefault="00855A19" w:rsidP="000363B0">
            <w:pPr>
              <w:rPr>
                <w:sz w:val="20"/>
                <w:szCs w:val="20"/>
                <w:lang w:val="en-GB"/>
              </w:rPr>
            </w:pPr>
            <w:r w:rsidRPr="00075CD9">
              <w:rPr>
                <w:sz w:val="20"/>
                <w:szCs w:val="20"/>
                <w:lang w:val="en-GB"/>
              </w:rPr>
              <w:t xml:space="preserve">Satellite </w:t>
            </w:r>
            <w:proofErr w:type="spellStart"/>
            <w:r w:rsidRPr="00075CD9">
              <w:rPr>
                <w:sz w:val="20"/>
                <w:szCs w:val="20"/>
                <w:lang w:val="en-GB"/>
              </w:rPr>
              <w:t>MoU</w:t>
            </w:r>
            <w:proofErr w:type="spellEnd"/>
            <w:r w:rsidRPr="00075CD9">
              <w:rPr>
                <w:sz w:val="20"/>
                <w:szCs w:val="20"/>
                <w:lang w:val="en-GB"/>
              </w:rPr>
              <w:t xml:space="preserve">: observation of satellite signals by </w:t>
            </w:r>
            <w:proofErr w:type="spellStart"/>
            <w:r w:rsidRPr="00075CD9">
              <w:rPr>
                <w:sz w:val="20"/>
                <w:szCs w:val="20"/>
                <w:lang w:val="en-GB"/>
              </w:rPr>
              <w:t>Leeheim</w:t>
            </w:r>
            <w:proofErr w:type="spellEnd"/>
          </w:p>
        </w:tc>
        <w:tc>
          <w:tcPr>
            <w:tcW w:w="3431" w:type="dxa"/>
          </w:tcPr>
          <w:p w:rsidR="00855A19" w:rsidRPr="00075CD9" w:rsidRDefault="00855A19" w:rsidP="000363B0">
            <w:pPr>
              <w:jc w:val="both"/>
              <w:rPr>
                <w:sz w:val="20"/>
                <w:szCs w:val="20"/>
                <w:lang w:val="en-GB"/>
              </w:rPr>
            </w:pPr>
            <w:r w:rsidRPr="00075CD9">
              <w:rPr>
                <w:sz w:val="20"/>
                <w:szCs w:val="20"/>
                <w:lang w:val="en-GB"/>
              </w:rPr>
              <w:t xml:space="preserve"> Specification of measurement request</w:t>
            </w:r>
          </w:p>
          <w:p w:rsidR="00855A19" w:rsidRPr="00075CD9" w:rsidRDefault="00855A19" w:rsidP="000363B0">
            <w:pPr>
              <w:jc w:val="both"/>
              <w:rPr>
                <w:sz w:val="20"/>
                <w:szCs w:val="20"/>
                <w:lang w:val="en-GB"/>
              </w:rPr>
            </w:pPr>
          </w:p>
        </w:tc>
        <w:tc>
          <w:tcPr>
            <w:tcW w:w="1389" w:type="dxa"/>
          </w:tcPr>
          <w:p w:rsidR="00855A19" w:rsidRPr="00075CD9" w:rsidRDefault="00855A19" w:rsidP="000363B0">
            <w:pPr>
              <w:rPr>
                <w:sz w:val="20"/>
                <w:szCs w:val="20"/>
                <w:lang w:val="en-GB"/>
              </w:rPr>
            </w:pPr>
            <w:r w:rsidRPr="00075CD9">
              <w:rPr>
                <w:sz w:val="20"/>
                <w:szCs w:val="20"/>
                <w:lang w:val="en-GB"/>
              </w:rPr>
              <w:t>S: May 2004</w:t>
            </w:r>
          </w:p>
          <w:p w:rsidR="00855A19" w:rsidRPr="00075CD9" w:rsidRDefault="00855A19" w:rsidP="000363B0">
            <w:pPr>
              <w:rPr>
                <w:sz w:val="20"/>
                <w:szCs w:val="20"/>
                <w:lang w:val="en-GB"/>
              </w:rPr>
            </w:pPr>
            <w:r w:rsidRPr="00075CD9">
              <w:rPr>
                <w:sz w:val="20"/>
                <w:szCs w:val="20"/>
                <w:lang w:val="en-GB"/>
              </w:rPr>
              <w:t>T: Sept 2012</w:t>
            </w:r>
          </w:p>
        </w:tc>
        <w:tc>
          <w:tcPr>
            <w:tcW w:w="1094" w:type="dxa"/>
          </w:tcPr>
          <w:p w:rsidR="00855A19" w:rsidRPr="00075CD9" w:rsidRDefault="00855A19" w:rsidP="000363B0">
            <w:pPr>
              <w:rPr>
                <w:sz w:val="20"/>
                <w:szCs w:val="20"/>
                <w:lang w:val="en-GB"/>
              </w:rPr>
            </w:pPr>
          </w:p>
        </w:tc>
        <w:tc>
          <w:tcPr>
            <w:tcW w:w="3046" w:type="dxa"/>
          </w:tcPr>
          <w:p w:rsidR="00855A19" w:rsidRPr="00075CD9" w:rsidRDefault="00855A19" w:rsidP="000363B0">
            <w:pPr>
              <w:rPr>
                <w:sz w:val="20"/>
                <w:szCs w:val="20"/>
                <w:lang w:val="en-GB"/>
              </w:rPr>
            </w:pPr>
            <w:r>
              <w:rPr>
                <w:sz w:val="20"/>
                <w:szCs w:val="20"/>
                <w:lang w:val="en-GB"/>
              </w:rPr>
              <w:t>WI is closed</w:t>
            </w:r>
          </w:p>
        </w:tc>
        <w:tc>
          <w:tcPr>
            <w:tcW w:w="1689" w:type="dxa"/>
          </w:tcPr>
          <w:p w:rsidR="00855A19" w:rsidRPr="00075CD9" w:rsidRDefault="00855A19" w:rsidP="000363B0">
            <w:pPr>
              <w:jc w:val="center"/>
              <w:rPr>
                <w:sz w:val="20"/>
                <w:szCs w:val="20"/>
                <w:lang w:val="en-GB"/>
              </w:rPr>
            </w:pPr>
          </w:p>
        </w:tc>
        <w:tc>
          <w:tcPr>
            <w:tcW w:w="1689" w:type="dxa"/>
          </w:tcPr>
          <w:p w:rsidR="00855A19" w:rsidRPr="00075CD9" w:rsidRDefault="00855A19" w:rsidP="000363B0">
            <w:pPr>
              <w:jc w:val="center"/>
              <w:rPr>
                <w:sz w:val="20"/>
                <w:szCs w:val="20"/>
                <w:lang w:val="en-GB"/>
              </w:rPr>
            </w:pPr>
            <w:r w:rsidRPr="00075CD9">
              <w:rPr>
                <w:sz w:val="20"/>
                <w:szCs w:val="20"/>
                <w:lang w:val="en-GB"/>
              </w:rPr>
              <w:t>Y</w:t>
            </w:r>
          </w:p>
        </w:tc>
      </w:tr>
      <w:tr w:rsidR="00855A19" w:rsidRPr="00075CD9" w:rsidTr="008D57AD">
        <w:tc>
          <w:tcPr>
            <w:tcW w:w="966" w:type="dxa"/>
          </w:tcPr>
          <w:p w:rsidR="00855A19" w:rsidRPr="00075CD9" w:rsidRDefault="00855A19" w:rsidP="000363B0">
            <w:pPr>
              <w:rPr>
                <w:sz w:val="20"/>
                <w:szCs w:val="20"/>
                <w:lang w:val="en-GB"/>
              </w:rPr>
            </w:pPr>
            <w:r w:rsidRPr="00075CD9">
              <w:rPr>
                <w:sz w:val="20"/>
                <w:szCs w:val="20"/>
                <w:lang w:val="en-GB"/>
              </w:rPr>
              <w:t>SE_10</w:t>
            </w:r>
          </w:p>
        </w:tc>
        <w:tc>
          <w:tcPr>
            <w:tcW w:w="2701" w:type="dxa"/>
          </w:tcPr>
          <w:p w:rsidR="00855A19" w:rsidRPr="00075CD9" w:rsidRDefault="00855A19" w:rsidP="000363B0">
            <w:pPr>
              <w:rPr>
                <w:sz w:val="20"/>
                <w:szCs w:val="20"/>
                <w:lang w:val="en-GB"/>
              </w:rPr>
            </w:pPr>
            <w:r w:rsidRPr="00075CD9">
              <w:rPr>
                <w:sz w:val="20"/>
                <w:szCs w:val="20"/>
                <w:lang w:val="en-GB"/>
              </w:rPr>
              <w:t>Cooperation with R&amp;TTE-CA and ADCO</w:t>
            </w:r>
          </w:p>
        </w:tc>
        <w:tc>
          <w:tcPr>
            <w:tcW w:w="3431" w:type="dxa"/>
          </w:tcPr>
          <w:p w:rsidR="00855A19" w:rsidRPr="00075CD9" w:rsidRDefault="00855A19" w:rsidP="000363B0">
            <w:pPr>
              <w:jc w:val="both"/>
              <w:rPr>
                <w:sz w:val="20"/>
                <w:szCs w:val="20"/>
                <w:lang w:val="en-US"/>
              </w:rPr>
            </w:pPr>
            <w:r w:rsidRPr="00075CD9">
              <w:rPr>
                <w:sz w:val="20"/>
                <w:szCs w:val="20"/>
                <w:lang w:val="en-US"/>
              </w:rPr>
              <w:t>-Response to requests from R&amp;TTE CA;</w:t>
            </w:r>
          </w:p>
          <w:p w:rsidR="00855A19" w:rsidRPr="00075CD9" w:rsidRDefault="00855A19" w:rsidP="000363B0">
            <w:pPr>
              <w:jc w:val="both"/>
              <w:rPr>
                <w:sz w:val="20"/>
                <w:szCs w:val="20"/>
                <w:lang w:val="en-GB"/>
              </w:rPr>
            </w:pPr>
            <w:r w:rsidRPr="00075CD9">
              <w:rPr>
                <w:sz w:val="20"/>
                <w:szCs w:val="20"/>
                <w:lang w:val="en-US"/>
              </w:rPr>
              <w:t>-</w:t>
            </w:r>
            <w:r w:rsidRPr="00075CD9">
              <w:rPr>
                <w:sz w:val="20"/>
                <w:szCs w:val="20"/>
                <w:lang w:val="en-GB"/>
              </w:rPr>
              <w:t>Guidance on cases where administrations have faced difficulties with opinion from Notified Bodies.</w:t>
            </w:r>
          </w:p>
        </w:tc>
        <w:tc>
          <w:tcPr>
            <w:tcW w:w="1389" w:type="dxa"/>
          </w:tcPr>
          <w:p w:rsidR="00855A19" w:rsidRPr="00075CD9" w:rsidRDefault="00855A19" w:rsidP="000363B0">
            <w:pPr>
              <w:rPr>
                <w:sz w:val="20"/>
                <w:szCs w:val="20"/>
                <w:lang w:val="en-GB"/>
              </w:rPr>
            </w:pPr>
            <w:r w:rsidRPr="00075CD9">
              <w:rPr>
                <w:sz w:val="20"/>
                <w:szCs w:val="20"/>
                <w:lang w:val="en-GB"/>
              </w:rPr>
              <w:t>S: Jan 2011</w:t>
            </w:r>
          </w:p>
          <w:p w:rsidR="00855A19" w:rsidRPr="00075CD9" w:rsidRDefault="00855A19" w:rsidP="000363B0">
            <w:pPr>
              <w:rPr>
                <w:sz w:val="20"/>
                <w:szCs w:val="20"/>
                <w:lang w:val="en-GB"/>
              </w:rPr>
            </w:pPr>
            <w:r w:rsidRPr="00075CD9">
              <w:rPr>
                <w:sz w:val="20"/>
                <w:szCs w:val="20"/>
                <w:lang w:val="en-GB"/>
              </w:rPr>
              <w:t>T: Sept 2012</w:t>
            </w:r>
          </w:p>
        </w:tc>
        <w:tc>
          <w:tcPr>
            <w:tcW w:w="1094" w:type="dxa"/>
          </w:tcPr>
          <w:p w:rsidR="00855A19" w:rsidRPr="00075CD9" w:rsidRDefault="00855A19" w:rsidP="000363B0">
            <w:pPr>
              <w:rPr>
                <w:sz w:val="20"/>
                <w:szCs w:val="20"/>
                <w:lang w:val="en-GB"/>
              </w:rPr>
            </w:pPr>
            <w:r w:rsidRPr="00075CD9">
              <w:rPr>
                <w:sz w:val="20"/>
                <w:szCs w:val="20"/>
                <w:lang w:val="en-GB"/>
              </w:rPr>
              <w:t>WGSE</w:t>
            </w:r>
          </w:p>
        </w:tc>
        <w:tc>
          <w:tcPr>
            <w:tcW w:w="3046" w:type="dxa"/>
          </w:tcPr>
          <w:p w:rsidR="00855A19" w:rsidRPr="00075CD9" w:rsidRDefault="00855A19" w:rsidP="000363B0">
            <w:pPr>
              <w:rPr>
                <w:sz w:val="20"/>
                <w:szCs w:val="20"/>
                <w:lang w:val="en-GB"/>
              </w:rPr>
            </w:pPr>
            <w:r w:rsidRPr="00075CD9">
              <w:rPr>
                <w:sz w:val="20"/>
                <w:szCs w:val="20"/>
                <w:lang w:val="en-GB"/>
              </w:rPr>
              <w:t>Guidance sent on issues of non-compliance for 5 GHz RLAN (DFS).</w:t>
            </w:r>
          </w:p>
          <w:p w:rsidR="00855A19" w:rsidRPr="00075CD9" w:rsidRDefault="00855A19" w:rsidP="000363B0">
            <w:pPr>
              <w:rPr>
                <w:sz w:val="20"/>
                <w:szCs w:val="20"/>
                <w:lang w:val="en-GB"/>
              </w:rPr>
            </w:pPr>
            <w:r w:rsidRPr="00075CD9">
              <w:rPr>
                <w:sz w:val="20"/>
                <w:szCs w:val="20"/>
                <w:lang w:val="en-GB"/>
              </w:rPr>
              <w:t>Cooperation planned with RTTE CA on risk assessment procedure</w:t>
            </w:r>
          </w:p>
        </w:tc>
        <w:tc>
          <w:tcPr>
            <w:tcW w:w="1689" w:type="dxa"/>
          </w:tcPr>
          <w:p w:rsidR="00855A19" w:rsidRPr="00075CD9" w:rsidRDefault="00855A19" w:rsidP="000363B0">
            <w:pPr>
              <w:jc w:val="center"/>
              <w:rPr>
                <w:sz w:val="20"/>
                <w:szCs w:val="20"/>
                <w:lang w:val="en-GB"/>
              </w:rPr>
            </w:pPr>
          </w:p>
        </w:tc>
        <w:tc>
          <w:tcPr>
            <w:tcW w:w="1689" w:type="dxa"/>
          </w:tcPr>
          <w:p w:rsidR="00855A19" w:rsidRPr="00075CD9" w:rsidRDefault="00855A19" w:rsidP="000363B0">
            <w:pPr>
              <w:jc w:val="center"/>
              <w:rPr>
                <w:sz w:val="20"/>
                <w:szCs w:val="20"/>
                <w:lang w:val="en-GB"/>
              </w:rPr>
            </w:pPr>
            <w:r w:rsidRPr="00075CD9">
              <w:rPr>
                <w:sz w:val="20"/>
                <w:szCs w:val="20"/>
                <w:lang w:val="en-GB"/>
              </w:rPr>
              <w:t>Y</w:t>
            </w:r>
          </w:p>
        </w:tc>
      </w:tr>
      <w:tr w:rsidR="00855A19" w:rsidRPr="00184CFC" w:rsidTr="008D57AD">
        <w:tc>
          <w:tcPr>
            <w:tcW w:w="966" w:type="dxa"/>
          </w:tcPr>
          <w:p w:rsidR="00855A19" w:rsidRPr="00075CD9" w:rsidRDefault="00855A19" w:rsidP="000363B0">
            <w:pPr>
              <w:rPr>
                <w:sz w:val="20"/>
                <w:szCs w:val="20"/>
                <w:lang w:val="en-GB"/>
              </w:rPr>
            </w:pPr>
            <w:r w:rsidRPr="00075CD9">
              <w:rPr>
                <w:sz w:val="20"/>
                <w:szCs w:val="20"/>
                <w:lang w:val="en-GB"/>
              </w:rPr>
              <w:t>SE_11</w:t>
            </w:r>
          </w:p>
        </w:tc>
        <w:tc>
          <w:tcPr>
            <w:tcW w:w="2701" w:type="dxa"/>
          </w:tcPr>
          <w:p w:rsidR="00855A19" w:rsidRPr="00075CD9" w:rsidRDefault="00855A19" w:rsidP="000363B0">
            <w:pPr>
              <w:rPr>
                <w:sz w:val="20"/>
                <w:szCs w:val="20"/>
                <w:lang w:val="en-GB"/>
              </w:rPr>
            </w:pPr>
            <w:r w:rsidRPr="00075CD9">
              <w:rPr>
                <w:sz w:val="20"/>
                <w:szCs w:val="20"/>
                <w:lang w:val="en-GB"/>
              </w:rPr>
              <w:t>Monitoring of the development of ETSI Harmonised standards</w:t>
            </w:r>
          </w:p>
        </w:tc>
        <w:tc>
          <w:tcPr>
            <w:tcW w:w="3431" w:type="dxa"/>
          </w:tcPr>
          <w:p w:rsidR="00855A19" w:rsidRPr="00075CD9" w:rsidRDefault="00855A19" w:rsidP="000363B0">
            <w:pPr>
              <w:numPr>
                <w:ilvl w:val="0"/>
                <w:numId w:val="25"/>
              </w:numPr>
              <w:jc w:val="both"/>
              <w:rPr>
                <w:sz w:val="20"/>
                <w:szCs w:val="20"/>
                <w:lang w:val="en-US"/>
              </w:rPr>
            </w:pPr>
            <w:r w:rsidRPr="00075CD9">
              <w:rPr>
                <w:sz w:val="20"/>
                <w:szCs w:val="20"/>
                <w:lang w:val="en-US"/>
              </w:rPr>
              <w:t>Spreadsheet summarizing the relationship between ECC and ETSI groups and the ETSI standard.</w:t>
            </w:r>
          </w:p>
          <w:p w:rsidR="00855A19" w:rsidRPr="00075CD9" w:rsidRDefault="00855A19" w:rsidP="000363B0">
            <w:pPr>
              <w:numPr>
                <w:ilvl w:val="0"/>
                <w:numId w:val="25"/>
              </w:numPr>
              <w:jc w:val="both"/>
              <w:rPr>
                <w:sz w:val="20"/>
                <w:szCs w:val="20"/>
                <w:lang w:val="en-US"/>
              </w:rPr>
            </w:pPr>
            <w:r w:rsidRPr="00075CD9">
              <w:rPr>
                <w:sz w:val="20"/>
                <w:szCs w:val="20"/>
                <w:lang w:val="en-US"/>
              </w:rPr>
              <w:t xml:space="preserve">LS to ETSI in case of inconsistencies between ETSI </w:t>
            </w:r>
            <w:r w:rsidRPr="00075CD9">
              <w:rPr>
                <w:sz w:val="20"/>
                <w:szCs w:val="20"/>
                <w:lang w:val="en-US"/>
              </w:rPr>
              <w:lastRenderedPageBreak/>
              <w:t>HS and corresponding ECC deliverables</w:t>
            </w:r>
          </w:p>
        </w:tc>
        <w:tc>
          <w:tcPr>
            <w:tcW w:w="1389" w:type="dxa"/>
          </w:tcPr>
          <w:p w:rsidR="00855A19" w:rsidRPr="00075CD9" w:rsidRDefault="00855A19" w:rsidP="000363B0">
            <w:pPr>
              <w:rPr>
                <w:sz w:val="20"/>
                <w:szCs w:val="20"/>
                <w:lang w:val="en-GB"/>
              </w:rPr>
            </w:pPr>
            <w:r w:rsidRPr="00075CD9">
              <w:rPr>
                <w:sz w:val="20"/>
                <w:szCs w:val="20"/>
                <w:lang w:val="en-GB"/>
              </w:rPr>
              <w:lastRenderedPageBreak/>
              <w:t>Continuous</w:t>
            </w:r>
          </w:p>
        </w:tc>
        <w:tc>
          <w:tcPr>
            <w:tcW w:w="1094" w:type="dxa"/>
          </w:tcPr>
          <w:p w:rsidR="00855A19" w:rsidRPr="00075CD9" w:rsidRDefault="00855A19" w:rsidP="000363B0">
            <w:pPr>
              <w:rPr>
                <w:sz w:val="20"/>
                <w:szCs w:val="20"/>
                <w:lang w:val="en-GB"/>
              </w:rPr>
            </w:pPr>
            <w:r w:rsidRPr="00075CD9">
              <w:rPr>
                <w:sz w:val="20"/>
                <w:szCs w:val="20"/>
                <w:lang w:val="en-GB"/>
              </w:rPr>
              <w:t>WGSE</w:t>
            </w:r>
          </w:p>
        </w:tc>
        <w:tc>
          <w:tcPr>
            <w:tcW w:w="3046" w:type="dxa"/>
          </w:tcPr>
          <w:p w:rsidR="00855A19" w:rsidRPr="00075CD9" w:rsidRDefault="00855A19" w:rsidP="000363B0">
            <w:pPr>
              <w:rPr>
                <w:sz w:val="20"/>
                <w:szCs w:val="20"/>
              </w:rPr>
            </w:pPr>
            <w:r w:rsidRPr="00075CD9">
              <w:rPr>
                <w:sz w:val="20"/>
                <w:szCs w:val="20"/>
                <w:lang w:val="en-GB"/>
              </w:rPr>
              <w:t xml:space="preserve">SE Project Teams to check the </w:t>
            </w:r>
            <w:proofErr w:type="spellStart"/>
            <w:r w:rsidRPr="00075CD9">
              <w:rPr>
                <w:sz w:val="20"/>
                <w:szCs w:val="20"/>
                <w:lang w:val="en-GB"/>
              </w:rPr>
              <w:t>spreadsheet</w:t>
            </w:r>
            <w:proofErr w:type="spellEnd"/>
            <w:r w:rsidRPr="00075CD9">
              <w:rPr>
                <w:sz w:val="20"/>
                <w:szCs w:val="20"/>
                <w:lang w:val="en-GB"/>
              </w:rPr>
              <w:t xml:space="preserve"> and report to WGSE. </w:t>
            </w:r>
            <w:r w:rsidRPr="00075CD9">
              <w:rPr>
                <w:sz w:val="20"/>
                <w:szCs w:val="20"/>
              </w:rPr>
              <w:t xml:space="preserve">Information </w:t>
            </w:r>
            <w:proofErr w:type="spellStart"/>
            <w:r w:rsidRPr="00075CD9">
              <w:rPr>
                <w:sz w:val="20"/>
                <w:szCs w:val="20"/>
              </w:rPr>
              <w:t>available</w:t>
            </w:r>
            <w:proofErr w:type="spellEnd"/>
            <w:r w:rsidRPr="00075CD9">
              <w:rPr>
                <w:sz w:val="20"/>
                <w:szCs w:val="20"/>
              </w:rPr>
              <w:t xml:space="preserve"> </w:t>
            </w:r>
            <w:proofErr w:type="spellStart"/>
            <w:r w:rsidRPr="00075CD9">
              <w:rPr>
                <w:sz w:val="20"/>
                <w:szCs w:val="20"/>
              </w:rPr>
              <w:t>at</w:t>
            </w:r>
            <w:proofErr w:type="spellEnd"/>
            <w:r w:rsidRPr="00075CD9">
              <w:rPr>
                <w:sz w:val="20"/>
                <w:szCs w:val="20"/>
              </w:rPr>
              <w:t xml:space="preserve"> </w:t>
            </w:r>
            <w:hyperlink r:id="rId13" w:history="1">
              <w:r w:rsidRPr="00075CD9">
                <w:rPr>
                  <w:rStyle w:val="Hyperlink"/>
                  <w:sz w:val="20"/>
                  <w:szCs w:val="20"/>
                </w:rPr>
                <w:t>http</w:t>
              </w:r>
              <w:r>
                <w:rPr>
                  <w:rStyle w:val="Hyperlink"/>
                  <w:sz w:val="20"/>
                  <w:szCs w:val="20"/>
                </w:rPr>
                <w:t> </w:t>
              </w:r>
              <w:r w:rsidRPr="00075CD9">
                <w:rPr>
                  <w:rStyle w:val="Hyperlink"/>
                  <w:sz w:val="20"/>
                  <w:szCs w:val="20"/>
                </w:rPr>
                <w:t>://www.cept.org/ecc/about-ecc/ecc-etsi</w:t>
              </w:r>
            </w:hyperlink>
            <w:r w:rsidRPr="00075CD9">
              <w:rPr>
                <w:sz w:val="20"/>
                <w:szCs w:val="20"/>
              </w:rPr>
              <w:t xml:space="preserve"> </w:t>
            </w:r>
          </w:p>
          <w:p w:rsidR="00855A19" w:rsidRPr="00075CD9" w:rsidRDefault="00855A19" w:rsidP="000363B0">
            <w:pPr>
              <w:rPr>
                <w:sz w:val="20"/>
                <w:szCs w:val="20"/>
              </w:rPr>
            </w:pPr>
          </w:p>
          <w:p w:rsidR="00855A19" w:rsidRPr="00075CD9" w:rsidRDefault="00855A19" w:rsidP="000363B0">
            <w:pPr>
              <w:rPr>
                <w:sz w:val="20"/>
                <w:szCs w:val="20"/>
              </w:rPr>
            </w:pPr>
          </w:p>
        </w:tc>
        <w:tc>
          <w:tcPr>
            <w:tcW w:w="1689" w:type="dxa"/>
          </w:tcPr>
          <w:p w:rsidR="00855A19" w:rsidRPr="00075CD9" w:rsidRDefault="00855A19" w:rsidP="000363B0">
            <w:pPr>
              <w:jc w:val="center"/>
              <w:rPr>
                <w:sz w:val="20"/>
                <w:szCs w:val="20"/>
              </w:rPr>
            </w:pPr>
          </w:p>
        </w:tc>
        <w:tc>
          <w:tcPr>
            <w:tcW w:w="1689" w:type="dxa"/>
          </w:tcPr>
          <w:p w:rsidR="00855A19" w:rsidRPr="00BA3009" w:rsidRDefault="00855A19" w:rsidP="000363B0">
            <w:pPr>
              <w:jc w:val="center"/>
              <w:rPr>
                <w:sz w:val="20"/>
                <w:szCs w:val="20"/>
                <w:lang w:val="en-GB"/>
              </w:rPr>
            </w:pPr>
            <w:r w:rsidRPr="00075CD9">
              <w:rPr>
                <w:sz w:val="20"/>
                <w:szCs w:val="20"/>
                <w:lang w:val="en-GB"/>
              </w:rPr>
              <w:t>Y</w:t>
            </w:r>
          </w:p>
        </w:tc>
      </w:tr>
      <w:tr w:rsidR="00855A19" w:rsidRPr="00184CFC" w:rsidTr="008D57AD">
        <w:tc>
          <w:tcPr>
            <w:tcW w:w="966" w:type="dxa"/>
          </w:tcPr>
          <w:p w:rsidR="00855A19" w:rsidRPr="00075CD9" w:rsidRDefault="00855A19" w:rsidP="000363B0">
            <w:pPr>
              <w:rPr>
                <w:sz w:val="20"/>
                <w:szCs w:val="20"/>
                <w:lang w:val="en-GB"/>
              </w:rPr>
            </w:pPr>
            <w:r>
              <w:rPr>
                <w:sz w:val="20"/>
                <w:szCs w:val="20"/>
                <w:lang w:val="en-GB"/>
              </w:rPr>
              <w:lastRenderedPageBreak/>
              <w:t>SE_12</w:t>
            </w:r>
          </w:p>
        </w:tc>
        <w:tc>
          <w:tcPr>
            <w:tcW w:w="2701" w:type="dxa"/>
          </w:tcPr>
          <w:p w:rsidR="00855A19" w:rsidRPr="00075CD9" w:rsidRDefault="00855A19" w:rsidP="000363B0">
            <w:pPr>
              <w:rPr>
                <w:sz w:val="20"/>
                <w:szCs w:val="20"/>
                <w:lang w:val="en-GB"/>
              </w:rPr>
            </w:pPr>
            <w:r>
              <w:rPr>
                <w:sz w:val="20"/>
                <w:szCs w:val="20"/>
                <w:lang w:val="en-GB"/>
              </w:rPr>
              <w:t xml:space="preserve">Sat </w:t>
            </w:r>
            <w:proofErr w:type="spellStart"/>
            <w:r>
              <w:rPr>
                <w:sz w:val="20"/>
                <w:szCs w:val="20"/>
                <w:lang w:val="en-GB"/>
              </w:rPr>
              <w:t>MoU</w:t>
            </w:r>
            <w:proofErr w:type="spellEnd"/>
            <w:r>
              <w:rPr>
                <w:sz w:val="20"/>
                <w:szCs w:val="20"/>
                <w:lang w:val="en-GB"/>
              </w:rPr>
              <w:t xml:space="preserve">: Request </w:t>
            </w:r>
            <w:proofErr w:type="spellStart"/>
            <w:r>
              <w:rPr>
                <w:sz w:val="20"/>
                <w:szCs w:val="20"/>
                <w:lang w:val="en-GB"/>
              </w:rPr>
              <w:t>Leeheim</w:t>
            </w:r>
            <w:proofErr w:type="spellEnd"/>
            <w:r>
              <w:rPr>
                <w:sz w:val="20"/>
                <w:szCs w:val="20"/>
                <w:lang w:val="en-GB"/>
              </w:rPr>
              <w:t xml:space="preserve"> m</w:t>
            </w:r>
            <w:r w:rsidRPr="00C82F9D">
              <w:rPr>
                <w:sz w:val="20"/>
                <w:szCs w:val="20"/>
                <w:lang w:val="en-GB"/>
              </w:rPr>
              <w:t xml:space="preserve">easurements in accordance with the </w:t>
            </w:r>
            <w:r>
              <w:rPr>
                <w:sz w:val="20"/>
                <w:szCs w:val="20"/>
                <w:lang w:val="en-GB"/>
              </w:rPr>
              <w:t xml:space="preserve">Decide 5 and 3 of </w:t>
            </w:r>
            <w:r w:rsidRPr="00C82F9D">
              <w:rPr>
                <w:sz w:val="20"/>
                <w:szCs w:val="20"/>
                <w:lang w:val="en-GB"/>
              </w:rPr>
              <w:t>ECC/DEC/(09)02</w:t>
            </w:r>
          </w:p>
        </w:tc>
        <w:tc>
          <w:tcPr>
            <w:tcW w:w="3431" w:type="dxa"/>
          </w:tcPr>
          <w:p w:rsidR="00855A19" w:rsidRPr="00075CD9" w:rsidRDefault="00855A19" w:rsidP="00F0104A">
            <w:pPr>
              <w:jc w:val="both"/>
              <w:rPr>
                <w:sz w:val="20"/>
                <w:szCs w:val="20"/>
                <w:lang w:val="en-US"/>
              </w:rPr>
            </w:pPr>
            <w:r>
              <w:rPr>
                <w:sz w:val="20"/>
                <w:szCs w:val="20"/>
                <w:lang w:val="en-US"/>
              </w:rPr>
              <w:t xml:space="preserve">Report to WGFM/FM44 of the result of the measurement so that the </w:t>
            </w:r>
            <w:r w:rsidRPr="00C82F9D">
              <w:rPr>
                <w:sz w:val="20"/>
                <w:szCs w:val="20"/>
                <w:lang w:val="en-US"/>
              </w:rPr>
              <w:t>ITU-R can be notified about possible interferences</w:t>
            </w:r>
          </w:p>
        </w:tc>
        <w:tc>
          <w:tcPr>
            <w:tcW w:w="1389" w:type="dxa"/>
          </w:tcPr>
          <w:p w:rsidR="00855A19" w:rsidRPr="00C82F9D" w:rsidRDefault="00855A19" w:rsidP="000363B0">
            <w:pPr>
              <w:rPr>
                <w:sz w:val="20"/>
                <w:szCs w:val="20"/>
                <w:lang w:val="en-US"/>
              </w:rPr>
            </w:pPr>
            <w:r>
              <w:rPr>
                <w:sz w:val="20"/>
                <w:szCs w:val="20"/>
                <w:lang w:val="en-US"/>
              </w:rPr>
              <w:t>Continuous</w:t>
            </w:r>
          </w:p>
        </w:tc>
        <w:tc>
          <w:tcPr>
            <w:tcW w:w="1094" w:type="dxa"/>
          </w:tcPr>
          <w:p w:rsidR="00855A19" w:rsidRPr="00075CD9" w:rsidRDefault="00855A19" w:rsidP="000363B0">
            <w:pPr>
              <w:rPr>
                <w:sz w:val="20"/>
                <w:szCs w:val="20"/>
                <w:lang w:val="en-GB"/>
              </w:rPr>
            </w:pPr>
            <w:r>
              <w:rPr>
                <w:sz w:val="20"/>
                <w:szCs w:val="20"/>
                <w:lang w:val="en-GB"/>
              </w:rPr>
              <w:t>WGSE/SE40</w:t>
            </w:r>
          </w:p>
        </w:tc>
        <w:tc>
          <w:tcPr>
            <w:tcW w:w="3046" w:type="dxa"/>
          </w:tcPr>
          <w:p w:rsidR="00855A19" w:rsidRDefault="00855A19" w:rsidP="000363B0">
            <w:pPr>
              <w:rPr>
                <w:sz w:val="20"/>
                <w:szCs w:val="20"/>
                <w:lang w:val="en-GB"/>
              </w:rPr>
            </w:pPr>
            <w:r>
              <w:rPr>
                <w:sz w:val="20"/>
                <w:szCs w:val="20"/>
                <w:lang w:val="en-GB"/>
              </w:rPr>
              <w:t>SE40 to provide to the SAT-</w:t>
            </w:r>
            <w:proofErr w:type="spellStart"/>
            <w:r>
              <w:rPr>
                <w:sz w:val="20"/>
                <w:szCs w:val="20"/>
                <w:lang w:val="en-GB"/>
              </w:rPr>
              <w:t>MoU</w:t>
            </w:r>
            <w:proofErr w:type="spellEnd"/>
            <w:r>
              <w:rPr>
                <w:sz w:val="20"/>
                <w:szCs w:val="20"/>
                <w:lang w:val="en-GB"/>
              </w:rPr>
              <w:t xml:space="preserve"> with specification</w:t>
            </w:r>
            <w:r w:rsidRPr="00F0104A">
              <w:rPr>
                <w:sz w:val="20"/>
                <w:szCs w:val="20"/>
                <w:lang w:val="en-GB"/>
              </w:rPr>
              <w:t xml:space="preserve"> </w:t>
            </w:r>
            <w:r>
              <w:rPr>
                <w:sz w:val="20"/>
                <w:szCs w:val="20"/>
                <w:lang w:val="en-GB"/>
              </w:rPr>
              <w:t xml:space="preserve">of Iridium interference measurement </w:t>
            </w:r>
            <w:r w:rsidRPr="00C82F9D">
              <w:rPr>
                <w:sz w:val="20"/>
                <w:szCs w:val="20"/>
                <w:lang w:val="en-GB"/>
              </w:rPr>
              <w:t>in the band 1610</w:t>
            </w:r>
            <w:r>
              <w:rPr>
                <w:sz w:val="20"/>
                <w:szCs w:val="20"/>
                <w:lang w:val="en-GB"/>
              </w:rPr>
              <w:t>.6</w:t>
            </w:r>
            <w:r w:rsidRPr="00C82F9D">
              <w:rPr>
                <w:sz w:val="20"/>
                <w:szCs w:val="20"/>
                <w:lang w:val="en-GB"/>
              </w:rPr>
              <w:t xml:space="preserve">-1613.8 </w:t>
            </w:r>
            <w:proofErr w:type="spellStart"/>
            <w:r w:rsidRPr="00C82F9D">
              <w:rPr>
                <w:sz w:val="20"/>
                <w:szCs w:val="20"/>
                <w:lang w:val="en-GB"/>
              </w:rPr>
              <w:t>MHz</w:t>
            </w:r>
            <w:r>
              <w:rPr>
                <w:sz w:val="20"/>
                <w:szCs w:val="20"/>
                <w:lang w:val="en-GB"/>
              </w:rPr>
              <w:t>.</w:t>
            </w:r>
            <w:proofErr w:type="spellEnd"/>
          </w:p>
          <w:p w:rsidR="00855A19" w:rsidRDefault="00855A19" w:rsidP="000363B0">
            <w:pPr>
              <w:rPr>
                <w:sz w:val="20"/>
                <w:szCs w:val="20"/>
                <w:lang w:val="en-GB"/>
              </w:rPr>
            </w:pPr>
            <w:r>
              <w:rPr>
                <w:sz w:val="20"/>
                <w:szCs w:val="20"/>
                <w:lang w:val="en-GB"/>
              </w:rPr>
              <w:t xml:space="preserve">Information on Sat </w:t>
            </w:r>
            <w:proofErr w:type="spellStart"/>
            <w:r>
              <w:rPr>
                <w:sz w:val="20"/>
                <w:szCs w:val="20"/>
                <w:lang w:val="en-GB"/>
              </w:rPr>
              <w:t>MoU</w:t>
            </w:r>
            <w:proofErr w:type="spellEnd"/>
            <w:r>
              <w:rPr>
                <w:sz w:val="20"/>
                <w:szCs w:val="20"/>
                <w:lang w:val="en-GB"/>
              </w:rPr>
              <w:t xml:space="preserve"> available at </w:t>
            </w:r>
            <w:hyperlink r:id="rId14" w:history="1">
              <w:r w:rsidRPr="005739EF">
                <w:rPr>
                  <w:rStyle w:val="Hyperlink"/>
                  <w:sz w:val="20"/>
                  <w:szCs w:val="20"/>
                  <w:lang w:val="en-GB"/>
                </w:rPr>
                <w:t>http://www.cept.org/eco/groups/eco/sat-mou</w:t>
              </w:r>
            </w:hyperlink>
          </w:p>
          <w:p w:rsidR="00855A19" w:rsidRPr="003C717B" w:rsidRDefault="00855A19" w:rsidP="000363B0">
            <w:pPr>
              <w:rPr>
                <w:sz w:val="20"/>
                <w:szCs w:val="20"/>
                <w:lang w:val="en-GB"/>
              </w:rPr>
            </w:pPr>
          </w:p>
        </w:tc>
        <w:tc>
          <w:tcPr>
            <w:tcW w:w="1689" w:type="dxa"/>
          </w:tcPr>
          <w:p w:rsidR="00855A19" w:rsidRPr="00075CD9" w:rsidRDefault="00855A19" w:rsidP="000363B0">
            <w:pPr>
              <w:jc w:val="center"/>
              <w:rPr>
                <w:sz w:val="20"/>
                <w:szCs w:val="20"/>
              </w:rPr>
            </w:pPr>
            <w:r>
              <w:rPr>
                <w:sz w:val="20"/>
                <w:szCs w:val="20"/>
              </w:rPr>
              <w:t>WGFM/FM44</w:t>
            </w:r>
          </w:p>
        </w:tc>
        <w:tc>
          <w:tcPr>
            <w:tcW w:w="1689" w:type="dxa"/>
          </w:tcPr>
          <w:p w:rsidR="00855A19" w:rsidRPr="00075CD9" w:rsidRDefault="00855A19" w:rsidP="000363B0">
            <w:pPr>
              <w:jc w:val="center"/>
              <w:rPr>
                <w:sz w:val="20"/>
                <w:szCs w:val="20"/>
                <w:lang w:val="en-GB"/>
              </w:rPr>
            </w:pPr>
            <w:r>
              <w:rPr>
                <w:sz w:val="20"/>
                <w:szCs w:val="20"/>
                <w:lang w:val="en-GB"/>
              </w:rPr>
              <w:t>Y</w:t>
            </w:r>
          </w:p>
        </w:tc>
      </w:tr>
      <w:tr w:rsidR="00855A19" w:rsidRPr="001B03FA" w:rsidTr="008D57AD">
        <w:tc>
          <w:tcPr>
            <w:tcW w:w="966" w:type="dxa"/>
          </w:tcPr>
          <w:p w:rsidR="00855A19" w:rsidRDefault="00855A19" w:rsidP="000363B0">
            <w:pPr>
              <w:rPr>
                <w:sz w:val="20"/>
                <w:szCs w:val="20"/>
                <w:lang w:val="en-GB"/>
              </w:rPr>
            </w:pPr>
            <w:r>
              <w:rPr>
                <w:sz w:val="20"/>
                <w:szCs w:val="20"/>
                <w:lang w:val="en-GB"/>
              </w:rPr>
              <w:t>SE_13</w:t>
            </w:r>
          </w:p>
        </w:tc>
        <w:tc>
          <w:tcPr>
            <w:tcW w:w="2701" w:type="dxa"/>
          </w:tcPr>
          <w:p w:rsidR="00855A19" w:rsidRDefault="00855A19" w:rsidP="000363B0">
            <w:pPr>
              <w:rPr>
                <w:sz w:val="20"/>
                <w:szCs w:val="20"/>
                <w:lang w:val="en-GB"/>
              </w:rPr>
            </w:pPr>
            <w:r>
              <w:rPr>
                <w:sz w:val="20"/>
                <w:szCs w:val="20"/>
                <w:lang w:val="en-GB"/>
              </w:rPr>
              <w:t>Develop a spectrum engineering reference document</w:t>
            </w:r>
          </w:p>
        </w:tc>
        <w:tc>
          <w:tcPr>
            <w:tcW w:w="3431" w:type="dxa"/>
          </w:tcPr>
          <w:p w:rsidR="00855A19" w:rsidRPr="0003575B" w:rsidRDefault="00855A19" w:rsidP="0003575B">
            <w:pPr>
              <w:rPr>
                <w:sz w:val="20"/>
                <w:szCs w:val="20"/>
                <w:lang w:val="en-GB"/>
              </w:rPr>
            </w:pPr>
            <w:r w:rsidRPr="0003575B">
              <w:rPr>
                <w:sz w:val="20"/>
                <w:szCs w:val="20"/>
                <w:lang w:val="en-GB"/>
              </w:rPr>
              <w:t>The elaboration of a new ECC Report to serve the purpose of a spectrum engineering reference document, taking into account ERC Reports 068 and 101</w:t>
            </w:r>
            <w:r>
              <w:rPr>
                <w:sz w:val="20"/>
                <w:szCs w:val="20"/>
                <w:lang w:val="en-GB"/>
              </w:rPr>
              <w:t xml:space="preserve"> </w:t>
            </w:r>
            <w:r w:rsidRPr="00C82F9D">
              <w:rPr>
                <w:sz w:val="20"/>
                <w:szCs w:val="20"/>
                <w:lang w:val="en-GB"/>
              </w:rPr>
              <w:t xml:space="preserve">and providing guidance on methodologies for </w:t>
            </w:r>
            <w:r>
              <w:rPr>
                <w:sz w:val="20"/>
                <w:szCs w:val="20"/>
                <w:lang w:val="en-GB"/>
              </w:rPr>
              <w:t xml:space="preserve">modelling </w:t>
            </w:r>
            <w:r w:rsidRPr="00C82F9D">
              <w:rPr>
                <w:sz w:val="20"/>
                <w:szCs w:val="20"/>
                <w:lang w:val="en-GB"/>
              </w:rPr>
              <w:t>the different radio services/systems and their interrelation with respect to compatibility and sharing of radio services/systems.</w:t>
            </w:r>
          </w:p>
          <w:p w:rsidR="00855A19" w:rsidRPr="00C82F9D" w:rsidRDefault="00855A19" w:rsidP="00C82F9D">
            <w:pPr>
              <w:rPr>
                <w:sz w:val="20"/>
                <w:szCs w:val="20"/>
                <w:lang w:val="en-GB"/>
              </w:rPr>
            </w:pPr>
          </w:p>
        </w:tc>
        <w:tc>
          <w:tcPr>
            <w:tcW w:w="1389" w:type="dxa"/>
          </w:tcPr>
          <w:p w:rsidR="00855A19" w:rsidRPr="00C82F9D" w:rsidRDefault="00855A19" w:rsidP="000363B0">
            <w:pPr>
              <w:rPr>
                <w:sz w:val="20"/>
                <w:szCs w:val="20"/>
                <w:lang w:val="en-GB"/>
              </w:rPr>
            </w:pPr>
            <w:r w:rsidRPr="00C82F9D">
              <w:rPr>
                <w:sz w:val="20"/>
                <w:szCs w:val="20"/>
                <w:lang w:val="en-GB"/>
              </w:rPr>
              <w:t>S: Jan 2013</w:t>
            </w:r>
          </w:p>
          <w:p w:rsidR="00855A19" w:rsidRPr="00C82F9D" w:rsidRDefault="00855A19" w:rsidP="000363B0">
            <w:pPr>
              <w:rPr>
                <w:sz w:val="20"/>
                <w:szCs w:val="20"/>
                <w:lang w:val="en-GB"/>
              </w:rPr>
            </w:pPr>
            <w:r w:rsidRPr="00C82F9D">
              <w:rPr>
                <w:sz w:val="20"/>
                <w:szCs w:val="20"/>
                <w:lang w:val="en-GB"/>
              </w:rPr>
              <w:t>T: Jan 2015</w:t>
            </w:r>
          </w:p>
        </w:tc>
        <w:tc>
          <w:tcPr>
            <w:tcW w:w="1094" w:type="dxa"/>
          </w:tcPr>
          <w:p w:rsidR="00855A19" w:rsidRPr="00C82F9D" w:rsidRDefault="00855A19" w:rsidP="000363B0">
            <w:pPr>
              <w:rPr>
                <w:sz w:val="20"/>
                <w:szCs w:val="20"/>
                <w:lang w:val="en-GB"/>
              </w:rPr>
            </w:pPr>
            <w:r w:rsidRPr="00C82F9D">
              <w:rPr>
                <w:sz w:val="20"/>
                <w:szCs w:val="20"/>
                <w:lang w:val="en-GB"/>
              </w:rPr>
              <w:t>WGSE/ECO</w:t>
            </w:r>
          </w:p>
        </w:tc>
        <w:tc>
          <w:tcPr>
            <w:tcW w:w="3046" w:type="dxa"/>
          </w:tcPr>
          <w:p w:rsidR="00855A19" w:rsidRPr="00C82F9D" w:rsidRDefault="00855A19" w:rsidP="0003575B">
            <w:pPr>
              <w:rPr>
                <w:sz w:val="20"/>
                <w:szCs w:val="20"/>
                <w:lang w:val="en-GB"/>
              </w:rPr>
            </w:pPr>
            <w:r>
              <w:rPr>
                <w:sz w:val="20"/>
                <w:szCs w:val="20"/>
                <w:lang w:val="en-GB"/>
              </w:rPr>
              <w:t xml:space="preserve">- </w:t>
            </w:r>
            <w:r w:rsidRPr="00C82F9D">
              <w:rPr>
                <w:sz w:val="20"/>
                <w:szCs w:val="20"/>
                <w:lang w:val="en-GB"/>
              </w:rPr>
              <w:t xml:space="preserve">The reference document is to consider MCL approach as well as statistical </w:t>
            </w:r>
            <w:r>
              <w:rPr>
                <w:sz w:val="20"/>
                <w:szCs w:val="20"/>
                <w:lang w:val="en-GB"/>
              </w:rPr>
              <w:t xml:space="preserve">approach </w:t>
            </w:r>
            <w:r w:rsidRPr="00C82F9D">
              <w:rPr>
                <w:sz w:val="20"/>
                <w:szCs w:val="20"/>
                <w:lang w:val="en-GB"/>
              </w:rPr>
              <w:t>as implemented in SEAMCAT (MCL description should include excel sheet examples)</w:t>
            </w:r>
          </w:p>
          <w:p w:rsidR="00855A19" w:rsidRDefault="00855A19" w:rsidP="0003575B">
            <w:pPr>
              <w:rPr>
                <w:sz w:val="20"/>
                <w:szCs w:val="20"/>
                <w:lang w:val="en-GB"/>
              </w:rPr>
            </w:pPr>
            <w:r>
              <w:rPr>
                <w:sz w:val="20"/>
                <w:szCs w:val="20"/>
                <w:lang w:val="en-GB"/>
              </w:rPr>
              <w:t xml:space="preserve">- </w:t>
            </w:r>
            <w:r w:rsidRPr="00C82F9D">
              <w:rPr>
                <w:sz w:val="20"/>
                <w:szCs w:val="20"/>
                <w:lang w:val="en-GB"/>
              </w:rPr>
              <w:t>All spectrum engineering PT</w:t>
            </w:r>
            <w:r>
              <w:rPr>
                <w:sz w:val="20"/>
                <w:szCs w:val="20"/>
                <w:lang w:val="en-GB"/>
              </w:rPr>
              <w:t>’</w:t>
            </w:r>
            <w:r w:rsidRPr="00C82F9D">
              <w:rPr>
                <w:sz w:val="20"/>
                <w:szCs w:val="20"/>
                <w:lang w:val="en-GB"/>
              </w:rPr>
              <w:t xml:space="preserve">s of the CEPT to be involved in this activity. </w:t>
            </w:r>
          </w:p>
          <w:p w:rsidR="00855A19" w:rsidRDefault="00855A19" w:rsidP="0003575B">
            <w:pPr>
              <w:rPr>
                <w:sz w:val="20"/>
                <w:szCs w:val="20"/>
                <w:lang w:val="en-GB"/>
              </w:rPr>
            </w:pPr>
            <w:r>
              <w:rPr>
                <w:sz w:val="20"/>
                <w:szCs w:val="20"/>
                <w:lang w:val="en-GB"/>
              </w:rPr>
              <w:t>- Creation of a Forum Group</w:t>
            </w:r>
          </w:p>
          <w:p w:rsidR="00855A19" w:rsidRPr="00C82F9D" w:rsidRDefault="00855A19" w:rsidP="0003575B">
            <w:pPr>
              <w:rPr>
                <w:sz w:val="20"/>
                <w:szCs w:val="20"/>
                <w:lang w:val="en-GB"/>
              </w:rPr>
            </w:pPr>
            <w:r>
              <w:rPr>
                <w:sz w:val="20"/>
                <w:szCs w:val="20"/>
                <w:lang w:val="en-GB"/>
              </w:rPr>
              <w:t xml:space="preserve">- </w:t>
            </w:r>
            <w:r w:rsidRPr="00C82F9D">
              <w:rPr>
                <w:sz w:val="20"/>
                <w:szCs w:val="20"/>
                <w:lang w:val="en-GB"/>
              </w:rPr>
              <w:t>Close cooperation with ETSI on the issue of definitions of technical parameters and terminology.</w:t>
            </w:r>
          </w:p>
          <w:p w:rsidR="00855A19" w:rsidRPr="0003575B" w:rsidRDefault="00855A19" w:rsidP="000363B0">
            <w:pPr>
              <w:rPr>
                <w:sz w:val="20"/>
                <w:szCs w:val="20"/>
                <w:lang w:val="en-GB"/>
              </w:rPr>
            </w:pPr>
          </w:p>
        </w:tc>
        <w:tc>
          <w:tcPr>
            <w:tcW w:w="1689" w:type="dxa"/>
          </w:tcPr>
          <w:p w:rsidR="00855A19" w:rsidRPr="00C82F9D" w:rsidRDefault="00855A19" w:rsidP="001A575A">
            <w:pPr>
              <w:jc w:val="center"/>
              <w:rPr>
                <w:sz w:val="20"/>
                <w:szCs w:val="20"/>
                <w:lang w:val="en-GB"/>
              </w:rPr>
            </w:pPr>
            <w:r>
              <w:rPr>
                <w:sz w:val="20"/>
                <w:szCs w:val="20"/>
                <w:lang w:val="en-GB"/>
              </w:rPr>
              <w:t xml:space="preserve">WGSE </w:t>
            </w:r>
            <w:r w:rsidRPr="009A7A75">
              <w:rPr>
                <w:sz w:val="20"/>
                <w:szCs w:val="20"/>
                <w:lang w:val="en-GB"/>
              </w:rPr>
              <w:t>(for suppo</w:t>
            </w:r>
            <w:r>
              <w:rPr>
                <w:sz w:val="20"/>
                <w:szCs w:val="20"/>
                <w:lang w:val="en-GB"/>
              </w:rPr>
              <w:t xml:space="preserve">rting administrations, see SE(13)049, </w:t>
            </w:r>
            <w:r w:rsidRPr="001A575A">
              <w:rPr>
                <w:sz w:val="20"/>
                <w:szCs w:val="20"/>
                <w:lang w:val="en-GB"/>
              </w:rPr>
              <w:t xml:space="preserve">section </w:t>
            </w:r>
            <w:r w:rsidR="001A575A" w:rsidRPr="001A575A">
              <w:rPr>
                <w:sz w:val="20"/>
                <w:szCs w:val="20"/>
                <w:lang w:val="en-GB"/>
              </w:rPr>
              <w:t>13.</w:t>
            </w:r>
            <w:r w:rsidR="001A575A">
              <w:rPr>
                <w:sz w:val="20"/>
                <w:szCs w:val="20"/>
                <w:lang w:val="en-GB"/>
              </w:rPr>
              <w:t>2</w:t>
            </w:r>
            <w:r w:rsidRPr="009A7A75">
              <w:rPr>
                <w:sz w:val="20"/>
                <w:szCs w:val="20"/>
                <w:lang w:val="en-GB"/>
              </w:rPr>
              <w:t>)</w:t>
            </w:r>
          </w:p>
        </w:tc>
        <w:tc>
          <w:tcPr>
            <w:tcW w:w="1689" w:type="dxa"/>
          </w:tcPr>
          <w:p w:rsidR="00855A19" w:rsidRDefault="00855A19" w:rsidP="00DD22B4">
            <w:pPr>
              <w:jc w:val="center"/>
              <w:rPr>
                <w:sz w:val="20"/>
                <w:szCs w:val="20"/>
                <w:lang w:val="en-GB"/>
              </w:rPr>
            </w:pPr>
            <w:r>
              <w:rPr>
                <w:sz w:val="20"/>
                <w:szCs w:val="20"/>
                <w:lang w:val="en-GB"/>
              </w:rPr>
              <w:t>Y</w:t>
            </w:r>
          </w:p>
        </w:tc>
      </w:tr>
    </w:tbl>
    <w:p w:rsidR="00855A19" w:rsidRDefault="00855A19" w:rsidP="00DD1CA5">
      <w:pPr>
        <w:rPr>
          <w:sz w:val="20"/>
          <w:szCs w:val="20"/>
          <w:lang w:val="en-GB"/>
        </w:rPr>
      </w:pPr>
    </w:p>
    <w:p w:rsidR="00855A19" w:rsidRDefault="00855A19" w:rsidP="00C82F9D">
      <w:pPr>
        <w:rPr>
          <w:sz w:val="20"/>
          <w:szCs w:val="20"/>
          <w:lang w:val="en-GB"/>
        </w:rPr>
      </w:pPr>
    </w:p>
    <w:p w:rsidR="00855A19" w:rsidRPr="00C82F9D" w:rsidRDefault="00855A19" w:rsidP="003C0600"/>
    <w:sectPr w:rsidR="00855A19" w:rsidRPr="00C82F9D" w:rsidSect="00AF35D9">
      <w:headerReference w:type="default" r:id="rId15"/>
      <w:footerReference w:type="default" r:id="rId16"/>
      <w:pgSz w:w="16838" w:h="11906" w:orient="landscape" w:code="9"/>
      <w:pgMar w:top="1134" w:right="851" w:bottom="1134"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47" w:rsidRDefault="00521D47">
      <w:r>
        <w:separator/>
      </w:r>
    </w:p>
  </w:endnote>
  <w:endnote w:type="continuationSeparator" w:id="0">
    <w:p w:rsidR="00521D47" w:rsidRDefault="0052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19" w:rsidRPr="000318E3" w:rsidRDefault="00855A19" w:rsidP="006B13E1">
    <w:pPr>
      <w:pStyle w:val="Fuzeile"/>
      <w:tabs>
        <w:tab w:val="clear" w:pos="4153"/>
        <w:tab w:val="center" w:pos="6237"/>
      </w:tabs>
      <w:spacing w:before="120"/>
      <w:ind w:right="357"/>
    </w:pPr>
    <w:r w:rsidRPr="000318E3">
      <w:rPr>
        <w:rStyle w:val="Seitenzahl"/>
      </w:rPr>
      <w:t>Annex 05</w:t>
    </w:r>
    <w:r w:rsidRPr="000318E3">
      <w:rPr>
        <w:rStyle w:val="Seitenzahl"/>
      </w:rPr>
      <w:tab/>
    </w:r>
    <w:r w:rsidRPr="000318E3">
      <w:rPr>
        <w:rStyle w:val="Seitenzahl"/>
      </w:rPr>
      <w:fldChar w:fldCharType="begin"/>
    </w:r>
    <w:r w:rsidRPr="000318E3">
      <w:rPr>
        <w:rStyle w:val="Seitenzahl"/>
      </w:rPr>
      <w:instrText xml:space="preserve"> PAGE </w:instrText>
    </w:r>
    <w:r w:rsidRPr="000318E3">
      <w:rPr>
        <w:rStyle w:val="Seitenzahl"/>
      </w:rPr>
      <w:fldChar w:fldCharType="separate"/>
    </w:r>
    <w:r w:rsidR="004261F7">
      <w:rPr>
        <w:rStyle w:val="Seitenzahl"/>
        <w:noProof/>
      </w:rPr>
      <w:t>9</w:t>
    </w:r>
    <w:r w:rsidRPr="000318E3">
      <w:rPr>
        <w:rStyle w:val="Seitenzahl"/>
      </w:rPr>
      <w:fldChar w:fldCharType="end"/>
    </w:r>
    <w:r w:rsidRPr="000318E3">
      <w:rPr>
        <w:rStyle w:val="Seitenzahl"/>
      </w:rPr>
      <w:t>/</w:t>
    </w:r>
    <w:r w:rsidRPr="000318E3">
      <w:rPr>
        <w:rStyle w:val="Seitenzahl"/>
      </w:rPr>
      <w:fldChar w:fldCharType="begin"/>
    </w:r>
    <w:r w:rsidRPr="000318E3">
      <w:rPr>
        <w:rStyle w:val="Seitenzahl"/>
      </w:rPr>
      <w:instrText xml:space="preserve"> NUMPAGES </w:instrText>
    </w:r>
    <w:r w:rsidRPr="000318E3">
      <w:rPr>
        <w:rStyle w:val="Seitenzahl"/>
      </w:rPr>
      <w:fldChar w:fldCharType="separate"/>
    </w:r>
    <w:r w:rsidR="004261F7">
      <w:rPr>
        <w:rStyle w:val="Seitenzahl"/>
        <w:noProof/>
      </w:rPr>
      <w:t>9</w:t>
    </w:r>
    <w:r w:rsidRPr="000318E3">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47" w:rsidRDefault="00521D47">
      <w:r>
        <w:separator/>
      </w:r>
    </w:p>
  </w:footnote>
  <w:footnote w:type="continuationSeparator" w:id="0">
    <w:p w:rsidR="00521D47" w:rsidRDefault="00521D47">
      <w:r>
        <w:continuationSeparator/>
      </w:r>
    </w:p>
  </w:footnote>
  <w:footnote w:id="1">
    <w:p w:rsidR="00855A19" w:rsidRDefault="00855A19">
      <w:pPr>
        <w:pStyle w:val="Funotentext"/>
      </w:pPr>
      <w:r>
        <w:rPr>
          <w:rStyle w:val="Funotenzeichen"/>
        </w:rPr>
        <w:footnoteRef/>
      </w:r>
      <w:r w:rsidRPr="00851B55">
        <w:rPr>
          <w:lang w:val="en-GB"/>
        </w:rPr>
        <w:t xml:space="preserve"> </w:t>
      </w:r>
      <w:r w:rsidRPr="004A0480">
        <w:rPr>
          <w:lang w:val="en-US"/>
        </w:rPr>
        <w:t xml:space="preserve">Target </w:t>
      </w:r>
      <w:r>
        <w:rPr>
          <w:lang w:val="en-US"/>
        </w:rPr>
        <w:t xml:space="preserve">dates </w:t>
      </w:r>
      <w:r w:rsidRPr="0055700D">
        <w:rPr>
          <w:lang w:val="en-US"/>
        </w:rPr>
        <w:t>are seen as the intended date for the final approval of the related deliverable by the responsible entity. Internal deadlines for project teams and dates for the start of Public Consultations can be reflected in the remarks column</w:t>
      </w:r>
      <w:r>
        <w:rPr>
          <w:lang w:val="en-US"/>
        </w:rPr>
        <w:t xml:space="preserve">. In general this implies that the draft deliverable should be completed by the project team one WG </w:t>
      </w:r>
      <w:proofErr w:type="spellStart"/>
      <w:r>
        <w:rPr>
          <w:lang w:val="en-US"/>
        </w:rPr>
        <w:t>meting</w:t>
      </w:r>
      <w:proofErr w:type="spellEnd"/>
      <w:r>
        <w:rPr>
          <w:lang w:val="en-US"/>
        </w:rPr>
        <w:t xml:space="preserve"> earlier for public consultation.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12" w:space="0" w:color="auto"/>
      </w:tblBorders>
      <w:tblLayout w:type="fixed"/>
      <w:tblLook w:val="0000" w:firstRow="0" w:lastRow="0" w:firstColumn="0" w:lastColumn="0" w:noHBand="0" w:noVBand="0"/>
    </w:tblPr>
    <w:tblGrid>
      <w:gridCol w:w="5495"/>
      <w:gridCol w:w="8185"/>
    </w:tblGrid>
    <w:tr w:rsidR="00427EAC" w:rsidRPr="00753737" w:rsidTr="001B3830">
      <w:tblPrEx>
        <w:tblCellMar>
          <w:top w:w="0" w:type="dxa"/>
          <w:bottom w:w="0" w:type="dxa"/>
        </w:tblCellMar>
      </w:tblPrEx>
      <w:trPr>
        <w:trHeight w:val="713"/>
      </w:trPr>
      <w:tc>
        <w:tcPr>
          <w:tcW w:w="5495" w:type="dxa"/>
        </w:tcPr>
        <w:p w:rsidR="00427EAC" w:rsidRPr="00753737" w:rsidRDefault="00427EAC" w:rsidP="001B3830">
          <w:pPr>
            <w:rPr>
              <w:b/>
            </w:rPr>
          </w:pPr>
          <w:r w:rsidRPr="00753737">
            <w:rPr>
              <w:b/>
            </w:rPr>
            <w:t>Report of the 63</w:t>
          </w:r>
          <w:r w:rsidRPr="00753737">
            <w:rPr>
              <w:b/>
              <w:vertAlign w:val="superscript"/>
            </w:rPr>
            <w:t>rd</w:t>
          </w:r>
          <w:r w:rsidRPr="00753737">
            <w:rPr>
              <w:b/>
            </w:rPr>
            <w:t xml:space="preserve"> WG SE meeting</w:t>
          </w:r>
        </w:p>
        <w:p w:rsidR="00427EAC" w:rsidRPr="00753737" w:rsidRDefault="00427EAC" w:rsidP="001B3830">
          <w:pPr>
            <w:rPr>
              <w:b/>
              <w:bCs/>
              <w:lang w:val="en-US"/>
            </w:rPr>
          </w:pPr>
          <w:r w:rsidRPr="00753737">
            <w:rPr>
              <w:b/>
            </w:rPr>
            <w:t xml:space="preserve">Lübeck, Germany, 28 </w:t>
          </w:r>
          <w:proofErr w:type="spellStart"/>
          <w:r w:rsidRPr="00753737">
            <w:rPr>
              <w:b/>
            </w:rPr>
            <w:t>January</w:t>
          </w:r>
          <w:proofErr w:type="spellEnd"/>
          <w:r w:rsidRPr="00753737">
            <w:rPr>
              <w:b/>
            </w:rPr>
            <w:t xml:space="preserve"> – 1 </w:t>
          </w:r>
          <w:proofErr w:type="spellStart"/>
          <w:r w:rsidRPr="00753737">
            <w:rPr>
              <w:b/>
            </w:rPr>
            <w:t>February</w:t>
          </w:r>
          <w:proofErr w:type="spellEnd"/>
          <w:r w:rsidRPr="00753737">
            <w:rPr>
              <w:b/>
            </w:rPr>
            <w:t xml:space="preserve"> 2013</w:t>
          </w:r>
        </w:p>
      </w:tc>
      <w:tc>
        <w:tcPr>
          <w:tcW w:w="8185" w:type="dxa"/>
        </w:tcPr>
        <w:p w:rsidR="00427EAC" w:rsidRPr="00753737" w:rsidRDefault="00427EAC" w:rsidP="001B3830">
          <w:pPr>
            <w:jc w:val="right"/>
            <w:rPr>
              <w:b/>
              <w:bCs/>
              <w:lang w:val="en-US"/>
            </w:rPr>
          </w:pPr>
          <w:r w:rsidRPr="00753737">
            <w:rPr>
              <w:b/>
              <w:bCs/>
              <w:lang w:val="en-US"/>
            </w:rPr>
            <w:t>Doc.SE(13)</w:t>
          </w:r>
          <w:r>
            <w:rPr>
              <w:b/>
              <w:bCs/>
              <w:lang w:val="en-US"/>
            </w:rPr>
            <w:t>049</w:t>
          </w:r>
        </w:p>
        <w:p w:rsidR="00427EAC" w:rsidRPr="00753737" w:rsidRDefault="00427EAC" w:rsidP="00FA2FCA">
          <w:pPr>
            <w:jc w:val="right"/>
            <w:rPr>
              <w:b/>
              <w:bCs/>
              <w:lang w:val="en-US"/>
            </w:rPr>
          </w:pPr>
          <w:r w:rsidRPr="00753737">
            <w:rPr>
              <w:b/>
              <w:bCs/>
              <w:lang w:val="en-US"/>
            </w:rPr>
            <w:t>Annex 0</w:t>
          </w:r>
          <w:r w:rsidR="00FA2FCA">
            <w:rPr>
              <w:b/>
              <w:bCs/>
              <w:lang w:val="en-US"/>
            </w:rPr>
            <w:t>5</w:t>
          </w:r>
        </w:p>
      </w:tc>
    </w:tr>
  </w:tbl>
  <w:p w:rsidR="00855A19" w:rsidRPr="00EB64C1" w:rsidRDefault="00855A19" w:rsidP="0018162A">
    <w:pPr>
      <w:pStyle w:val="Kopfzeile"/>
    </w:pPr>
  </w:p>
  <w:p w:rsidR="00855A19" w:rsidRPr="0018162A" w:rsidRDefault="00855A19" w:rsidP="0018162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C443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9B8F96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D8E8D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F9CDA6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DB63E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7CF2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F672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C21F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52E9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F6ED2C"/>
    <w:lvl w:ilvl="0">
      <w:start w:val="1"/>
      <w:numFmt w:val="bullet"/>
      <w:lvlText w:val=""/>
      <w:lvlJc w:val="left"/>
      <w:pPr>
        <w:tabs>
          <w:tab w:val="num" w:pos="360"/>
        </w:tabs>
        <w:ind w:left="360" w:hanging="360"/>
      </w:pPr>
      <w:rPr>
        <w:rFonts w:ascii="Symbol" w:hAnsi="Symbol" w:hint="default"/>
      </w:rPr>
    </w:lvl>
  </w:abstractNum>
  <w:abstractNum w:abstractNumId="10">
    <w:nsid w:val="036F5DF0"/>
    <w:multiLevelType w:val="hybridMultilevel"/>
    <w:tmpl w:val="34560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7D31DE"/>
    <w:multiLevelType w:val="multilevel"/>
    <w:tmpl w:val="C38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A3631C"/>
    <w:multiLevelType w:val="singleLevel"/>
    <w:tmpl w:val="DD92D7CA"/>
    <w:lvl w:ilvl="0">
      <w:numFmt w:val="bullet"/>
      <w:lvlText w:val="-"/>
      <w:lvlJc w:val="left"/>
      <w:pPr>
        <w:tabs>
          <w:tab w:val="num" w:pos="360"/>
        </w:tabs>
        <w:ind w:left="360" w:hanging="360"/>
      </w:pPr>
      <w:rPr>
        <w:rFonts w:hint="default"/>
      </w:rPr>
    </w:lvl>
  </w:abstractNum>
  <w:abstractNum w:abstractNumId="13">
    <w:nsid w:val="10FA75E4"/>
    <w:multiLevelType w:val="hybridMultilevel"/>
    <w:tmpl w:val="FFA02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C7225"/>
    <w:multiLevelType w:val="hybridMultilevel"/>
    <w:tmpl w:val="7CDA508E"/>
    <w:lvl w:ilvl="0" w:tplc="041D0001">
      <w:start w:val="1"/>
      <w:numFmt w:val="bullet"/>
      <w:lvlText w:val=""/>
      <w:lvlJc w:val="left"/>
      <w:pPr>
        <w:ind w:left="761" w:hanging="360"/>
      </w:pPr>
      <w:rPr>
        <w:rFonts w:ascii="Symbol" w:hAnsi="Symbol" w:hint="default"/>
      </w:rPr>
    </w:lvl>
    <w:lvl w:ilvl="1" w:tplc="041D0003" w:tentative="1">
      <w:start w:val="1"/>
      <w:numFmt w:val="bullet"/>
      <w:lvlText w:val="o"/>
      <w:lvlJc w:val="left"/>
      <w:pPr>
        <w:ind w:left="1481" w:hanging="360"/>
      </w:pPr>
      <w:rPr>
        <w:rFonts w:ascii="Courier New" w:hAnsi="Courier New" w:hint="default"/>
      </w:rPr>
    </w:lvl>
    <w:lvl w:ilvl="2" w:tplc="041D0005" w:tentative="1">
      <w:start w:val="1"/>
      <w:numFmt w:val="bullet"/>
      <w:lvlText w:val=""/>
      <w:lvlJc w:val="left"/>
      <w:pPr>
        <w:ind w:left="2201" w:hanging="360"/>
      </w:pPr>
      <w:rPr>
        <w:rFonts w:ascii="Wingdings" w:hAnsi="Wingdings" w:hint="default"/>
      </w:rPr>
    </w:lvl>
    <w:lvl w:ilvl="3" w:tplc="041D0001" w:tentative="1">
      <w:start w:val="1"/>
      <w:numFmt w:val="bullet"/>
      <w:lvlText w:val=""/>
      <w:lvlJc w:val="left"/>
      <w:pPr>
        <w:ind w:left="2921" w:hanging="360"/>
      </w:pPr>
      <w:rPr>
        <w:rFonts w:ascii="Symbol" w:hAnsi="Symbol" w:hint="default"/>
      </w:rPr>
    </w:lvl>
    <w:lvl w:ilvl="4" w:tplc="041D0003" w:tentative="1">
      <w:start w:val="1"/>
      <w:numFmt w:val="bullet"/>
      <w:lvlText w:val="o"/>
      <w:lvlJc w:val="left"/>
      <w:pPr>
        <w:ind w:left="3641" w:hanging="360"/>
      </w:pPr>
      <w:rPr>
        <w:rFonts w:ascii="Courier New" w:hAnsi="Courier New" w:hint="default"/>
      </w:rPr>
    </w:lvl>
    <w:lvl w:ilvl="5" w:tplc="041D0005" w:tentative="1">
      <w:start w:val="1"/>
      <w:numFmt w:val="bullet"/>
      <w:lvlText w:val=""/>
      <w:lvlJc w:val="left"/>
      <w:pPr>
        <w:ind w:left="4361" w:hanging="360"/>
      </w:pPr>
      <w:rPr>
        <w:rFonts w:ascii="Wingdings" w:hAnsi="Wingdings" w:hint="default"/>
      </w:rPr>
    </w:lvl>
    <w:lvl w:ilvl="6" w:tplc="041D0001" w:tentative="1">
      <w:start w:val="1"/>
      <w:numFmt w:val="bullet"/>
      <w:lvlText w:val=""/>
      <w:lvlJc w:val="left"/>
      <w:pPr>
        <w:ind w:left="5081" w:hanging="360"/>
      </w:pPr>
      <w:rPr>
        <w:rFonts w:ascii="Symbol" w:hAnsi="Symbol" w:hint="default"/>
      </w:rPr>
    </w:lvl>
    <w:lvl w:ilvl="7" w:tplc="041D0003" w:tentative="1">
      <w:start w:val="1"/>
      <w:numFmt w:val="bullet"/>
      <w:lvlText w:val="o"/>
      <w:lvlJc w:val="left"/>
      <w:pPr>
        <w:ind w:left="5801" w:hanging="360"/>
      </w:pPr>
      <w:rPr>
        <w:rFonts w:ascii="Courier New" w:hAnsi="Courier New" w:hint="default"/>
      </w:rPr>
    </w:lvl>
    <w:lvl w:ilvl="8" w:tplc="041D0005" w:tentative="1">
      <w:start w:val="1"/>
      <w:numFmt w:val="bullet"/>
      <w:lvlText w:val=""/>
      <w:lvlJc w:val="left"/>
      <w:pPr>
        <w:ind w:left="6521" w:hanging="360"/>
      </w:pPr>
      <w:rPr>
        <w:rFonts w:ascii="Wingdings" w:hAnsi="Wingdings" w:hint="default"/>
      </w:rPr>
    </w:lvl>
  </w:abstractNum>
  <w:abstractNum w:abstractNumId="15">
    <w:nsid w:val="1E1C4642"/>
    <w:multiLevelType w:val="hybridMultilevel"/>
    <w:tmpl w:val="1BE8F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2CB0F9B"/>
    <w:multiLevelType w:val="hybridMultilevel"/>
    <w:tmpl w:val="A3CA22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57D545E"/>
    <w:multiLevelType w:val="hybridMultilevel"/>
    <w:tmpl w:val="79F42ADE"/>
    <w:lvl w:ilvl="0" w:tplc="A6C4251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9375260"/>
    <w:multiLevelType w:val="hybridMultilevel"/>
    <w:tmpl w:val="D3BA4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E32E73"/>
    <w:multiLevelType w:val="hybridMultilevel"/>
    <w:tmpl w:val="3F3401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10803DF"/>
    <w:multiLevelType w:val="hybridMultilevel"/>
    <w:tmpl w:val="88BCF638"/>
    <w:lvl w:ilvl="0" w:tplc="6E088D78">
      <w:start w:val="1"/>
      <w:numFmt w:val="bullet"/>
      <w:lvlText w:val=""/>
      <w:lvlJc w:val="left"/>
      <w:pPr>
        <w:tabs>
          <w:tab w:val="num" w:pos="151"/>
        </w:tabs>
        <w:ind w:left="151" w:hanging="151"/>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3AC6B89"/>
    <w:multiLevelType w:val="hybridMultilevel"/>
    <w:tmpl w:val="73922ADC"/>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23">
    <w:nsid w:val="4A710FFC"/>
    <w:multiLevelType w:val="hybridMultilevel"/>
    <w:tmpl w:val="3982B1B6"/>
    <w:lvl w:ilvl="0" w:tplc="80C80904">
      <w:start w:val="13"/>
      <w:numFmt w:val="bullet"/>
      <w:lvlText w:val="-"/>
      <w:lvlJc w:val="left"/>
      <w:pPr>
        <w:tabs>
          <w:tab w:val="num" w:pos="750"/>
        </w:tabs>
        <w:ind w:left="750" w:hanging="390"/>
      </w:pPr>
      <w:rPr>
        <w:rFonts w:ascii="Times New Roman" w:eastAsia="MS Mincho"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38D0468"/>
    <w:multiLevelType w:val="hybridMultilevel"/>
    <w:tmpl w:val="8D94E530"/>
    <w:lvl w:ilvl="0" w:tplc="87BA5E0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FA5883"/>
    <w:multiLevelType w:val="singleLevel"/>
    <w:tmpl w:val="DD92D7CA"/>
    <w:lvl w:ilvl="0">
      <w:numFmt w:val="bullet"/>
      <w:lvlText w:val="-"/>
      <w:lvlJc w:val="left"/>
      <w:pPr>
        <w:tabs>
          <w:tab w:val="num" w:pos="360"/>
        </w:tabs>
        <w:ind w:left="360" w:hanging="360"/>
      </w:pPr>
      <w:rPr>
        <w:rFonts w:hint="default"/>
      </w:rPr>
    </w:lvl>
  </w:abstractNum>
  <w:abstractNum w:abstractNumId="26">
    <w:nsid w:val="554D4217"/>
    <w:multiLevelType w:val="hybridMultilevel"/>
    <w:tmpl w:val="4C023A28"/>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7">
    <w:nsid w:val="579A71DA"/>
    <w:multiLevelType w:val="hybridMultilevel"/>
    <w:tmpl w:val="24E83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604E1B"/>
    <w:multiLevelType w:val="hybridMultilevel"/>
    <w:tmpl w:val="3BD82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0D6636"/>
    <w:multiLevelType w:val="hybridMultilevel"/>
    <w:tmpl w:val="FE7C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617642"/>
    <w:multiLevelType w:val="hybridMultilevel"/>
    <w:tmpl w:val="26B078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FF292C"/>
    <w:multiLevelType w:val="hybridMultilevel"/>
    <w:tmpl w:val="8FFEAD4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6C5554BA"/>
    <w:multiLevelType w:val="hybridMultilevel"/>
    <w:tmpl w:val="A5EE0ACE"/>
    <w:lvl w:ilvl="0" w:tplc="87BA5E0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EF03E0A"/>
    <w:multiLevelType w:val="multilevel"/>
    <w:tmpl w:val="4C023A28"/>
    <w:lvl w:ilvl="0">
      <w:start w:val="1"/>
      <w:numFmt w:val="bullet"/>
      <w:lvlText w:val=""/>
      <w:lvlJc w:val="left"/>
      <w:pPr>
        <w:tabs>
          <w:tab w:val="num" w:pos="776"/>
        </w:tabs>
        <w:ind w:left="776" w:hanging="360"/>
      </w:pPr>
      <w:rPr>
        <w:rFonts w:ascii="Symbol" w:hAnsi="Symbol" w:hint="default"/>
      </w:rPr>
    </w:lvl>
    <w:lvl w:ilvl="1">
      <w:start w:val="1"/>
      <w:numFmt w:val="bullet"/>
      <w:lvlText w:val="o"/>
      <w:lvlJc w:val="left"/>
      <w:pPr>
        <w:tabs>
          <w:tab w:val="num" w:pos="1496"/>
        </w:tabs>
        <w:ind w:left="1496" w:hanging="360"/>
      </w:pPr>
      <w:rPr>
        <w:rFonts w:ascii="Courier New" w:hAnsi="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34">
    <w:nsid w:val="7043098D"/>
    <w:multiLevelType w:val="hybridMultilevel"/>
    <w:tmpl w:val="012096A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nsid w:val="7FC16DFE"/>
    <w:multiLevelType w:val="hybridMultilevel"/>
    <w:tmpl w:val="038ED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2"/>
  </w:num>
  <w:num w:numId="3">
    <w:abstractNumId w:val="10"/>
  </w:num>
  <w:num w:numId="4">
    <w:abstractNumId w:val="16"/>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6"/>
  </w:num>
  <w:num w:numId="17">
    <w:abstractNumId w:val="33"/>
  </w:num>
  <w:num w:numId="18">
    <w:abstractNumId w:val="21"/>
  </w:num>
  <w:num w:numId="19">
    <w:abstractNumId w:val="27"/>
  </w:num>
  <w:num w:numId="20">
    <w:abstractNumId w:val="28"/>
  </w:num>
  <w:num w:numId="21">
    <w:abstractNumId w:val="32"/>
  </w:num>
  <w:num w:numId="22">
    <w:abstractNumId w:val="15"/>
  </w:num>
  <w:num w:numId="23">
    <w:abstractNumId w:val="30"/>
  </w:num>
  <w:num w:numId="24">
    <w:abstractNumId w:val="24"/>
  </w:num>
  <w:num w:numId="25">
    <w:abstractNumId w:val="20"/>
  </w:num>
  <w:num w:numId="26">
    <w:abstractNumId w:val="23"/>
  </w:num>
  <w:num w:numId="27">
    <w:abstractNumId w:val="13"/>
  </w:num>
  <w:num w:numId="28">
    <w:abstractNumId w:val="18"/>
  </w:num>
  <w:num w:numId="29">
    <w:abstractNumId w:val="35"/>
  </w:num>
  <w:num w:numId="30">
    <w:abstractNumId w:val="22"/>
  </w:num>
  <w:num w:numId="31">
    <w:abstractNumId w:val="17"/>
  </w:num>
  <w:num w:numId="32">
    <w:abstractNumId w:val="29"/>
  </w:num>
  <w:num w:numId="33">
    <w:abstractNumId w:val="34"/>
  </w:num>
  <w:num w:numId="34">
    <w:abstractNumId w:val="14"/>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DB"/>
    <w:rsid w:val="00000AA6"/>
    <w:rsid w:val="0000359B"/>
    <w:rsid w:val="00005C86"/>
    <w:rsid w:val="00007273"/>
    <w:rsid w:val="00007E75"/>
    <w:rsid w:val="000125F7"/>
    <w:rsid w:val="00013ABD"/>
    <w:rsid w:val="00015250"/>
    <w:rsid w:val="00015D80"/>
    <w:rsid w:val="000164A9"/>
    <w:rsid w:val="00020586"/>
    <w:rsid w:val="00023A0B"/>
    <w:rsid w:val="00030CFB"/>
    <w:rsid w:val="00031088"/>
    <w:rsid w:val="000318E3"/>
    <w:rsid w:val="00033D41"/>
    <w:rsid w:val="000341B6"/>
    <w:rsid w:val="0003575B"/>
    <w:rsid w:val="00036354"/>
    <w:rsid w:val="000363B0"/>
    <w:rsid w:val="00040205"/>
    <w:rsid w:val="000469D9"/>
    <w:rsid w:val="00050FEC"/>
    <w:rsid w:val="00052CEB"/>
    <w:rsid w:val="00054908"/>
    <w:rsid w:val="00055934"/>
    <w:rsid w:val="000602F3"/>
    <w:rsid w:val="000605A8"/>
    <w:rsid w:val="00075CD9"/>
    <w:rsid w:val="0008410C"/>
    <w:rsid w:val="00091F8C"/>
    <w:rsid w:val="00093151"/>
    <w:rsid w:val="000946D1"/>
    <w:rsid w:val="000A203B"/>
    <w:rsid w:val="000A3FAE"/>
    <w:rsid w:val="000A57B6"/>
    <w:rsid w:val="000A73F4"/>
    <w:rsid w:val="000B64DD"/>
    <w:rsid w:val="000C06FC"/>
    <w:rsid w:val="000C1081"/>
    <w:rsid w:val="000C7394"/>
    <w:rsid w:val="000D15D2"/>
    <w:rsid w:val="000D2978"/>
    <w:rsid w:val="000D4699"/>
    <w:rsid w:val="000D7FDF"/>
    <w:rsid w:val="000E02A0"/>
    <w:rsid w:val="000E4B59"/>
    <w:rsid w:val="000E5CC4"/>
    <w:rsid w:val="000E7116"/>
    <w:rsid w:val="000E7376"/>
    <w:rsid w:val="000F084F"/>
    <w:rsid w:val="000F0A74"/>
    <w:rsid w:val="000F240B"/>
    <w:rsid w:val="000F2770"/>
    <w:rsid w:val="000F339F"/>
    <w:rsid w:val="000F3863"/>
    <w:rsid w:val="000F3900"/>
    <w:rsid w:val="000F56D7"/>
    <w:rsid w:val="00103239"/>
    <w:rsid w:val="0010560A"/>
    <w:rsid w:val="00105E8C"/>
    <w:rsid w:val="00116819"/>
    <w:rsid w:val="00122694"/>
    <w:rsid w:val="00122892"/>
    <w:rsid w:val="00122A0A"/>
    <w:rsid w:val="00130AFC"/>
    <w:rsid w:val="00130EC3"/>
    <w:rsid w:val="001322BE"/>
    <w:rsid w:val="00134C21"/>
    <w:rsid w:val="001357E8"/>
    <w:rsid w:val="00140C25"/>
    <w:rsid w:val="001413A5"/>
    <w:rsid w:val="00142CDF"/>
    <w:rsid w:val="00147A87"/>
    <w:rsid w:val="00150A07"/>
    <w:rsid w:val="00154394"/>
    <w:rsid w:val="001574C7"/>
    <w:rsid w:val="00157E3B"/>
    <w:rsid w:val="00160BC7"/>
    <w:rsid w:val="001636CA"/>
    <w:rsid w:val="00164D92"/>
    <w:rsid w:val="00164EF4"/>
    <w:rsid w:val="0016675E"/>
    <w:rsid w:val="0016755B"/>
    <w:rsid w:val="00173342"/>
    <w:rsid w:val="001753F1"/>
    <w:rsid w:val="00175D16"/>
    <w:rsid w:val="00176D2F"/>
    <w:rsid w:val="00180B36"/>
    <w:rsid w:val="0018162A"/>
    <w:rsid w:val="00182EEE"/>
    <w:rsid w:val="001837B2"/>
    <w:rsid w:val="00184519"/>
    <w:rsid w:val="00184CFC"/>
    <w:rsid w:val="0019024F"/>
    <w:rsid w:val="00193998"/>
    <w:rsid w:val="001972FE"/>
    <w:rsid w:val="001A3BA3"/>
    <w:rsid w:val="001A575A"/>
    <w:rsid w:val="001A7259"/>
    <w:rsid w:val="001A7A4A"/>
    <w:rsid w:val="001B03FA"/>
    <w:rsid w:val="001B25F6"/>
    <w:rsid w:val="001B491E"/>
    <w:rsid w:val="001C1E4C"/>
    <w:rsid w:val="001D2599"/>
    <w:rsid w:val="001D4B41"/>
    <w:rsid w:val="001D6DA8"/>
    <w:rsid w:val="001E020D"/>
    <w:rsid w:val="001E13FC"/>
    <w:rsid w:val="001E14B5"/>
    <w:rsid w:val="001E154D"/>
    <w:rsid w:val="001E30B0"/>
    <w:rsid w:val="001E79FE"/>
    <w:rsid w:val="001F63B7"/>
    <w:rsid w:val="00200497"/>
    <w:rsid w:val="00215A33"/>
    <w:rsid w:val="00217553"/>
    <w:rsid w:val="00225328"/>
    <w:rsid w:val="00225E5A"/>
    <w:rsid w:val="00225EEA"/>
    <w:rsid w:val="00231295"/>
    <w:rsid w:val="002335A9"/>
    <w:rsid w:val="0023371E"/>
    <w:rsid w:val="00243DF7"/>
    <w:rsid w:val="00256002"/>
    <w:rsid w:val="00257496"/>
    <w:rsid w:val="0026154C"/>
    <w:rsid w:val="002663E0"/>
    <w:rsid w:val="00271862"/>
    <w:rsid w:val="00281A7E"/>
    <w:rsid w:val="00282600"/>
    <w:rsid w:val="00283260"/>
    <w:rsid w:val="00284493"/>
    <w:rsid w:val="00284F8A"/>
    <w:rsid w:val="002875DC"/>
    <w:rsid w:val="00290BF9"/>
    <w:rsid w:val="00291F5C"/>
    <w:rsid w:val="00295889"/>
    <w:rsid w:val="002969B0"/>
    <w:rsid w:val="002A2E03"/>
    <w:rsid w:val="002A4160"/>
    <w:rsid w:val="002A592B"/>
    <w:rsid w:val="002B2FA2"/>
    <w:rsid w:val="002B46F9"/>
    <w:rsid w:val="002B768C"/>
    <w:rsid w:val="002C2091"/>
    <w:rsid w:val="002C4DC4"/>
    <w:rsid w:val="002C4F78"/>
    <w:rsid w:val="002C7261"/>
    <w:rsid w:val="002D139F"/>
    <w:rsid w:val="002D2E37"/>
    <w:rsid w:val="002D41BB"/>
    <w:rsid w:val="002D5FAE"/>
    <w:rsid w:val="002D7583"/>
    <w:rsid w:val="002E0085"/>
    <w:rsid w:val="002E3EF0"/>
    <w:rsid w:val="002E46A3"/>
    <w:rsid w:val="002E4A0D"/>
    <w:rsid w:val="002E4D36"/>
    <w:rsid w:val="002F64E8"/>
    <w:rsid w:val="002F7081"/>
    <w:rsid w:val="002F7CE0"/>
    <w:rsid w:val="0030177A"/>
    <w:rsid w:val="00302CA0"/>
    <w:rsid w:val="00302D07"/>
    <w:rsid w:val="00303FD6"/>
    <w:rsid w:val="0030547B"/>
    <w:rsid w:val="0030575F"/>
    <w:rsid w:val="003059A8"/>
    <w:rsid w:val="003072DF"/>
    <w:rsid w:val="00307F1A"/>
    <w:rsid w:val="0031252B"/>
    <w:rsid w:val="00312F40"/>
    <w:rsid w:val="00313FBA"/>
    <w:rsid w:val="00314486"/>
    <w:rsid w:val="0031646E"/>
    <w:rsid w:val="003233FC"/>
    <w:rsid w:val="0032698E"/>
    <w:rsid w:val="00334379"/>
    <w:rsid w:val="00337499"/>
    <w:rsid w:val="0034058E"/>
    <w:rsid w:val="0035131B"/>
    <w:rsid w:val="0035429E"/>
    <w:rsid w:val="00354789"/>
    <w:rsid w:val="00354D50"/>
    <w:rsid w:val="00355625"/>
    <w:rsid w:val="00355FAA"/>
    <w:rsid w:val="00361161"/>
    <w:rsid w:val="0036139A"/>
    <w:rsid w:val="0036418B"/>
    <w:rsid w:val="00372A3E"/>
    <w:rsid w:val="003749E2"/>
    <w:rsid w:val="0037530E"/>
    <w:rsid w:val="00377139"/>
    <w:rsid w:val="00392A59"/>
    <w:rsid w:val="00394E24"/>
    <w:rsid w:val="003A186D"/>
    <w:rsid w:val="003B0ADE"/>
    <w:rsid w:val="003B100D"/>
    <w:rsid w:val="003B1210"/>
    <w:rsid w:val="003B7AD3"/>
    <w:rsid w:val="003C0600"/>
    <w:rsid w:val="003C0E63"/>
    <w:rsid w:val="003C717B"/>
    <w:rsid w:val="003D14AD"/>
    <w:rsid w:val="003D5980"/>
    <w:rsid w:val="003E0C25"/>
    <w:rsid w:val="003E0DDA"/>
    <w:rsid w:val="003E1E9F"/>
    <w:rsid w:val="003E58A1"/>
    <w:rsid w:val="003F2D6A"/>
    <w:rsid w:val="00401B9D"/>
    <w:rsid w:val="00404BAF"/>
    <w:rsid w:val="00411311"/>
    <w:rsid w:val="00425AE1"/>
    <w:rsid w:val="00425B1F"/>
    <w:rsid w:val="004261F7"/>
    <w:rsid w:val="00427EAC"/>
    <w:rsid w:val="00431A4B"/>
    <w:rsid w:val="00434AE8"/>
    <w:rsid w:val="00435E70"/>
    <w:rsid w:val="00436164"/>
    <w:rsid w:val="004377E6"/>
    <w:rsid w:val="00437BB0"/>
    <w:rsid w:val="0045072C"/>
    <w:rsid w:val="00450B9F"/>
    <w:rsid w:val="00454C7A"/>
    <w:rsid w:val="00454EE4"/>
    <w:rsid w:val="00460051"/>
    <w:rsid w:val="004601DF"/>
    <w:rsid w:val="00460D5D"/>
    <w:rsid w:val="00461402"/>
    <w:rsid w:val="00461BE3"/>
    <w:rsid w:val="00462B1B"/>
    <w:rsid w:val="00464C3C"/>
    <w:rsid w:val="00467FC1"/>
    <w:rsid w:val="00472B86"/>
    <w:rsid w:val="0047422E"/>
    <w:rsid w:val="004757A3"/>
    <w:rsid w:val="00476E46"/>
    <w:rsid w:val="00481B64"/>
    <w:rsid w:val="0048516F"/>
    <w:rsid w:val="004902C8"/>
    <w:rsid w:val="0049153F"/>
    <w:rsid w:val="00492288"/>
    <w:rsid w:val="0049321E"/>
    <w:rsid w:val="004942FF"/>
    <w:rsid w:val="004956F5"/>
    <w:rsid w:val="004A02EB"/>
    <w:rsid w:val="004A0480"/>
    <w:rsid w:val="004A1B1B"/>
    <w:rsid w:val="004A39E5"/>
    <w:rsid w:val="004B25BC"/>
    <w:rsid w:val="004B3BF6"/>
    <w:rsid w:val="004B650D"/>
    <w:rsid w:val="004D058B"/>
    <w:rsid w:val="004D3D05"/>
    <w:rsid w:val="004D5EAE"/>
    <w:rsid w:val="004D7606"/>
    <w:rsid w:val="004E239C"/>
    <w:rsid w:val="004E62F2"/>
    <w:rsid w:val="004F0356"/>
    <w:rsid w:val="004F0BA5"/>
    <w:rsid w:val="004F70D1"/>
    <w:rsid w:val="0050532B"/>
    <w:rsid w:val="00515C46"/>
    <w:rsid w:val="00515F2A"/>
    <w:rsid w:val="00517E88"/>
    <w:rsid w:val="00521D47"/>
    <w:rsid w:val="0052392C"/>
    <w:rsid w:val="00523A8A"/>
    <w:rsid w:val="00531918"/>
    <w:rsid w:val="00531933"/>
    <w:rsid w:val="00531FAB"/>
    <w:rsid w:val="0053254A"/>
    <w:rsid w:val="005328B9"/>
    <w:rsid w:val="00534BDE"/>
    <w:rsid w:val="00540FEF"/>
    <w:rsid w:val="0054562A"/>
    <w:rsid w:val="00547BFF"/>
    <w:rsid w:val="00551379"/>
    <w:rsid w:val="0055229E"/>
    <w:rsid w:val="0055486B"/>
    <w:rsid w:val="005552B2"/>
    <w:rsid w:val="0055700D"/>
    <w:rsid w:val="00565F49"/>
    <w:rsid w:val="00566259"/>
    <w:rsid w:val="005739EF"/>
    <w:rsid w:val="00575361"/>
    <w:rsid w:val="005866B9"/>
    <w:rsid w:val="00590056"/>
    <w:rsid w:val="00594C45"/>
    <w:rsid w:val="00596FF7"/>
    <w:rsid w:val="005A04C4"/>
    <w:rsid w:val="005A3DBD"/>
    <w:rsid w:val="005A7E00"/>
    <w:rsid w:val="005B0C31"/>
    <w:rsid w:val="005B2B84"/>
    <w:rsid w:val="005B5873"/>
    <w:rsid w:val="005B5A93"/>
    <w:rsid w:val="005C1390"/>
    <w:rsid w:val="005C2166"/>
    <w:rsid w:val="005C21ED"/>
    <w:rsid w:val="005C3715"/>
    <w:rsid w:val="005D70F8"/>
    <w:rsid w:val="005E08B4"/>
    <w:rsid w:val="005E5542"/>
    <w:rsid w:val="005E7140"/>
    <w:rsid w:val="005F0DF5"/>
    <w:rsid w:val="005F3334"/>
    <w:rsid w:val="00601A67"/>
    <w:rsid w:val="00601FBE"/>
    <w:rsid w:val="0060248C"/>
    <w:rsid w:val="006025A4"/>
    <w:rsid w:val="00602773"/>
    <w:rsid w:val="00607BED"/>
    <w:rsid w:val="00610D8D"/>
    <w:rsid w:val="006114BD"/>
    <w:rsid w:val="006129CD"/>
    <w:rsid w:val="00612E73"/>
    <w:rsid w:val="00613076"/>
    <w:rsid w:val="0061797C"/>
    <w:rsid w:val="0062038A"/>
    <w:rsid w:val="00621937"/>
    <w:rsid w:val="00622FB8"/>
    <w:rsid w:val="0062410A"/>
    <w:rsid w:val="00625078"/>
    <w:rsid w:val="006352E2"/>
    <w:rsid w:val="00636802"/>
    <w:rsid w:val="00637C3C"/>
    <w:rsid w:val="00640E65"/>
    <w:rsid w:val="006439B3"/>
    <w:rsid w:val="00644CB6"/>
    <w:rsid w:val="00646F1D"/>
    <w:rsid w:val="00651244"/>
    <w:rsid w:val="006544FD"/>
    <w:rsid w:val="00655B6E"/>
    <w:rsid w:val="006612F5"/>
    <w:rsid w:val="00662F2F"/>
    <w:rsid w:val="00666FF9"/>
    <w:rsid w:val="00670FBC"/>
    <w:rsid w:val="00674A3D"/>
    <w:rsid w:val="00675223"/>
    <w:rsid w:val="00675364"/>
    <w:rsid w:val="00676F74"/>
    <w:rsid w:val="006802DE"/>
    <w:rsid w:val="006838B5"/>
    <w:rsid w:val="006848D2"/>
    <w:rsid w:val="006921BB"/>
    <w:rsid w:val="006939B3"/>
    <w:rsid w:val="00695BBA"/>
    <w:rsid w:val="00697539"/>
    <w:rsid w:val="006A119E"/>
    <w:rsid w:val="006A1684"/>
    <w:rsid w:val="006A6964"/>
    <w:rsid w:val="006B13E1"/>
    <w:rsid w:val="006B214B"/>
    <w:rsid w:val="006B3CF5"/>
    <w:rsid w:val="006B4266"/>
    <w:rsid w:val="006B55EC"/>
    <w:rsid w:val="006B60B0"/>
    <w:rsid w:val="006C2B81"/>
    <w:rsid w:val="006C38AC"/>
    <w:rsid w:val="006C3930"/>
    <w:rsid w:val="006C3A5A"/>
    <w:rsid w:val="006C754B"/>
    <w:rsid w:val="006D2BBC"/>
    <w:rsid w:val="006D30BE"/>
    <w:rsid w:val="006D477C"/>
    <w:rsid w:val="006D5EB1"/>
    <w:rsid w:val="006E1FE1"/>
    <w:rsid w:val="006E2441"/>
    <w:rsid w:val="006E2BD5"/>
    <w:rsid w:val="006E6FFB"/>
    <w:rsid w:val="006F311B"/>
    <w:rsid w:val="006F37E8"/>
    <w:rsid w:val="007074D5"/>
    <w:rsid w:val="00730510"/>
    <w:rsid w:val="007305C1"/>
    <w:rsid w:val="0073237D"/>
    <w:rsid w:val="00737D1C"/>
    <w:rsid w:val="007430AE"/>
    <w:rsid w:val="0074343D"/>
    <w:rsid w:val="007442B3"/>
    <w:rsid w:val="007545BB"/>
    <w:rsid w:val="00755159"/>
    <w:rsid w:val="0076235F"/>
    <w:rsid w:val="00763C4F"/>
    <w:rsid w:val="0076542D"/>
    <w:rsid w:val="00773390"/>
    <w:rsid w:val="0077351D"/>
    <w:rsid w:val="00773D33"/>
    <w:rsid w:val="00774DC0"/>
    <w:rsid w:val="00776E79"/>
    <w:rsid w:val="007841B0"/>
    <w:rsid w:val="00785A9A"/>
    <w:rsid w:val="00786432"/>
    <w:rsid w:val="007875FC"/>
    <w:rsid w:val="00792486"/>
    <w:rsid w:val="007925DD"/>
    <w:rsid w:val="007951A8"/>
    <w:rsid w:val="00795795"/>
    <w:rsid w:val="007A4628"/>
    <w:rsid w:val="007A5992"/>
    <w:rsid w:val="007B037B"/>
    <w:rsid w:val="007B549F"/>
    <w:rsid w:val="007C09FA"/>
    <w:rsid w:val="007C0ED9"/>
    <w:rsid w:val="007C383F"/>
    <w:rsid w:val="007D36CB"/>
    <w:rsid w:val="007E1A37"/>
    <w:rsid w:val="007E1F46"/>
    <w:rsid w:val="007E2541"/>
    <w:rsid w:val="007E6FFC"/>
    <w:rsid w:val="007F00C8"/>
    <w:rsid w:val="007F7030"/>
    <w:rsid w:val="00803456"/>
    <w:rsid w:val="008049A8"/>
    <w:rsid w:val="00805E83"/>
    <w:rsid w:val="008064A8"/>
    <w:rsid w:val="00813E0E"/>
    <w:rsid w:val="008163E2"/>
    <w:rsid w:val="008217E7"/>
    <w:rsid w:val="00821E47"/>
    <w:rsid w:val="00822F7F"/>
    <w:rsid w:val="008261E4"/>
    <w:rsid w:val="008310A8"/>
    <w:rsid w:val="00831E9F"/>
    <w:rsid w:val="00833BA6"/>
    <w:rsid w:val="00842BB9"/>
    <w:rsid w:val="00845E91"/>
    <w:rsid w:val="00851B55"/>
    <w:rsid w:val="008558B1"/>
    <w:rsid w:val="00855A19"/>
    <w:rsid w:val="008605B5"/>
    <w:rsid w:val="008624B9"/>
    <w:rsid w:val="00862DD1"/>
    <w:rsid w:val="008655C2"/>
    <w:rsid w:val="00866655"/>
    <w:rsid w:val="00866FD4"/>
    <w:rsid w:val="00867FE5"/>
    <w:rsid w:val="00871BFB"/>
    <w:rsid w:val="008759C7"/>
    <w:rsid w:val="00886C94"/>
    <w:rsid w:val="0089103B"/>
    <w:rsid w:val="008916A1"/>
    <w:rsid w:val="00891C3A"/>
    <w:rsid w:val="00892116"/>
    <w:rsid w:val="008924B2"/>
    <w:rsid w:val="00895966"/>
    <w:rsid w:val="00896CC0"/>
    <w:rsid w:val="008A523C"/>
    <w:rsid w:val="008B14BD"/>
    <w:rsid w:val="008B405C"/>
    <w:rsid w:val="008B4457"/>
    <w:rsid w:val="008C0825"/>
    <w:rsid w:val="008C3BF3"/>
    <w:rsid w:val="008C7249"/>
    <w:rsid w:val="008D5799"/>
    <w:rsid w:val="008D57AD"/>
    <w:rsid w:val="008D7FA5"/>
    <w:rsid w:val="008E1BFC"/>
    <w:rsid w:val="008F10C2"/>
    <w:rsid w:val="008F1D4D"/>
    <w:rsid w:val="008F3815"/>
    <w:rsid w:val="008F415D"/>
    <w:rsid w:val="008F4D8A"/>
    <w:rsid w:val="008F5104"/>
    <w:rsid w:val="008F5885"/>
    <w:rsid w:val="008F6B92"/>
    <w:rsid w:val="008F72D5"/>
    <w:rsid w:val="0090036B"/>
    <w:rsid w:val="00903200"/>
    <w:rsid w:val="00907C6C"/>
    <w:rsid w:val="00911020"/>
    <w:rsid w:val="0091640D"/>
    <w:rsid w:val="0091734D"/>
    <w:rsid w:val="00921A2D"/>
    <w:rsid w:val="00923E9C"/>
    <w:rsid w:val="00925B93"/>
    <w:rsid w:val="00925CD2"/>
    <w:rsid w:val="00926FB6"/>
    <w:rsid w:val="00931409"/>
    <w:rsid w:val="00933923"/>
    <w:rsid w:val="00933F02"/>
    <w:rsid w:val="00937A48"/>
    <w:rsid w:val="0094213C"/>
    <w:rsid w:val="00943C3F"/>
    <w:rsid w:val="00945AD5"/>
    <w:rsid w:val="00954159"/>
    <w:rsid w:val="009612DE"/>
    <w:rsid w:val="00966456"/>
    <w:rsid w:val="00970A9A"/>
    <w:rsid w:val="00977566"/>
    <w:rsid w:val="0098327A"/>
    <w:rsid w:val="00983DCE"/>
    <w:rsid w:val="009932C7"/>
    <w:rsid w:val="00993441"/>
    <w:rsid w:val="0099428F"/>
    <w:rsid w:val="0099588A"/>
    <w:rsid w:val="00997CA8"/>
    <w:rsid w:val="009A44A3"/>
    <w:rsid w:val="009A5085"/>
    <w:rsid w:val="009A6186"/>
    <w:rsid w:val="009A7826"/>
    <w:rsid w:val="009A7A75"/>
    <w:rsid w:val="009B121D"/>
    <w:rsid w:val="009B58A5"/>
    <w:rsid w:val="009B7B6E"/>
    <w:rsid w:val="009C1C58"/>
    <w:rsid w:val="009C3B3B"/>
    <w:rsid w:val="009C7A3D"/>
    <w:rsid w:val="009D05BA"/>
    <w:rsid w:val="009E19DC"/>
    <w:rsid w:val="009E3CD6"/>
    <w:rsid w:val="009E5DA8"/>
    <w:rsid w:val="009F3ABB"/>
    <w:rsid w:val="009F3E34"/>
    <w:rsid w:val="009F4526"/>
    <w:rsid w:val="009F47C6"/>
    <w:rsid w:val="009F640E"/>
    <w:rsid w:val="00A03590"/>
    <w:rsid w:val="00A069AE"/>
    <w:rsid w:val="00A07D37"/>
    <w:rsid w:val="00A1220D"/>
    <w:rsid w:val="00A1277F"/>
    <w:rsid w:val="00A12C12"/>
    <w:rsid w:val="00A15E9C"/>
    <w:rsid w:val="00A17B48"/>
    <w:rsid w:val="00A201A0"/>
    <w:rsid w:val="00A37BE3"/>
    <w:rsid w:val="00A41C5B"/>
    <w:rsid w:val="00A438CC"/>
    <w:rsid w:val="00A43FDC"/>
    <w:rsid w:val="00A46E19"/>
    <w:rsid w:val="00A4721D"/>
    <w:rsid w:val="00A512FA"/>
    <w:rsid w:val="00A52CE2"/>
    <w:rsid w:val="00A55C27"/>
    <w:rsid w:val="00A57109"/>
    <w:rsid w:val="00A60EA1"/>
    <w:rsid w:val="00A6410B"/>
    <w:rsid w:val="00A7087B"/>
    <w:rsid w:val="00A734B8"/>
    <w:rsid w:val="00A76874"/>
    <w:rsid w:val="00A77411"/>
    <w:rsid w:val="00A82926"/>
    <w:rsid w:val="00A861AE"/>
    <w:rsid w:val="00A93802"/>
    <w:rsid w:val="00A94E76"/>
    <w:rsid w:val="00A95096"/>
    <w:rsid w:val="00A96DEB"/>
    <w:rsid w:val="00AA0351"/>
    <w:rsid w:val="00AA109E"/>
    <w:rsid w:val="00AA161F"/>
    <w:rsid w:val="00AA3224"/>
    <w:rsid w:val="00AA35CF"/>
    <w:rsid w:val="00AB0052"/>
    <w:rsid w:val="00AB0245"/>
    <w:rsid w:val="00AB6113"/>
    <w:rsid w:val="00AC0E1F"/>
    <w:rsid w:val="00AC1E2F"/>
    <w:rsid w:val="00AC3701"/>
    <w:rsid w:val="00AC5E00"/>
    <w:rsid w:val="00AC61DA"/>
    <w:rsid w:val="00AC66DB"/>
    <w:rsid w:val="00AC74BB"/>
    <w:rsid w:val="00AD1BAA"/>
    <w:rsid w:val="00AD2B66"/>
    <w:rsid w:val="00AD3A35"/>
    <w:rsid w:val="00AD58DF"/>
    <w:rsid w:val="00AD6F06"/>
    <w:rsid w:val="00AE0B80"/>
    <w:rsid w:val="00AE437A"/>
    <w:rsid w:val="00AF098C"/>
    <w:rsid w:val="00AF0B6C"/>
    <w:rsid w:val="00AF1E29"/>
    <w:rsid w:val="00AF1F0F"/>
    <w:rsid w:val="00AF358C"/>
    <w:rsid w:val="00AF35D9"/>
    <w:rsid w:val="00AF3938"/>
    <w:rsid w:val="00AF3CCD"/>
    <w:rsid w:val="00AF3FCC"/>
    <w:rsid w:val="00AF7874"/>
    <w:rsid w:val="00B00E13"/>
    <w:rsid w:val="00B01EB3"/>
    <w:rsid w:val="00B02588"/>
    <w:rsid w:val="00B0467A"/>
    <w:rsid w:val="00B07B30"/>
    <w:rsid w:val="00B10F1F"/>
    <w:rsid w:val="00B11559"/>
    <w:rsid w:val="00B12AEA"/>
    <w:rsid w:val="00B1497E"/>
    <w:rsid w:val="00B17579"/>
    <w:rsid w:val="00B209A4"/>
    <w:rsid w:val="00B27CE3"/>
    <w:rsid w:val="00B30457"/>
    <w:rsid w:val="00B31D1B"/>
    <w:rsid w:val="00B32966"/>
    <w:rsid w:val="00B34EBC"/>
    <w:rsid w:val="00B34F3A"/>
    <w:rsid w:val="00B44F98"/>
    <w:rsid w:val="00B519BE"/>
    <w:rsid w:val="00B60F67"/>
    <w:rsid w:val="00B615F9"/>
    <w:rsid w:val="00B61A2D"/>
    <w:rsid w:val="00B67B62"/>
    <w:rsid w:val="00B7050C"/>
    <w:rsid w:val="00B739E3"/>
    <w:rsid w:val="00B743AC"/>
    <w:rsid w:val="00B81C7B"/>
    <w:rsid w:val="00B8290F"/>
    <w:rsid w:val="00B834DE"/>
    <w:rsid w:val="00B86378"/>
    <w:rsid w:val="00B872CE"/>
    <w:rsid w:val="00B97968"/>
    <w:rsid w:val="00BA3009"/>
    <w:rsid w:val="00BA420B"/>
    <w:rsid w:val="00BA599A"/>
    <w:rsid w:val="00BA7AC0"/>
    <w:rsid w:val="00BB345A"/>
    <w:rsid w:val="00BB6EA7"/>
    <w:rsid w:val="00BC1A7E"/>
    <w:rsid w:val="00BC4365"/>
    <w:rsid w:val="00BD2926"/>
    <w:rsid w:val="00BF0171"/>
    <w:rsid w:val="00BF025E"/>
    <w:rsid w:val="00BF1A15"/>
    <w:rsid w:val="00BF44C8"/>
    <w:rsid w:val="00BF66B0"/>
    <w:rsid w:val="00C00580"/>
    <w:rsid w:val="00C00CBB"/>
    <w:rsid w:val="00C01326"/>
    <w:rsid w:val="00C01991"/>
    <w:rsid w:val="00C0282A"/>
    <w:rsid w:val="00C02C57"/>
    <w:rsid w:val="00C03398"/>
    <w:rsid w:val="00C06F78"/>
    <w:rsid w:val="00C15F8A"/>
    <w:rsid w:val="00C216DD"/>
    <w:rsid w:val="00C257A2"/>
    <w:rsid w:val="00C25E4D"/>
    <w:rsid w:val="00C314C3"/>
    <w:rsid w:val="00C408C0"/>
    <w:rsid w:val="00C461B6"/>
    <w:rsid w:val="00C46893"/>
    <w:rsid w:val="00C531BC"/>
    <w:rsid w:val="00C6286E"/>
    <w:rsid w:val="00C6758E"/>
    <w:rsid w:val="00C70083"/>
    <w:rsid w:val="00C70D77"/>
    <w:rsid w:val="00C71FFB"/>
    <w:rsid w:val="00C728D1"/>
    <w:rsid w:val="00C735FE"/>
    <w:rsid w:val="00C75041"/>
    <w:rsid w:val="00C81270"/>
    <w:rsid w:val="00C82F9D"/>
    <w:rsid w:val="00C8556B"/>
    <w:rsid w:val="00C91E84"/>
    <w:rsid w:val="00C935C0"/>
    <w:rsid w:val="00C94A89"/>
    <w:rsid w:val="00CA0FA2"/>
    <w:rsid w:val="00CA1F0A"/>
    <w:rsid w:val="00CA6EF8"/>
    <w:rsid w:val="00CA7CD3"/>
    <w:rsid w:val="00CB1C10"/>
    <w:rsid w:val="00CC276C"/>
    <w:rsid w:val="00CC5A64"/>
    <w:rsid w:val="00CD00F8"/>
    <w:rsid w:val="00CD4414"/>
    <w:rsid w:val="00CD7D6D"/>
    <w:rsid w:val="00CE2FB7"/>
    <w:rsid w:val="00CE543E"/>
    <w:rsid w:val="00CE6432"/>
    <w:rsid w:val="00CF548A"/>
    <w:rsid w:val="00CF69B7"/>
    <w:rsid w:val="00D00163"/>
    <w:rsid w:val="00D01DF3"/>
    <w:rsid w:val="00D0600C"/>
    <w:rsid w:val="00D102FB"/>
    <w:rsid w:val="00D11FF0"/>
    <w:rsid w:val="00D13113"/>
    <w:rsid w:val="00D14D19"/>
    <w:rsid w:val="00D1590A"/>
    <w:rsid w:val="00D2421E"/>
    <w:rsid w:val="00D24633"/>
    <w:rsid w:val="00D333C7"/>
    <w:rsid w:val="00D377F8"/>
    <w:rsid w:val="00D37C41"/>
    <w:rsid w:val="00D424F0"/>
    <w:rsid w:val="00D430FC"/>
    <w:rsid w:val="00D477B9"/>
    <w:rsid w:val="00D5151A"/>
    <w:rsid w:val="00D51667"/>
    <w:rsid w:val="00D530E0"/>
    <w:rsid w:val="00D57DD2"/>
    <w:rsid w:val="00D60F88"/>
    <w:rsid w:val="00D647E9"/>
    <w:rsid w:val="00D66CB7"/>
    <w:rsid w:val="00D73D95"/>
    <w:rsid w:val="00D901FE"/>
    <w:rsid w:val="00D90A9D"/>
    <w:rsid w:val="00D9496D"/>
    <w:rsid w:val="00D96B9A"/>
    <w:rsid w:val="00DA1233"/>
    <w:rsid w:val="00DA2307"/>
    <w:rsid w:val="00DA52D3"/>
    <w:rsid w:val="00DA572F"/>
    <w:rsid w:val="00DB4DD9"/>
    <w:rsid w:val="00DB540B"/>
    <w:rsid w:val="00DC07FD"/>
    <w:rsid w:val="00DC0B04"/>
    <w:rsid w:val="00DC34C8"/>
    <w:rsid w:val="00DC629E"/>
    <w:rsid w:val="00DD1A25"/>
    <w:rsid w:val="00DD1CA5"/>
    <w:rsid w:val="00DD22B4"/>
    <w:rsid w:val="00DD23B9"/>
    <w:rsid w:val="00DD3B3D"/>
    <w:rsid w:val="00DD45DF"/>
    <w:rsid w:val="00DD5113"/>
    <w:rsid w:val="00DD6E59"/>
    <w:rsid w:val="00DE049C"/>
    <w:rsid w:val="00DE4EAA"/>
    <w:rsid w:val="00DF675B"/>
    <w:rsid w:val="00E01735"/>
    <w:rsid w:val="00E066D7"/>
    <w:rsid w:val="00E14530"/>
    <w:rsid w:val="00E22A4E"/>
    <w:rsid w:val="00E233EA"/>
    <w:rsid w:val="00E30A74"/>
    <w:rsid w:val="00E32232"/>
    <w:rsid w:val="00E35169"/>
    <w:rsid w:val="00E357DB"/>
    <w:rsid w:val="00E371AB"/>
    <w:rsid w:val="00E3748E"/>
    <w:rsid w:val="00E44186"/>
    <w:rsid w:val="00E47267"/>
    <w:rsid w:val="00E60F6A"/>
    <w:rsid w:val="00E62838"/>
    <w:rsid w:val="00E632F8"/>
    <w:rsid w:val="00E659D9"/>
    <w:rsid w:val="00E70716"/>
    <w:rsid w:val="00E71596"/>
    <w:rsid w:val="00E73AC9"/>
    <w:rsid w:val="00E74D5F"/>
    <w:rsid w:val="00E77337"/>
    <w:rsid w:val="00E832B7"/>
    <w:rsid w:val="00E85BCF"/>
    <w:rsid w:val="00E96734"/>
    <w:rsid w:val="00E96900"/>
    <w:rsid w:val="00EA0B39"/>
    <w:rsid w:val="00EA2701"/>
    <w:rsid w:val="00EA41B6"/>
    <w:rsid w:val="00EA5E22"/>
    <w:rsid w:val="00EA6CC5"/>
    <w:rsid w:val="00EA725E"/>
    <w:rsid w:val="00EB5050"/>
    <w:rsid w:val="00EB64C1"/>
    <w:rsid w:val="00EC2DE2"/>
    <w:rsid w:val="00EC38AF"/>
    <w:rsid w:val="00EC5231"/>
    <w:rsid w:val="00EC7490"/>
    <w:rsid w:val="00ED78CC"/>
    <w:rsid w:val="00EE05EC"/>
    <w:rsid w:val="00EE2406"/>
    <w:rsid w:val="00EE6C57"/>
    <w:rsid w:val="00EF0679"/>
    <w:rsid w:val="00EF5521"/>
    <w:rsid w:val="00F0104A"/>
    <w:rsid w:val="00F0296D"/>
    <w:rsid w:val="00F03D59"/>
    <w:rsid w:val="00F07ECD"/>
    <w:rsid w:val="00F124F2"/>
    <w:rsid w:val="00F13FB4"/>
    <w:rsid w:val="00F15195"/>
    <w:rsid w:val="00F151DF"/>
    <w:rsid w:val="00F20BDA"/>
    <w:rsid w:val="00F23A2E"/>
    <w:rsid w:val="00F24250"/>
    <w:rsid w:val="00F24C23"/>
    <w:rsid w:val="00F303F5"/>
    <w:rsid w:val="00F3381D"/>
    <w:rsid w:val="00F4660D"/>
    <w:rsid w:val="00F46C4B"/>
    <w:rsid w:val="00F55775"/>
    <w:rsid w:val="00F56C5C"/>
    <w:rsid w:val="00F619B8"/>
    <w:rsid w:val="00F65F36"/>
    <w:rsid w:val="00F670D1"/>
    <w:rsid w:val="00F67509"/>
    <w:rsid w:val="00F716E8"/>
    <w:rsid w:val="00F72822"/>
    <w:rsid w:val="00F72B09"/>
    <w:rsid w:val="00F811ED"/>
    <w:rsid w:val="00F84D45"/>
    <w:rsid w:val="00F8529B"/>
    <w:rsid w:val="00F9205D"/>
    <w:rsid w:val="00F92AD6"/>
    <w:rsid w:val="00F94C22"/>
    <w:rsid w:val="00F96B96"/>
    <w:rsid w:val="00FA056F"/>
    <w:rsid w:val="00FA2FCA"/>
    <w:rsid w:val="00FA366E"/>
    <w:rsid w:val="00FA7339"/>
    <w:rsid w:val="00FB12FE"/>
    <w:rsid w:val="00FB3403"/>
    <w:rsid w:val="00FB575B"/>
    <w:rsid w:val="00FB722C"/>
    <w:rsid w:val="00FC5574"/>
    <w:rsid w:val="00FD0B23"/>
    <w:rsid w:val="00FD1D93"/>
    <w:rsid w:val="00FD25B4"/>
    <w:rsid w:val="00FD303F"/>
    <w:rsid w:val="00FD55A2"/>
    <w:rsid w:val="00FD5EFE"/>
    <w:rsid w:val="00FD7760"/>
    <w:rsid w:val="00FE5693"/>
    <w:rsid w:val="00FE70CC"/>
    <w:rsid w:val="00FF4BF5"/>
    <w:rsid w:val="00FF6F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2CE"/>
    <w:rPr>
      <w:sz w:val="24"/>
      <w:szCs w:val="24"/>
      <w:lang w:val="fr-FR" w:eastAsia="fr-FR"/>
    </w:rPr>
  </w:style>
  <w:style w:type="paragraph" w:styleId="berschrift1">
    <w:name w:val="heading 1"/>
    <w:aliases w:val="h1,Chapter Style,level 1,H1,R1,H11"/>
    <w:basedOn w:val="Standard"/>
    <w:next w:val="Standard"/>
    <w:link w:val="berschrift1Zchn"/>
    <w:uiPriority w:val="99"/>
    <w:qFormat/>
    <w:rsid w:val="00B872CE"/>
    <w:pPr>
      <w:keepNext/>
      <w:tabs>
        <w:tab w:val="left" w:pos="-720"/>
      </w:tabs>
      <w:suppressAutoHyphens/>
      <w:outlineLvl w:val="0"/>
    </w:pPr>
    <w:rPr>
      <w:rFonts w:ascii="CG Times" w:hAnsi="CG Times"/>
      <w:spacing w:val="-3"/>
      <w:sz w:val="48"/>
      <w:szCs w:val="48"/>
      <w:lang w:val="en-US"/>
    </w:rPr>
  </w:style>
  <w:style w:type="paragraph" w:styleId="berschrift2">
    <w:name w:val="heading 2"/>
    <w:basedOn w:val="Standard"/>
    <w:next w:val="Standard"/>
    <w:link w:val="berschrift2Zchn"/>
    <w:uiPriority w:val="99"/>
    <w:qFormat/>
    <w:rsid w:val="00B872CE"/>
    <w:pPr>
      <w:keepNext/>
      <w:jc w:val="center"/>
      <w:outlineLvl w:val="1"/>
    </w:pPr>
    <w:rPr>
      <w:b/>
      <w:bCs/>
      <w:lang w:val="en-GB"/>
    </w:rPr>
  </w:style>
  <w:style w:type="paragraph" w:styleId="berschrift3">
    <w:name w:val="heading 3"/>
    <w:basedOn w:val="Standard"/>
    <w:next w:val="Standard"/>
    <w:link w:val="berschrift3Zchn"/>
    <w:uiPriority w:val="99"/>
    <w:qFormat/>
    <w:rsid w:val="00B872CE"/>
    <w:pPr>
      <w:keepNext/>
      <w:tabs>
        <w:tab w:val="left" w:pos="-720"/>
      </w:tabs>
      <w:suppressAutoHyphens/>
      <w:jc w:val="center"/>
      <w:outlineLvl w:val="2"/>
    </w:pPr>
    <w:rPr>
      <w:rFonts w:ascii="CG Times" w:hAnsi="CG Times"/>
      <w:spacing w:val="-3"/>
      <w:sz w:val="48"/>
      <w:szCs w:val="48"/>
      <w:lang w:val="en-US"/>
    </w:rPr>
  </w:style>
  <w:style w:type="paragraph" w:styleId="berschrift4">
    <w:name w:val="heading 4"/>
    <w:basedOn w:val="Standard"/>
    <w:next w:val="Standard"/>
    <w:link w:val="berschrift4Zchn"/>
    <w:uiPriority w:val="99"/>
    <w:qFormat/>
    <w:rsid w:val="00B872CE"/>
    <w:pPr>
      <w:keepNext/>
      <w:autoSpaceDE w:val="0"/>
      <w:autoSpaceDN w:val="0"/>
      <w:spacing w:before="240" w:after="60"/>
      <w:outlineLvl w:val="3"/>
    </w:pPr>
    <w:rPr>
      <w:b/>
      <w:bCs/>
      <w:lang w:val="en-US"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Chapter Style Zchn,level 1 Zchn,H1 Zchn,R1 Zchn,H11 Zchn"/>
    <w:basedOn w:val="Absatz-Standardschriftart"/>
    <w:link w:val="berschrift1"/>
    <w:uiPriority w:val="99"/>
    <w:locked/>
    <w:rsid w:val="009F640E"/>
    <w:rPr>
      <w:rFonts w:ascii="Cambria" w:hAnsi="Cambria" w:cs="Times New Roman"/>
      <w:b/>
      <w:bCs/>
      <w:kern w:val="32"/>
      <w:sz w:val="32"/>
      <w:szCs w:val="32"/>
      <w:lang w:val="fr-FR" w:eastAsia="fr-FR"/>
    </w:rPr>
  </w:style>
  <w:style w:type="character" w:customStyle="1" w:styleId="berschrift2Zchn">
    <w:name w:val="Überschrift 2 Zchn"/>
    <w:basedOn w:val="Absatz-Standardschriftart"/>
    <w:link w:val="berschrift2"/>
    <w:uiPriority w:val="99"/>
    <w:semiHidden/>
    <w:locked/>
    <w:rsid w:val="009F640E"/>
    <w:rPr>
      <w:rFonts w:ascii="Cambria" w:hAnsi="Cambria" w:cs="Times New Roman"/>
      <w:b/>
      <w:bCs/>
      <w:i/>
      <w:iCs/>
      <w:sz w:val="28"/>
      <w:szCs w:val="28"/>
      <w:lang w:val="fr-FR" w:eastAsia="fr-FR"/>
    </w:rPr>
  </w:style>
  <w:style w:type="character" w:customStyle="1" w:styleId="berschrift3Zchn">
    <w:name w:val="Überschrift 3 Zchn"/>
    <w:basedOn w:val="Absatz-Standardschriftart"/>
    <w:link w:val="berschrift3"/>
    <w:uiPriority w:val="99"/>
    <w:semiHidden/>
    <w:locked/>
    <w:rsid w:val="009F640E"/>
    <w:rPr>
      <w:rFonts w:ascii="Cambria" w:hAnsi="Cambria" w:cs="Times New Roman"/>
      <w:b/>
      <w:bCs/>
      <w:sz w:val="26"/>
      <w:szCs w:val="26"/>
      <w:lang w:val="fr-FR" w:eastAsia="fr-FR"/>
    </w:rPr>
  </w:style>
  <w:style w:type="character" w:customStyle="1" w:styleId="berschrift4Zchn">
    <w:name w:val="Überschrift 4 Zchn"/>
    <w:basedOn w:val="Absatz-Standardschriftart"/>
    <w:link w:val="berschrift4"/>
    <w:uiPriority w:val="99"/>
    <w:semiHidden/>
    <w:locked/>
    <w:rsid w:val="009F640E"/>
    <w:rPr>
      <w:rFonts w:ascii="Calibri" w:hAnsi="Calibri" w:cs="Times New Roman"/>
      <w:b/>
      <w:bCs/>
      <w:sz w:val="28"/>
      <w:szCs w:val="28"/>
      <w:lang w:val="fr-FR" w:eastAsia="fr-FR"/>
    </w:rPr>
  </w:style>
  <w:style w:type="paragraph" w:styleId="Kopfzeile">
    <w:name w:val="header"/>
    <w:basedOn w:val="Standard"/>
    <w:link w:val="KopfzeileZchn"/>
    <w:uiPriority w:val="99"/>
    <w:rsid w:val="00B872CE"/>
    <w:pPr>
      <w:tabs>
        <w:tab w:val="center" w:pos="4536"/>
        <w:tab w:val="right" w:pos="9072"/>
      </w:tabs>
    </w:pPr>
  </w:style>
  <w:style w:type="character" w:customStyle="1" w:styleId="KopfzeileZchn">
    <w:name w:val="Kopfzeile Zchn"/>
    <w:basedOn w:val="Absatz-Standardschriftart"/>
    <w:link w:val="Kopfzeile"/>
    <w:uiPriority w:val="99"/>
    <w:semiHidden/>
    <w:locked/>
    <w:rsid w:val="009F640E"/>
    <w:rPr>
      <w:rFonts w:cs="Times New Roman"/>
      <w:sz w:val="24"/>
      <w:szCs w:val="24"/>
      <w:lang w:val="fr-FR" w:eastAsia="fr-FR"/>
    </w:rPr>
  </w:style>
  <w:style w:type="character" w:styleId="Seitenzahl">
    <w:name w:val="page number"/>
    <w:basedOn w:val="Absatz-Standardschriftart"/>
    <w:uiPriority w:val="99"/>
    <w:rsid w:val="00B872CE"/>
    <w:rPr>
      <w:rFonts w:cs="Times New Roman"/>
    </w:rPr>
  </w:style>
  <w:style w:type="paragraph" w:styleId="Fuzeile">
    <w:name w:val="footer"/>
    <w:basedOn w:val="Standard"/>
    <w:link w:val="FuzeileZchn"/>
    <w:uiPriority w:val="99"/>
    <w:rsid w:val="00B872CE"/>
    <w:pPr>
      <w:tabs>
        <w:tab w:val="center" w:pos="4153"/>
        <w:tab w:val="right" w:pos="8306"/>
      </w:tabs>
    </w:pPr>
    <w:rPr>
      <w:sz w:val="20"/>
      <w:szCs w:val="20"/>
      <w:lang w:val="en-GB" w:eastAsia="de-DE"/>
    </w:rPr>
  </w:style>
  <w:style w:type="character" w:customStyle="1" w:styleId="FuzeileZchn">
    <w:name w:val="Fußzeile Zchn"/>
    <w:basedOn w:val="Absatz-Standardschriftart"/>
    <w:link w:val="Fuzeile"/>
    <w:uiPriority w:val="99"/>
    <w:semiHidden/>
    <w:locked/>
    <w:rsid w:val="009F640E"/>
    <w:rPr>
      <w:rFonts w:cs="Times New Roman"/>
      <w:sz w:val="24"/>
      <w:szCs w:val="24"/>
      <w:lang w:val="fr-FR" w:eastAsia="fr-FR"/>
    </w:rPr>
  </w:style>
  <w:style w:type="paragraph" w:customStyle="1" w:styleId="ELoverskrift3">
    <w:name w:val="ELoverskrift3"/>
    <w:basedOn w:val="Standard"/>
    <w:next w:val="Standard"/>
    <w:uiPriority w:val="99"/>
    <w:rsid w:val="00B872CE"/>
    <w:pPr>
      <w:keepNext/>
      <w:keepLines/>
      <w:autoSpaceDE w:val="0"/>
      <w:autoSpaceDN w:val="0"/>
      <w:spacing w:after="120"/>
    </w:pPr>
    <w:rPr>
      <w:b/>
      <w:bCs/>
      <w:lang w:val="en-GB" w:eastAsia="nl-NL"/>
    </w:rPr>
  </w:style>
  <w:style w:type="paragraph" w:styleId="Sprechblasentext">
    <w:name w:val="Balloon Text"/>
    <w:basedOn w:val="Standard"/>
    <w:link w:val="SprechblasentextZchn"/>
    <w:uiPriority w:val="99"/>
    <w:semiHidden/>
    <w:rsid w:val="00B872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F640E"/>
    <w:rPr>
      <w:rFonts w:cs="Times New Roman"/>
      <w:sz w:val="2"/>
      <w:lang w:val="fr-FR" w:eastAsia="fr-FR"/>
    </w:rPr>
  </w:style>
  <w:style w:type="paragraph" w:styleId="Funotentext">
    <w:name w:val="footnote text"/>
    <w:basedOn w:val="Standard"/>
    <w:link w:val="FunotentextZchn"/>
    <w:uiPriority w:val="99"/>
    <w:semiHidden/>
    <w:rsid w:val="00B872CE"/>
    <w:rPr>
      <w:sz w:val="20"/>
      <w:szCs w:val="20"/>
    </w:rPr>
  </w:style>
  <w:style w:type="character" w:customStyle="1" w:styleId="FunotentextZchn">
    <w:name w:val="Fußnotentext Zchn"/>
    <w:basedOn w:val="Absatz-Standardschriftart"/>
    <w:link w:val="Funotentext"/>
    <w:uiPriority w:val="99"/>
    <w:semiHidden/>
    <w:locked/>
    <w:rsid w:val="009F640E"/>
    <w:rPr>
      <w:rFonts w:cs="Times New Roman"/>
      <w:lang w:val="fr-FR" w:eastAsia="fr-FR"/>
    </w:rPr>
  </w:style>
  <w:style w:type="character" w:styleId="Funotenzeichen">
    <w:name w:val="footnote reference"/>
    <w:basedOn w:val="Absatz-Standardschriftart"/>
    <w:uiPriority w:val="99"/>
    <w:semiHidden/>
    <w:rsid w:val="00B872CE"/>
    <w:rPr>
      <w:rFonts w:cs="Times New Roman"/>
      <w:vertAlign w:val="superscript"/>
    </w:rPr>
  </w:style>
  <w:style w:type="paragraph" w:customStyle="1" w:styleId="ZchnZchn">
    <w:name w:val="Zchn Zchn"/>
    <w:basedOn w:val="Standard"/>
    <w:uiPriority w:val="99"/>
    <w:rsid w:val="00217553"/>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ZchnZchn">
    <w:name w:val="Char Char Zchn Zchn"/>
    <w:basedOn w:val="Standard"/>
    <w:uiPriority w:val="99"/>
    <w:rsid w:val="00C25E4D"/>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ZchnZchnCharCharZchnZchn">
    <w:name w:val="Char Char Zchn Zchn Char Char Zchn Zchn"/>
    <w:basedOn w:val="Standard"/>
    <w:uiPriority w:val="99"/>
    <w:rsid w:val="00EC38AF"/>
    <w:pPr>
      <w:tabs>
        <w:tab w:val="left" w:pos="540"/>
        <w:tab w:val="left" w:pos="1260"/>
        <w:tab w:val="left" w:pos="1800"/>
      </w:tabs>
      <w:spacing w:before="240" w:after="160" w:line="240" w:lineRule="exact"/>
    </w:pPr>
    <w:rPr>
      <w:rFonts w:ascii="Verdana" w:hAnsi="Verdana"/>
      <w:szCs w:val="20"/>
      <w:lang w:val="en-US" w:eastAsia="en-US"/>
    </w:rPr>
  </w:style>
  <w:style w:type="character" w:styleId="Hyperlink">
    <w:name w:val="Hyperlink"/>
    <w:basedOn w:val="Absatz-Standardschriftart"/>
    <w:uiPriority w:val="99"/>
    <w:rsid w:val="00040205"/>
    <w:rPr>
      <w:rFonts w:cs="Times New Roman"/>
      <w:color w:val="0000FF"/>
      <w:u w:val="single"/>
    </w:rPr>
  </w:style>
  <w:style w:type="paragraph" w:customStyle="1" w:styleId="CarCar">
    <w:name w:val="Car Car"/>
    <w:basedOn w:val="Standard"/>
    <w:uiPriority w:val="99"/>
    <w:rsid w:val="00243DF7"/>
    <w:pPr>
      <w:tabs>
        <w:tab w:val="left" w:pos="540"/>
        <w:tab w:val="left" w:pos="1260"/>
        <w:tab w:val="left" w:pos="1800"/>
      </w:tabs>
      <w:spacing w:before="240" w:after="160" w:line="240" w:lineRule="exact"/>
    </w:pPr>
    <w:rPr>
      <w:rFonts w:ascii="Verdana" w:hAnsi="Verdana"/>
      <w:szCs w:val="20"/>
      <w:lang w:val="en-US" w:eastAsia="en-US"/>
    </w:rPr>
  </w:style>
  <w:style w:type="paragraph" w:styleId="Textkrper-Zeileneinzug">
    <w:name w:val="Body Text Indent"/>
    <w:basedOn w:val="Standard"/>
    <w:link w:val="Textkrper-ZeileneinzugZchn"/>
    <w:uiPriority w:val="99"/>
    <w:rsid w:val="00BC4365"/>
    <w:pPr>
      <w:ind w:left="277"/>
    </w:pPr>
    <w:rPr>
      <w:lang w:val="en-GB"/>
    </w:rPr>
  </w:style>
  <w:style w:type="character" w:customStyle="1" w:styleId="Textkrper-ZeileneinzugZchn">
    <w:name w:val="Textkörper-Zeileneinzug Zchn"/>
    <w:basedOn w:val="Absatz-Standardschriftart"/>
    <w:link w:val="Textkrper-Zeileneinzug"/>
    <w:uiPriority w:val="99"/>
    <w:semiHidden/>
    <w:locked/>
    <w:rsid w:val="009F640E"/>
    <w:rPr>
      <w:rFonts w:cs="Times New Roman"/>
      <w:sz w:val="24"/>
      <w:szCs w:val="24"/>
      <w:lang w:val="fr-FR" w:eastAsia="fr-FR"/>
    </w:rPr>
  </w:style>
  <w:style w:type="paragraph" w:customStyle="1" w:styleId="CharCharZchnZchnCarCar">
    <w:name w:val="Char Char Zchn Zchn Car Car"/>
    <w:basedOn w:val="Standard"/>
    <w:uiPriority w:val="99"/>
    <w:rsid w:val="00BC4365"/>
    <w:pPr>
      <w:tabs>
        <w:tab w:val="left" w:pos="540"/>
        <w:tab w:val="left" w:pos="1260"/>
        <w:tab w:val="left" w:pos="1800"/>
      </w:tabs>
      <w:spacing w:before="240" w:after="160" w:line="240" w:lineRule="exact"/>
    </w:pPr>
    <w:rPr>
      <w:rFonts w:ascii="Verdana" w:hAnsi="Verdana"/>
      <w:szCs w:val="20"/>
      <w:lang w:val="en-US" w:eastAsia="en-US"/>
    </w:rPr>
  </w:style>
  <w:style w:type="paragraph" w:styleId="StandardWeb">
    <w:name w:val="Normal (Web)"/>
    <w:basedOn w:val="Standard"/>
    <w:uiPriority w:val="99"/>
    <w:rsid w:val="00666FF9"/>
    <w:rPr>
      <w:lang w:val="en-US" w:eastAsia="en-US"/>
    </w:rPr>
  </w:style>
  <w:style w:type="paragraph" w:styleId="Listenabsatz">
    <w:name w:val="List Paragraph"/>
    <w:basedOn w:val="Standard"/>
    <w:uiPriority w:val="99"/>
    <w:qFormat/>
    <w:rsid w:val="004A39E5"/>
    <w:pPr>
      <w:overflowPunct w:val="0"/>
      <w:autoSpaceDE w:val="0"/>
      <w:autoSpaceDN w:val="0"/>
      <w:adjustRightInd w:val="0"/>
      <w:ind w:left="720"/>
      <w:contextualSpacing/>
      <w:textAlignment w:val="baseline"/>
    </w:pPr>
    <w:rPr>
      <w:sz w:val="20"/>
      <w:szCs w:val="20"/>
      <w:lang w:val="en-GB" w:eastAsia="nl-NL"/>
    </w:rPr>
  </w:style>
  <w:style w:type="paragraph" w:customStyle="1" w:styleId="ECCParagraph">
    <w:name w:val="ECC Paragraph"/>
    <w:basedOn w:val="Standard"/>
    <w:uiPriority w:val="99"/>
    <w:rsid w:val="0026154C"/>
    <w:pPr>
      <w:spacing w:after="240"/>
      <w:jc w:val="both"/>
    </w:pPr>
    <w:rPr>
      <w:rFonts w:ascii="Arial" w:hAnsi="Arial"/>
      <w:sz w:val="20"/>
      <w:lang w:val="en-GB" w:eastAsia="en-US"/>
    </w:rPr>
  </w:style>
  <w:style w:type="paragraph" w:customStyle="1" w:styleId="CharCharZchnZchnCarCar1">
    <w:name w:val="Char Char Zchn Zchn Car Car1"/>
    <w:basedOn w:val="Standard"/>
    <w:uiPriority w:val="99"/>
    <w:rsid w:val="00F0104A"/>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ZchnZchnCarCarCharChar">
    <w:name w:val="Char Char Zchn Zchn Car Car Char Char"/>
    <w:basedOn w:val="Standard"/>
    <w:uiPriority w:val="99"/>
    <w:rsid w:val="00640E65"/>
    <w:pPr>
      <w:tabs>
        <w:tab w:val="left" w:pos="540"/>
        <w:tab w:val="left" w:pos="1260"/>
        <w:tab w:val="left" w:pos="1800"/>
      </w:tabs>
      <w:spacing w:before="240" w:after="160" w:line="240" w:lineRule="exact"/>
    </w:pPr>
    <w:rPr>
      <w:rFonts w:ascii="Verdana" w:hAnsi="Verdana"/>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2CE"/>
    <w:rPr>
      <w:sz w:val="24"/>
      <w:szCs w:val="24"/>
      <w:lang w:val="fr-FR" w:eastAsia="fr-FR"/>
    </w:rPr>
  </w:style>
  <w:style w:type="paragraph" w:styleId="berschrift1">
    <w:name w:val="heading 1"/>
    <w:aliases w:val="h1,Chapter Style,level 1,H1,R1,H11"/>
    <w:basedOn w:val="Standard"/>
    <w:next w:val="Standard"/>
    <w:link w:val="berschrift1Zchn"/>
    <w:uiPriority w:val="99"/>
    <w:qFormat/>
    <w:rsid w:val="00B872CE"/>
    <w:pPr>
      <w:keepNext/>
      <w:tabs>
        <w:tab w:val="left" w:pos="-720"/>
      </w:tabs>
      <w:suppressAutoHyphens/>
      <w:outlineLvl w:val="0"/>
    </w:pPr>
    <w:rPr>
      <w:rFonts w:ascii="CG Times" w:hAnsi="CG Times"/>
      <w:spacing w:val="-3"/>
      <w:sz w:val="48"/>
      <w:szCs w:val="48"/>
      <w:lang w:val="en-US"/>
    </w:rPr>
  </w:style>
  <w:style w:type="paragraph" w:styleId="berschrift2">
    <w:name w:val="heading 2"/>
    <w:basedOn w:val="Standard"/>
    <w:next w:val="Standard"/>
    <w:link w:val="berschrift2Zchn"/>
    <w:uiPriority w:val="99"/>
    <w:qFormat/>
    <w:rsid w:val="00B872CE"/>
    <w:pPr>
      <w:keepNext/>
      <w:jc w:val="center"/>
      <w:outlineLvl w:val="1"/>
    </w:pPr>
    <w:rPr>
      <w:b/>
      <w:bCs/>
      <w:lang w:val="en-GB"/>
    </w:rPr>
  </w:style>
  <w:style w:type="paragraph" w:styleId="berschrift3">
    <w:name w:val="heading 3"/>
    <w:basedOn w:val="Standard"/>
    <w:next w:val="Standard"/>
    <w:link w:val="berschrift3Zchn"/>
    <w:uiPriority w:val="99"/>
    <w:qFormat/>
    <w:rsid w:val="00B872CE"/>
    <w:pPr>
      <w:keepNext/>
      <w:tabs>
        <w:tab w:val="left" w:pos="-720"/>
      </w:tabs>
      <w:suppressAutoHyphens/>
      <w:jc w:val="center"/>
      <w:outlineLvl w:val="2"/>
    </w:pPr>
    <w:rPr>
      <w:rFonts w:ascii="CG Times" w:hAnsi="CG Times"/>
      <w:spacing w:val="-3"/>
      <w:sz w:val="48"/>
      <w:szCs w:val="48"/>
      <w:lang w:val="en-US"/>
    </w:rPr>
  </w:style>
  <w:style w:type="paragraph" w:styleId="berschrift4">
    <w:name w:val="heading 4"/>
    <w:basedOn w:val="Standard"/>
    <w:next w:val="Standard"/>
    <w:link w:val="berschrift4Zchn"/>
    <w:uiPriority w:val="99"/>
    <w:qFormat/>
    <w:rsid w:val="00B872CE"/>
    <w:pPr>
      <w:keepNext/>
      <w:autoSpaceDE w:val="0"/>
      <w:autoSpaceDN w:val="0"/>
      <w:spacing w:before="240" w:after="60"/>
      <w:outlineLvl w:val="3"/>
    </w:pPr>
    <w:rPr>
      <w:b/>
      <w:bCs/>
      <w:lang w:val="en-US"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Chapter Style Zchn,level 1 Zchn,H1 Zchn,R1 Zchn,H11 Zchn"/>
    <w:basedOn w:val="Absatz-Standardschriftart"/>
    <w:link w:val="berschrift1"/>
    <w:uiPriority w:val="99"/>
    <w:locked/>
    <w:rsid w:val="009F640E"/>
    <w:rPr>
      <w:rFonts w:ascii="Cambria" w:hAnsi="Cambria" w:cs="Times New Roman"/>
      <w:b/>
      <w:bCs/>
      <w:kern w:val="32"/>
      <w:sz w:val="32"/>
      <w:szCs w:val="32"/>
      <w:lang w:val="fr-FR" w:eastAsia="fr-FR"/>
    </w:rPr>
  </w:style>
  <w:style w:type="character" w:customStyle="1" w:styleId="berschrift2Zchn">
    <w:name w:val="Überschrift 2 Zchn"/>
    <w:basedOn w:val="Absatz-Standardschriftart"/>
    <w:link w:val="berschrift2"/>
    <w:uiPriority w:val="99"/>
    <w:semiHidden/>
    <w:locked/>
    <w:rsid w:val="009F640E"/>
    <w:rPr>
      <w:rFonts w:ascii="Cambria" w:hAnsi="Cambria" w:cs="Times New Roman"/>
      <w:b/>
      <w:bCs/>
      <w:i/>
      <w:iCs/>
      <w:sz w:val="28"/>
      <w:szCs w:val="28"/>
      <w:lang w:val="fr-FR" w:eastAsia="fr-FR"/>
    </w:rPr>
  </w:style>
  <w:style w:type="character" w:customStyle="1" w:styleId="berschrift3Zchn">
    <w:name w:val="Überschrift 3 Zchn"/>
    <w:basedOn w:val="Absatz-Standardschriftart"/>
    <w:link w:val="berschrift3"/>
    <w:uiPriority w:val="99"/>
    <w:semiHidden/>
    <w:locked/>
    <w:rsid w:val="009F640E"/>
    <w:rPr>
      <w:rFonts w:ascii="Cambria" w:hAnsi="Cambria" w:cs="Times New Roman"/>
      <w:b/>
      <w:bCs/>
      <w:sz w:val="26"/>
      <w:szCs w:val="26"/>
      <w:lang w:val="fr-FR" w:eastAsia="fr-FR"/>
    </w:rPr>
  </w:style>
  <w:style w:type="character" w:customStyle="1" w:styleId="berschrift4Zchn">
    <w:name w:val="Überschrift 4 Zchn"/>
    <w:basedOn w:val="Absatz-Standardschriftart"/>
    <w:link w:val="berschrift4"/>
    <w:uiPriority w:val="99"/>
    <w:semiHidden/>
    <w:locked/>
    <w:rsid w:val="009F640E"/>
    <w:rPr>
      <w:rFonts w:ascii="Calibri" w:hAnsi="Calibri" w:cs="Times New Roman"/>
      <w:b/>
      <w:bCs/>
      <w:sz w:val="28"/>
      <w:szCs w:val="28"/>
      <w:lang w:val="fr-FR" w:eastAsia="fr-FR"/>
    </w:rPr>
  </w:style>
  <w:style w:type="paragraph" w:styleId="Kopfzeile">
    <w:name w:val="header"/>
    <w:basedOn w:val="Standard"/>
    <w:link w:val="KopfzeileZchn"/>
    <w:uiPriority w:val="99"/>
    <w:rsid w:val="00B872CE"/>
    <w:pPr>
      <w:tabs>
        <w:tab w:val="center" w:pos="4536"/>
        <w:tab w:val="right" w:pos="9072"/>
      </w:tabs>
    </w:pPr>
  </w:style>
  <w:style w:type="character" w:customStyle="1" w:styleId="KopfzeileZchn">
    <w:name w:val="Kopfzeile Zchn"/>
    <w:basedOn w:val="Absatz-Standardschriftart"/>
    <w:link w:val="Kopfzeile"/>
    <w:uiPriority w:val="99"/>
    <w:semiHidden/>
    <w:locked/>
    <w:rsid w:val="009F640E"/>
    <w:rPr>
      <w:rFonts w:cs="Times New Roman"/>
      <w:sz w:val="24"/>
      <w:szCs w:val="24"/>
      <w:lang w:val="fr-FR" w:eastAsia="fr-FR"/>
    </w:rPr>
  </w:style>
  <w:style w:type="character" w:styleId="Seitenzahl">
    <w:name w:val="page number"/>
    <w:basedOn w:val="Absatz-Standardschriftart"/>
    <w:uiPriority w:val="99"/>
    <w:rsid w:val="00B872CE"/>
    <w:rPr>
      <w:rFonts w:cs="Times New Roman"/>
    </w:rPr>
  </w:style>
  <w:style w:type="paragraph" w:styleId="Fuzeile">
    <w:name w:val="footer"/>
    <w:basedOn w:val="Standard"/>
    <w:link w:val="FuzeileZchn"/>
    <w:uiPriority w:val="99"/>
    <w:rsid w:val="00B872CE"/>
    <w:pPr>
      <w:tabs>
        <w:tab w:val="center" w:pos="4153"/>
        <w:tab w:val="right" w:pos="8306"/>
      </w:tabs>
    </w:pPr>
    <w:rPr>
      <w:sz w:val="20"/>
      <w:szCs w:val="20"/>
      <w:lang w:val="en-GB" w:eastAsia="de-DE"/>
    </w:rPr>
  </w:style>
  <w:style w:type="character" w:customStyle="1" w:styleId="FuzeileZchn">
    <w:name w:val="Fußzeile Zchn"/>
    <w:basedOn w:val="Absatz-Standardschriftart"/>
    <w:link w:val="Fuzeile"/>
    <w:uiPriority w:val="99"/>
    <w:semiHidden/>
    <w:locked/>
    <w:rsid w:val="009F640E"/>
    <w:rPr>
      <w:rFonts w:cs="Times New Roman"/>
      <w:sz w:val="24"/>
      <w:szCs w:val="24"/>
      <w:lang w:val="fr-FR" w:eastAsia="fr-FR"/>
    </w:rPr>
  </w:style>
  <w:style w:type="paragraph" w:customStyle="1" w:styleId="ELoverskrift3">
    <w:name w:val="ELoverskrift3"/>
    <w:basedOn w:val="Standard"/>
    <w:next w:val="Standard"/>
    <w:uiPriority w:val="99"/>
    <w:rsid w:val="00B872CE"/>
    <w:pPr>
      <w:keepNext/>
      <w:keepLines/>
      <w:autoSpaceDE w:val="0"/>
      <w:autoSpaceDN w:val="0"/>
      <w:spacing w:after="120"/>
    </w:pPr>
    <w:rPr>
      <w:b/>
      <w:bCs/>
      <w:lang w:val="en-GB" w:eastAsia="nl-NL"/>
    </w:rPr>
  </w:style>
  <w:style w:type="paragraph" w:styleId="Sprechblasentext">
    <w:name w:val="Balloon Text"/>
    <w:basedOn w:val="Standard"/>
    <w:link w:val="SprechblasentextZchn"/>
    <w:uiPriority w:val="99"/>
    <w:semiHidden/>
    <w:rsid w:val="00B872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F640E"/>
    <w:rPr>
      <w:rFonts w:cs="Times New Roman"/>
      <w:sz w:val="2"/>
      <w:lang w:val="fr-FR" w:eastAsia="fr-FR"/>
    </w:rPr>
  </w:style>
  <w:style w:type="paragraph" w:styleId="Funotentext">
    <w:name w:val="footnote text"/>
    <w:basedOn w:val="Standard"/>
    <w:link w:val="FunotentextZchn"/>
    <w:uiPriority w:val="99"/>
    <w:semiHidden/>
    <w:rsid w:val="00B872CE"/>
    <w:rPr>
      <w:sz w:val="20"/>
      <w:szCs w:val="20"/>
    </w:rPr>
  </w:style>
  <w:style w:type="character" w:customStyle="1" w:styleId="FunotentextZchn">
    <w:name w:val="Fußnotentext Zchn"/>
    <w:basedOn w:val="Absatz-Standardschriftart"/>
    <w:link w:val="Funotentext"/>
    <w:uiPriority w:val="99"/>
    <w:semiHidden/>
    <w:locked/>
    <w:rsid w:val="009F640E"/>
    <w:rPr>
      <w:rFonts w:cs="Times New Roman"/>
      <w:lang w:val="fr-FR" w:eastAsia="fr-FR"/>
    </w:rPr>
  </w:style>
  <w:style w:type="character" w:styleId="Funotenzeichen">
    <w:name w:val="footnote reference"/>
    <w:basedOn w:val="Absatz-Standardschriftart"/>
    <w:uiPriority w:val="99"/>
    <w:semiHidden/>
    <w:rsid w:val="00B872CE"/>
    <w:rPr>
      <w:rFonts w:cs="Times New Roman"/>
      <w:vertAlign w:val="superscript"/>
    </w:rPr>
  </w:style>
  <w:style w:type="paragraph" w:customStyle="1" w:styleId="ZchnZchn">
    <w:name w:val="Zchn Zchn"/>
    <w:basedOn w:val="Standard"/>
    <w:uiPriority w:val="99"/>
    <w:rsid w:val="00217553"/>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ZchnZchn">
    <w:name w:val="Char Char Zchn Zchn"/>
    <w:basedOn w:val="Standard"/>
    <w:uiPriority w:val="99"/>
    <w:rsid w:val="00C25E4D"/>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ZchnZchnCharCharZchnZchn">
    <w:name w:val="Char Char Zchn Zchn Char Char Zchn Zchn"/>
    <w:basedOn w:val="Standard"/>
    <w:uiPriority w:val="99"/>
    <w:rsid w:val="00EC38AF"/>
    <w:pPr>
      <w:tabs>
        <w:tab w:val="left" w:pos="540"/>
        <w:tab w:val="left" w:pos="1260"/>
        <w:tab w:val="left" w:pos="1800"/>
      </w:tabs>
      <w:spacing w:before="240" w:after="160" w:line="240" w:lineRule="exact"/>
    </w:pPr>
    <w:rPr>
      <w:rFonts w:ascii="Verdana" w:hAnsi="Verdana"/>
      <w:szCs w:val="20"/>
      <w:lang w:val="en-US" w:eastAsia="en-US"/>
    </w:rPr>
  </w:style>
  <w:style w:type="character" w:styleId="Hyperlink">
    <w:name w:val="Hyperlink"/>
    <w:basedOn w:val="Absatz-Standardschriftart"/>
    <w:uiPriority w:val="99"/>
    <w:rsid w:val="00040205"/>
    <w:rPr>
      <w:rFonts w:cs="Times New Roman"/>
      <w:color w:val="0000FF"/>
      <w:u w:val="single"/>
    </w:rPr>
  </w:style>
  <w:style w:type="paragraph" w:customStyle="1" w:styleId="CarCar">
    <w:name w:val="Car Car"/>
    <w:basedOn w:val="Standard"/>
    <w:uiPriority w:val="99"/>
    <w:rsid w:val="00243DF7"/>
    <w:pPr>
      <w:tabs>
        <w:tab w:val="left" w:pos="540"/>
        <w:tab w:val="left" w:pos="1260"/>
        <w:tab w:val="left" w:pos="1800"/>
      </w:tabs>
      <w:spacing w:before="240" w:after="160" w:line="240" w:lineRule="exact"/>
    </w:pPr>
    <w:rPr>
      <w:rFonts w:ascii="Verdana" w:hAnsi="Verdana"/>
      <w:szCs w:val="20"/>
      <w:lang w:val="en-US" w:eastAsia="en-US"/>
    </w:rPr>
  </w:style>
  <w:style w:type="paragraph" w:styleId="Textkrper-Zeileneinzug">
    <w:name w:val="Body Text Indent"/>
    <w:basedOn w:val="Standard"/>
    <w:link w:val="Textkrper-ZeileneinzugZchn"/>
    <w:uiPriority w:val="99"/>
    <w:rsid w:val="00BC4365"/>
    <w:pPr>
      <w:ind w:left="277"/>
    </w:pPr>
    <w:rPr>
      <w:lang w:val="en-GB"/>
    </w:rPr>
  </w:style>
  <w:style w:type="character" w:customStyle="1" w:styleId="Textkrper-ZeileneinzugZchn">
    <w:name w:val="Textkörper-Zeileneinzug Zchn"/>
    <w:basedOn w:val="Absatz-Standardschriftart"/>
    <w:link w:val="Textkrper-Zeileneinzug"/>
    <w:uiPriority w:val="99"/>
    <w:semiHidden/>
    <w:locked/>
    <w:rsid w:val="009F640E"/>
    <w:rPr>
      <w:rFonts w:cs="Times New Roman"/>
      <w:sz w:val="24"/>
      <w:szCs w:val="24"/>
      <w:lang w:val="fr-FR" w:eastAsia="fr-FR"/>
    </w:rPr>
  </w:style>
  <w:style w:type="paragraph" w:customStyle="1" w:styleId="CharCharZchnZchnCarCar">
    <w:name w:val="Char Char Zchn Zchn Car Car"/>
    <w:basedOn w:val="Standard"/>
    <w:uiPriority w:val="99"/>
    <w:rsid w:val="00BC4365"/>
    <w:pPr>
      <w:tabs>
        <w:tab w:val="left" w:pos="540"/>
        <w:tab w:val="left" w:pos="1260"/>
        <w:tab w:val="left" w:pos="1800"/>
      </w:tabs>
      <w:spacing w:before="240" w:after="160" w:line="240" w:lineRule="exact"/>
    </w:pPr>
    <w:rPr>
      <w:rFonts w:ascii="Verdana" w:hAnsi="Verdana"/>
      <w:szCs w:val="20"/>
      <w:lang w:val="en-US" w:eastAsia="en-US"/>
    </w:rPr>
  </w:style>
  <w:style w:type="paragraph" w:styleId="StandardWeb">
    <w:name w:val="Normal (Web)"/>
    <w:basedOn w:val="Standard"/>
    <w:uiPriority w:val="99"/>
    <w:rsid w:val="00666FF9"/>
    <w:rPr>
      <w:lang w:val="en-US" w:eastAsia="en-US"/>
    </w:rPr>
  </w:style>
  <w:style w:type="paragraph" w:styleId="Listenabsatz">
    <w:name w:val="List Paragraph"/>
    <w:basedOn w:val="Standard"/>
    <w:uiPriority w:val="99"/>
    <w:qFormat/>
    <w:rsid w:val="004A39E5"/>
    <w:pPr>
      <w:overflowPunct w:val="0"/>
      <w:autoSpaceDE w:val="0"/>
      <w:autoSpaceDN w:val="0"/>
      <w:adjustRightInd w:val="0"/>
      <w:ind w:left="720"/>
      <w:contextualSpacing/>
      <w:textAlignment w:val="baseline"/>
    </w:pPr>
    <w:rPr>
      <w:sz w:val="20"/>
      <w:szCs w:val="20"/>
      <w:lang w:val="en-GB" w:eastAsia="nl-NL"/>
    </w:rPr>
  </w:style>
  <w:style w:type="paragraph" w:customStyle="1" w:styleId="ECCParagraph">
    <w:name w:val="ECC Paragraph"/>
    <w:basedOn w:val="Standard"/>
    <w:uiPriority w:val="99"/>
    <w:rsid w:val="0026154C"/>
    <w:pPr>
      <w:spacing w:after="240"/>
      <w:jc w:val="both"/>
    </w:pPr>
    <w:rPr>
      <w:rFonts w:ascii="Arial" w:hAnsi="Arial"/>
      <w:sz w:val="20"/>
      <w:lang w:val="en-GB" w:eastAsia="en-US"/>
    </w:rPr>
  </w:style>
  <w:style w:type="paragraph" w:customStyle="1" w:styleId="CharCharZchnZchnCarCar1">
    <w:name w:val="Char Char Zchn Zchn Car Car1"/>
    <w:basedOn w:val="Standard"/>
    <w:uiPriority w:val="99"/>
    <w:rsid w:val="00F0104A"/>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ZchnZchnCarCarCharChar">
    <w:name w:val="Char Char Zchn Zchn Car Car Char Char"/>
    <w:basedOn w:val="Standard"/>
    <w:uiPriority w:val="99"/>
    <w:rsid w:val="00640E65"/>
    <w:pPr>
      <w:tabs>
        <w:tab w:val="left" w:pos="540"/>
        <w:tab w:val="left" w:pos="1260"/>
        <w:tab w:val="left" w:pos="1800"/>
      </w:tabs>
      <w:spacing w:before="240" w:after="160" w:line="240" w:lineRule="exact"/>
    </w:pPr>
    <w:rPr>
      <w:rFonts w:ascii="Verdana" w:hAnsi="Verdana"/>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6629">
      <w:marLeft w:val="0"/>
      <w:marRight w:val="0"/>
      <w:marTop w:val="0"/>
      <w:marBottom w:val="0"/>
      <w:divBdr>
        <w:top w:val="none" w:sz="0" w:space="0" w:color="auto"/>
        <w:left w:val="none" w:sz="0" w:space="0" w:color="auto"/>
        <w:bottom w:val="none" w:sz="0" w:space="0" w:color="auto"/>
        <w:right w:val="none" w:sz="0" w:space="0" w:color="auto"/>
      </w:divBdr>
    </w:div>
    <w:div w:id="1843616630">
      <w:marLeft w:val="0"/>
      <w:marRight w:val="0"/>
      <w:marTop w:val="0"/>
      <w:marBottom w:val="0"/>
      <w:divBdr>
        <w:top w:val="none" w:sz="0" w:space="0" w:color="auto"/>
        <w:left w:val="none" w:sz="0" w:space="0" w:color="auto"/>
        <w:bottom w:val="none" w:sz="0" w:space="0" w:color="auto"/>
        <w:right w:val="none" w:sz="0" w:space="0" w:color="auto"/>
      </w:divBdr>
      <w:divsChild>
        <w:div w:id="1843616637">
          <w:marLeft w:val="0"/>
          <w:marRight w:val="0"/>
          <w:marTop w:val="0"/>
          <w:marBottom w:val="0"/>
          <w:divBdr>
            <w:top w:val="none" w:sz="0" w:space="0" w:color="auto"/>
            <w:left w:val="none" w:sz="0" w:space="0" w:color="auto"/>
            <w:bottom w:val="none" w:sz="0" w:space="0" w:color="auto"/>
            <w:right w:val="none" w:sz="0" w:space="0" w:color="auto"/>
          </w:divBdr>
        </w:div>
      </w:divsChild>
    </w:div>
    <w:div w:id="1843616632">
      <w:marLeft w:val="0"/>
      <w:marRight w:val="0"/>
      <w:marTop w:val="0"/>
      <w:marBottom w:val="0"/>
      <w:divBdr>
        <w:top w:val="none" w:sz="0" w:space="0" w:color="auto"/>
        <w:left w:val="none" w:sz="0" w:space="0" w:color="auto"/>
        <w:bottom w:val="none" w:sz="0" w:space="0" w:color="auto"/>
        <w:right w:val="none" w:sz="0" w:space="0" w:color="auto"/>
      </w:divBdr>
      <w:divsChild>
        <w:div w:id="1843616635">
          <w:marLeft w:val="0"/>
          <w:marRight w:val="0"/>
          <w:marTop w:val="0"/>
          <w:marBottom w:val="0"/>
          <w:divBdr>
            <w:top w:val="none" w:sz="0" w:space="0" w:color="auto"/>
            <w:left w:val="none" w:sz="0" w:space="0" w:color="auto"/>
            <w:bottom w:val="none" w:sz="0" w:space="0" w:color="auto"/>
            <w:right w:val="none" w:sz="0" w:space="0" w:color="auto"/>
          </w:divBdr>
        </w:div>
      </w:divsChild>
    </w:div>
    <w:div w:id="1843616633">
      <w:marLeft w:val="0"/>
      <w:marRight w:val="0"/>
      <w:marTop w:val="0"/>
      <w:marBottom w:val="0"/>
      <w:divBdr>
        <w:top w:val="none" w:sz="0" w:space="0" w:color="auto"/>
        <w:left w:val="none" w:sz="0" w:space="0" w:color="auto"/>
        <w:bottom w:val="none" w:sz="0" w:space="0" w:color="auto"/>
        <w:right w:val="none" w:sz="0" w:space="0" w:color="auto"/>
      </w:divBdr>
    </w:div>
    <w:div w:id="1843616634">
      <w:marLeft w:val="0"/>
      <w:marRight w:val="0"/>
      <w:marTop w:val="0"/>
      <w:marBottom w:val="0"/>
      <w:divBdr>
        <w:top w:val="none" w:sz="0" w:space="0" w:color="auto"/>
        <w:left w:val="none" w:sz="0" w:space="0" w:color="auto"/>
        <w:bottom w:val="none" w:sz="0" w:space="0" w:color="auto"/>
        <w:right w:val="none" w:sz="0" w:space="0" w:color="auto"/>
      </w:divBdr>
      <w:divsChild>
        <w:div w:id="1843616631">
          <w:marLeft w:val="0"/>
          <w:marRight w:val="0"/>
          <w:marTop w:val="0"/>
          <w:marBottom w:val="0"/>
          <w:divBdr>
            <w:top w:val="none" w:sz="0" w:space="0" w:color="auto"/>
            <w:left w:val="none" w:sz="0" w:space="0" w:color="auto"/>
            <w:bottom w:val="none" w:sz="0" w:space="0" w:color="auto"/>
            <w:right w:val="none" w:sz="0" w:space="0" w:color="auto"/>
          </w:divBdr>
        </w:div>
      </w:divsChild>
    </w:div>
    <w:div w:id="1843616636">
      <w:marLeft w:val="0"/>
      <w:marRight w:val="0"/>
      <w:marTop w:val="0"/>
      <w:marBottom w:val="0"/>
      <w:divBdr>
        <w:top w:val="none" w:sz="0" w:space="0" w:color="auto"/>
        <w:left w:val="none" w:sz="0" w:space="0" w:color="auto"/>
        <w:bottom w:val="none" w:sz="0" w:space="0" w:color="auto"/>
        <w:right w:val="none" w:sz="0" w:space="0" w:color="auto"/>
      </w:divBdr>
    </w:div>
    <w:div w:id="1843616638">
      <w:marLeft w:val="0"/>
      <w:marRight w:val="0"/>
      <w:marTop w:val="0"/>
      <w:marBottom w:val="0"/>
      <w:divBdr>
        <w:top w:val="none" w:sz="0" w:space="0" w:color="auto"/>
        <w:left w:val="none" w:sz="0" w:space="0" w:color="auto"/>
        <w:bottom w:val="none" w:sz="0" w:space="0" w:color="auto"/>
        <w:right w:val="none" w:sz="0" w:space="0" w:color="auto"/>
      </w:divBdr>
      <w:divsChild>
        <w:div w:id="1843616640">
          <w:marLeft w:val="0"/>
          <w:marRight w:val="0"/>
          <w:marTop w:val="0"/>
          <w:marBottom w:val="0"/>
          <w:divBdr>
            <w:top w:val="none" w:sz="0" w:space="0" w:color="auto"/>
            <w:left w:val="none" w:sz="0" w:space="0" w:color="auto"/>
            <w:bottom w:val="none" w:sz="0" w:space="0" w:color="auto"/>
            <w:right w:val="none" w:sz="0" w:space="0" w:color="auto"/>
          </w:divBdr>
          <w:divsChild>
            <w:div w:id="1843616639">
              <w:marLeft w:val="0"/>
              <w:marRight w:val="0"/>
              <w:marTop w:val="0"/>
              <w:marBottom w:val="0"/>
              <w:divBdr>
                <w:top w:val="none" w:sz="0" w:space="0" w:color="auto"/>
                <w:left w:val="none" w:sz="0" w:space="0" w:color="auto"/>
                <w:bottom w:val="none" w:sz="0" w:space="0" w:color="auto"/>
                <w:right w:val="none" w:sz="0" w:space="0" w:color="auto"/>
              </w:divBdr>
              <w:divsChild>
                <w:div w:id="1843616641">
                  <w:marLeft w:val="0"/>
                  <w:marRight w:val="0"/>
                  <w:marTop w:val="0"/>
                  <w:marBottom w:val="0"/>
                  <w:divBdr>
                    <w:top w:val="none" w:sz="0" w:space="0" w:color="auto"/>
                    <w:left w:val="none" w:sz="0" w:space="0" w:color="auto"/>
                    <w:bottom w:val="none" w:sz="0" w:space="0" w:color="auto"/>
                    <w:right w:val="none" w:sz="0" w:space="0" w:color="auto"/>
                  </w:divBdr>
                  <w:divsChild>
                    <w:div w:id="1843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g/Documents/wg-se/315/SE_11_070_LS_to_WG_SE_on_non-UWB_Wireless_Industrial_Applications" TargetMode="External"/><Relationship Id="rId13" Type="http://schemas.openxmlformats.org/officeDocument/2006/relationships/hyperlink" Target="http://www.cept.org/ecc/about-ecc/ecc-ets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ept.org/ecc/groups/ecc/wg-se/jfg-plt/page/terms-of-refer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pt.org/Documents/wg-se/319/SE_11_073_Annex_1_Annex_1_to_SE_11_073___Request_for_studies_under_the_Roadmap_for_future_UHF_Spectrum_Requirements_for_UHF_SRD__RFID__Smart_Metering_and_Smart_Grid_Applicat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pt.org/Documents/wg-se/319/SE_11_073_Annex_1_Annex_1_to_SE_11_073___Request_for_studies_under_the_Roadmap_for_future_UHF_Spectrum_Requirements_for_UHF_SRD__RFID__Smart_Metering_and_Smart_Grid_Applications" TargetMode="External"/><Relationship Id="rId4" Type="http://schemas.openxmlformats.org/officeDocument/2006/relationships/settings" Target="settings.xml"/><Relationship Id="rId9" Type="http://schemas.openxmlformats.org/officeDocument/2006/relationships/hyperlink" Target="http://www.cept.org/Documents/wg-se/317/SE_11_072_LS_to_WGSE_on_Medical_Body_Area_Network_Systems__MBANS_" TargetMode="External"/><Relationship Id="rId14" Type="http://schemas.openxmlformats.org/officeDocument/2006/relationships/hyperlink" Target="http://www.cept.org/eco/groups/eco/sat-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2310</Words>
  <Characters>14554</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WGSE work programme</vt:lpstr>
    </vt:vector>
  </TitlesOfParts>
  <Company>ERO</Company>
  <LinksUpToDate>false</LinksUpToDate>
  <CharactersWithSpaces>16831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WGSE work programme</dc:title>
  <dc:subject/>
  <dc:creator>A. Medeisis</dc:creator>
  <cp:keywords/>
  <dc:description/>
  <cp:lastModifiedBy>Stefan Hiensch</cp:lastModifiedBy>
  <cp:revision>5</cp:revision>
  <cp:lastPrinted>2006-09-27T06:49:00Z</cp:lastPrinted>
  <dcterms:created xsi:type="dcterms:W3CDTF">2013-02-01T08:30:00Z</dcterms:created>
  <dcterms:modified xsi:type="dcterms:W3CDTF">2013-02-01T08:52:00Z</dcterms:modified>
</cp:coreProperties>
</file>