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81" w:type="dxa"/>
        <w:tblInd w:w="-72" w:type="dxa"/>
        <w:tblLayout w:type="fixed"/>
        <w:tblCellMar>
          <w:left w:w="70" w:type="dxa"/>
          <w:right w:w="70" w:type="dxa"/>
        </w:tblCellMar>
        <w:tblLook w:val="0000" w:firstRow="0" w:lastRow="0" w:firstColumn="0" w:lastColumn="0" w:noHBand="0" w:noVBand="0"/>
      </w:tblPr>
      <w:tblGrid>
        <w:gridCol w:w="1841"/>
        <w:gridCol w:w="2961"/>
        <w:gridCol w:w="4941"/>
        <w:gridCol w:w="38"/>
      </w:tblGrid>
      <w:tr w:rsidR="00B2376A" w:rsidRPr="002F051F" w:rsidTr="00185466">
        <w:trPr>
          <w:cantSplit/>
          <w:trHeight w:val="1560"/>
        </w:trPr>
        <w:tc>
          <w:tcPr>
            <w:tcW w:w="4801" w:type="dxa"/>
            <w:gridSpan w:val="2"/>
            <w:tcBorders>
              <w:top w:val="nil"/>
              <w:left w:val="nil"/>
              <w:bottom w:val="nil"/>
              <w:right w:val="nil"/>
            </w:tcBorders>
            <w:shd w:val="clear" w:color="auto" w:fill="auto"/>
            <w:vAlign w:val="center"/>
          </w:tcPr>
          <w:p w:rsidR="00B2376A" w:rsidRPr="002F051F" w:rsidRDefault="00B2376A" w:rsidP="00D44703">
            <w:pPr>
              <w:pStyle w:val="ECCLetterHead"/>
            </w:pPr>
            <w:r w:rsidRPr="002F051F">
              <w:rPr>
                <w:noProof/>
                <w:lang w:eastAsia="en-GB"/>
              </w:rPr>
              <w:drawing>
                <wp:inline distT="0" distB="0" distL="0" distR="0" wp14:anchorId="6A6DF9F3" wp14:editId="181ABC44">
                  <wp:extent cx="1617980" cy="82804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17980" cy="828040"/>
                          </a:xfrm>
                          <a:prstGeom prst="rect">
                            <a:avLst/>
                          </a:prstGeom>
                          <a:noFill/>
                          <a:ln>
                            <a:noFill/>
                          </a:ln>
                        </pic:spPr>
                      </pic:pic>
                    </a:graphicData>
                  </a:graphic>
                </wp:inline>
              </w:drawing>
            </w:r>
            <w:r w:rsidR="002F051F">
              <w:t xml:space="preserve"> </w:t>
            </w:r>
            <w:r w:rsidR="00D44703">
              <w:t>CPG</w:t>
            </w:r>
          </w:p>
        </w:tc>
        <w:tc>
          <w:tcPr>
            <w:tcW w:w="4980" w:type="dxa"/>
            <w:gridSpan w:val="2"/>
            <w:tcBorders>
              <w:top w:val="nil"/>
              <w:left w:val="nil"/>
              <w:bottom w:val="nil"/>
              <w:right w:val="nil"/>
            </w:tcBorders>
            <w:shd w:val="clear" w:color="auto" w:fill="auto"/>
          </w:tcPr>
          <w:p w:rsidR="00B2376A" w:rsidRPr="002F051F" w:rsidRDefault="00B2376A" w:rsidP="00917DE8">
            <w:pPr>
              <w:pStyle w:val="ECCLetterHead"/>
            </w:pPr>
            <w:r w:rsidRPr="002F051F">
              <w:tab/>
            </w:r>
            <w:r w:rsidRPr="002F051F">
              <w:t xml:space="preserve">Doc. </w:t>
            </w:r>
            <w:r w:rsidR="006F1DAC">
              <w:t>PTA(1</w:t>
            </w:r>
            <w:r w:rsidR="000F235C">
              <w:t>9</w:t>
            </w:r>
            <w:r w:rsidR="006F1DAC">
              <w:t>)</w:t>
            </w:r>
            <w:r w:rsidR="00A90A10">
              <w:t>10</w:t>
            </w:r>
            <w:r w:rsidR="00750A89">
              <w:t>5</w:t>
            </w:r>
            <w:r w:rsidR="00D44703">
              <w:t xml:space="preserve"> </w:t>
            </w:r>
          </w:p>
        </w:tc>
      </w:tr>
      <w:tr w:rsidR="00185466" w:rsidRPr="002F051F" w:rsidTr="00185466">
        <w:tblPrEx>
          <w:tblCellMar>
            <w:left w:w="108" w:type="dxa"/>
            <w:right w:w="108" w:type="dxa"/>
          </w:tblCellMar>
        </w:tblPrEx>
        <w:trPr>
          <w:cantSplit/>
          <w:trHeight w:val="405"/>
        </w:trPr>
        <w:tc>
          <w:tcPr>
            <w:tcW w:w="4801" w:type="dxa"/>
            <w:gridSpan w:val="2"/>
            <w:tcBorders>
              <w:top w:val="nil"/>
              <w:left w:val="nil"/>
              <w:bottom w:val="nil"/>
              <w:right w:val="nil"/>
            </w:tcBorders>
            <w:shd w:val="clear" w:color="auto" w:fill="auto"/>
            <w:vAlign w:val="center"/>
          </w:tcPr>
          <w:p w:rsidR="00185466" w:rsidRPr="00185466" w:rsidRDefault="00185466" w:rsidP="000F235C">
            <w:pPr>
              <w:pStyle w:val="ECCLetterHead"/>
            </w:pPr>
            <w:r w:rsidRPr="00235592">
              <w:t>CPG1</w:t>
            </w:r>
            <w:r w:rsidRPr="00185466">
              <w:t>9 PTA-</w:t>
            </w:r>
            <w:r w:rsidR="00842D79">
              <w:t>7</w:t>
            </w:r>
          </w:p>
        </w:tc>
        <w:tc>
          <w:tcPr>
            <w:tcW w:w="4980" w:type="dxa"/>
            <w:gridSpan w:val="2"/>
            <w:tcBorders>
              <w:top w:val="nil"/>
              <w:left w:val="nil"/>
              <w:bottom w:val="nil"/>
              <w:right w:val="nil"/>
            </w:tcBorders>
            <w:shd w:val="clear" w:color="auto" w:fill="auto"/>
            <w:vAlign w:val="center"/>
          </w:tcPr>
          <w:p w:rsidR="00185466" w:rsidRPr="002F051F" w:rsidRDefault="00185466" w:rsidP="00185466">
            <w:pPr>
              <w:pStyle w:val="ECCLetterHead"/>
            </w:pPr>
          </w:p>
        </w:tc>
      </w:tr>
      <w:tr w:rsidR="00842D79" w:rsidRPr="0022591F" w:rsidTr="00842D79">
        <w:tblPrEx>
          <w:tblCellMar>
            <w:left w:w="108" w:type="dxa"/>
            <w:right w:w="108" w:type="dxa"/>
          </w:tblCellMar>
        </w:tblPrEx>
        <w:trPr>
          <w:cantSplit/>
          <w:trHeight w:val="405"/>
        </w:trPr>
        <w:tc>
          <w:tcPr>
            <w:tcW w:w="9781" w:type="dxa"/>
            <w:gridSpan w:val="4"/>
            <w:tcBorders>
              <w:top w:val="nil"/>
              <w:left w:val="nil"/>
              <w:bottom w:val="nil"/>
              <w:right w:val="nil"/>
            </w:tcBorders>
            <w:vAlign w:val="center"/>
          </w:tcPr>
          <w:p w:rsidR="00842D79" w:rsidRPr="00842D79" w:rsidRDefault="00842D79" w:rsidP="00842D79">
            <w:pPr>
              <w:pStyle w:val="ECCLetterHead"/>
            </w:pPr>
            <w:r>
              <w:t>Prague</w:t>
            </w:r>
            <w:r w:rsidRPr="00842D79">
              <w:t xml:space="preserve">, </w:t>
            </w:r>
            <w:r w:rsidR="00A90A10">
              <w:t xml:space="preserve">Czech Republic, </w:t>
            </w:r>
            <w:r w:rsidRPr="00842D79">
              <w:t>17 – 21 June 2019</w:t>
            </w:r>
          </w:p>
        </w:tc>
      </w:tr>
      <w:tr w:rsidR="00842D79" w:rsidRPr="002F051F" w:rsidTr="00842D79">
        <w:tblPrEx>
          <w:tblCellMar>
            <w:left w:w="108" w:type="dxa"/>
            <w:right w:w="108" w:type="dxa"/>
          </w:tblCellMar>
        </w:tblPrEx>
        <w:trPr>
          <w:gridAfter w:val="1"/>
          <w:wAfter w:w="38" w:type="dxa"/>
          <w:cantSplit/>
          <w:trHeight w:hRule="exact" w:val="79"/>
        </w:trPr>
        <w:tc>
          <w:tcPr>
            <w:tcW w:w="4804" w:type="dxa"/>
            <w:gridSpan w:val="2"/>
            <w:tcBorders>
              <w:top w:val="nil"/>
              <w:left w:val="nil"/>
              <w:bottom w:val="nil"/>
              <w:right w:val="nil"/>
            </w:tcBorders>
            <w:shd w:val="clear" w:color="auto" w:fill="auto"/>
          </w:tcPr>
          <w:p w:rsidR="00842D79" w:rsidRPr="00E975FB" w:rsidRDefault="00842D79" w:rsidP="00842D79">
            <w:pPr>
              <w:pStyle w:val="ECCLetterHead"/>
            </w:pPr>
          </w:p>
        </w:tc>
        <w:tc>
          <w:tcPr>
            <w:tcW w:w="4939" w:type="dxa"/>
            <w:tcBorders>
              <w:top w:val="nil"/>
              <w:left w:val="nil"/>
              <w:bottom w:val="nil"/>
              <w:right w:val="nil"/>
            </w:tcBorders>
            <w:shd w:val="clear" w:color="auto" w:fill="auto"/>
          </w:tcPr>
          <w:p w:rsidR="00842D79" w:rsidRPr="002F051F" w:rsidRDefault="00842D79" w:rsidP="00842D79">
            <w:pPr>
              <w:pStyle w:val="ECCLetterHead"/>
            </w:pPr>
          </w:p>
        </w:tc>
      </w:tr>
      <w:tr w:rsidR="00842D79" w:rsidRPr="002F051F" w:rsidTr="00842D79">
        <w:tblPrEx>
          <w:tblCellMar>
            <w:left w:w="108" w:type="dxa"/>
            <w:right w:w="108" w:type="dxa"/>
          </w:tblCellMar>
        </w:tblPrEx>
        <w:trPr>
          <w:gridAfter w:val="1"/>
          <w:wAfter w:w="38" w:type="dxa"/>
          <w:cantSplit/>
          <w:trHeight w:val="405"/>
        </w:trPr>
        <w:tc>
          <w:tcPr>
            <w:tcW w:w="1841" w:type="dxa"/>
            <w:tcBorders>
              <w:top w:val="nil"/>
              <w:left w:val="nil"/>
              <w:bottom w:val="nil"/>
              <w:right w:val="nil"/>
            </w:tcBorders>
            <w:shd w:val="clear" w:color="auto" w:fill="auto"/>
            <w:vAlign w:val="center"/>
          </w:tcPr>
          <w:p w:rsidR="00842D79" w:rsidRPr="00842D79" w:rsidRDefault="00842D79" w:rsidP="00842D79">
            <w:pPr>
              <w:pStyle w:val="ECCLetterHead"/>
            </w:pPr>
            <w:r w:rsidRPr="00E975FB">
              <w:t>Date issued:</w:t>
            </w:r>
            <w:r w:rsidRPr="00E975FB">
              <w:tab/>
              <w:t xml:space="preserve"> </w:t>
            </w:r>
          </w:p>
        </w:tc>
        <w:tc>
          <w:tcPr>
            <w:tcW w:w="7902" w:type="dxa"/>
            <w:gridSpan w:val="2"/>
            <w:tcBorders>
              <w:top w:val="nil"/>
              <w:left w:val="nil"/>
              <w:bottom w:val="nil"/>
              <w:right w:val="nil"/>
            </w:tcBorders>
            <w:shd w:val="clear" w:color="auto" w:fill="auto"/>
            <w:vAlign w:val="center"/>
          </w:tcPr>
          <w:p w:rsidR="00842D79" w:rsidRPr="00842D79" w:rsidRDefault="004D43CB" w:rsidP="00842D79">
            <w:pPr>
              <w:pStyle w:val="ECCLetterHead"/>
            </w:pPr>
            <w:r>
              <w:t>21</w:t>
            </w:r>
            <w:r w:rsidR="00842D79" w:rsidRPr="00842D79">
              <w:t xml:space="preserve"> June 2019</w:t>
            </w:r>
          </w:p>
        </w:tc>
      </w:tr>
      <w:tr w:rsidR="00B2376A" w:rsidRPr="002F051F" w:rsidTr="00185466">
        <w:tblPrEx>
          <w:tblCellMar>
            <w:left w:w="108" w:type="dxa"/>
            <w:right w:w="108" w:type="dxa"/>
          </w:tblCellMar>
        </w:tblPrEx>
        <w:trPr>
          <w:gridAfter w:val="1"/>
          <w:wAfter w:w="38" w:type="dxa"/>
          <w:cantSplit/>
          <w:trHeight w:val="405"/>
        </w:trPr>
        <w:tc>
          <w:tcPr>
            <w:tcW w:w="1836" w:type="dxa"/>
            <w:tcBorders>
              <w:top w:val="nil"/>
              <w:left w:val="nil"/>
              <w:bottom w:val="nil"/>
              <w:right w:val="nil"/>
            </w:tcBorders>
            <w:vAlign w:val="center"/>
          </w:tcPr>
          <w:p w:rsidR="00B2376A" w:rsidRPr="002F051F" w:rsidRDefault="00B2376A" w:rsidP="002F051F">
            <w:pPr>
              <w:pStyle w:val="ECCLetterHead"/>
            </w:pPr>
            <w:r w:rsidRPr="002F051F">
              <w:t xml:space="preserve">Source: </w:t>
            </w:r>
          </w:p>
        </w:tc>
        <w:tc>
          <w:tcPr>
            <w:tcW w:w="7907" w:type="dxa"/>
            <w:gridSpan w:val="2"/>
            <w:tcBorders>
              <w:top w:val="nil"/>
              <w:left w:val="nil"/>
              <w:bottom w:val="nil"/>
              <w:right w:val="nil"/>
            </w:tcBorders>
            <w:vAlign w:val="center"/>
          </w:tcPr>
          <w:p w:rsidR="00B2376A" w:rsidRPr="002F051F" w:rsidRDefault="001A7B74" w:rsidP="002F051F">
            <w:pPr>
              <w:pStyle w:val="ECCLetterHead"/>
            </w:pPr>
            <w:r w:rsidRPr="002F051F">
              <w:t>Chairman/Secretary</w:t>
            </w:r>
          </w:p>
        </w:tc>
      </w:tr>
      <w:tr w:rsidR="00B2376A" w:rsidRPr="002F051F" w:rsidTr="00185466">
        <w:tblPrEx>
          <w:tblCellMar>
            <w:left w:w="108" w:type="dxa"/>
            <w:right w:w="108" w:type="dxa"/>
          </w:tblCellMar>
        </w:tblPrEx>
        <w:trPr>
          <w:gridAfter w:val="1"/>
          <w:wAfter w:w="38" w:type="dxa"/>
          <w:cantSplit/>
          <w:trHeight w:val="405"/>
        </w:trPr>
        <w:tc>
          <w:tcPr>
            <w:tcW w:w="1836" w:type="dxa"/>
            <w:tcBorders>
              <w:top w:val="nil"/>
              <w:left w:val="nil"/>
              <w:bottom w:val="nil"/>
              <w:right w:val="nil"/>
            </w:tcBorders>
            <w:vAlign w:val="center"/>
          </w:tcPr>
          <w:p w:rsidR="00B2376A" w:rsidRPr="002F051F" w:rsidRDefault="00B2376A" w:rsidP="002F051F">
            <w:pPr>
              <w:pStyle w:val="ECCLetterHead"/>
            </w:pPr>
            <w:r w:rsidRPr="002F051F">
              <w:t xml:space="preserve">Subject: </w:t>
            </w:r>
          </w:p>
        </w:tc>
        <w:tc>
          <w:tcPr>
            <w:tcW w:w="7907" w:type="dxa"/>
            <w:gridSpan w:val="2"/>
            <w:tcBorders>
              <w:top w:val="nil"/>
              <w:left w:val="nil"/>
              <w:bottom w:val="nil"/>
              <w:right w:val="nil"/>
            </w:tcBorders>
            <w:vAlign w:val="center"/>
          </w:tcPr>
          <w:p w:rsidR="00B2376A" w:rsidRPr="002F051F" w:rsidRDefault="00D631F4" w:rsidP="000F235C">
            <w:pPr>
              <w:pStyle w:val="ECCLetterHead"/>
            </w:pPr>
            <w:r>
              <w:t xml:space="preserve">Draft </w:t>
            </w:r>
            <w:r w:rsidR="001A7B74" w:rsidRPr="002F051F">
              <w:t xml:space="preserve">Minutes of </w:t>
            </w:r>
            <w:r w:rsidR="00CF2234">
              <w:t>PTA-</w:t>
            </w:r>
            <w:r w:rsidR="00842D79">
              <w:t>7</w:t>
            </w:r>
          </w:p>
        </w:tc>
      </w:tr>
      <w:tr w:rsidR="00B2376A" w:rsidRPr="002F051F" w:rsidTr="00185466">
        <w:tblPrEx>
          <w:tblCellMar>
            <w:left w:w="108" w:type="dxa"/>
            <w:right w:w="108" w:type="dxa"/>
          </w:tblCellMar>
        </w:tblPrEx>
        <w:trPr>
          <w:gridAfter w:val="1"/>
          <w:wAfter w:w="38" w:type="dxa"/>
          <w:cantSplit/>
          <w:trHeight w:val="1040"/>
        </w:trPr>
        <w:tc>
          <w:tcPr>
            <w:tcW w:w="9743" w:type="dxa"/>
            <w:gridSpan w:val="3"/>
            <w:tcBorders>
              <w:top w:val="nil"/>
              <w:left w:val="nil"/>
              <w:bottom w:val="nil"/>
              <w:right w:val="nil"/>
            </w:tcBorders>
            <w:vAlign w:val="center"/>
          </w:tcPr>
          <w:p w:rsidR="00B2376A" w:rsidRPr="002F051F" w:rsidRDefault="00B2376A" w:rsidP="002F051F">
            <w:pPr>
              <w:pStyle w:val="ECCTabletext"/>
              <w:shd w:val="clear" w:color="auto" w:fill="auto"/>
            </w:pPr>
            <w:r w:rsidRPr="002F051F">
              <w:rPr>
                <w:noProof/>
                <w:lang w:eastAsia="en-GB"/>
              </w:rPr>
              <mc:AlternateContent>
                <mc:Choice Requires="wps">
                  <w:drawing>
                    <wp:anchor distT="0" distB="0" distL="114300" distR="114300" simplePos="0" relativeHeight="251659264" behindDoc="1" locked="0" layoutInCell="0" allowOverlap="1" wp14:anchorId="3C58AE1E" wp14:editId="311C9196">
                      <wp:simplePos x="0" y="0"/>
                      <wp:positionH relativeFrom="column">
                        <wp:posOffset>2729865</wp:posOffset>
                      </wp:positionH>
                      <wp:positionV relativeFrom="paragraph">
                        <wp:posOffset>193040</wp:posOffset>
                      </wp:positionV>
                      <wp:extent cx="457200" cy="269875"/>
                      <wp:effectExtent l="0" t="0" r="19050" b="15875"/>
                      <wp:wrapTight wrapText="bothSides">
                        <wp:wrapPolygon edited="0">
                          <wp:start x="0" y="0"/>
                          <wp:lineTo x="0" y="21346"/>
                          <wp:lineTo x="21600" y="21346"/>
                          <wp:lineTo x="21600" y="0"/>
                          <wp:lineTo x="0" y="0"/>
                        </wp:wrapPolygon>
                      </wp:wrapTight>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69875"/>
                              </a:xfrm>
                              <a:prstGeom prst="rect">
                                <a:avLst/>
                              </a:prstGeom>
                              <a:solidFill>
                                <a:srgbClr val="FFFFFF"/>
                              </a:solidFill>
                              <a:ln w="9525">
                                <a:solidFill>
                                  <a:srgbClr val="000000"/>
                                </a:solidFill>
                                <a:miter lim="800000"/>
                                <a:headEnd/>
                                <a:tailEnd/>
                              </a:ln>
                            </wps:spPr>
                            <wps:txbx>
                              <w:txbxContent>
                                <w:p w:rsidR="00DC1C4D" w:rsidRPr="005919FD" w:rsidRDefault="00DC1C4D" w:rsidP="005919FD">
                                  <w:r>
                                    <w:t xml:space="preserve">    </w:t>
                                  </w:r>
                                  <w:r w:rsidRPr="006C37EC">
                                    <w:t>N</w:t>
                                  </w:r>
                                  <w:r w:rsidRPr="005919FD">
                                    <w:tab/>
                                    <w:t>N</w:t>
                                  </w:r>
                                </w:p>
                              </w:txbxContent>
                            </wps:txbx>
                            <wps:bodyPr rot="0" vert="horz" wrap="square" lIns="36000" tIns="18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3C58AE1E" id="_x0000_t202" coordsize="21600,21600" o:spt="202" path="m,l,21600r21600,l21600,xe">
                      <v:stroke joinstyle="miter"/>
                      <v:path gradientshapeok="t" o:connecttype="rect"/>
                    </v:shapetype>
                    <v:shape id="Textfeld 2" o:spid="_x0000_s1026" type="#_x0000_t202" style="position:absolute;margin-left:214.95pt;margin-top:15.2pt;width:36pt;height:21.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" o:allowincell="f">
                      <v:textbox inset="1mm,.5mm,1mm,1mm">
                        <w:txbxContent>
                          <w:p w:rsidR="00DC1C4D" w:rsidRPr="005919FD" w:rsidRDefault="00DC1C4D" w:rsidP="005919FD">
                            <w:r>
                              <w:t xml:space="preserve">    </w:t>
                            </w:r>
                            <w:r w:rsidRPr="006C37EC">
                              <w:t>N</w:t>
                            </w:r>
                            <w:r w:rsidRPr="005919FD">
                              <w:tab/>
                              <w:t>N</w:t>
                            </w:r>
                          </w:p>
                        </w:txbxContent>
                      </v:textbox>
                      <w10:wrap type="tight"/>
                    </v:shape>
                  </w:pict>
                </mc:Fallback>
              </mc:AlternateContent>
            </w:r>
            <w:r w:rsidRPr="002F051F">
              <w:t>Group membership required to read? (Y/N)</w:t>
            </w:r>
          </w:p>
        </w:tc>
      </w:tr>
      <w:tr w:rsidR="00B2376A" w:rsidRPr="002F051F" w:rsidTr="00185466">
        <w:tblPrEx>
          <w:tblCellMar>
            <w:left w:w="108" w:type="dxa"/>
            <w:right w:w="108" w:type="dxa"/>
          </w:tblCellMar>
        </w:tblPrEx>
        <w:trPr>
          <w:gridAfter w:val="1"/>
          <w:wAfter w:w="38" w:type="dxa"/>
          <w:cantSplit/>
          <w:trHeight w:hRule="exact" w:val="74"/>
        </w:trPr>
        <w:tc>
          <w:tcPr>
            <w:tcW w:w="9743" w:type="dxa"/>
            <w:gridSpan w:val="3"/>
            <w:tcBorders>
              <w:top w:val="nil"/>
              <w:left w:val="nil"/>
              <w:bottom w:val="nil"/>
              <w:right w:val="nil"/>
            </w:tcBorders>
            <w:vAlign w:val="center"/>
          </w:tcPr>
          <w:p w:rsidR="00B2376A" w:rsidRPr="002F051F" w:rsidRDefault="00B2376A" w:rsidP="002F051F">
            <w:pPr>
              <w:pStyle w:val="ECCParagraph"/>
            </w:pPr>
          </w:p>
          <w:p w:rsidR="00B2376A" w:rsidRPr="002F051F" w:rsidRDefault="00B2376A" w:rsidP="002F051F">
            <w:pPr>
              <w:shd w:val="clear" w:color="auto" w:fill="auto"/>
            </w:pPr>
          </w:p>
        </w:tc>
      </w:tr>
    </w:tbl>
    <w:p w:rsidR="001A7B74" w:rsidRPr="002F051F" w:rsidRDefault="001A7B74" w:rsidP="002F051F">
      <w:pPr>
        <w:pStyle w:val="Kop1"/>
      </w:pPr>
      <w:r w:rsidRPr="002F051F">
        <w:t>Opening of the meeting</w:t>
      </w:r>
    </w:p>
    <w:p w:rsidR="00283034" w:rsidRDefault="00283034" w:rsidP="00283034">
      <w:pPr>
        <w:pStyle w:val="ECCParagraph"/>
      </w:pPr>
      <w:r w:rsidRPr="00B02E64">
        <w:t>Mr Gerlof Osinga, Chairman of CPG</w:t>
      </w:r>
      <w:r>
        <w:t>19-</w:t>
      </w:r>
      <w:r w:rsidRPr="00B02E64">
        <w:t>PT</w:t>
      </w:r>
      <w:r>
        <w:t>A</w:t>
      </w:r>
      <w:r w:rsidRPr="00B02E64">
        <w:t xml:space="preserve">, opened the meeting and welcomed </w:t>
      </w:r>
      <w:r>
        <w:t>t</w:t>
      </w:r>
      <w:r w:rsidRPr="002F051F">
        <w:t xml:space="preserve">he participants and observers of interregional organisations </w:t>
      </w:r>
      <w:r w:rsidRPr="00B02E64">
        <w:t xml:space="preserve">to </w:t>
      </w:r>
      <w:r>
        <w:t xml:space="preserve">Prague. </w:t>
      </w:r>
    </w:p>
    <w:p w:rsidR="00283034" w:rsidRPr="00B02E64" w:rsidRDefault="00B340CD" w:rsidP="00283034">
      <w:pPr>
        <w:pStyle w:val="ECCParagraph"/>
      </w:pPr>
      <w:r>
        <w:t xml:space="preserve">On behalf of </w:t>
      </w:r>
      <w:r w:rsidR="00283034">
        <w:t xml:space="preserve">Mr Petr Zeman, </w:t>
      </w:r>
      <w:r w:rsidR="00283034" w:rsidRPr="00FF674D">
        <w:t xml:space="preserve">Head of the Division of Policy Development and Strategies </w:t>
      </w:r>
      <w:r w:rsidR="00283034">
        <w:t xml:space="preserve">of the </w:t>
      </w:r>
      <w:r w:rsidR="00283034" w:rsidRPr="00405891">
        <w:t>Czech Telecommunication Office</w:t>
      </w:r>
      <w:r>
        <w:t>, Mr Karel Antouse</w:t>
      </w:r>
      <w:r w:rsidR="00CB47AE">
        <w:t>k</w:t>
      </w:r>
      <w:r w:rsidR="00283034" w:rsidRPr="0073237E">
        <w:t xml:space="preserve"> </w:t>
      </w:r>
      <w:r w:rsidR="00283034">
        <w:t>w</w:t>
      </w:r>
      <w:r w:rsidR="00283034" w:rsidRPr="0073237E">
        <w:t>elcome</w:t>
      </w:r>
      <w:r w:rsidR="00283034">
        <w:t>d</w:t>
      </w:r>
      <w:r w:rsidR="00283034" w:rsidRPr="0073237E">
        <w:t xml:space="preserve"> </w:t>
      </w:r>
      <w:r w:rsidR="00283034">
        <w:t xml:space="preserve">the meeting </w:t>
      </w:r>
      <w:r w:rsidR="00283034" w:rsidRPr="0073237E">
        <w:t xml:space="preserve">to </w:t>
      </w:r>
      <w:r w:rsidR="00283034">
        <w:t xml:space="preserve">Prague, </w:t>
      </w:r>
      <w:r w:rsidR="00283034" w:rsidRPr="000E3CC4">
        <w:t>the capital</w:t>
      </w:r>
      <w:r w:rsidR="00283034">
        <w:t xml:space="preserve"> city</w:t>
      </w:r>
      <w:r w:rsidR="00283034" w:rsidRPr="000E3CC4">
        <w:t xml:space="preserve"> of </w:t>
      </w:r>
      <w:r w:rsidR="00CB47AE">
        <w:t xml:space="preserve">the </w:t>
      </w:r>
      <w:r w:rsidR="00283034">
        <w:t xml:space="preserve">Czech Republic. He expressed the importance of the work in preparation to the WRC-19 and concluded with wishing the meeting successful </w:t>
      </w:r>
      <w:r w:rsidR="00283034" w:rsidRPr="0073237E">
        <w:t>days</w:t>
      </w:r>
      <w:r w:rsidR="00283034">
        <w:t xml:space="preserve">. </w:t>
      </w:r>
      <w:r w:rsidR="004D43CB">
        <w:t>Furthermore M</w:t>
      </w:r>
      <w:r w:rsidR="00283034">
        <w:t>r Karel Antousek provided ad</w:t>
      </w:r>
      <w:r w:rsidR="00283034" w:rsidRPr="00C35C92">
        <w:t>ditional information on the organisation and premises</w:t>
      </w:r>
      <w:r w:rsidR="00283034">
        <w:t>.</w:t>
      </w:r>
    </w:p>
    <w:p w:rsidR="00283034" w:rsidRPr="00B02E64" w:rsidRDefault="00283034" w:rsidP="00283034">
      <w:r w:rsidRPr="000C69A6">
        <w:t xml:space="preserve">The Chairman thanked the </w:t>
      </w:r>
      <w:r w:rsidRPr="00405891">
        <w:t>Czech Telecommunication Office</w:t>
      </w:r>
      <w:r w:rsidRPr="000C69A6">
        <w:t xml:space="preserve"> for the invitation to host the </w:t>
      </w:r>
      <w:r>
        <w:t>7</w:t>
      </w:r>
      <w:r>
        <w:rPr>
          <w:rStyle w:val="ECCHLsuperscript"/>
        </w:rPr>
        <w:t>th</w:t>
      </w:r>
      <w:r w:rsidRPr="000C69A6">
        <w:t xml:space="preserve"> PT A meeting in </w:t>
      </w:r>
      <w:r>
        <w:t>Prague. The</w:t>
      </w:r>
      <w:r w:rsidRPr="00B02E64">
        <w:t xml:space="preserve"> Chairman indicated the main goal of th</w:t>
      </w:r>
      <w:r w:rsidR="00CB47AE">
        <w:t>is</w:t>
      </w:r>
      <w:r w:rsidRPr="00B02E64">
        <w:t xml:space="preserve"> </w:t>
      </w:r>
      <w:r>
        <w:t>last</w:t>
      </w:r>
      <w:r w:rsidRPr="00B02E64">
        <w:t xml:space="preserve"> PT</w:t>
      </w:r>
      <w:r>
        <w:t>A</w:t>
      </w:r>
      <w:r w:rsidRPr="00B02E64">
        <w:t xml:space="preserve"> meeting</w:t>
      </w:r>
      <w:r>
        <w:t xml:space="preserve">: to </w:t>
      </w:r>
      <w:r w:rsidRPr="00283034">
        <w:t xml:space="preserve">finalize </w:t>
      </w:r>
      <w:r w:rsidR="004D43CB">
        <w:t>its</w:t>
      </w:r>
      <w:r w:rsidRPr="00283034">
        <w:t xml:space="preserve"> work on the issues </w:t>
      </w:r>
      <w:r w:rsidR="00CB47AE">
        <w:t>for wh</w:t>
      </w:r>
      <w:r w:rsidR="007A26DD">
        <w:t>ich</w:t>
      </w:r>
      <w:r w:rsidR="00CB47AE">
        <w:t xml:space="preserve"> </w:t>
      </w:r>
      <w:r w:rsidRPr="00283034">
        <w:t>this project</w:t>
      </w:r>
      <w:r w:rsidR="00863F3D">
        <w:t xml:space="preserve"> </w:t>
      </w:r>
      <w:r w:rsidR="004D43CB">
        <w:t>team</w:t>
      </w:r>
      <w:r w:rsidRPr="00283034">
        <w:t xml:space="preserve"> has responsibilit</w:t>
      </w:r>
      <w:r w:rsidR="00CB47AE">
        <w:t xml:space="preserve">y </w:t>
      </w:r>
      <w:r w:rsidRPr="00283034">
        <w:t xml:space="preserve">, </w:t>
      </w:r>
      <w:r w:rsidR="00CB47AE">
        <w:t xml:space="preserve">with </w:t>
      </w:r>
      <w:r w:rsidRPr="00283034">
        <w:t xml:space="preserve">main emphasis on the remaining draft ECPs to prepare them for adoption </w:t>
      </w:r>
      <w:r w:rsidR="00D93A2A">
        <w:t>at the final CPG meeting</w:t>
      </w:r>
      <w:r w:rsidRPr="00283034">
        <w:t>.</w:t>
      </w:r>
      <w:r>
        <w:t xml:space="preserve"> </w:t>
      </w:r>
      <w:r w:rsidRPr="00B02E64">
        <w:t>He</w:t>
      </w:r>
      <w:r>
        <w:t xml:space="preserve"> then</w:t>
      </w:r>
      <w:r w:rsidRPr="00B02E64">
        <w:t xml:space="preserve"> informed the participants on the schedule for th</w:t>
      </w:r>
      <w:r w:rsidR="00CB47AE">
        <w:t xml:space="preserve">is </w:t>
      </w:r>
      <w:r w:rsidRPr="00B02E64">
        <w:t xml:space="preserve"> </w:t>
      </w:r>
      <w:r>
        <w:t>last CPG</w:t>
      </w:r>
      <w:r w:rsidR="009255A4">
        <w:t xml:space="preserve"> PT A </w:t>
      </w:r>
      <w:r>
        <w:t xml:space="preserve"> meeting</w:t>
      </w:r>
      <w:r w:rsidRPr="00B02E64">
        <w:t>.</w:t>
      </w:r>
    </w:p>
    <w:p w:rsidR="001A7B74" w:rsidRPr="00491D53" w:rsidRDefault="001A7B74" w:rsidP="00EB4B9D">
      <w:r w:rsidRPr="00491D53">
        <w:t xml:space="preserve">The list of participants can be found in </w:t>
      </w:r>
      <w:r w:rsidRPr="00D53569">
        <w:rPr>
          <w:rStyle w:val="ECCHLbold"/>
        </w:rPr>
        <w:t>ANNEX I</w:t>
      </w:r>
      <w:r w:rsidR="002A063F" w:rsidRPr="00EB4B9D">
        <w:t xml:space="preserve"> (members only)</w:t>
      </w:r>
      <w:r w:rsidRPr="00491D53">
        <w:t xml:space="preserve">. The list of output documents is given in </w:t>
      </w:r>
      <w:r w:rsidRPr="00D53569">
        <w:rPr>
          <w:rStyle w:val="ECCHLbold"/>
        </w:rPr>
        <w:t>ANNEX II</w:t>
      </w:r>
      <w:r w:rsidRPr="00491D53">
        <w:t>.</w:t>
      </w:r>
    </w:p>
    <w:p w:rsidR="001A7B74" w:rsidRPr="002F051F" w:rsidRDefault="001A7B74" w:rsidP="002F051F">
      <w:pPr>
        <w:pStyle w:val="Kop1"/>
      </w:pPr>
      <w:r w:rsidRPr="002F051F">
        <w:t>Adoption of the agenda</w:t>
      </w:r>
    </w:p>
    <w:p w:rsidR="001A7B74" w:rsidRPr="00491D53" w:rsidRDefault="001A7B74" w:rsidP="00D93A2A">
      <w:pPr>
        <w:pStyle w:val="ECCParagraph"/>
      </w:pPr>
      <w:r w:rsidRPr="002F051F">
        <w:t>The Chairman introduced the draft agenda</w:t>
      </w:r>
      <w:r w:rsidR="00283034">
        <w:t>. The meeting agreed to handle the late contribution</w:t>
      </w:r>
      <w:r w:rsidR="00D93A2A">
        <w:t>s</w:t>
      </w:r>
      <w:r w:rsidR="00283034">
        <w:t xml:space="preserve"> of the Russian Federation INFO 05</w:t>
      </w:r>
      <w:r w:rsidR="00D93A2A">
        <w:t xml:space="preserve"> and Slovenia INFO 09</w:t>
      </w:r>
      <w:r w:rsidR="00283034">
        <w:t xml:space="preserve"> as a normal contribution.</w:t>
      </w:r>
      <w:r w:rsidR="005F05E2">
        <w:t xml:space="preserve"> </w:t>
      </w:r>
      <w:r w:rsidR="00D93A2A">
        <w:t xml:space="preserve">The </w:t>
      </w:r>
      <w:r w:rsidR="00CB47AE">
        <w:t xml:space="preserve">meeting noted that </w:t>
      </w:r>
      <w:r w:rsidR="00D93A2A">
        <w:t xml:space="preserve">input documents for agenda item 10 of Lithuania (19)080 and Lithuania/Slovenia document (19)088 where not complete and </w:t>
      </w:r>
      <w:r w:rsidR="00CB47AE">
        <w:t xml:space="preserve">that </w:t>
      </w:r>
      <w:r w:rsidR="00D93A2A">
        <w:t>input document of Germany (19)097 on agenda item 1.14 was out of scope</w:t>
      </w:r>
      <w:r w:rsidR="00CB47AE">
        <w:t xml:space="preserve"> </w:t>
      </w:r>
      <w:r w:rsidR="00461347">
        <w:t xml:space="preserve">for what concerned proposals on Option A in the draft ECP, as per </w:t>
      </w:r>
      <w:r w:rsidR="00CB47AE">
        <w:t>decision made at the last CPG meeting</w:t>
      </w:r>
      <w:r w:rsidR="00D93A2A">
        <w:t xml:space="preserve">. The meeting agreed to introduce these documents at the drafting level but that they would not be considered. </w:t>
      </w:r>
      <w:r w:rsidRPr="00491D53">
        <w:t xml:space="preserve">The meeting </w:t>
      </w:r>
      <w:r w:rsidR="00CB47AE">
        <w:t xml:space="preserve">finally </w:t>
      </w:r>
      <w:r w:rsidRPr="00491D53">
        <w:t xml:space="preserve">adopted the agenda as given in </w:t>
      </w:r>
      <w:r w:rsidRPr="00D53569">
        <w:rPr>
          <w:rStyle w:val="ECCHLbold"/>
        </w:rPr>
        <w:t>ANNEX III</w:t>
      </w:r>
      <w:r w:rsidRPr="00491D53">
        <w:t>.</w:t>
      </w:r>
    </w:p>
    <w:p w:rsidR="001A7B74" w:rsidRDefault="00F568EB" w:rsidP="002F051F">
      <w:pPr>
        <w:pStyle w:val="Kop1"/>
      </w:pPr>
      <w:r>
        <w:lastRenderedPageBreak/>
        <w:t>REVIEW of outcome / decisions cpg</w:t>
      </w:r>
    </w:p>
    <w:p w:rsidR="0020429F" w:rsidRPr="0020429F" w:rsidRDefault="0020429F" w:rsidP="0020429F">
      <w:pPr>
        <w:pStyle w:val="ECCParagraph"/>
        <w:rPr>
          <w:lang w:val="da-DK"/>
        </w:rPr>
      </w:pPr>
      <w:r>
        <w:t xml:space="preserve">The Chairman informed the meeting on relevant issues that came out of the </w:t>
      </w:r>
      <w:r w:rsidR="00C63F64">
        <w:t>eight</w:t>
      </w:r>
      <w:r>
        <w:t xml:space="preserve"> CPG meeting</w:t>
      </w:r>
      <w:r w:rsidR="00863F3D">
        <w:t xml:space="preserve"> (document (19)065</w:t>
      </w:r>
      <w:r>
        <w:t xml:space="preserve">. </w:t>
      </w:r>
      <w:r w:rsidR="00EC1387">
        <w:t xml:space="preserve">All draft CEPT Briefs </w:t>
      </w:r>
      <w:r w:rsidR="004156F0">
        <w:t xml:space="preserve">and draft ECPs </w:t>
      </w:r>
      <w:r w:rsidR="00EC1387">
        <w:t>were approved</w:t>
      </w:r>
      <w:r w:rsidR="0069054C">
        <w:t xml:space="preserve">, including </w:t>
      </w:r>
      <w:r w:rsidR="00A90A10">
        <w:t>the adoption of the ECP</w:t>
      </w:r>
      <w:r w:rsidR="00283034">
        <w:t xml:space="preserve">s </w:t>
      </w:r>
      <w:r w:rsidR="0069054C">
        <w:t xml:space="preserve">on the Agenda Items </w:t>
      </w:r>
      <w:r w:rsidR="00283034">
        <w:t>1.2; 1.3 and 1.15</w:t>
      </w:r>
      <w:r w:rsidR="00EC1387">
        <w:t xml:space="preserve">. </w:t>
      </w:r>
      <w:r w:rsidR="002D45D2">
        <w:t xml:space="preserve">CPG agreed both on </w:t>
      </w:r>
      <w:r w:rsidR="002D45D2" w:rsidRPr="00770626">
        <w:t xml:space="preserve">Mr Markus Dreis as </w:t>
      </w:r>
      <w:r w:rsidR="0069054C">
        <w:t xml:space="preserve">CEPT </w:t>
      </w:r>
      <w:r w:rsidR="00327FC2">
        <w:t>coordinator</w:t>
      </w:r>
      <w:r w:rsidR="002D45D2" w:rsidRPr="00770626">
        <w:t xml:space="preserve"> for Agenda item 1.15</w:t>
      </w:r>
      <w:r w:rsidR="002D45D2">
        <w:t xml:space="preserve"> and </w:t>
      </w:r>
      <w:r w:rsidR="00C63F64">
        <w:t>thanked</w:t>
      </w:r>
      <w:r w:rsidR="002D45D2">
        <w:t xml:space="preserve"> the Administration of </w:t>
      </w:r>
      <w:r w:rsidR="002D45D2" w:rsidRPr="00C70521">
        <w:t>Azerbaijan</w:t>
      </w:r>
      <w:r w:rsidR="002D45D2">
        <w:t xml:space="preserve"> for nominating Mr </w:t>
      </w:r>
      <w:r w:rsidR="002D45D2" w:rsidRPr="00C70521">
        <w:t>Rahid Alekberli</w:t>
      </w:r>
      <w:r w:rsidR="002D45D2">
        <w:t xml:space="preserve"> to be the </w:t>
      </w:r>
      <w:r w:rsidR="0069054C">
        <w:t xml:space="preserve">CEPT </w:t>
      </w:r>
      <w:r w:rsidR="00327FC2">
        <w:t>coordinator</w:t>
      </w:r>
      <w:r w:rsidR="002D45D2">
        <w:t xml:space="preserve"> </w:t>
      </w:r>
      <w:r w:rsidR="0069054C">
        <w:t xml:space="preserve">for </w:t>
      </w:r>
      <w:r w:rsidR="002D45D2">
        <w:t xml:space="preserve">AI 8. </w:t>
      </w:r>
      <w:r w:rsidR="00A5266A">
        <w:t xml:space="preserve">The Chairman </w:t>
      </w:r>
      <w:r w:rsidR="00315E81">
        <w:t xml:space="preserve">also </w:t>
      </w:r>
      <w:r w:rsidR="00A5266A">
        <w:t>informed</w:t>
      </w:r>
      <w:r w:rsidR="00EC1387">
        <w:t xml:space="preserve"> </w:t>
      </w:r>
      <w:r w:rsidR="00B82456">
        <w:t xml:space="preserve">the meeting </w:t>
      </w:r>
      <w:r w:rsidR="00EC1387">
        <w:t xml:space="preserve">on the </w:t>
      </w:r>
      <w:r w:rsidR="00D631F4">
        <w:t>specific tasks given by CPG</w:t>
      </w:r>
      <w:r w:rsidR="00FB023A">
        <w:t>19-</w:t>
      </w:r>
      <w:r w:rsidR="00283034">
        <w:t xml:space="preserve">8. </w:t>
      </w:r>
      <w:r w:rsidR="002A063F" w:rsidRPr="002A063F">
        <w:t>The meeting noted the information</w:t>
      </w:r>
      <w:r w:rsidR="002A063F">
        <w:t>.</w:t>
      </w:r>
      <w:r w:rsidR="00DD2963">
        <w:t xml:space="preserve"> </w:t>
      </w:r>
      <w:r w:rsidR="005F05E2" w:rsidRPr="00B02E64">
        <w:t>He</w:t>
      </w:r>
      <w:r w:rsidR="005F05E2">
        <w:t xml:space="preserve"> then</w:t>
      </w:r>
      <w:r w:rsidR="005F05E2" w:rsidRPr="00B02E64">
        <w:t xml:space="preserve"> informed the participants on the schedule for the </w:t>
      </w:r>
      <w:r w:rsidR="005F05E2">
        <w:t xml:space="preserve">upcoming </w:t>
      </w:r>
      <w:r w:rsidR="0069054C">
        <w:t xml:space="preserve">(and last) </w:t>
      </w:r>
      <w:r w:rsidR="005F05E2" w:rsidRPr="00B02E64">
        <w:t>CPG meeting.</w:t>
      </w:r>
    </w:p>
    <w:p w:rsidR="00D44703" w:rsidRPr="002F051F" w:rsidRDefault="00F568EB" w:rsidP="00D44703">
      <w:pPr>
        <w:pStyle w:val="Kop1"/>
      </w:pPr>
      <w:r w:rsidRPr="007230E5">
        <w:t>Reports from other Regional Organisations</w:t>
      </w:r>
    </w:p>
    <w:p w:rsidR="00B45F16" w:rsidRDefault="00327FC2" w:rsidP="00B45F16">
      <w:pPr>
        <w:pStyle w:val="ECCParagraph"/>
      </w:pPr>
      <w:r>
        <w:t xml:space="preserve">ETNO provided their positions on </w:t>
      </w:r>
      <w:r w:rsidR="00C63F64">
        <w:t xml:space="preserve">a </w:t>
      </w:r>
      <w:r>
        <w:t xml:space="preserve">number of agenda items, </w:t>
      </w:r>
      <w:r w:rsidR="008F1D62" w:rsidRPr="00A54777">
        <w:t>(19)</w:t>
      </w:r>
      <w:r w:rsidR="008F1D62">
        <w:t xml:space="preserve">INFO </w:t>
      </w:r>
      <w:r w:rsidR="008F1D62" w:rsidRPr="00A54777">
        <w:t>0</w:t>
      </w:r>
      <w:r w:rsidR="00863F3D">
        <w:t>6</w:t>
      </w:r>
      <w:r>
        <w:t>.</w:t>
      </w:r>
      <w:r w:rsidR="00B45F16">
        <w:t xml:space="preserve"> </w:t>
      </w:r>
    </w:p>
    <w:p w:rsidR="00B45F16" w:rsidRPr="002F051F" w:rsidRDefault="00B45F16" w:rsidP="00B45F16">
      <w:pPr>
        <w:pStyle w:val="ECCParagraph"/>
      </w:pPr>
      <w:r w:rsidRPr="008C6E19">
        <w:t xml:space="preserve">The </w:t>
      </w:r>
      <w:r w:rsidR="00327FC2">
        <w:t>C</w:t>
      </w:r>
      <w:r w:rsidR="00425FB0">
        <w:t xml:space="preserve">hairman </w:t>
      </w:r>
      <w:r w:rsidR="008F1D62">
        <w:t>asked</w:t>
      </w:r>
      <w:r w:rsidR="00CC0E6C">
        <w:t xml:space="preserve"> the coordinators</w:t>
      </w:r>
      <w:r w:rsidR="00425FB0">
        <w:t xml:space="preserve"> to </w:t>
      </w:r>
      <w:r w:rsidR="000C6F80">
        <w:t xml:space="preserve">also </w:t>
      </w:r>
      <w:r w:rsidR="008F1D62">
        <w:t>update section 6</w:t>
      </w:r>
      <w:r w:rsidR="00B05E83">
        <w:t xml:space="preserve"> </w:t>
      </w:r>
      <w:r w:rsidR="008F1D62">
        <w:t xml:space="preserve">of their relevant </w:t>
      </w:r>
      <w:r w:rsidR="00C63F64">
        <w:t xml:space="preserve">draft CEPT </w:t>
      </w:r>
      <w:r w:rsidR="008F1D62">
        <w:t>Brief</w:t>
      </w:r>
      <w:r w:rsidR="00B05E83">
        <w:t>, dealing with “Relevant information from outside CEPT”</w:t>
      </w:r>
      <w:r w:rsidR="00425FB0">
        <w:t xml:space="preserve">. </w:t>
      </w:r>
    </w:p>
    <w:p w:rsidR="00D44703" w:rsidRPr="002F051F" w:rsidRDefault="00F568EB" w:rsidP="00D44703">
      <w:pPr>
        <w:pStyle w:val="Kop1"/>
      </w:pPr>
      <w:r w:rsidRPr="007230E5">
        <w:t>Organisation of the work (drafting groups etc</w:t>
      </w:r>
      <w:r>
        <w:t>)</w:t>
      </w:r>
    </w:p>
    <w:p w:rsidR="00863F3D" w:rsidRDefault="007F5F2F" w:rsidP="00D44703">
      <w:pPr>
        <w:pStyle w:val="ECCParagraph"/>
      </w:pPr>
      <w:r>
        <w:t xml:space="preserve">The meeting agreed to work with </w:t>
      </w:r>
      <w:r w:rsidR="00E37017">
        <w:t>D</w:t>
      </w:r>
      <w:r>
        <w:t xml:space="preserve">rafting </w:t>
      </w:r>
      <w:r w:rsidR="00E37017">
        <w:t>G</w:t>
      </w:r>
      <w:r>
        <w:t xml:space="preserve">roups for each WRC-19 </w:t>
      </w:r>
      <w:r w:rsidR="00E343C2">
        <w:t>Ag</w:t>
      </w:r>
      <w:r>
        <w:t xml:space="preserve">enda </w:t>
      </w:r>
      <w:r w:rsidR="00E343C2">
        <w:t>I</w:t>
      </w:r>
      <w:r>
        <w:t xml:space="preserve">tem. These </w:t>
      </w:r>
      <w:r w:rsidR="00E37017">
        <w:t>D</w:t>
      </w:r>
      <w:r>
        <w:t xml:space="preserve">rafting </w:t>
      </w:r>
      <w:r w:rsidR="00E37017">
        <w:t>G</w:t>
      </w:r>
      <w:r>
        <w:t>roups were chaired by the relevant coordinator</w:t>
      </w:r>
      <w:r w:rsidR="00B82456">
        <w:t>s</w:t>
      </w:r>
      <w:r>
        <w:t>.</w:t>
      </w:r>
      <w:r w:rsidR="00D93A2A">
        <w:t xml:space="preserve"> In absence </w:t>
      </w:r>
      <w:r w:rsidR="00A90A10">
        <w:t xml:space="preserve">the </w:t>
      </w:r>
      <w:r w:rsidR="00D93A2A">
        <w:t>of Mr Wouter Jan Ubbel</w:t>
      </w:r>
      <w:r w:rsidR="00C029C6">
        <w:t>s</w:t>
      </w:r>
      <w:r w:rsidR="00D93A2A">
        <w:t xml:space="preserve"> (HOL) the meeting agreed to appoint Mr John Rogers </w:t>
      </w:r>
      <w:r w:rsidR="00C029C6">
        <w:t>(</w:t>
      </w:r>
      <w:r w:rsidR="00EA78F9">
        <w:t>G</w:t>
      </w:r>
      <w:r w:rsidR="00C029C6">
        <w:t xml:space="preserve">) </w:t>
      </w:r>
      <w:r w:rsidR="00D93A2A">
        <w:t>as acting coordinator for agenda item 1.7</w:t>
      </w:r>
      <w:r w:rsidR="00863F3D">
        <w:t>.</w:t>
      </w:r>
    </w:p>
    <w:p w:rsidR="002D45D2" w:rsidRDefault="00B05E83" w:rsidP="002D45D2">
      <w:pPr>
        <w:pStyle w:val="ECCTabletext"/>
      </w:pPr>
      <w:r>
        <w:t>Related to the work o</w:t>
      </w:r>
      <w:r w:rsidR="008F1D62">
        <w:t>n agenda item 10</w:t>
      </w:r>
      <w:r>
        <w:t xml:space="preserve"> (Future Agenda)</w:t>
      </w:r>
      <w:r w:rsidR="00327FC2">
        <w:t>, the C</w:t>
      </w:r>
      <w:r w:rsidR="008F1D62">
        <w:t xml:space="preserve">hairman </w:t>
      </w:r>
      <w:r w:rsidR="002D45D2">
        <w:t>iterated the agreed</w:t>
      </w:r>
      <w:r w:rsidR="008F1D62">
        <w:t xml:space="preserve"> guidelines</w:t>
      </w:r>
      <w:r w:rsidR="00C63F64">
        <w:t xml:space="preserve"> by CPG19-8</w:t>
      </w:r>
      <w:r w:rsidR="008F1D62">
        <w:t xml:space="preserve">. </w:t>
      </w:r>
      <w:r w:rsidR="002D45D2" w:rsidRPr="00E126E5">
        <w:t xml:space="preserve">The </w:t>
      </w:r>
      <w:r w:rsidR="002D45D2" w:rsidRPr="002D45D2">
        <w:t xml:space="preserve">objective of PTA is to deliver one ECP containing all proposals. </w:t>
      </w:r>
      <w:r w:rsidR="002D45D2" w:rsidRPr="00E126E5">
        <w:t xml:space="preserve">It was indicated that at least one Administration must support a proposal to be considered at the PTA-7 meeting. Furthermore proposals must be complete, that means including all required information indicated in the template in Annex 2 to Resolution </w:t>
      </w:r>
      <w:r w:rsidR="002D45D2" w:rsidRPr="00E126E5">
        <w:rPr>
          <w:rStyle w:val="ECCHLbold"/>
        </w:rPr>
        <w:t>804 (Rev.WRC-12)</w:t>
      </w:r>
      <w:r w:rsidR="002D45D2" w:rsidRPr="00E126E5">
        <w:t>.</w:t>
      </w:r>
    </w:p>
    <w:p w:rsidR="00F364EE" w:rsidRDefault="00F364EE" w:rsidP="002D45D2">
      <w:pPr>
        <w:pStyle w:val="ECCTabletext"/>
      </w:pPr>
      <w:r w:rsidRPr="002A063F">
        <w:t>The schedule of the meeting was discussed and approved.</w:t>
      </w:r>
    </w:p>
    <w:p w:rsidR="00D44703" w:rsidRPr="002F051F" w:rsidRDefault="00D44703" w:rsidP="00D44703">
      <w:pPr>
        <w:pStyle w:val="Kop1"/>
      </w:pPr>
      <w:r w:rsidRPr="007230E5">
        <w:t>Introduction</w:t>
      </w:r>
      <w:r w:rsidR="001E405A">
        <w:t xml:space="preserve">, </w:t>
      </w:r>
      <w:r w:rsidRPr="007230E5">
        <w:t xml:space="preserve">discussion </w:t>
      </w:r>
      <w:r w:rsidR="001E405A">
        <w:t xml:space="preserve">and consideration </w:t>
      </w:r>
      <w:r w:rsidRPr="007230E5">
        <w:t>of documents</w:t>
      </w:r>
    </w:p>
    <w:p w:rsidR="00D44703" w:rsidRPr="002F051F" w:rsidRDefault="00D44703" w:rsidP="00D44703">
      <w:pPr>
        <w:pStyle w:val="Kop2"/>
      </w:pPr>
      <w:r w:rsidRPr="00D44703">
        <w:t>Agenda item 1.</w:t>
      </w:r>
      <w:r>
        <w:t>2</w:t>
      </w:r>
    </w:p>
    <w:p w:rsidR="006A5162" w:rsidRDefault="006A5162" w:rsidP="00D44703">
      <w:pPr>
        <w:rPr>
          <w:rStyle w:val="Nadruk"/>
        </w:rPr>
      </w:pPr>
      <w:r w:rsidRPr="006A5162">
        <w:rPr>
          <w:rStyle w:val="Nadruk"/>
        </w:rPr>
        <w:t xml:space="preserve">to consider in-band power limits for earth stations operating in the mobile-satellite service, meteorological-satellite service and Earth exploration-satellite service in the frequency bands 401-403 MHz and 399.9-400.05 MHz, in accordance with Resolution </w:t>
      </w:r>
      <w:r w:rsidRPr="006A5162">
        <w:rPr>
          <w:rStyle w:val="ECCHLbold"/>
        </w:rPr>
        <w:t>765 (WRC-15)</w:t>
      </w:r>
      <w:r w:rsidRPr="006A5162">
        <w:rPr>
          <w:rStyle w:val="Nadruk"/>
        </w:rPr>
        <w:t>;</w:t>
      </w:r>
    </w:p>
    <w:p w:rsidR="00407971" w:rsidRPr="00407971" w:rsidRDefault="00407971" w:rsidP="00407971">
      <w:r w:rsidRPr="00407971">
        <w:t>Input document (1</w:t>
      </w:r>
      <w:r w:rsidR="00A54777">
        <w:t>9</w:t>
      </w:r>
      <w:r w:rsidRPr="00407971">
        <w:t>)</w:t>
      </w:r>
      <w:r w:rsidR="00127628">
        <w:t>093</w:t>
      </w:r>
      <w:r w:rsidRPr="00407971">
        <w:t xml:space="preserve"> w</w:t>
      </w:r>
      <w:r w:rsidR="00DF5F35">
        <w:t>as</w:t>
      </w:r>
      <w:r w:rsidRPr="00407971">
        <w:t xml:space="preserve"> introduced.</w:t>
      </w:r>
    </w:p>
    <w:p w:rsidR="00352177" w:rsidRPr="00352177" w:rsidRDefault="00407971" w:rsidP="00352177">
      <w:r w:rsidRPr="00407971">
        <w:t>The Drafting Group on this issue, chaired by Mr Jean Pla (F), the CEPT coordinator for AI 1.2, consider</w:t>
      </w:r>
      <w:r w:rsidR="00DF5F35">
        <w:t>ed the above mentioned document</w:t>
      </w:r>
      <w:r w:rsidR="00C029C6">
        <w:t>, containing the draft CEPT Brief</w:t>
      </w:r>
      <w:r w:rsidRPr="00407971">
        <w:t>.</w:t>
      </w:r>
      <w:r w:rsidR="00352177">
        <w:t xml:space="preserve"> </w:t>
      </w:r>
      <w:r w:rsidR="00352177" w:rsidRPr="00352177">
        <w:t>The coordinator proposed some changes following the adoption of the ECP at the last CPG. After a short discussion, the meeting agreed with the proposed changes. The coordinator thanked the group for their continuous support during the whole WRC cycle.</w:t>
      </w:r>
    </w:p>
    <w:p w:rsidR="00E75C89" w:rsidRDefault="00E75C89" w:rsidP="00EC6018">
      <w:r w:rsidRPr="00567EFD">
        <w:t xml:space="preserve">The draft CEPT Brief </w:t>
      </w:r>
      <w:r w:rsidR="00EC6018">
        <w:rPr>
          <w:rStyle w:val="ECCHLbold"/>
        </w:rPr>
        <w:t>ANNEX</w:t>
      </w:r>
      <w:r w:rsidR="000B5800">
        <w:rPr>
          <w:rStyle w:val="ECCHLbold"/>
        </w:rPr>
        <w:t xml:space="preserve"> </w:t>
      </w:r>
      <w:r w:rsidR="00327FC2">
        <w:rPr>
          <w:rStyle w:val="ECCHLbold"/>
        </w:rPr>
        <w:t>I</w:t>
      </w:r>
      <w:r w:rsidR="00EC6018">
        <w:rPr>
          <w:rStyle w:val="ECCHLbold"/>
        </w:rPr>
        <w:t>V-02</w:t>
      </w:r>
      <w:r>
        <w:t>, w</w:t>
      </w:r>
      <w:r w:rsidR="00DF5F35">
        <w:t>as</w:t>
      </w:r>
      <w:r w:rsidRPr="00567EFD">
        <w:t xml:space="preserve"> agreed by the meeting and </w:t>
      </w:r>
      <w:r w:rsidR="00DF5F35">
        <w:t>will be sent as a contribution</w:t>
      </w:r>
      <w:r w:rsidR="004D58E7" w:rsidRPr="00786EA0">
        <w:t xml:space="preserve"> </w:t>
      </w:r>
      <w:r w:rsidR="004D58E7">
        <w:t xml:space="preserve">for adoption </w:t>
      </w:r>
      <w:r w:rsidR="004D58E7" w:rsidRPr="00786EA0">
        <w:t>to the CPG19-</w:t>
      </w:r>
      <w:r w:rsidR="00DF5F35">
        <w:t>9</w:t>
      </w:r>
      <w:r w:rsidR="004D58E7" w:rsidRPr="00786EA0">
        <w:t xml:space="preserve"> meeting</w:t>
      </w:r>
      <w:r w:rsidRPr="00567EFD">
        <w:t>.</w:t>
      </w:r>
    </w:p>
    <w:p w:rsidR="00D44703" w:rsidRDefault="00D44703" w:rsidP="00D44703">
      <w:pPr>
        <w:pStyle w:val="Kop2"/>
      </w:pPr>
      <w:r w:rsidRPr="00D44703">
        <w:lastRenderedPageBreak/>
        <w:t>Agenda item 1.</w:t>
      </w:r>
      <w:r>
        <w:t>3</w:t>
      </w:r>
      <w:r w:rsidR="00EC6018">
        <w:t xml:space="preserve"> </w:t>
      </w:r>
    </w:p>
    <w:p w:rsidR="006A5162" w:rsidRPr="006A5162" w:rsidRDefault="006A5162" w:rsidP="006A5162">
      <w:pPr>
        <w:rPr>
          <w:rStyle w:val="Nadruk"/>
          <w:i w:val="0"/>
        </w:rPr>
      </w:pPr>
      <w:r w:rsidRPr="006A5162">
        <w:rPr>
          <w:rStyle w:val="Nadruk"/>
        </w:rPr>
        <w:t xml:space="preserve">to consider possible upgrading of the secondary allocation to the meteorological-satellite service (space-to-Earth) to primary status and a possible primary allocation to the Earth </w:t>
      </w:r>
      <w:r w:rsidR="00D25DD0" w:rsidRPr="006A5162">
        <w:rPr>
          <w:rStyle w:val="Nadruk"/>
        </w:rPr>
        <w:t>exploration satellite</w:t>
      </w:r>
      <w:r w:rsidRPr="006A5162">
        <w:rPr>
          <w:rStyle w:val="Nadruk"/>
        </w:rPr>
        <w:t xml:space="preserve"> service (space-to-Earth) in the frequency band 460-470 MHz, in accordance with Resolution </w:t>
      </w:r>
      <w:r w:rsidRPr="006A5162">
        <w:rPr>
          <w:rStyle w:val="ECCHLbold"/>
        </w:rPr>
        <w:t>766 (WRC-15);</w:t>
      </w:r>
    </w:p>
    <w:p w:rsidR="005A5F35" w:rsidRDefault="005A5F35" w:rsidP="00C556E1">
      <w:r w:rsidRPr="005A5F35">
        <w:t>After the adoption of the ECP at the last CPG meeting, the Drafting Group on this issue, chaired by Mr Ralf Ewald (D), the CEPT coordinator for AI 1.3, had a final review of the CEPT Brief</w:t>
      </w:r>
      <w:r>
        <w:t xml:space="preserve">, </w:t>
      </w:r>
      <w:r w:rsidR="00C63F64">
        <w:t xml:space="preserve">given in </w:t>
      </w:r>
      <w:r>
        <w:t xml:space="preserve">document </w:t>
      </w:r>
      <w:r w:rsidRPr="005A5F35">
        <w:t>CPG(19)101 ANNEX IV-03</w:t>
      </w:r>
      <w:r>
        <w:t xml:space="preserve"> </w:t>
      </w:r>
      <w:r w:rsidRPr="005A5F35">
        <w:t xml:space="preserve">. The only changes </w:t>
      </w:r>
      <w:r w:rsidR="00C029C6">
        <w:t xml:space="preserve">agreed </w:t>
      </w:r>
      <w:r w:rsidRPr="005A5F35">
        <w:t xml:space="preserve">by the drafting group are </w:t>
      </w:r>
      <w:r w:rsidR="00C029C6">
        <w:t>with</w:t>
      </w:r>
      <w:r w:rsidRPr="005A5F35">
        <w:t xml:space="preserve"> regard to section </w:t>
      </w:r>
      <w:r w:rsidR="00FC5751" w:rsidRPr="00FC5751">
        <w:t>6</w:t>
      </w:r>
      <w:r w:rsidR="00A90A10">
        <w:t xml:space="preserve"> on</w:t>
      </w:r>
      <w:r w:rsidR="00FC5751">
        <w:t xml:space="preserve"> Relevant information from outside CEPT</w:t>
      </w:r>
      <w:r w:rsidRPr="005A5F35">
        <w:t>.</w:t>
      </w:r>
    </w:p>
    <w:p w:rsidR="00DF5F35" w:rsidRDefault="00DF5F35" w:rsidP="00DF5F35">
      <w:r w:rsidRPr="00567EFD">
        <w:t xml:space="preserve">The draft CEPT Brief </w:t>
      </w:r>
      <w:r>
        <w:rPr>
          <w:rStyle w:val="ECCHLbold"/>
        </w:rPr>
        <w:t xml:space="preserve">ANNEX </w:t>
      </w:r>
      <w:r w:rsidR="00327FC2">
        <w:rPr>
          <w:rStyle w:val="ECCHLbold"/>
        </w:rPr>
        <w:t>I</w:t>
      </w:r>
      <w:r>
        <w:rPr>
          <w:rStyle w:val="ECCHLbold"/>
        </w:rPr>
        <w:t>V-03</w:t>
      </w:r>
      <w:r>
        <w:t>, was</w:t>
      </w:r>
      <w:r w:rsidRPr="00567EFD">
        <w:t xml:space="preserve"> agreed by the meeting and </w:t>
      </w:r>
      <w:r>
        <w:t>will be sent as a contribution</w:t>
      </w:r>
      <w:r w:rsidRPr="00786EA0">
        <w:t xml:space="preserve"> </w:t>
      </w:r>
      <w:r>
        <w:t xml:space="preserve">for adoption </w:t>
      </w:r>
      <w:r w:rsidRPr="00786EA0">
        <w:t>to the CPG19-</w:t>
      </w:r>
      <w:r>
        <w:t>9</w:t>
      </w:r>
      <w:r w:rsidRPr="00786EA0">
        <w:t xml:space="preserve"> meeting</w:t>
      </w:r>
      <w:r w:rsidRPr="00567EFD">
        <w:t>.</w:t>
      </w:r>
    </w:p>
    <w:p w:rsidR="00D44703" w:rsidRDefault="00D44703" w:rsidP="00D44703">
      <w:pPr>
        <w:pStyle w:val="Kop2"/>
      </w:pPr>
      <w:r w:rsidRPr="00D44703">
        <w:t>Agenda item 1.</w:t>
      </w:r>
      <w:r>
        <w:t>7</w:t>
      </w:r>
    </w:p>
    <w:p w:rsidR="006A5162" w:rsidRPr="006A5162" w:rsidRDefault="006A5162" w:rsidP="006A5162">
      <w:pPr>
        <w:rPr>
          <w:rStyle w:val="Nadruk"/>
        </w:rPr>
      </w:pPr>
      <w:r w:rsidRPr="006A5162">
        <w:rPr>
          <w:rStyle w:val="Nadruk"/>
        </w:rPr>
        <w:t xml:space="preserve">to study the spectrum needs for telemetry, tracking and command in the space operation service for non-GSO satellites with short duration missions, to assess the suitability of existing allocations to the space operation service and, if necessary, to consider new allocations, in accordance with Resolution </w:t>
      </w:r>
      <w:r w:rsidRPr="006A5162">
        <w:rPr>
          <w:rStyle w:val="ECCHLbold"/>
        </w:rPr>
        <w:t>659 (WRC-15)</w:t>
      </w:r>
      <w:r w:rsidRPr="006A5162">
        <w:rPr>
          <w:rStyle w:val="Nadruk"/>
        </w:rPr>
        <w:t>;</w:t>
      </w:r>
    </w:p>
    <w:p w:rsidR="006A5162" w:rsidRPr="006A5162" w:rsidRDefault="008F3D7E" w:rsidP="006A5162">
      <w:r w:rsidRPr="008F3D7E">
        <w:t xml:space="preserve">Input document </w:t>
      </w:r>
      <w:r w:rsidR="00A54777" w:rsidRPr="00A54777">
        <w:t>(19)</w:t>
      </w:r>
      <w:r w:rsidR="00A92C8F">
        <w:t>098</w:t>
      </w:r>
      <w:r w:rsidR="00A54777" w:rsidRPr="00A54777">
        <w:t xml:space="preserve"> </w:t>
      </w:r>
      <w:r w:rsidR="00863F3D">
        <w:t xml:space="preserve">and INFO 011 </w:t>
      </w:r>
      <w:r w:rsidR="00BB041A" w:rsidRPr="00407971">
        <w:t>w</w:t>
      </w:r>
      <w:r w:rsidR="00863F3D">
        <w:t>ere</w:t>
      </w:r>
      <w:r w:rsidR="00BB041A" w:rsidRPr="00407971">
        <w:t xml:space="preserve"> introduced.</w:t>
      </w:r>
      <w:r w:rsidR="008D5625">
        <w:t xml:space="preserve"> </w:t>
      </w:r>
    </w:p>
    <w:p w:rsidR="005415B3" w:rsidRDefault="005415B3" w:rsidP="005415B3">
      <w:r w:rsidRPr="005415B3">
        <w:t xml:space="preserve">The Drafting Group on this issue, chaired by Mr </w:t>
      </w:r>
      <w:r w:rsidR="00863F3D">
        <w:t>John Rogers(G)</w:t>
      </w:r>
      <w:r w:rsidRPr="005415B3">
        <w:t xml:space="preserve">, the </w:t>
      </w:r>
      <w:r w:rsidR="00863F3D">
        <w:t xml:space="preserve">acting </w:t>
      </w:r>
      <w:r w:rsidRPr="005415B3">
        <w:t>coordinator for AI 1.7, considered the above mentioned document</w:t>
      </w:r>
      <w:r w:rsidR="00A92C8F">
        <w:t>s</w:t>
      </w:r>
      <w:r w:rsidRPr="005415B3">
        <w:t>.</w:t>
      </w:r>
      <w:r w:rsidR="005A5F35">
        <w:t xml:space="preserve"> Some small modifications where made on the draft CEPT Brief. PTA made some editorials to the draft ECP.</w:t>
      </w:r>
    </w:p>
    <w:p w:rsidR="005415B3" w:rsidRPr="00F00CEC" w:rsidRDefault="00EE6857" w:rsidP="00F00CEC">
      <w:r w:rsidRPr="00EE6857">
        <w:t>The draft CEPT Brief and draft ECP on AI 1.</w:t>
      </w:r>
      <w:r>
        <w:t>7</w:t>
      </w:r>
      <w:r w:rsidRPr="00EE6857">
        <w:t xml:space="preserve"> contained in </w:t>
      </w:r>
      <w:r w:rsidRPr="00EE6857">
        <w:rPr>
          <w:rStyle w:val="ECCHLbold"/>
        </w:rPr>
        <w:t>ANNEX IV-0</w:t>
      </w:r>
      <w:r>
        <w:rPr>
          <w:rStyle w:val="ECCHLbold"/>
        </w:rPr>
        <w:t>7</w:t>
      </w:r>
      <w:r w:rsidR="004366F4" w:rsidRPr="004366F4">
        <w:rPr>
          <w:rStyle w:val="ECCHLbold"/>
        </w:rPr>
        <w:t xml:space="preserve"> </w:t>
      </w:r>
      <w:r w:rsidRPr="00EE6857">
        <w:t>and</w:t>
      </w:r>
      <w:r w:rsidR="000B5800">
        <w:rPr>
          <w:rStyle w:val="ECCHLbold"/>
        </w:rPr>
        <w:t xml:space="preserve"> ANNEX </w:t>
      </w:r>
      <w:r w:rsidRPr="00EE6857">
        <w:rPr>
          <w:rStyle w:val="ECCHLbold"/>
        </w:rPr>
        <w:t>V-0</w:t>
      </w:r>
      <w:r>
        <w:rPr>
          <w:rStyle w:val="ECCHLbold"/>
        </w:rPr>
        <w:t>7</w:t>
      </w:r>
      <w:r w:rsidRPr="00EE6857">
        <w:rPr>
          <w:rStyle w:val="ECCHLbold"/>
        </w:rPr>
        <w:t xml:space="preserve"> </w:t>
      </w:r>
      <w:r w:rsidRPr="00EE6857">
        <w:t xml:space="preserve">respectively, </w:t>
      </w:r>
      <w:r w:rsidRPr="00F00CEC">
        <w:t xml:space="preserve">were agreed by the meeting and will be sent as contributions to the </w:t>
      </w:r>
      <w:r w:rsidR="00E501BC" w:rsidRPr="00F00CEC">
        <w:t>CPG19-9</w:t>
      </w:r>
      <w:r w:rsidRPr="00F00CEC">
        <w:t xml:space="preserve"> meeting.</w:t>
      </w:r>
      <w:r w:rsidR="005415B3" w:rsidRPr="00F00CEC">
        <w:t xml:space="preserve"> </w:t>
      </w:r>
    </w:p>
    <w:p w:rsidR="00F00CEC" w:rsidRPr="00F00CEC" w:rsidRDefault="00F00CEC" w:rsidP="00F00CEC">
      <w:r w:rsidRPr="00F00CEC">
        <w:t>The Russian Federation expressed that it reserves its position as address</w:t>
      </w:r>
      <w:r w:rsidR="00C63F64">
        <w:t>ed</w:t>
      </w:r>
      <w:r w:rsidRPr="00F00CEC">
        <w:t xml:space="preserve"> in their statements given at the last PTA and CPG meeting</w:t>
      </w:r>
      <w:r w:rsidR="009C4BB8">
        <w:t>s</w:t>
      </w:r>
      <w:r w:rsidRPr="00F00CEC">
        <w:t>.</w:t>
      </w:r>
    </w:p>
    <w:p w:rsidR="00D44703" w:rsidRDefault="00D44703" w:rsidP="00D44703">
      <w:pPr>
        <w:pStyle w:val="Kop2"/>
      </w:pPr>
      <w:r w:rsidRPr="00D44703">
        <w:t>Agenda item 1.</w:t>
      </w:r>
      <w:r>
        <w:t>14</w:t>
      </w:r>
    </w:p>
    <w:p w:rsidR="006A5162" w:rsidRPr="006A5162" w:rsidRDefault="006A5162" w:rsidP="006A5162">
      <w:pPr>
        <w:rPr>
          <w:rStyle w:val="Nadruk"/>
        </w:rPr>
      </w:pPr>
      <w:r w:rsidRPr="006A5162">
        <w:rPr>
          <w:rStyle w:val="Nadruk"/>
        </w:rPr>
        <w:t xml:space="preserve">to consider, on the basis of ITU-R studies in accordance with Resolution </w:t>
      </w:r>
      <w:r w:rsidRPr="006A5162">
        <w:rPr>
          <w:rStyle w:val="ECCHLbold"/>
        </w:rPr>
        <w:t>160 (WRC-15),</w:t>
      </w:r>
      <w:r w:rsidRPr="006A5162">
        <w:rPr>
          <w:rStyle w:val="Nadruk"/>
        </w:rPr>
        <w:t xml:space="preserve"> appropriate regulatory actions for high-altitude platform stations (HAPS), within existing fixed service allocations;</w:t>
      </w:r>
    </w:p>
    <w:p w:rsidR="00C177A7" w:rsidRPr="006A5162" w:rsidRDefault="00A54777" w:rsidP="00C177A7">
      <w:r>
        <w:t xml:space="preserve">Input documents </w:t>
      </w:r>
      <w:r w:rsidR="00B11B52">
        <w:t>(19)0</w:t>
      </w:r>
      <w:r>
        <w:t>9</w:t>
      </w:r>
      <w:r w:rsidR="00B11B52">
        <w:t>4</w:t>
      </w:r>
      <w:r w:rsidRPr="00A54777">
        <w:t>, (19)0</w:t>
      </w:r>
      <w:r w:rsidR="00B11B52">
        <w:t>95</w:t>
      </w:r>
      <w:r w:rsidRPr="00A54777">
        <w:t>, (19)0</w:t>
      </w:r>
      <w:r w:rsidR="00B11B52">
        <w:t>96</w:t>
      </w:r>
      <w:r w:rsidRPr="00A54777">
        <w:t>, (19)0</w:t>
      </w:r>
      <w:r w:rsidR="00B11B52">
        <w:t>97</w:t>
      </w:r>
      <w:r w:rsidR="00685F2F">
        <w:t xml:space="preserve"> and (19)100</w:t>
      </w:r>
      <w:r w:rsidR="00850B10">
        <w:t xml:space="preserve"> </w:t>
      </w:r>
      <w:r w:rsidR="00BB041A" w:rsidRPr="00407971">
        <w:t>were introduced.</w:t>
      </w:r>
      <w:r w:rsidR="008D5625" w:rsidRPr="008D5625">
        <w:t xml:space="preserve"> </w:t>
      </w:r>
    </w:p>
    <w:p w:rsidR="008976EA" w:rsidRDefault="008976EA" w:rsidP="008976EA">
      <w:r w:rsidRPr="008976EA">
        <w:t xml:space="preserve">The Drafting Group on this issue, chaired by Mr Nasarat Ali (G), the CEPT coordinator for AI 1.14, considered the above mentioned documents. </w:t>
      </w:r>
    </w:p>
    <w:p w:rsidR="00846880" w:rsidRDefault="002A47B8" w:rsidP="00846880">
      <w:r w:rsidRPr="002A47B8">
        <w:t xml:space="preserve">PTA was tasked to concentrate its further work on </w:t>
      </w:r>
      <w:r w:rsidR="00A90A10">
        <w:t>Option</w:t>
      </w:r>
      <w:r w:rsidRPr="002A47B8">
        <w:t xml:space="preserve"> B and the modified Option C in a consensus option</w:t>
      </w:r>
      <w:r>
        <w:t>. During the discussions significant progress was made</w:t>
      </w:r>
      <w:r w:rsidR="00846880">
        <w:t xml:space="preserve"> on this issue that resulted in a </w:t>
      </w:r>
      <w:r w:rsidR="00846880" w:rsidRPr="00846880">
        <w:t xml:space="preserve">balanced </w:t>
      </w:r>
      <w:r w:rsidR="00846880">
        <w:t xml:space="preserve">compromise single solution based on Option C. Proponents of both Options B and C expressed their consent on this outcome. </w:t>
      </w:r>
    </w:p>
    <w:p w:rsidR="00846880" w:rsidRDefault="00846880" w:rsidP="00846880">
      <w:r w:rsidRPr="00846880">
        <w:t xml:space="preserve">The draft ECP was </w:t>
      </w:r>
      <w:r>
        <w:t>amended accordingly</w:t>
      </w:r>
      <w:r w:rsidR="005356DB">
        <w:t xml:space="preserve"> on this compromise</w:t>
      </w:r>
      <w:r>
        <w:t xml:space="preserve">. </w:t>
      </w:r>
      <w:r w:rsidRPr="00846880">
        <w:t>Option D was not touched</w:t>
      </w:r>
      <w:r>
        <w:t xml:space="preserve">.. </w:t>
      </w:r>
      <w:r w:rsidR="005356DB" w:rsidRPr="005356DB">
        <w:t xml:space="preserve">It was noted that if CPG decides to adopt Option D then there may be a need </w:t>
      </w:r>
      <w:r w:rsidR="00EB5C8F">
        <w:t xml:space="preserve">to </w:t>
      </w:r>
      <w:r w:rsidR="005356DB" w:rsidRPr="005356DB">
        <w:t>split</w:t>
      </w:r>
      <w:r w:rsidR="005356DB">
        <w:t xml:space="preserve"> </w:t>
      </w:r>
      <w:r w:rsidR="005356DB" w:rsidRPr="005356DB">
        <w:t xml:space="preserve">the </w:t>
      </w:r>
      <w:r w:rsidR="00EB5C8F">
        <w:t xml:space="preserve">proposals </w:t>
      </w:r>
      <w:r w:rsidR="005356DB" w:rsidRPr="005356DB">
        <w:t xml:space="preserve">on the on 28GHz and 31GHz bands </w:t>
      </w:r>
      <w:r w:rsidR="00EB5C8F">
        <w:t xml:space="preserve">in the draft ECP </w:t>
      </w:r>
      <w:r w:rsidR="005356DB" w:rsidRPr="005356DB">
        <w:t>accordingly.</w:t>
      </w:r>
    </w:p>
    <w:p w:rsidR="00F00CEC" w:rsidRPr="00F00CEC" w:rsidRDefault="005356DB" w:rsidP="00F00CEC">
      <w:r>
        <w:t>T</w:t>
      </w:r>
      <w:r w:rsidR="00F00CEC" w:rsidRPr="00F00CEC">
        <w:t xml:space="preserve">he draft CEPT Brief was </w:t>
      </w:r>
      <w:r>
        <w:t xml:space="preserve">aligned with the revised draft ECP, with </w:t>
      </w:r>
      <w:r w:rsidR="00F00CEC" w:rsidRPr="00F00CEC">
        <w:t xml:space="preserve">main changes to the preliminary CEPT Position. The </w:t>
      </w:r>
      <w:r w:rsidR="00327FC2">
        <w:t>c</w:t>
      </w:r>
      <w:r w:rsidR="002A47B8" w:rsidRPr="00F00CEC">
        <w:t>oordinator</w:t>
      </w:r>
      <w:r w:rsidR="00F00CEC" w:rsidRPr="00F00CEC">
        <w:t xml:space="preserve"> was tasked to provide any further updates to the background of the draft CEPT Brief, if necessary, through direct contribution to the next CPG meeting. </w:t>
      </w:r>
    </w:p>
    <w:p w:rsidR="00B23B76" w:rsidRDefault="00EE6857" w:rsidP="004366F4">
      <w:r w:rsidRPr="00EE6857">
        <w:t xml:space="preserve">The draft CEPT Brief </w:t>
      </w:r>
      <w:r w:rsidR="004366F4" w:rsidRPr="004366F4">
        <w:t xml:space="preserve">and draft ECP </w:t>
      </w:r>
      <w:r w:rsidRPr="00EE6857">
        <w:t>on AI 1.</w:t>
      </w:r>
      <w:r>
        <w:t>14</w:t>
      </w:r>
      <w:r w:rsidRPr="00EE6857">
        <w:t xml:space="preserve"> contained in </w:t>
      </w:r>
      <w:r w:rsidRPr="00EE6857">
        <w:rPr>
          <w:rStyle w:val="ECCHLbold"/>
        </w:rPr>
        <w:t>ANNEX IV-</w:t>
      </w:r>
      <w:r>
        <w:rPr>
          <w:rStyle w:val="ECCHLbold"/>
        </w:rPr>
        <w:t>14</w:t>
      </w:r>
      <w:r w:rsidR="004366F4">
        <w:rPr>
          <w:rStyle w:val="ECCHLbold"/>
        </w:rPr>
        <w:t xml:space="preserve"> </w:t>
      </w:r>
      <w:r w:rsidR="004366F4" w:rsidRPr="004366F4">
        <w:t>and</w:t>
      </w:r>
      <w:r w:rsidR="004366F4">
        <w:rPr>
          <w:rStyle w:val="ECCHLbold"/>
        </w:rPr>
        <w:t xml:space="preserve"> ANNEX V-14</w:t>
      </w:r>
      <w:r w:rsidR="004E0243">
        <w:rPr>
          <w:rStyle w:val="ECCHLbold"/>
        </w:rPr>
        <w:t xml:space="preserve"> </w:t>
      </w:r>
      <w:r w:rsidR="004366F4" w:rsidRPr="004366F4">
        <w:t>respectively</w:t>
      </w:r>
      <w:r w:rsidR="004366F4">
        <w:rPr>
          <w:rStyle w:val="ECCHLbold"/>
        </w:rPr>
        <w:t xml:space="preserve"> </w:t>
      </w:r>
      <w:r w:rsidR="004366F4">
        <w:t>were</w:t>
      </w:r>
      <w:r w:rsidRPr="00EE6857">
        <w:t xml:space="preserve"> agreed by the meeting a</w:t>
      </w:r>
      <w:r w:rsidR="004E0243">
        <w:t xml:space="preserve">nd will be sent as </w:t>
      </w:r>
      <w:r w:rsidR="00A323A5">
        <w:t xml:space="preserve">a </w:t>
      </w:r>
      <w:r w:rsidR="004E0243">
        <w:t>contribution</w:t>
      </w:r>
      <w:r w:rsidRPr="00EE6857">
        <w:t xml:space="preserve"> to the </w:t>
      </w:r>
      <w:r w:rsidR="00E501BC">
        <w:t>CPG19-9</w:t>
      </w:r>
      <w:r w:rsidRPr="00EE6857">
        <w:t xml:space="preserve"> meeting.</w:t>
      </w:r>
    </w:p>
    <w:p w:rsidR="00D44703" w:rsidRDefault="00D44703" w:rsidP="00D44703">
      <w:pPr>
        <w:pStyle w:val="Kop2"/>
      </w:pPr>
      <w:r w:rsidRPr="00D44703">
        <w:lastRenderedPageBreak/>
        <w:t>Agenda item 1.</w:t>
      </w:r>
      <w:r>
        <w:t>15</w:t>
      </w:r>
    </w:p>
    <w:p w:rsidR="006A5162" w:rsidRPr="006A5162" w:rsidRDefault="006A5162" w:rsidP="006A5162">
      <w:pPr>
        <w:rPr>
          <w:rStyle w:val="Nadruk"/>
        </w:rPr>
      </w:pPr>
      <w:r w:rsidRPr="006A5162">
        <w:rPr>
          <w:rStyle w:val="Nadruk"/>
        </w:rPr>
        <w:t xml:space="preserve">to consider identification of frequency bands for use by administrations for the landmobile and fixed services applications operating in the frequency range 275-450 GHz, in accordance with Resolution </w:t>
      </w:r>
      <w:r w:rsidRPr="006A5162">
        <w:rPr>
          <w:rStyle w:val="ECCHLbold"/>
        </w:rPr>
        <w:t>767 (WRC-15);</w:t>
      </w:r>
    </w:p>
    <w:p w:rsidR="00723C40" w:rsidRDefault="00BB041A" w:rsidP="00723C40">
      <w:r>
        <w:t>Input document</w:t>
      </w:r>
      <w:r w:rsidR="00114B7C" w:rsidRPr="00114B7C">
        <w:t xml:space="preserve"> (1</w:t>
      </w:r>
      <w:r w:rsidR="00A54777">
        <w:t>9</w:t>
      </w:r>
      <w:r w:rsidR="00114B7C" w:rsidRPr="00114B7C">
        <w:t>)</w:t>
      </w:r>
      <w:r w:rsidR="00A54777">
        <w:t>0</w:t>
      </w:r>
      <w:r w:rsidR="00850B10">
        <w:t>99</w:t>
      </w:r>
      <w:r>
        <w:t xml:space="preserve"> was introduced </w:t>
      </w:r>
      <w:r w:rsidR="00114B7C" w:rsidRPr="00114B7C">
        <w:t>.</w:t>
      </w:r>
    </w:p>
    <w:p w:rsidR="00850B10" w:rsidRDefault="00E25696" w:rsidP="00E25696">
      <w:r w:rsidRPr="00E25696">
        <w:t>The Drafting Group on this issue, chaired by Mr Markus Dreis (</w:t>
      </w:r>
      <w:r w:rsidR="00EB5C8F">
        <w:t>D</w:t>
      </w:r>
      <w:r w:rsidRPr="00E25696">
        <w:t>), the coordinator for AI 1.15, considered the above mentioned input document</w:t>
      </w:r>
      <w:r w:rsidR="00850B10">
        <w:t>.</w:t>
      </w:r>
      <w:r w:rsidR="00810406">
        <w:t xml:space="preserve"> The proposed modifications were </w:t>
      </w:r>
      <w:r w:rsidR="00C63F64">
        <w:t xml:space="preserve">only </w:t>
      </w:r>
      <w:r w:rsidR="00810406">
        <w:t xml:space="preserve">of </w:t>
      </w:r>
      <w:r w:rsidR="00FC5751">
        <w:t xml:space="preserve">an </w:t>
      </w:r>
      <w:r w:rsidR="00810406">
        <w:t>editorial nature.</w:t>
      </w:r>
    </w:p>
    <w:p w:rsidR="00DF5F35" w:rsidRDefault="00DF5F35" w:rsidP="00DF5F35">
      <w:r w:rsidRPr="00567EFD">
        <w:t xml:space="preserve">The draft CEPT Brief </w:t>
      </w:r>
      <w:r>
        <w:rPr>
          <w:rStyle w:val="ECCHLbold"/>
        </w:rPr>
        <w:t xml:space="preserve">ANNEX </w:t>
      </w:r>
      <w:r w:rsidR="00327FC2">
        <w:rPr>
          <w:rStyle w:val="ECCHLbold"/>
        </w:rPr>
        <w:t>I</w:t>
      </w:r>
      <w:r>
        <w:rPr>
          <w:rStyle w:val="ECCHLbold"/>
        </w:rPr>
        <w:t>V-15</w:t>
      </w:r>
      <w:r>
        <w:t>, was</w:t>
      </w:r>
      <w:r w:rsidRPr="00567EFD">
        <w:t xml:space="preserve"> agreed by the meeting and </w:t>
      </w:r>
      <w:r>
        <w:t>will be sent as a contribution</w:t>
      </w:r>
      <w:r w:rsidRPr="00786EA0">
        <w:t xml:space="preserve"> </w:t>
      </w:r>
      <w:r>
        <w:t xml:space="preserve">for adoption </w:t>
      </w:r>
      <w:r w:rsidRPr="00786EA0">
        <w:t>to the CPG19-</w:t>
      </w:r>
      <w:r>
        <w:t>9</w:t>
      </w:r>
      <w:r w:rsidRPr="00786EA0">
        <w:t xml:space="preserve"> meeting</w:t>
      </w:r>
      <w:r w:rsidRPr="00567EFD">
        <w:t>.</w:t>
      </w:r>
    </w:p>
    <w:p w:rsidR="00D44703" w:rsidRDefault="00D44703" w:rsidP="00D44703">
      <w:pPr>
        <w:pStyle w:val="Kop2"/>
      </w:pPr>
      <w:r>
        <w:t>Agenda item 2</w:t>
      </w:r>
    </w:p>
    <w:p w:rsidR="006A5162" w:rsidRPr="006A5162" w:rsidRDefault="00567EFD" w:rsidP="006A5162">
      <w:pPr>
        <w:rPr>
          <w:rStyle w:val="Nadruk"/>
        </w:rPr>
      </w:pPr>
      <w:r w:rsidRPr="00567EFD">
        <w:rPr>
          <w:rStyle w:val="Nadruk"/>
        </w:rPr>
        <w:t xml:space="preserve">to examine the revised ITU-R Recommendations incorporated by reference in the Radio Regulations communicated by the Radiocommunication Assembly, in accordance with Resolution </w:t>
      </w:r>
      <w:r w:rsidRPr="00567EFD">
        <w:rPr>
          <w:rStyle w:val="ECCHLbold"/>
        </w:rPr>
        <w:t>28 (Rev.WRC-15</w:t>
      </w:r>
      <w:r w:rsidRPr="00567EFD">
        <w:rPr>
          <w:rStyle w:val="Nadruk"/>
        </w:rPr>
        <w:t xml:space="preserve">), and to decide whether or not to update the corresponding references in the Radio Regulations, in accordance with the principles contained in Annex 1 to Resolution </w:t>
      </w:r>
      <w:r w:rsidRPr="00567EFD">
        <w:rPr>
          <w:rStyle w:val="ECCHLbold"/>
        </w:rPr>
        <w:t>27 (Rev.WRC-12)</w:t>
      </w:r>
      <w:r w:rsidRPr="00567EFD">
        <w:rPr>
          <w:rStyle w:val="Nadruk"/>
        </w:rPr>
        <w:t>;</w:t>
      </w:r>
    </w:p>
    <w:p w:rsidR="003E5A42" w:rsidRDefault="000364EA" w:rsidP="003E5A42">
      <w:r>
        <w:t>Input document</w:t>
      </w:r>
      <w:r w:rsidR="00FC5751">
        <w:t>s</w:t>
      </w:r>
      <w:r>
        <w:t xml:space="preserve"> (1</w:t>
      </w:r>
      <w:r w:rsidR="00A54777">
        <w:t>9</w:t>
      </w:r>
      <w:r w:rsidR="003E5A42" w:rsidRPr="003E5A42">
        <w:t>)</w:t>
      </w:r>
      <w:r w:rsidR="003E5A42">
        <w:t>0</w:t>
      </w:r>
      <w:r w:rsidR="00850B10">
        <w:t>9</w:t>
      </w:r>
      <w:r w:rsidR="00A54777">
        <w:t>1</w:t>
      </w:r>
      <w:r w:rsidR="00863F3D">
        <w:t>REV1 and (19)101</w:t>
      </w:r>
      <w:r w:rsidR="003E5A42" w:rsidRPr="003E5A42">
        <w:t xml:space="preserve"> w</w:t>
      </w:r>
      <w:r w:rsidR="00863F3D">
        <w:t>ere</w:t>
      </w:r>
      <w:r w:rsidR="003E5A42" w:rsidRPr="003E5A42">
        <w:t xml:space="preserve"> introduced.</w:t>
      </w:r>
    </w:p>
    <w:p w:rsidR="00810406" w:rsidRDefault="003143D6" w:rsidP="003143D6">
      <w:r w:rsidRPr="003143D6">
        <w:t xml:space="preserve">The Drafting Group chaired by Mr. Karel Antousek (CZE), the CEPT coordinator for AI 2, considered the above mentioned documents. </w:t>
      </w:r>
    </w:p>
    <w:p w:rsidR="00810406" w:rsidRDefault="00810406" w:rsidP="003143D6">
      <w:r w:rsidRPr="00810406">
        <w:t xml:space="preserve">Possible merging of Resolutions 27 (REV. WRC-12) and Resolution 28 (REV. WRC-15) was discussed. Based on </w:t>
      </w:r>
      <w:r w:rsidR="00EB5C8F">
        <w:t xml:space="preserve">the </w:t>
      </w:r>
      <w:r w:rsidRPr="00810406">
        <w:t xml:space="preserve">analysis of one </w:t>
      </w:r>
      <w:r w:rsidR="00154073">
        <w:t>A</w:t>
      </w:r>
      <w:r w:rsidRPr="00810406">
        <w:t>dministration</w:t>
      </w:r>
      <w:r w:rsidR="00FC5751">
        <w:t>, the meeting concluded that</w:t>
      </w:r>
      <w:r w:rsidRPr="00810406">
        <w:t xml:space="preserve"> no benefit has been recognized except simplification</w:t>
      </w:r>
      <w:r w:rsidR="00B84086">
        <w:t xml:space="preserve"> of RR. </w:t>
      </w:r>
      <w:r w:rsidRPr="00810406">
        <w:t>Sensitivity of any changes in Resolutions dealing with Recommendation</w:t>
      </w:r>
      <w:r w:rsidR="00FC5751">
        <w:t>s</w:t>
      </w:r>
      <w:r w:rsidRPr="00810406">
        <w:t xml:space="preserve"> incorporated by reference was also considered. Therefore, CEPT </w:t>
      </w:r>
      <w:r w:rsidR="00EB5C8F">
        <w:t>supports no change to these Resolutions</w:t>
      </w:r>
      <w:r w:rsidRPr="00810406">
        <w:t xml:space="preserve"> however possible proposed changes will not be objected if CEPT interest is protected</w:t>
      </w:r>
      <w:r>
        <w:t>.</w:t>
      </w:r>
    </w:p>
    <w:p w:rsidR="00810406" w:rsidRDefault="002E483B" w:rsidP="003143D6">
      <w:bookmarkStart w:id="0" w:name="_Hlk11916678"/>
      <w:r>
        <w:t>N</w:t>
      </w:r>
      <w:r w:rsidR="00810406">
        <w:t xml:space="preserve">o changes </w:t>
      </w:r>
      <w:r>
        <w:t xml:space="preserve">were made </w:t>
      </w:r>
      <w:r w:rsidR="00810406">
        <w:t>to the draft ECP.</w:t>
      </w:r>
    </w:p>
    <w:bookmarkEnd w:id="0"/>
    <w:p w:rsidR="00171144" w:rsidRPr="00B23B76" w:rsidRDefault="00171144" w:rsidP="00F148CF">
      <w:r w:rsidRPr="00171144">
        <w:t xml:space="preserve">The draft CEPT Brief and draft ECP on AI </w:t>
      </w:r>
      <w:r>
        <w:t>2</w:t>
      </w:r>
      <w:r w:rsidRPr="00171144">
        <w:t xml:space="preserve"> contained in </w:t>
      </w:r>
      <w:r w:rsidRPr="00171144">
        <w:rPr>
          <w:rStyle w:val="ECCHLbold"/>
        </w:rPr>
        <w:t>ANNEX IV-1</w:t>
      </w:r>
      <w:r>
        <w:rPr>
          <w:rStyle w:val="ECCHLbold"/>
        </w:rPr>
        <w:t>7</w:t>
      </w:r>
      <w:r w:rsidRPr="00171144">
        <w:rPr>
          <w:rStyle w:val="ECCHLbold"/>
        </w:rPr>
        <w:t xml:space="preserve"> </w:t>
      </w:r>
      <w:r w:rsidRPr="00171144">
        <w:t>and</w:t>
      </w:r>
      <w:r w:rsidRPr="00171144">
        <w:rPr>
          <w:rStyle w:val="ECCHLbold"/>
        </w:rPr>
        <w:t xml:space="preserve"> ANNEX</w:t>
      </w:r>
      <w:r w:rsidR="00EB5C8F">
        <w:rPr>
          <w:rStyle w:val="ECCHLbold"/>
        </w:rPr>
        <w:t xml:space="preserve"> </w:t>
      </w:r>
      <w:r w:rsidRPr="00171144">
        <w:rPr>
          <w:rStyle w:val="ECCHLbold"/>
        </w:rPr>
        <w:t>V-1</w:t>
      </w:r>
      <w:r>
        <w:rPr>
          <w:rStyle w:val="ECCHLbold"/>
        </w:rPr>
        <w:t>7</w:t>
      </w:r>
      <w:r w:rsidRPr="00171144">
        <w:rPr>
          <w:rStyle w:val="ECCHLbold"/>
        </w:rPr>
        <w:t xml:space="preserve"> </w:t>
      </w:r>
      <w:r w:rsidRPr="00171144">
        <w:t>respectively, were agreed by the meeting and will be sent</w:t>
      </w:r>
      <w:r>
        <w:t xml:space="preserve"> as contribut</w:t>
      </w:r>
      <w:r w:rsidR="00380635">
        <w:t xml:space="preserve">ions to the </w:t>
      </w:r>
      <w:r w:rsidR="00E501BC">
        <w:t>CPG19-9</w:t>
      </w:r>
      <w:r w:rsidRPr="00171144">
        <w:t xml:space="preserve"> meeting</w:t>
      </w:r>
    </w:p>
    <w:p w:rsidR="00D44703" w:rsidRDefault="00D44703" w:rsidP="00D44703">
      <w:pPr>
        <w:pStyle w:val="Kop2"/>
      </w:pPr>
      <w:r>
        <w:t>Agenda item 4</w:t>
      </w:r>
    </w:p>
    <w:p w:rsidR="006A5162" w:rsidRPr="006A5162" w:rsidRDefault="00567EFD" w:rsidP="00567EFD">
      <w:pPr>
        <w:rPr>
          <w:rStyle w:val="Nadruk"/>
        </w:rPr>
      </w:pPr>
      <w:r w:rsidRPr="00567EFD">
        <w:rPr>
          <w:rStyle w:val="Nadruk"/>
        </w:rPr>
        <w:t xml:space="preserve">in accordance with Resolution </w:t>
      </w:r>
      <w:r w:rsidRPr="00567EFD">
        <w:rPr>
          <w:rStyle w:val="ECCHLbold"/>
        </w:rPr>
        <w:t>95 (Rev.WRC-07)</w:t>
      </w:r>
      <w:r w:rsidRPr="00567EFD">
        <w:rPr>
          <w:rStyle w:val="Nadruk"/>
        </w:rPr>
        <w:t>, to review the Resolutions and</w:t>
      </w:r>
      <w:r>
        <w:rPr>
          <w:rStyle w:val="Nadruk"/>
        </w:rPr>
        <w:t xml:space="preserve"> </w:t>
      </w:r>
      <w:r w:rsidRPr="00567EFD">
        <w:rPr>
          <w:rStyle w:val="Nadruk"/>
        </w:rPr>
        <w:t>Recommendations of previous conferences with a view to their possible revision, replacement or abrogation;</w:t>
      </w:r>
    </w:p>
    <w:p w:rsidR="00B50115" w:rsidRPr="00B50115" w:rsidRDefault="00B50115" w:rsidP="00B50115">
      <w:r w:rsidRPr="00B50115">
        <w:t xml:space="preserve">Input documents </w:t>
      </w:r>
      <w:r w:rsidR="00A54777" w:rsidRPr="00A54777">
        <w:t>(19)0</w:t>
      </w:r>
      <w:r w:rsidR="00850B10">
        <w:t>92</w:t>
      </w:r>
      <w:r w:rsidR="00863F3D">
        <w:t>REV1 and (19)102</w:t>
      </w:r>
      <w:r w:rsidR="00A54777" w:rsidRPr="00A54777">
        <w:t xml:space="preserve"> </w:t>
      </w:r>
      <w:r w:rsidR="001272DB" w:rsidRPr="001272DB">
        <w:t>on AI 4</w:t>
      </w:r>
      <w:r w:rsidR="001272DB">
        <w:t xml:space="preserve"> </w:t>
      </w:r>
      <w:r w:rsidR="00863F3D">
        <w:t xml:space="preserve">were </w:t>
      </w:r>
      <w:r w:rsidR="00BB041A">
        <w:t>introduced</w:t>
      </w:r>
      <w:r w:rsidRPr="00B50115">
        <w:t>.</w:t>
      </w:r>
      <w:r w:rsidR="00BB041A">
        <w:t xml:space="preserve"> </w:t>
      </w:r>
    </w:p>
    <w:p w:rsidR="00A323A5" w:rsidRDefault="00A323A5" w:rsidP="00A323A5">
      <w:pPr>
        <w:pStyle w:val="ECCParagraph"/>
      </w:pPr>
      <w:r w:rsidRPr="00A323A5">
        <w:t>The Drafting Group on this issue, chaired by Mr. Karel Antousek (CZE), the CEPT coordinator for AI 4, consider</w:t>
      </w:r>
      <w:r w:rsidR="00850B10">
        <w:t>ed the above mentioned document</w:t>
      </w:r>
      <w:r w:rsidR="005B13E2">
        <w:t>s</w:t>
      </w:r>
      <w:r w:rsidRPr="00A323A5">
        <w:t>.</w:t>
      </w:r>
    </w:p>
    <w:p w:rsidR="00F720C5" w:rsidRPr="00F720C5" w:rsidRDefault="00F720C5" w:rsidP="00F720C5">
      <w:r w:rsidRPr="00F720C5">
        <w:t xml:space="preserve">Annex 1 of the Draft CEPT Brief was discussed in detail. It was recognized that </w:t>
      </w:r>
      <w:r w:rsidR="00B84086">
        <w:t xml:space="preserve">a </w:t>
      </w:r>
      <w:r w:rsidRPr="00F720C5">
        <w:t xml:space="preserve">limited number of Resolutions of previous conferences to which CoA (MOD and SUP) is indicated are not accompanied by corresponding </w:t>
      </w:r>
      <w:r w:rsidR="00EB5C8F">
        <w:t>proposals</w:t>
      </w:r>
      <w:r w:rsidRPr="00F720C5">
        <w:t xml:space="preserve">. </w:t>
      </w:r>
      <w:r w:rsidR="00B84086">
        <w:t xml:space="preserve">Therefore </w:t>
      </w:r>
      <w:r w:rsidRPr="00F720C5">
        <w:t xml:space="preserve">PTA has prepared </w:t>
      </w:r>
      <w:r w:rsidR="00B84086">
        <w:t xml:space="preserve">a </w:t>
      </w:r>
      <w:r w:rsidR="00327FC2">
        <w:t xml:space="preserve">Liaison </w:t>
      </w:r>
      <w:r w:rsidR="005B13E2">
        <w:t>S</w:t>
      </w:r>
      <w:r w:rsidR="00327FC2">
        <w:t xml:space="preserve">tatement </w:t>
      </w:r>
      <w:r w:rsidRPr="00F720C5">
        <w:t xml:space="preserve">to invite PTB to prepare </w:t>
      </w:r>
      <w:r w:rsidR="00EB5C8F">
        <w:t>proposals</w:t>
      </w:r>
      <w:r w:rsidRPr="00F720C5">
        <w:t xml:space="preserve"> for the following Resolutions: RES 33 (REV. WRC-15), RES 85 (REV. WRC-03), RES 149 (REV. WRC-12), RES 528 (REV. WRC15) and RES 555 (REV. WRC-15) and provide these </w:t>
      </w:r>
      <w:r w:rsidR="00EB5C8F">
        <w:t>proposals</w:t>
      </w:r>
      <w:r w:rsidRPr="00F720C5">
        <w:t xml:space="preserve"> to </w:t>
      </w:r>
      <w:r w:rsidR="00B84086">
        <w:t xml:space="preserve">the </w:t>
      </w:r>
      <w:r w:rsidR="00327FC2">
        <w:t>coordinator</w:t>
      </w:r>
      <w:r w:rsidRPr="00F720C5">
        <w:t xml:space="preserve"> on AI</w:t>
      </w:r>
      <w:r w:rsidR="00EB5C8F">
        <w:t xml:space="preserve"> </w:t>
      </w:r>
      <w:r w:rsidRPr="00F720C5">
        <w:t xml:space="preserve">4 three weeks prior </w:t>
      </w:r>
      <w:r w:rsidR="00EB5C8F">
        <w:t xml:space="preserve">to the </w:t>
      </w:r>
      <w:r w:rsidRPr="00F720C5">
        <w:t>last CPG meeting in Ankara</w:t>
      </w:r>
      <w:r w:rsidR="009002FC">
        <w:t xml:space="preserve"> (</w:t>
      </w:r>
      <w:r w:rsidR="009002FC" w:rsidRPr="009002FC">
        <w:rPr>
          <w:rStyle w:val="ECCHLbold"/>
        </w:rPr>
        <w:t>ANNEX V</w:t>
      </w:r>
      <w:r w:rsidR="009002FC">
        <w:rPr>
          <w:rStyle w:val="ECCHLbold"/>
        </w:rPr>
        <w:t>I</w:t>
      </w:r>
      <w:r w:rsidR="009002FC" w:rsidRPr="009002FC">
        <w:rPr>
          <w:rStyle w:val="ECCHLbold"/>
        </w:rPr>
        <w:t>-</w:t>
      </w:r>
      <w:r w:rsidR="009002FC">
        <w:rPr>
          <w:rStyle w:val="ECCHLbold"/>
        </w:rPr>
        <w:t>01).</w:t>
      </w:r>
      <w:r w:rsidRPr="00F720C5">
        <w:t xml:space="preserve"> </w:t>
      </w:r>
      <w:r w:rsidR="009C4BB8">
        <w:t>The Russian Federation</w:t>
      </w:r>
      <w:r w:rsidR="00A70335">
        <w:t xml:space="preserve"> indicated that RE</w:t>
      </w:r>
      <w:r w:rsidR="00DB57A5">
        <w:t xml:space="preserve">C </w:t>
      </w:r>
      <w:r w:rsidR="00A70335">
        <w:t>316 could be considered under agenda item 1.8 (WRC-19). After discussion it was decided that it would remain under agenda item 4.</w:t>
      </w:r>
      <w:r w:rsidRPr="00F720C5">
        <w:t xml:space="preserve"> </w:t>
      </w:r>
      <w:r w:rsidR="009C4BB8">
        <w:t>The Russian Federation reserved its position on REC 316.</w:t>
      </w:r>
      <w:r w:rsidRPr="00F720C5">
        <w:t xml:space="preserve"> </w:t>
      </w:r>
    </w:p>
    <w:p w:rsidR="00F720C5" w:rsidRPr="00F720C5" w:rsidRDefault="00AC6791" w:rsidP="00F720C5">
      <w:r>
        <w:lastRenderedPageBreak/>
        <w:t>As a reaction on a</w:t>
      </w:r>
      <w:r w:rsidR="00F720C5" w:rsidRPr="00F720C5">
        <w:t xml:space="preserve"> possible </w:t>
      </w:r>
      <w:r>
        <w:t xml:space="preserve">proposed </w:t>
      </w:r>
      <w:r w:rsidR="00F720C5" w:rsidRPr="00F720C5">
        <w:t>modification of RES 95 (REV. WRC-07)</w:t>
      </w:r>
      <w:r>
        <w:t xml:space="preserve"> by the APG, PTA discussed the issue and decided to </w:t>
      </w:r>
      <w:r w:rsidR="00EB5C8F">
        <w:t xml:space="preserve">propose </w:t>
      </w:r>
      <w:r>
        <w:t>modif</w:t>
      </w:r>
      <w:r w:rsidR="00EB5C8F">
        <w:t>ications to</w:t>
      </w:r>
      <w:r>
        <w:t xml:space="preserve"> RES 95. The main purpose is to retain </w:t>
      </w:r>
      <w:r w:rsidR="00EB5C8F">
        <w:t>r</w:t>
      </w:r>
      <w:r>
        <w:t>esolves 1 and 2 as the current way of working is adequate.</w:t>
      </w:r>
      <w:r w:rsidR="00F720C5" w:rsidRPr="00F720C5">
        <w:t xml:space="preserve"> </w:t>
      </w:r>
    </w:p>
    <w:p w:rsidR="00850B10" w:rsidRDefault="00F720C5" w:rsidP="00F720C5">
      <w:pPr>
        <w:pStyle w:val="ECCParagraph"/>
      </w:pPr>
      <w:r w:rsidRPr="00F720C5">
        <w:t xml:space="preserve">Based on </w:t>
      </w:r>
      <w:r w:rsidR="009002FC">
        <w:t xml:space="preserve">the </w:t>
      </w:r>
      <w:r w:rsidRPr="00F720C5">
        <w:t>outcome of CPM</w:t>
      </w:r>
      <w:r w:rsidR="009002FC">
        <w:t>19-</w:t>
      </w:r>
      <w:r w:rsidRPr="00F720C5">
        <w:t xml:space="preserve">2 it was </w:t>
      </w:r>
      <w:r w:rsidR="00EB5C8F">
        <w:t>noted</w:t>
      </w:r>
      <w:r w:rsidRPr="00F720C5">
        <w:t xml:space="preserve"> that RES 155 (WRC-15) should be taken as </w:t>
      </w:r>
      <w:r w:rsidR="00680711">
        <w:t xml:space="preserve">a </w:t>
      </w:r>
      <w:r w:rsidR="00AC6791">
        <w:t>R</w:t>
      </w:r>
      <w:r w:rsidRPr="00F720C5">
        <w:t>esolution under AI 9.2. After discussion with regard RES 422 (REV. WRC-12)</w:t>
      </w:r>
      <w:r w:rsidR="00AC6791">
        <w:t xml:space="preserve"> </w:t>
      </w:r>
      <w:r w:rsidRPr="00F720C5">
        <w:t xml:space="preserve">it was decided to change </w:t>
      </w:r>
      <w:r w:rsidR="00680711">
        <w:t xml:space="preserve">the </w:t>
      </w:r>
      <w:r w:rsidR="009002FC" w:rsidRPr="009002FC">
        <w:t xml:space="preserve">CoA </w:t>
      </w:r>
      <w:r w:rsidRPr="00F720C5">
        <w:t>from SUP to NOC</w:t>
      </w:r>
      <w:r w:rsidR="002D18A3">
        <w:t xml:space="preserve"> and with </w:t>
      </w:r>
      <w:r w:rsidR="002D18A3" w:rsidRPr="002D18A3">
        <w:t xml:space="preserve">regard RES 641 (REV. HBFC-87) it was decided to change the CoA from </w:t>
      </w:r>
      <w:r w:rsidR="002D18A3">
        <w:t>MOD</w:t>
      </w:r>
      <w:r w:rsidR="002D18A3" w:rsidRPr="002D18A3">
        <w:t xml:space="preserve"> to </w:t>
      </w:r>
      <w:r w:rsidR="002D18A3">
        <w:t>SUP</w:t>
      </w:r>
      <w:r w:rsidRPr="00F720C5">
        <w:t>.</w:t>
      </w:r>
      <w:r w:rsidR="00AC6791" w:rsidRPr="00AC6791">
        <w:t xml:space="preserve"> </w:t>
      </w:r>
      <w:r w:rsidR="00AC6791">
        <w:t xml:space="preserve">The </w:t>
      </w:r>
      <w:r w:rsidR="00680711">
        <w:t xml:space="preserve">draft </w:t>
      </w:r>
      <w:r w:rsidR="00AC6791">
        <w:t>ECP was amended accordingly.</w:t>
      </w:r>
      <w:r w:rsidRPr="00F720C5">
        <w:t xml:space="preserve"> </w:t>
      </w:r>
    </w:p>
    <w:p w:rsidR="00F148CF" w:rsidRDefault="00786EA0" w:rsidP="00F148CF">
      <w:r w:rsidRPr="00786EA0">
        <w:t xml:space="preserve">The draft CEPT Brief and draft ECP </w:t>
      </w:r>
      <w:r>
        <w:t>on AI 4</w:t>
      </w:r>
      <w:r w:rsidRPr="00786EA0">
        <w:t xml:space="preserve"> contained in </w:t>
      </w:r>
      <w:r w:rsidRPr="00786EA0">
        <w:rPr>
          <w:rStyle w:val="ECCHLbold"/>
        </w:rPr>
        <w:t>ANNEX</w:t>
      </w:r>
      <w:r w:rsidR="00EA24D5">
        <w:rPr>
          <w:rStyle w:val="ECCHLbold"/>
        </w:rPr>
        <w:t xml:space="preserve"> </w:t>
      </w:r>
      <w:r w:rsidRPr="00786EA0">
        <w:rPr>
          <w:rStyle w:val="ECCHLbold"/>
        </w:rPr>
        <w:t>IV-</w:t>
      </w:r>
      <w:r>
        <w:rPr>
          <w:rStyle w:val="ECCHLbold"/>
        </w:rPr>
        <w:t>18</w:t>
      </w:r>
      <w:r w:rsidRPr="00786EA0">
        <w:rPr>
          <w:rStyle w:val="ECCHLbold"/>
        </w:rPr>
        <w:t xml:space="preserve"> </w:t>
      </w:r>
      <w:r w:rsidRPr="00786EA0">
        <w:t>and</w:t>
      </w:r>
      <w:r w:rsidRPr="00786EA0">
        <w:rPr>
          <w:rStyle w:val="ECCHLbold"/>
        </w:rPr>
        <w:t xml:space="preserve"> ANNEX</w:t>
      </w:r>
      <w:r w:rsidR="00EA24D5">
        <w:rPr>
          <w:rStyle w:val="ECCHLbold"/>
        </w:rPr>
        <w:t xml:space="preserve"> </w:t>
      </w:r>
      <w:r w:rsidRPr="00786EA0">
        <w:rPr>
          <w:rStyle w:val="ECCHLbold"/>
        </w:rPr>
        <w:t>V-</w:t>
      </w:r>
      <w:r>
        <w:rPr>
          <w:rStyle w:val="ECCHLbold"/>
        </w:rPr>
        <w:t>18</w:t>
      </w:r>
      <w:r w:rsidRPr="00786EA0">
        <w:rPr>
          <w:rStyle w:val="ECCHLbold"/>
        </w:rPr>
        <w:t xml:space="preserve"> </w:t>
      </w:r>
      <w:r w:rsidRPr="00786EA0">
        <w:t xml:space="preserve">respectively, were agreed by the meeting and will be sent as contributions to the </w:t>
      </w:r>
      <w:r w:rsidR="00E501BC">
        <w:t>CPG19-9</w:t>
      </w:r>
      <w:r w:rsidRPr="00786EA0">
        <w:t xml:space="preserve"> meeting.</w:t>
      </w:r>
    </w:p>
    <w:p w:rsidR="00D44703" w:rsidRDefault="00D44703" w:rsidP="00D44703">
      <w:pPr>
        <w:pStyle w:val="Kop2"/>
      </w:pPr>
      <w:r>
        <w:t>Agenda item 8</w:t>
      </w:r>
    </w:p>
    <w:p w:rsidR="006A5162" w:rsidRPr="006A5162" w:rsidRDefault="001E6205" w:rsidP="006A5162">
      <w:pPr>
        <w:rPr>
          <w:rStyle w:val="Nadruk"/>
        </w:rPr>
      </w:pPr>
      <w:r>
        <w:rPr>
          <w:rStyle w:val="Nadruk"/>
        </w:rPr>
        <w:t>t</w:t>
      </w:r>
      <w:r w:rsidR="00567EFD" w:rsidRPr="00567EFD">
        <w:rPr>
          <w:rStyle w:val="Nadruk"/>
        </w:rPr>
        <w:t xml:space="preserve">o consider and take appropriate action on requests from administrations to delete their country footnotes or to have their country name deleted from footnotes, if no longer required, taking into account Resolution </w:t>
      </w:r>
      <w:r w:rsidR="00567EFD" w:rsidRPr="00567EFD">
        <w:rPr>
          <w:rStyle w:val="ECCHLbold"/>
        </w:rPr>
        <w:t>26 (Rev.WRC-07</w:t>
      </w:r>
      <w:r w:rsidR="00567EFD" w:rsidRPr="00567EFD">
        <w:rPr>
          <w:rStyle w:val="Nadruk"/>
        </w:rPr>
        <w:t>);</w:t>
      </w:r>
    </w:p>
    <w:p w:rsidR="00BB041A" w:rsidRDefault="00BB041A" w:rsidP="00BB041A">
      <w:r>
        <w:t>Input document</w:t>
      </w:r>
      <w:r w:rsidRPr="00114B7C">
        <w:t xml:space="preserve"> (1</w:t>
      </w:r>
      <w:r w:rsidR="00942044">
        <w:t>9</w:t>
      </w:r>
      <w:r w:rsidRPr="00114B7C">
        <w:t>)</w:t>
      </w:r>
      <w:r w:rsidR="00863F3D">
        <w:t>104 and INFO 10</w:t>
      </w:r>
      <w:r>
        <w:t xml:space="preserve"> </w:t>
      </w:r>
      <w:r w:rsidR="00F03AD9">
        <w:t>were</w:t>
      </w:r>
      <w:r>
        <w:t xml:space="preserve"> introduced </w:t>
      </w:r>
      <w:r w:rsidRPr="00114B7C">
        <w:t>.</w:t>
      </w:r>
    </w:p>
    <w:p w:rsidR="00680711" w:rsidRDefault="00604FCE" w:rsidP="00B96656">
      <w:r w:rsidRPr="00604FCE">
        <w:t xml:space="preserve">The Drafting Group on this issue, chaired by </w:t>
      </w:r>
      <w:r w:rsidR="002D45D2">
        <w:t xml:space="preserve">Mr </w:t>
      </w:r>
      <w:r w:rsidR="002D45D2" w:rsidRPr="00C70521">
        <w:t>Rahid Alekberli</w:t>
      </w:r>
      <w:r w:rsidR="002D45D2">
        <w:t xml:space="preserve"> (AZE</w:t>
      </w:r>
      <w:r w:rsidRPr="00604FCE">
        <w:t xml:space="preserve">), the CEPT coordinator for AI 8, considered the </w:t>
      </w:r>
      <w:r w:rsidR="00680711">
        <w:t xml:space="preserve">above mentioned </w:t>
      </w:r>
      <w:r w:rsidRPr="00604FCE">
        <w:t>document</w:t>
      </w:r>
      <w:r w:rsidR="00680711">
        <w:t>s</w:t>
      </w:r>
      <w:r w:rsidRPr="00604FCE">
        <w:t xml:space="preserve">. </w:t>
      </w:r>
      <w:r w:rsidR="00B96656" w:rsidRPr="00B96656">
        <w:t>Two proposals for modification to Draft CEPT Brief on WRC-19 Agenda Item 8 about intention to delete the name of country in the footnotes</w:t>
      </w:r>
      <w:r w:rsidR="00B96656">
        <w:t xml:space="preserve"> were received</w:t>
      </w:r>
      <w:r w:rsidR="00680711">
        <w:t xml:space="preserve"> </w:t>
      </w:r>
      <w:r w:rsidR="00680711" w:rsidRPr="00680711">
        <w:t>and addressed in an update of the draft CEPT Brief</w:t>
      </w:r>
      <w:r w:rsidR="00B96656">
        <w:t xml:space="preserve">. </w:t>
      </w:r>
    </w:p>
    <w:p w:rsidR="000D7637" w:rsidRDefault="00B96656" w:rsidP="00B96656">
      <w:r>
        <w:t>A p</w:t>
      </w:r>
      <w:r w:rsidRPr="00B96656">
        <w:t>ossible revision o</w:t>
      </w:r>
      <w:r>
        <w:t>f</w:t>
      </w:r>
      <w:r w:rsidRPr="00B96656">
        <w:t xml:space="preserve"> </w:t>
      </w:r>
      <w:r>
        <w:t xml:space="preserve">the </w:t>
      </w:r>
      <w:r w:rsidRPr="00B96656">
        <w:t xml:space="preserve">modification of Resolution 26 (Rev. WRC-07) </w:t>
      </w:r>
      <w:r>
        <w:t xml:space="preserve">was discussed and it was agreed </w:t>
      </w:r>
      <w:r w:rsidR="00A6749B">
        <w:t>that the existing practice has worked</w:t>
      </w:r>
      <w:r w:rsidR="00FC5751">
        <w:t xml:space="preserve"> adequately and that a NOC </w:t>
      </w:r>
      <w:r w:rsidR="00EA78F9">
        <w:t>is the</w:t>
      </w:r>
      <w:r w:rsidR="00FC5751">
        <w:t xml:space="preserve"> </w:t>
      </w:r>
      <w:r w:rsidR="003509B4">
        <w:t xml:space="preserve">most </w:t>
      </w:r>
      <w:r w:rsidR="00FC5751">
        <w:t>appropriate</w:t>
      </w:r>
      <w:r w:rsidR="00EB5C8F">
        <w:t xml:space="preserve"> way forward</w:t>
      </w:r>
      <w:r w:rsidR="00A6749B">
        <w:t xml:space="preserve">. </w:t>
      </w:r>
    </w:p>
    <w:p w:rsidR="00A6749B" w:rsidRPr="00B96656" w:rsidRDefault="00A6749B" w:rsidP="00B96656">
      <w:r>
        <w:t xml:space="preserve">The preliminary CEPT position </w:t>
      </w:r>
      <w:r w:rsidR="00A85368">
        <w:t xml:space="preserve">and the </w:t>
      </w:r>
      <w:r w:rsidRPr="00A6749B">
        <w:t xml:space="preserve">draft CEPT Brief </w:t>
      </w:r>
      <w:r w:rsidR="00A85368">
        <w:t>were</w:t>
      </w:r>
      <w:r w:rsidRPr="00A6749B">
        <w:t xml:space="preserve"> amended accordingly</w:t>
      </w:r>
      <w:r w:rsidR="00A85368">
        <w:t>.</w:t>
      </w:r>
    </w:p>
    <w:p w:rsidR="00B65042" w:rsidRDefault="00B65042" w:rsidP="00B65042">
      <w:r w:rsidRPr="00942044">
        <w:t xml:space="preserve">It was reminded that the proposals of the CEPT Administrations under WRC-19 AI 8 have to be listed in the Annex </w:t>
      </w:r>
      <w:r>
        <w:t>4</w:t>
      </w:r>
      <w:r w:rsidRPr="00942044">
        <w:t xml:space="preserve"> of the draft CEPT Brief as early as possible; therefore all CEPT Administrations are encouraged to provide their relevant information </w:t>
      </w:r>
      <w:r>
        <w:t>(e.g. deletion/addition/NOC)</w:t>
      </w:r>
      <w:r w:rsidRPr="00942044">
        <w:t xml:space="preserve"> before the </w:t>
      </w:r>
      <w:r w:rsidR="00A85368">
        <w:t>last</w:t>
      </w:r>
      <w:r w:rsidRPr="00942044">
        <w:t xml:space="preserve"> </w:t>
      </w:r>
      <w:r w:rsidR="00A85368">
        <w:t>CPG</w:t>
      </w:r>
      <w:r w:rsidRPr="00942044">
        <w:t xml:space="preserve"> meeting in </w:t>
      </w:r>
      <w:r w:rsidR="00A85368">
        <w:t>August</w:t>
      </w:r>
      <w:r w:rsidRPr="00942044">
        <w:t xml:space="preserve"> 2019.</w:t>
      </w:r>
    </w:p>
    <w:p w:rsidR="00B65042" w:rsidRPr="00942044" w:rsidRDefault="002D18A3" w:rsidP="00B65042">
      <w:r>
        <w:t>Some minor editorial changes</w:t>
      </w:r>
      <w:r w:rsidR="00B65042">
        <w:t xml:space="preserve"> were made to the draft ECP.</w:t>
      </w:r>
    </w:p>
    <w:p w:rsidR="004C6118" w:rsidRPr="00B23B76" w:rsidRDefault="004C6118" w:rsidP="004C6118">
      <w:r w:rsidRPr="00786EA0">
        <w:t xml:space="preserve">The draft CEPT Brief and draft ECP </w:t>
      </w:r>
      <w:r>
        <w:t xml:space="preserve">on AI </w:t>
      </w:r>
      <w:r w:rsidR="00B65042">
        <w:t>8</w:t>
      </w:r>
      <w:r w:rsidR="00B65042" w:rsidRPr="00786EA0">
        <w:t xml:space="preserve"> </w:t>
      </w:r>
      <w:r w:rsidRPr="00786EA0">
        <w:t xml:space="preserve">contained in </w:t>
      </w:r>
      <w:r w:rsidRPr="00786EA0">
        <w:rPr>
          <w:rStyle w:val="ECCHLbold"/>
        </w:rPr>
        <w:t>ANNEX IV-</w:t>
      </w:r>
      <w:r>
        <w:rPr>
          <w:rStyle w:val="ECCHLbold"/>
        </w:rPr>
        <w:t>20</w:t>
      </w:r>
      <w:r w:rsidRPr="00786EA0">
        <w:rPr>
          <w:rStyle w:val="ECCHLbold"/>
        </w:rPr>
        <w:t xml:space="preserve"> </w:t>
      </w:r>
      <w:r w:rsidRPr="00786EA0">
        <w:t>and</w:t>
      </w:r>
      <w:r w:rsidRPr="00786EA0">
        <w:rPr>
          <w:rStyle w:val="ECCHLbold"/>
        </w:rPr>
        <w:t xml:space="preserve"> ANNEX</w:t>
      </w:r>
      <w:r w:rsidR="00EA24D5">
        <w:rPr>
          <w:rStyle w:val="ECCHLbold"/>
        </w:rPr>
        <w:t xml:space="preserve"> </w:t>
      </w:r>
      <w:r w:rsidRPr="00786EA0">
        <w:rPr>
          <w:rStyle w:val="ECCHLbold"/>
        </w:rPr>
        <w:t>V-</w:t>
      </w:r>
      <w:r>
        <w:rPr>
          <w:rStyle w:val="ECCHLbold"/>
        </w:rPr>
        <w:t>20</w:t>
      </w:r>
      <w:r w:rsidRPr="00786EA0">
        <w:rPr>
          <w:rStyle w:val="ECCHLbold"/>
        </w:rPr>
        <w:t xml:space="preserve"> </w:t>
      </w:r>
      <w:r w:rsidRPr="00786EA0">
        <w:t xml:space="preserve">respectively, were agreed by the meeting and will be sent as contributions to the </w:t>
      </w:r>
      <w:r w:rsidR="00E501BC">
        <w:t>CPG19-9</w:t>
      </w:r>
      <w:r w:rsidRPr="00786EA0">
        <w:t xml:space="preserve"> meeting.</w:t>
      </w:r>
    </w:p>
    <w:p w:rsidR="00DF45DE" w:rsidRDefault="00DF45DE" w:rsidP="00DF45DE">
      <w:pPr>
        <w:pStyle w:val="Kop2"/>
      </w:pPr>
      <w:r>
        <w:t>Agenda item 10</w:t>
      </w:r>
    </w:p>
    <w:p w:rsidR="00DF45DE" w:rsidRPr="00917DE8" w:rsidRDefault="00295A4A" w:rsidP="00917DE8">
      <w:pPr>
        <w:rPr>
          <w:rStyle w:val="Nadruk"/>
        </w:rPr>
      </w:pPr>
      <w:r w:rsidRPr="00917DE8">
        <w:rPr>
          <w:rStyle w:val="Nadruk"/>
        </w:rPr>
        <w:t>to recommend to the Council items for inclusion in the agenda for the next WRC, and to give its views on the preliminary agenda for the subsequent conference and on possible agenda items for future conferences, in accordance with Article 7 of the Convention</w:t>
      </w:r>
      <w:r w:rsidR="00DF45DE" w:rsidRPr="00917DE8">
        <w:rPr>
          <w:rStyle w:val="Nadruk"/>
        </w:rPr>
        <w:t>;</w:t>
      </w:r>
    </w:p>
    <w:p w:rsidR="00BB041A" w:rsidRPr="006A5162" w:rsidRDefault="00A54777" w:rsidP="00BB041A">
      <w:r>
        <w:t xml:space="preserve">Input documents </w:t>
      </w:r>
      <w:r w:rsidRPr="00A54777">
        <w:t>(19)0</w:t>
      </w:r>
      <w:r w:rsidR="00850B10">
        <w:t>66</w:t>
      </w:r>
      <w:r w:rsidRPr="00A54777">
        <w:t>, (19)0</w:t>
      </w:r>
      <w:r>
        <w:t>6</w:t>
      </w:r>
      <w:r w:rsidR="00850B10">
        <w:t>7</w:t>
      </w:r>
      <w:r w:rsidR="009523DC">
        <w:t>,</w:t>
      </w:r>
      <w:r w:rsidRPr="00A54777">
        <w:t>, (19)0</w:t>
      </w:r>
      <w:r w:rsidR="00850B10">
        <w:t>68</w:t>
      </w:r>
      <w:r w:rsidR="00F03AD9">
        <w:t>REV1</w:t>
      </w:r>
      <w:r w:rsidRPr="00A54777">
        <w:t xml:space="preserve"> (19)</w:t>
      </w:r>
      <w:r w:rsidR="00850B10">
        <w:t>069</w:t>
      </w:r>
      <w:r w:rsidR="00EB5C8F">
        <w:t>,</w:t>
      </w:r>
      <w:r w:rsidRPr="00A54777">
        <w:t xml:space="preserve"> (19)0</w:t>
      </w:r>
      <w:r w:rsidR="00850B10">
        <w:t>70</w:t>
      </w:r>
      <w:r w:rsidRPr="00A54777">
        <w:t>, (19)0</w:t>
      </w:r>
      <w:r w:rsidR="00850B10">
        <w:t>71</w:t>
      </w:r>
      <w:r w:rsidRPr="00A54777">
        <w:t>, (19)0</w:t>
      </w:r>
      <w:r w:rsidR="00850B10">
        <w:t>72</w:t>
      </w:r>
      <w:r w:rsidRPr="00A54777">
        <w:t xml:space="preserve"> (19)0</w:t>
      </w:r>
      <w:r w:rsidR="00850B10">
        <w:t>73</w:t>
      </w:r>
      <w:r w:rsidRPr="00A54777">
        <w:t>, (19)0</w:t>
      </w:r>
      <w:r w:rsidR="00850B10">
        <w:t>74</w:t>
      </w:r>
      <w:r w:rsidRPr="00A54777">
        <w:t>, (19)0</w:t>
      </w:r>
      <w:r w:rsidR="00850B10">
        <w:t>75</w:t>
      </w:r>
      <w:r w:rsidRPr="00A54777">
        <w:t>, (19)0</w:t>
      </w:r>
      <w:r w:rsidR="00850B10">
        <w:t>76</w:t>
      </w:r>
      <w:r w:rsidRPr="00A54777">
        <w:t>, (19)0</w:t>
      </w:r>
      <w:r w:rsidR="00850B10">
        <w:t>77</w:t>
      </w:r>
      <w:r w:rsidR="00EB5C8F">
        <w:t>,</w:t>
      </w:r>
      <w:r w:rsidRPr="00A54777">
        <w:t xml:space="preserve"> (19)0</w:t>
      </w:r>
      <w:r w:rsidR="00850B10">
        <w:t>78</w:t>
      </w:r>
      <w:r>
        <w:t xml:space="preserve">, </w:t>
      </w:r>
      <w:r w:rsidRPr="00A54777">
        <w:t>(19)0</w:t>
      </w:r>
      <w:r w:rsidR="00850B10">
        <w:t>79REV1</w:t>
      </w:r>
      <w:r w:rsidRPr="00A54777">
        <w:t>, (19)0</w:t>
      </w:r>
      <w:r w:rsidR="00850B10">
        <w:t>80</w:t>
      </w:r>
      <w:r w:rsidRPr="00A54777">
        <w:t>, (19)0</w:t>
      </w:r>
      <w:r w:rsidR="00850B10">
        <w:t>81REV1</w:t>
      </w:r>
      <w:r w:rsidRPr="00A54777">
        <w:t>, (19)0</w:t>
      </w:r>
      <w:r w:rsidR="00850B10">
        <w:t>82</w:t>
      </w:r>
      <w:r w:rsidRPr="00A54777">
        <w:t xml:space="preserve"> (19)0</w:t>
      </w:r>
      <w:r w:rsidR="00850B10">
        <w:t>83</w:t>
      </w:r>
      <w:r w:rsidRPr="00A54777">
        <w:t xml:space="preserve"> (19)0</w:t>
      </w:r>
      <w:r w:rsidR="00850B10">
        <w:t>84</w:t>
      </w:r>
      <w:r w:rsidRPr="00A54777">
        <w:t>, (19)0</w:t>
      </w:r>
      <w:r w:rsidR="00850B10">
        <w:t>85</w:t>
      </w:r>
      <w:r w:rsidRPr="00A54777">
        <w:t>, (19)0</w:t>
      </w:r>
      <w:r w:rsidR="00850B10">
        <w:t>86</w:t>
      </w:r>
      <w:r w:rsidR="00F03AD9">
        <w:t>REV1</w:t>
      </w:r>
      <w:r w:rsidRPr="00A54777">
        <w:t>, (19)0</w:t>
      </w:r>
      <w:r w:rsidR="00850B10">
        <w:t>87</w:t>
      </w:r>
      <w:r w:rsidRPr="00A54777">
        <w:t>, (19)0</w:t>
      </w:r>
      <w:r w:rsidR="00850B10">
        <w:t>88</w:t>
      </w:r>
      <w:r w:rsidRPr="00A54777">
        <w:t>, (19)0</w:t>
      </w:r>
      <w:r w:rsidR="00850B10">
        <w:t>89</w:t>
      </w:r>
      <w:r w:rsidR="00EB5C8F">
        <w:t>,</w:t>
      </w:r>
      <w:r w:rsidRPr="00A54777">
        <w:t xml:space="preserve"> </w:t>
      </w:r>
      <w:r w:rsidR="00850B10" w:rsidRPr="00A54777">
        <w:t>(19)0</w:t>
      </w:r>
      <w:r w:rsidR="00850B10">
        <w:t>90</w:t>
      </w:r>
      <w:r w:rsidR="00F03AD9">
        <w:t>REV1</w:t>
      </w:r>
      <w:r w:rsidR="00850B10" w:rsidRPr="00A54777">
        <w:t>,</w:t>
      </w:r>
      <w:r w:rsidR="00F03AD9">
        <w:t xml:space="preserve"> (19)103,</w:t>
      </w:r>
      <w:r w:rsidR="00850B10" w:rsidRPr="00A54777">
        <w:t xml:space="preserve"> </w:t>
      </w:r>
      <w:r w:rsidR="00850B10">
        <w:t>INFO 05</w:t>
      </w:r>
      <w:r w:rsidR="00F03AD9">
        <w:t>,</w:t>
      </w:r>
      <w:r w:rsidR="00850B10">
        <w:t xml:space="preserve"> </w:t>
      </w:r>
      <w:r w:rsidRPr="00A54777">
        <w:t>INFO 0</w:t>
      </w:r>
      <w:r w:rsidR="00850B10">
        <w:t>7</w:t>
      </w:r>
      <w:r w:rsidR="00F03AD9">
        <w:t>, INFO 09 and INFO 12</w:t>
      </w:r>
      <w:r w:rsidRPr="00A54777">
        <w:t xml:space="preserve"> </w:t>
      </w:r>
      <w:r w:rsidR="00BB041A" w:rsidRPr="00407971">
        <w:t>were introduced.</w:t>
      </w:r>
      <w:r w:rsidR="00BB041A">
        <w:t xml:space="preserve"> </w:t>
      </w:r>
    </w:p>
    <w:p w:rsidR="00DF45DE" w:rsidRDefault="00DF45DE" w:rsidP="00DF45DE">
      <w:pPr>
        <w:pStyle w:val="ECCParagraph"/>
      </w:pPr>
      <w:r w:rsidRPr="003E5A42">
        <w:t>The Drafting Group on this issue, chaired by</w:t>
      </w:r>
      <w:r>
        <w:t xml:space="preserve"> </w:t>
      </w:r>
      <w:r w:rsidRPr="00B160A6">
        <w:t xml:space="preserve">Mr </w:t>
      </w:r>
      <w:r>
        <w:t>Pasi Toivonen</w:t>
      </w:r>
      <w:r w:rsidRPr="00B160A6">
        <w:t xml:space="preserve"> (</w:t>
      </w:r>
      <w:r>
        <w:t>FIN</w:t>
      </w:r>
      <w:r w:rsidRPr="00B160A6">
        <w:t>)</w:t>
      </w:r>
      <w:r w:rsidRPr="003E5A42">
        <w:t xml:space="preserve">, the CEPT coordinator for AI </w:t>
      </w:r>
      <w:r>
        <w:t>10</w:t>
      </w:r>
      <w:r w:rsidRPr="003E5A42">
        <w:t>, considered the above mentioned documents.</w:t>
      </w:r>
    </w:p>
    <w:p w:rsidR="00F00CEC" w:rsidRPr="00F00CEC" w:rsidRDefault="00F00CEC" w:rsidP="00327FC2">
      <w:r w:rsidRPr="00F00CEC">
        <w:t xml:space="preserve">The work concentrated on developing the draft ECP based on the proposals received for this meeting and </w:t>
      </w:r>
      <w:r w:rsidR="00410A2D">
        <w:t xml:space="preserve">on document </w:t>
      </w:r>
      <w:r w:rsidR="00410A2D" w:rsidRPr="00327FC2">
        <w:t>PTA(19)063 ANNEX VI 02</w:t>
      </w:r>
      <w:r w:rsidR="00410A2D">
        <w:rPr>
          <w:rStyle w:val="ECCHLbold"/>
        </w:rPr>
        <w:t xml:space="preserve"> </w:t>
      </w:r>
      <w:r w:rsidR="00410A2D" w:rsidRPr="00410A2D">
        <w:t>from the previous meeting</w:t>
      </w:r>
      <w:r w:rsidRPr="00F00CEC">
        <w:t xml:space="preserve">. </w:t>
      </w:r>
      <w:r w:rsidR="00410A2D">
        <w:t xml:space="preserve">The meeting developed </w:t>
      </w:r>
      <w:r w:rsidR="00B62CB1">
        <w:t xml:space="preserve">successfully </w:t>
      </w:r>
      <w:r w:rsidR="00410A2D">
        <w:t>a</w:t>
      </w:r>
      <w:r w:rsidR="00EB5C8F">
        <w:t xml:space="preserve"> draft</w:t>
      </w:r>
      <w:r w:rsidR="00410A2D">
        <w:t xml:space="preserve"> ECP package t</w:t>
      </w:r>
      <w:r w:rsidR="00B62CB1">
        <w:t xml:space="preserve">hat will </w:t>
      </w:r>
      <w:r w:rsidR="00410A2D">
        <w:t>be considered</w:t>
      </w:r>
      <w:r w:rsidR="00EB5C8F">
        <w:t xml:space="preserve"> for adoption</w:t>
      </w:r>
      <w:r w:rsidR="00410A2D">
        <w:t xml:space="preserve"> at the CPG19-9. </w:t>
      </w:r>
      <w:r w:rsidR="009F57CC">
        <w:t>T</w:t>
      </w:r>
      <w:r w:rsidRPr="00F00CEC">
        <w:t>he draft CEPT Brief was developed further accordingly.</w:t>
      </w:r>
      <w:r w:rsidR="00033114">
        <w:t xml:space="preserve"> </w:t>
      </w:r>
      <w:r w:rsidR="00033114" w:rsidRPr="00033114">
        <w:t xml:space="preserve">It was pointed out by the meeting that </w:t>
      </w:r>
      <w:r w:rsidR="00DE547F">
        <w:t xml:space="preserve">the proposed </w:t>
      </w:r>
      <w:r w:rsidR="00033114" w:rsidRPr="00033114">
        <w:t>AI 1.1</w:t>
      </w:r>
      <w:r w:rsidR="00033114">
        <w:t>7</w:t>
      </w:r>
      <w:r w:rsidR="00033114" w:rsidRPr="00033114">
        <w:t xml:space="preserve"> </w:t>
      </w:r>
      <w:r w:rsidR="00DE547F">
        <w:t>(</w:t>
      </w:r>
      <w:r w:rsidR="00033114" w:rsidRPr="00033114">
        <w:t xml:space="preserve">to determine, reassess and carry out </w:t>
      </w:r>
      <w:r w:rsidR="00033114" w:rsidRPr="00033114">
        <w:lastRenderedPageBreak/>
        <w:t xml:space="preserve">appropriate regulatory actions for determining additional allocations to the mobile-satellite service </w:t>
      </w:r>
      <w:r w:rsidR="00033114">
        <w:t>between</w:t>
      </w:r>
      <w:r w:rsidR="00033114" w:rsidRPr="00033114">
        <w:t xml:space="preserve"> 1.5 GHz and 6 GHz</w:t>
      </w:r>
      <w:r w:rsidR="00DE547F">
        <w:t>)</w:t>
      </w:r>
      <w:r w:rsidR="00033114" w:rsidRPr="00033114">
        <w:t>, should</w:t>
      </w:r>
      <w:r w:rsidR="00DE547F">
        <w:t xml:space="preserve"> reduce </w:t>
      </w:r>
      <w:r w:rsidR="00033114" w:rsidRPr="00033114">
        <w:t>the range to exact band proposals.</w:t>
      </w:r>
    </w:p>
    <w:p w:rsidR="00F00CEC" w:rsidRPr="00F00CEC" w:rsidRDefault="00F00CEC" w:rsidP="00F00CEC">
      <w:pPr>
        <w:pStyle w:val="ECCParagraph"/>
      </w:pPr>
      <w:r w:rsidRPr="00F00CEC">
        <w:t xml:space="preserve">Information on the origin of the new proposals as included in the draft ECP can be found </w:t>
      </w:r>
      <w:r w:rsidRPr="009F57CC">
        <w:rPr>
          <w:rStyle w:val="ECCHLbold"/>
        </w:rPr>
        <w:t>ANNEX VI-0</w:t>
      </w:r>
      <w:r w:rsidR="009F57CC">
        <w:rPr>
          <w:rStyle w:val="ECCHLbold"/>
        </w:rPr>
        <w:t>3</w:t>
      </w:r>
      <w:r w:rsidRPr="00F00CEC">
        <w:t xml:space="preserve"> </w:t>
      </w:r>
    </w:p>
    <w:p w:rsidR="00F00CEC" w:rsidRPr="00604BD4" w:rsidRDefault="00F00CEC" w:rsidP="00604BD4">
      <w:pPr>
        <w:rPr>
          <w:lang w:val="en-US"/>
        </w:rPr>
      </w:pPr>
      <w:r w:rsidRPr="00F00CEC">
        <w:t xml:space="preserve">The meeting was not able to include some of the proposals for new agenda items. Details of these proposals and reasoning why they were not included in the draft ECP can be found in </w:t>
      </w:r>
      <w:r w:rsidRPr="009F57CC">
        <w:rPr>
          <w:rStyle w:val="ECCHLbold"/>
        </w:rPr>
        <w:t>ANNEX VI-02</w:t>
      </w:r>
      <w:r w:rsidRPr="00F00CEC">
        <w:t>.</w:t>
      </w:r>
      <w:r w:rsidR="002D18A3">
        <w:t xml:space="preserve"> </w:t>
      </w:r>
      <w:r w:rsidR="002D18A3" w:rsidRPr="002D18A3">
        <w:t>The meeting has worked on the basis of not including proposals into draft ECP on AI10 when there is opposition from 6 or more administrations at the current PTA meeting</w:t>
      </w:r>
      <w:r w:rsidR="00033114">
        <w:t xml:space="preserve"> in order to meet the objective to deliver one single draft ECP containing proposals for possible approval at the upcoming CPG meeting</w:t>
      </w:r>
      <w:r w:rsidR="002D18A3" w:rsidRPr="002D18A3">
        <w:t>. The proposals which were not included in the draft ECP on AI 10 may be submitted by the interested administrations to the next CPG meeting.</w:t>
      </w:r>
    </w:p>
    <w:p w:rsidR="00F00CEC" w:rsidRPr="00F00CEC" w:rsidRDefault="00F00CEC" w:rsidP="00F00CEC">
      <w:pPr>
        <w:pStyle w:val="ECCParagraph"/>
      </w:pPr>
      <w:r w:rsidRPr="00F00CEC">
        <w:t>In addition to the proposals for agenda items for WRC-23 the draft ECP includes proposals:</w:t>
      </w:r>
    </w:p>
    <w:p w:rsidR="00EB5C8F" w:rsidRPr="00EB5C8F" w:rsidRDefault="00EB5C8F" w:rsidP="00EB5C8F">
      <w:pPr>
        <w:pStyle w:val="ECCBulletsLv1"/>
      </w:pPr>
      <w:r w:rsidRPr="00EB5C8F">
        <w:t>to suppress the Resolution 161 (WRC-15) based on the decision at this meeting not to support the preliminary agenda item 2.4 as included in Resolution 810 (WRC-15)</w:t>
      </w:r>
    </w:p>
    <w:p w:rsidR="00EB5C8F" w:rsidRDefault="00EB5C8F" w:rsidP="00EB5C8F">
      <w:pPr>
        <w:pStyle w:val="ECCBulletsLv1"/>
      </w:pPr>
      <w:r w:rsidRPr="00EB5C8F">
        <w:t>to modify Resolution 657 (WRC-15) for preliminary agenda 2.3 item based on document PTA(19)79REV1</w:t>
      </w:r>
    </w:p>
    <w:p w:rsidR="00EB5C8F" w:rsidRDefault="00EB5C8F" w:rsidP="00EB5C8F">
      <w:pPr>
        <w:pStyle w:val="ECCBulletsLv1"/>
      </w:pPr>
      <w:r w:rsidRPr="00EB5C8F">
        <w:t>to modify Resolution 804 (WRC-15) based on an earlier decision by PTA</w:t>
      </w:r>
    </w:p>
    <w:p w:rsidR="00850B10" w:rsidRDefault="00F00CEC" w:rsidP="00EB5C8F">
      <w:pPr>
        <w:pStyle w:val="ECCParagraph"/>
      </w:pPr>
      <w:r w:rsidRPr="00F00CEC">
        <w:t>Fo</w:t>
      </w:r>
      <w:r w:rsidR="00B62CB1">
        <w:t>r the final meeting of CPG</w:t>
      </w:r>
      <w:r w:rsidR="007B6A21">
        <w:t>,</w:t>
      </w:r>
      <w:r w:rsidR="00B62CB1">
        <w:t xml:space="preserve"> the A</w:t>
      </w:r>
      <w:r w:rsidRPr="00F00CEC">
        <w:t xml:space="preserve">dministrations are further requested to consider possibilities to merge some of new agenda items included in the draft ECP as well </w:t>
      </w:r>
      <w:r w:rsidR="00410A2D">
        <w:t xml:space="preserve">as </w:t>
      </w:r>
      <w:r w:rsidRPr="00F00CEC">
        <w:t xml:space="preserve">to consider providing some more details </w:t>
      </w:r>
      <w:r w:rsidR="00410A2D">
        <w:t>o</w:t>
      </w:r>
      <w:r w:rsidRPr="00F00CEC">
        <w:t>n the scope of the agenda item</w:t>
      </w:r>
      <w:r w:rsidR="00410A2D">
        <w:t>s</w:t>
      </w:r>
      <w:r w:rsidRPr="00F00CEC">
        <w:t xml:space="preserve">.  </w:t>
      </w:r>
    </w:p>
    <w:p w:rsidR="00850B10" w:rsidRDefault="00850B10" w:rsidP="00DF45DE">
      <w:pPr>
        <w:pStyle w:val="ECCParagraph"/>
      </w:pPr>
    </w:p>
    <w:p w:rsidR="009966EC" w:rsidRPr="009966EC" w:rsidRDefault="009966EC" w:rsidP="009966EC">
      <w:r w:rsidRPr="009966EC">
        <w:t>The</w:t>
      </w:r>
      <w:r w:rsidR="00EE2515">
        <w:t xml:space="preserve"> representative of the </w:t>
      </w:r>
      <w:r w:rsidRPr="009966EC">
        <w:t xml:space="preserve">European Commission (EC) </w:t>
      </w:r>
      <w:r w:rsidR="00EE2515">
        <w:t>stated that</w:t>
      </w:r>
      <w:r w:rsidR="00290BE3">
        <w:t>,</w:t>
      </w:r>
      <w:r w:rsidRPr="009966EC">
        <w:t xml:space="preserve"> RNSS systems are global by nature, and that the radio amateur service is allocated in all regions. Once RNSS receivers (including Galileo E6 receivers) are deployed ubiquitously, the number of interference cases coming from radio amateur emissions will increase significantly and represent an important burden to </w:t>
      </w:r>
      <w:r w:rsidR="00154073">
        <w:t>A</w:t>
      </w:r>
      <w:r w:rsidRPr="009966EC">
        <w:t>dministrations, unless clear guidelines are available in order to drive the amateur community towards an appropriate usage of their allocation.</w:t>
      </w:r>
    </w:p>
    <w:p w:rsidR="009966EC" w:rsidRPr="009966EC" w:rsidRDefault="009966EC" w:rsidP="009966EC">
      <w:r w:rsidRPr="009966EC">
        <w:t>For these reasons, the EC believes that the French proposal of a WRC-23 agenda item is essential in order to complement the work being started within CEPT, and to find a sustainable solution for all parties. Also, the EC considers that WRC-23 is the right time for a decision enabling the better regulation of the RNSS-amateur coexistence at international level, as Galileo will start providing freely available high accuracy services in the 1260-1300 MHz band on a global basis from 2020.</w:t>
      </w:r>
    </w:p>
    <w:p w:rsidR="009966EC" w:rsidRPr="009966EC" w:rsidRDefault="009966EC" w:rsidP="009966EC">
      <w:r w:rsidRPr="009966EC">
        <w:t>T</w:t>
      </w:r>
      <w:r w:rsidR="00154073">
        <w:t>he EC noted that some of the 7 A</w:t>
      </w:r>
      <w:r w:rsidRPr="009966EC">
        <w:t>dministrations which objected to the French contribution are open to consider a revised version of the proposal, and therefore believes that relevant support may be achievable at CPG level, following further discussions until end August.</w:t>
      </w:r>
    </w:p>
    <w:p w:rsidR="00290BE3" w:rsidRDefault="00290BE3" w:rsidP="00187D83"/>
    <w:p w:rsidR="00187D83" w:rsidRPr="00187D83" w:rsidRDefault="00EE2515" w:rsidP="00187D83">
      <w:r>
        <w:t xml:space="preserve">The representative of the </w:t>
      </w:r>
      <w:r w:rsidR="00187D83" w:rsidRPr="00187D83">
        <w:t>IARU</w:t>
      </w:r>
      <w:r>
        <w:t xml:space="preserve"> stated that, t</w:t>
      </w:r>
      <w:r w:rsidR="00187D83" w:rsidRPr="00187D83">
        <w:t>he IARU views with grave concern the element of the WRC-23 agenda item proposal 1.6 in the AI10 ECP, on studies towards a possible new allocation to the aeronautical mobile service in the band 144-146 MHz. This band is an important and the only globally harmonised primary allocation to the amateur and amateur satellite services in the VHF range. Examination of the RR below and above the 144-146 MHz range suggests that alternative proposals could be developed that could provide further spectrum for the aeronautical applications without impacting on this amateur service spectrum. The proposal provides no justification for addressing this band and the IARU believes that sharing with airborne systems is likely to be difficult and will lead to constraints on the development of the amateur and amateur satellite services in this band.</w:t>
      </w:r>
    </w:p>
    <w:p w:rsidR="00290BE3" w:rsidRDefault="00290BE3" w:rsidP="00B62CB1"/>
    <w:p w:rsidR="00C33EF7" w:rsidRPr="00B62CB1" w:rsidRDefault="00E501BC" w:rsidP="00B62CB1">
      <w:r w:rsidRPr="00B62CB1">
        <w:t>The</w:t>
      </w:r>
      <w:r w:rsidR="00290BE3">
        <w:t xml:space="preserve"> representative of</w:t>
      </w:r>
      <w:r w:rsidRPr="00B62CB1">
        <w:t xml:space="preserve"> ETNO </w:t>
      </w:r>
      <w:r w:rsidR="00290BE3">
        <w:t>stated that t</w:t>
      </w:r>
      <w:r w:rsidR="00C33EF7" w:rsidRPr="00B62CB1">
        <w:t xml:space="preserve">his PTA meeting has received proposals from Administrations to consider the ranges 3800-4200 MHz and 6425-7125 MHz for a new IMT agenda item for WRC-23. ETNO noted the concerns expressed by some Administrations in relation to these proposals but also some support from other Administrations. ETNO supports appropriate consideration of these bands by CEPT. </w:t>
      </w:r>
    </w:p>
    <w:p w:rsidR="00E501BC" w:rsidRPr="00B62CB1" w:rsidRDefault="00C33EF7" w:rsidP="00B62CB1">
      <w:r w:rsidRPr="00B62CB1">
        <w:lastRenderedPageBreak/>
        <w:t>ETNO is of the view that additional spectrum in the range 3 to 24 GHz will be required to provide, in the time frame 2025-2030, enough capacity with high bandwidth and still good coverage properties to secure successful 5G expansion and to cope with the long-term demand of high quality 5G services from citizens in Europe.</w:t>
      </w:r>
    </w:p>
    <w:p w:rsidR="00E501BC" w:rsidRDefault="00E501BC" w:rsidP="00DF45DE">
      <w:pPr>
        <w:pStyle w:val="ECCParagraph"/>
      </w:pPr>
    </w:p>
    <w:p w:rsidR="00E501BC" w:rsidRDefault="00E501BC" w:rsidP="00E81B9F">
      <w:pPr>
        <w:pStyle w:val="ECCParagraph"/>
      </w:pPr>
      <w:r w:rsidRPr="00E501BC">
        <w:t xml:space="preserve">The draft CEPT Brief and draft ECP on AI </w:t>
      </w:r>
      <w:r>
        <w:t>10-</w:t>
      </w:r>
      <w:r w:rsidRPr="00E501BC">
        <w:t xml:space="preserve"> contained in </w:t>
      </w:r>
      <w:r w:rsidRPr="00E501BC">
        <w:rPr>
          <w:rStyle w:val="ECCHLbold"/>
        </w:rPr>
        <w:t>ANNEX IV-2</w:t>
      </w:r>
      <w:r>
        <w:rPr>
          <w:rStyle w:val="ECCHLbold"/>
        </w:rPr>
        <w:t>4</w:t>
      </w:r>
      <w:r w:rsidRPr="00E501BC">
        <w:rPr>
          <w:rStyle w:val="ECCHLbold"/>
        </w:rPr>
        <w:t xml:space="preserve"> </w:t>
      </w:r>
      <w:r w:rsidRPr="00E501BC">
        <w:t>and</w:t>
      </w:r>
      <w:r w:rsidR="00EA24D5">
        <w:rPr>
          <w:rStyle w:val="ECCHLbold"/>
        </w:rPr>
        <w:t xml:space="preserve"> ANNEX </w:t>
      </w:r>
      <w:r w:rsidRPr="00E501BC">
        <w:rPr>
          <w:rStyle w:val="ECCHLbold"/>
        </w:rPr>
        <w:t>V-</w:t>
      </w:r>
      <w:r>
        <w:rPr>
          <w:rStyle w:val="ECCHLbold"/>
        </w:rPr>
        <w:t>24</w:t>
      </w:r>
      <w:r w:rsidRPr="00E501BC">
        <w:rPr>
          <w:rStyle w:val="ECCHLbold"/>
        </w:rPr>
        <w:t xml:space="preserve"> </w:t>
      </w:r>
      <w:r w:rsidRPr="00E501BC">
        <w:t>respectively, were agreed by the meeting</w:t>
      </w:r>
      <w:r w:rsidR="00143EDC">
        <w:t>. The draft ECP will be further edited</w:t>
      </w:r>
      <w:r w:rsidR="00EA24D5">
        <w:t xml:space="preserve"> and </w:t>
      </w:r>
      <w:r w:rsidR="00143EDC">
        <w:t xml:space="preserve">will be sent to the CPG19-9 for </w:t>
      </w:r>
      <w:r w:rsidR="00EA24D5">
        <w:t xml:space="preserve">its </w:t>
      </w:r>
      <w:r w:rsidR="00143EDC">
        <w:t>consideration</w:t>
      </w:r>
      <w:r w:rsidR="00EA24D5">
        <w:t xml:space="preserve"> and final </w:t>
      </w:r>
      <w:r w:rsidR="00E81E82">
        <w:t>approval</w:t>
      </w:r>
      <w:r w:rsidR="00143EDC">
        <w:t>.</w:t>
      </w:r>
    </w:p>
    <w:p w:rsidR="007C64D0" w:rsidRDefault="007C64D0" w:rsidP="00E81B9F">
      <w:pPr>
        <w:pStyle w:val="ECCParagraph"/>
      </w:pPr>
    </w:p>
    <w:p w:rsidR="00F00CEC" w:rsidRPr="00F00CEC" w:rsidRDefault="00F00CEC" w:rsidP="00F00CEC">
      <w:pPr>
        <w:rPr>
          <w:rStyle w:val="Nadruk"/>
          <w:lang w:val="en-US"/>
        </w:rPr>
      </w:pPr>
      <w:r w:rsidRPr="00F00CEC">
        <w:rPr>
          <w:rStyle w:val="Nadruk"/>
        </w:rPr>
        <w:t>Statement of the Russian Federation on the proposed AI 1.6 and 1.7 for WRC-23</w:t>
      </w:r>
    </w:p>
    <w:p w:rsidR="00F00CEC" w:rsidRPr="00F00CEC" w:rsidRDefault="00F00CEC" w:rsidP="00F00CEC">
      <w:pPr>
        <w:rPr>
          <w:rStyle w:val="Nadruk"/>
        </w:rPr>
      </w:pPr>
      <w:r w:rsidRPr="00F00CEC">
        <w:rPr>
          <w:rStyle w:val="Nadruk"/>
        </w:rPr>
        <w:t>Frequency bands below 1 GHz are actively used by different radio services. Changing the existing allocations “Mobile, except aeronautical mobile” to “Mobile” or introducing new allocations for the Aeronautical mobile service (AMS) will have a large negative impact on the existing services, such as ARNS and Broadcasting service. The compatibility of ARNS and AMS is extremely difficult and will require the use of significant protection distances. As for 694-960 MHz band, aeronautical applications have never before been considered within IMT, thus the use of frequency bands identified for IMT for aeronautical applications will require a revision of all previously adopted conditions for the use of Mobile service, including IMT, in this band.</w:t>
      </w:r>
    </w:p>
    <w:p w:rsidR="00F00CEC" w:rsidRPr="00F00CEC" w:rsidRDefault="00F00CEC" w:rsidP="00F00CEC">
      <w:pPr>
        <w:rPr>
          <w:rStyle w:val="Nadruk"/>
        </w:rPr>
      </w:pPr>
      <w:r w:rsidRPr="00F00CEC">
        <w:rPr>
          <w:rStyle w:val="Nadruk"/>
        </w:rPr>
        <w:t>Moreover, it is obvious that the introduction of aeronautical applications in the proposed frequency bands requires a significant limitation of the technical parameters, operational scenarios and conditions for such new systems (i.e. flight height, radiated power etc.).</w:t>
      </w:r>
    </w:p>
    <w:p w:rsidR="00F00CEC" w:rsidRDefault="00F00CEC" w:rsidP="00F00CEC">
      <w:pPr>
        <w:rPr>
          <w:rStyle w:val="Nadruk"/>
        </w:rPr>
      </w:pPr>
      <w:r w:rsidRPr="00F00CEC">
        <w:rPr>
          <w:rStyle w:val="Nadruk"/>
        </w:rPr>
        <w:t>However, the current proposals for WRC-23 agenda items do not pay due consideration on necessary for such restrictions.</w:t>
      </w:r>
    </w:p>
    <w:p w:rsidR="00CF4D21" w:rsidRDefault="00CF4D21" w:rsidP="00F00CEC">
      <w:pPr>
        <w:rPr>
          <w:rStyle w:val="Nadruk"/>
        </w:rPr>
      </w:pPr>
      <w:r>
        <w:rPr>
          <w:rStyle w:val="Nadruk"/>
        </w:rPr>
        <w:t>Furthermore statement of the Russian Federation on SRS issue</w:t>
      </w:r>
    </w:p>
    <w:p w:rsidR="009C4BB8" w:rsidRPr="00604BD4" w:rsidRDefault="00CF4D21" w:rsidP="00F00CEC">
      <w:pPr>
        <w:rPr>
          <w:rStyle w:val="Nadruk"/>
          <w:lang w:val="en-US"/>
        </w:rPr>
      </w:pPr>
      <w:r w:rsidRPr="00604BD4">
        <w:rPr>
          <w:rStyle w:val="Nadruk"/>
        </w:rPr>
        <w:t>The Russian Federation supports new agenda item for WRC-23 on upgrade of SRS allocation in 14.8-15.35 GHz band and proposes CEPT to include it in the ECP on AI 10 of WRC-19. However, this proposal was not included in the draft ECP on AI 10, mainly due to the usage of military applications in several CEPT countries in this band. The Russian Federation is of the view that proposed SRS location upgrade will support future developments of space science projects in CEPT and globally and SRS systems coexistence with other services could be achieved under certain technical conditions  (contained in existing ITU-R Recommendations) and associated regulatory provisions.</w:t>
      </w:r>
    </w:p>
    <w:p w:rsidR="0093434D" w:rsidRDefault="0093434D" w:rsidP="00F00CEC">
      <w:pPr>
        <w:rPr>
          <w:rStyle w:val="Nadruk"/>
        </w:rPr>
      </w:pPr>
    </w:p>
    <w:p w:rsidR="0093434D" w:rsidRPr="0093434D" w:rsidRDefault="0093434D" w:rsidP="0093434D">
      <w:pPr>
        <w:rPr>
          <w:rStyle w:val="Nadruk"/>
        </w:rPr>
      </w:pPr>
      <w:r w:rsidRPr="0093434D">
        <w:rPr>
          <w:rStyle w:val="Nadruk"/>
        </w:rPr>
        <w:t>Statement from Finland:</w:t>
      </w:r>
    </w:p>
    <w:p w:rsidR="0093434D" w:rsidRPr="0093434D" w:rsidRDefault="0093434D" w:rsidP="0093434D">
      <w:pPr>
        <w:rPr>
          <w:rStyle w:val="Nadruk"/>
        </w:rPr>
      </w:pPr>
      <w:r w:rsidRPr="0093434D">
        <w:rPr>
          <w:rStyle w:val="Nadruk"/>
        </w:rPr>
        <w:t>The frequency range 15.4-15.7 GHz has allocations to the RLS on a primary basis in all three Regions and to the aeronautical radionavigation service on a primary basis in all three Regions. Provision 4.10 of the RR applies to ARNS service.</w:t>
      </w:r>
    </w:p>
    <w:p w:rsidR="0093434D" w:rsidRDefault="0093434D" w:rsidP="0093434D">
      <w:pPr>
        <w:rPr>
          <w:rStyle w:val="Nadruk"/>
        </w:rPr>
      </w:pPr>
      <w:r w:rsidRPr="0093434D">
        <w:rPr>
          <w:rStyle w:val="Nadruk"/>
        </w:rPr>
        <w:t>The frequency band 15.4-15.7 GHz was a candidate for 250 MHz FSS allocation in the previous study period. Based on the sharing and compatibility studies within the ITU-R it became very clear that sharing would not be feasible with existing primary allocations. Finland is of the opinion that the proposed AMS allocation to the frequency band 15.4-15.7 GHz would - due to mobile nature of AMS - lead to even more difficult sharing scenarios. Based on this Finland's view is that the frequency band 15.4-15.7 GHz should not be studied for AMS but should be reserved for the current and future usage of the existing primary services.</w:t>
      </w:r>
    </w:p>
    <w:p w:rsidR="0093434D" w:rsidRDefault="0093434D" w:rsidP="00F00CEC">
      <w:pPr>
        <w:rPr>
          <w:rStyle w:val="Nadruk"/>
        </w:rPr>
      </w:pPr>
    </w:p>
    <w:p w:rsidR="0093434D" w:rsidRPr="0093434D" w:rsidRDefault="0093434D" w:rsidP="0093434D">
      <w:pPr>
        <w:rPr>
          <w:rStyle w:val="Nadruk"/>
        </w:rPr>
      </w:pPr>
      <w:r w:rsidRPr="0093434D">
        <w:rPr>
          <w:rStyle w:val="Nadruk"/>
        </w:rPr>
        <w:t>Statement by Sweden and Slovenia:</w:t>
      </w:r>
    </w:p>
    <w:p w:rsidR="0093434D" w:rsidRPr="0093434D" w:rsidRDefault="0093434D" w:rsidP="0093434D">
      <w:pPr>
        <w:rPr>
          <w:rStyle w:val="Nadruk"/>
        </w:rPr>
      </w:pPr>
      <w:r w:rsidRPr="0093434D">
        <w:rPr>
          <w:rStyle w:val="Nadruk"/>
        </w:rPr>
        <w:lastRenderedPageBreak/>
        <w:t>Sweden</w:t>
      </w:r>
      <w:r w:rsidR="00E81E82" w:rsidRPr="00E81E82">
        <w:rPr>
          <w:rStyle w:val="Nadruk"/>
        </w:rPr>
        <w:t xml:space="preserve"> and</w:t>
      </w:r>
      <w:r w:rsidRPr="0093434D">
        <w:rPr>
          <w:rStyle w:val="Nadruk"/>
        </w:rPr>
        <w:t xml:space="preserve"> Slovenia </w:t>
      </w:r>
      <w:bookmarkStart w:id="1" w:name="_GoBack"/>
      <w:r w:rsidR="00E81E82">
        <w:rPr>
          <w:rStyle w:val="Nadruk"/>
        </w:rPr>
        <w:t>are</w:t>
      </w:r>
      <w:r w:rsidR="00E81E82" w:rsidRPr="0093434D">
        <w:rPr>
          <w:rStyle w:val="Nadruk"/>
        </w:rPr>
        <w:t xml:space="preserve"> </w:t>
      </w:r>
      <w:bookmarkEnd w:id="1"/>
      <w:r w:rsidRPr="0093434D">
        <w:rPr>
          <w:rStyle w:val="Nadruk"/>
        </w:rPr>
        <w:t>of the view that the process of selecting proposals, to be included in the draft ECP under AI 10, neither followed procedures previously agreed on, nor followed the procedures stipulated in ECC Working Methods and Rules of Procedures.</w:t>
      </w:r>
    </w:p>
    <w:p w:rsidR="0093434D" w:rsidRPr="0093434D" w:rsidRDefault="0093434D" w:rsidP="0093434D">
      <w:pPr>
        <w:rPr>
          <w:rStyle w:val="Nadruk"/>
        </w:rPr>
      </w:pPr>
      <w:r w:rsidRPr="0093434D">
        <w:rPr>
          <w:rStyle w:val="Nadruk"/>
        </w:rPr>
        <w:t xml:space="preserve">Contrary to what had been communicated previously, e.g. that as long as a proposal was supported by at least one </w:t>
      </w:r>
      <w:r w:rsidR="00154073">
        <w:rPr>
          <w:rStyle w:val="Nadruk"/>
        </w:rPr>
        <w:t>A</w:t>
      </w:r>
      <w:r w:rsidRPr="0093434D">
        <w:rPr>
          <w:rStyle w:val="Nadruk"/>
        </w:rPr>
        <w:t xml:space="preserve">dministration it would be considered for the ECP, a voting process was arranged by which proposals receiving opposition by more than six </w:t>
      </w:r>
      <w:r w:rsidR="00154073">
        <w:rPr>
          <w:rStyle w:val="Nadruk"/>
        </w:rPr>
        <w:t>A</w:t>
      </w:r>
      <w:r w:rsidRPr="0093434D">
        <w:rPr>
          <w:rStyle w:val="Nadruk"/>
        </w:rPr>
        <w:t>dministrations were disregarded.</w:t>
      </w:r>
    </w:p>
    <w:p w:rsidR="0093434D" w:rsidRPr="0093434D" w:rsidRDefault="0093434D" w:rsidP="0093434D">
      <w:pPr>
        <w:rPr>
          <w:rStyle w:val="Nadruk"/>
        </w:rPr>
      </w:pPr>
      <w:r w:rsidRPr="0093434D">
        <w:rPr>
          <w:rStyle w:val="Nadruk"/>
        </w:rPr>
        <w:t>Sweden and Slovenia would like to point out that CPG19-5 agreed that PTA was tasked to develop a single comprehensive draft ECP containing all proposals with the assumption that it may be adopted as one single ECP. If consent on a particular proposal could not be reached a separate decision by CPG would be taken.</w:t>
      </w:r>
    </w:p>
    <w:p w:rsidR="0093434D" w:rsidRPr="0093434D" w:rsidRDefault="0093434D" w:rsidP="0093434D">
      <w:pPr>
        <w:rPr>
          <w:rStyle w:val="Nadruk"/>
        </w:rPr>
      </w:pPr>
      <w:r w:rsidRPr="0093434D">
        <w:rPr>
          <w:rStyle w:val="Nadruk"/>
        </w:rPr>
        <w:t>In addition we would like to point out that Article 14.1 of the ECC Rules of Procedures states that “Project Teams and Task Groups shall not vote”</w:t>
      </w:r>
    </w:p>
    <w:p w:rsidR="0093434D" w:rsidRPr="0093434D" w:rsidRDefault="0093434D" w:rsidP="0093434D">
      <w:pPr>
        <w:rPr>
          <w:rStyle w:val="Nadruk"/>
        </w:rPr>
      </w:pPr>
      <w:r w:rsidRPr="0093434D">
        <w:rPr>
          <w:rStyle w:val="Nadruk"/>
        </w:rPr>
        <w:t>Finally, it should be noted that point 2 under section 2.1 of the ECC Working Methods states that if consensus cannot be reached, there is the option of “holding an indicative vote with the purpose to identify the balance of opinion so that Members are encouraged not to press differences of view, which are unlikely to attract sufficient support;”</w:t>
      </w:r>
    </w:p>
    <w:p w:rsidR="0093434D" w:rsidRPr="00F00CEC" w:rsidRDefault="0093434D" w:rsidP="0093434D">
      <w:pPr>
        <w:rPr>
          <w:rStyle w:val="Nadruk"/>
        </w:rPr>
      </w:pPr>
      <w:r w:rsidRPr="0093434D">
        <w:rPr>
          <w:rStyle w:val="Nadruk"/>
        </w:rPr>
        <w:t>From this it is clear that the indicative vote only serves the purpose of encouraging Members to compromise to reach consensus.</w:t>
      </w:r>
    </w:p>
    <w:p w:rsidR="00F568EB" w:rsidRPr="002F051F" w:rsidRDefault="00DF32C4" w:rsidP="00F568EB">
      <w:pPr>
        <w:pStyle w:val="Kop1"/>
      </w:pPr>
      <w:r>
        <w:t>Schedule of meetings</w:t>
      </w:r>
    </w:p>
    <w:p w:rsidR="00631BFE" w:rsidRPr="00631BFE" w:rsidRDefault="00631BFE" w:rsidP="00631BFE">
      <w:pPr>
        <w:pStyle w:val="ECCParagraph"/>
      </w:pPr>
      <w:r w:rsidRPr="00631BFE">
        <w:t>The following meetings of the CPG are scheduled:</w:t>
      </w:r>
    </w:p>
    <w:tbl>
      <w:tblPr>
        <w:tblW w:w="9780" w:type="dxa"/>
        <w:tblInd w:w="70" w:type="dxa"/>
        <w:tblLayout w:type="fixed"/>
        <w:tblCellMar>
          <w:left w:w="70" w:type="dxa"/>
          <w:right w:w="70" w:type="dxa"/>
        </w:tblCellMar>
        <w:tblLook w:val="04A0" w:firstRow="1" w:lastRow="0" w:firstColumn="1" w:lastColumn="0" w:noHBand="0" w:noVBand="1"/>
      </w:tblPr>
      <w:tblGrid>
        <w:gridCol w:w="1842"/>
        <w:gridCol w:w="3260"/>
        <w:gridCol w:w="4678"/>
      </w:tblGrid>
      <w:tr w:rsidR="00631BFE" w:rsidRPr="0022591F" w:rsidTr="005D2D70">
        <w:trPr>
          <w:trHeight w:val="433"/>
        </w:trPr>
        <w:tc>
          <w:tcPr>
            <w:tcW w:w="1842" w:type="dxa"/>
            <w:hideMark/>
          </w:tcPr>
          <w:p w:rsidR="00631BFE" w:rsidRPr="00631BFE" w:rsidRDefault="00631BFE" w:rsidP="00631BFE">
            <w:pPr>
              <w:pStyle w:val="ECCTableHeaderred"/>
            </w:pPr>
            <w:r w:rsidRPr="00631BFE">
              <w:t>Meeting:</w:t>
            </w:r>
          </w:p>
        </w:tc>
        <w:tc>
          <w:tcPr>
            <w:tcW w:w="3260" w:type="dxa"/>
            <w:hideMark/>
          </w:tcPr>
          <w:p w:rsidR="00631BFE" w:rsidRPr="00631BFE" w:rsidRDefault="00631BFE" w:rsidP="00631BFE">
            <w:pPr>
              <w:pStyle w:val="ECCTableHeaderred"/>
            </w:pPr>
            <w:r w:rsidRPr="00631BFE">
              <w:t>Date:</w:t>
            </w:r>
          </w:p>
        </w:tc>
        <w:tc>
          <w:tcPr>
            <w:tcW w:w="4678" w:type="dxa"/>
            <w:hideMark/>
          </w:tcPr>
          <w:p w:rsidR="00631BFE" w:rsidRPr="00631BFE" w:rsidRDefault="00631BFE" w:rsidP="00631BFE">
            <w:pPr>
              <w:pStyle w:val="ECCTableHeaderred"/>
            </w:pPr>
            <w:r w:rsidRPr="00631BFE">
              <w:t>Country:</w:t>
            </w:r>
          </w:p>
        </w:tc>
      </w:tr>
      <w:tr w:rsidR="00631BFE" w:rsidRPr="0022591F" w:rsidTr="005D2D70">
        <w:trPr>
          <w:trHeight w:val="350"/>
        </w:trPr>
        <w:tc>
          <w:tcPr>
            <w:tcW w:w="1842" w:type="dxa"/>
            <w:hideMark/>
          </w:tcPr>
          <w:p w:rsidR="00631BFE" w:rsidRPr="00631BFE" w:rsidRDefault="00631BFE" w:rsidP="00631BFE">
            <w:pPr>
              <w:pStyle w:val="ECCTabletext"/>
            </w:pPr>
            <w:r w:rsidRPr="00631BFE">
              <w:t>CPG19-9</w:t>
            </w:r>
          </w:p>
        </w:tc>
        <w:tc>
          <w:tcPr>
            <w:tcW w:w="3260" w:type="dxa"/>
            <w:vAlign w:val="center"/>
            <w:hideMark/>
          </w:tcPr>
          <w:p w:rsidR="00631BFE" w:rsidRPr="00631BFE" w:rsidRDefault="00631BFE" w:rsidP="00631BFE">
            <w:pPr>
              <w:pStyle w:val="ECCTabletext"/>
            </w:pPr>
            <w:r w:rsidRPr="00631BFE">
              <w:t>26</w:t>
            </w:r>
            <w:r w:rsidRPr="00631BFE">
              <w:rPr>
                <w:rStyle w:val="ECCHLsuperscript"/>
              </w:rPr>
              <w:t>th</w:t>
            </w:r>
            <w:r w:rsidRPr="00631BFE">
              <w:t xml:space="preserve"> - 30</w:t>
            </w:r>
            <w:r w:rsidRPr="00631BFE">
              <w:rPr>
                <w:rStyle w:val="ECCHLsuperscript"/>
              </w:rPr>
              <w:t>th</w:t>
            </w:r>
            <w:r w:rsidRPr="00631BFE">
              <w:t xml:space="preserve"> August 2019 </w:t>
            </w:r>
          </w:p>
        </w:tc>
        <w:tc>
          <w:tcPr>
            <w:tcW w:w="4678" w:type="dxa"/>
            <w:vAlign w:val="center"/>
            <w:hideMark/>
          </w:tcPr>
          <w:p w:rsidR="00631BFE" w:rsidRPr="00631BFE" w:rsidRDefault="00631BFE" w:rsidP="00631BFE">
            <w:pPr>
              <w:pStyle w:val="ECCTabletext"/>
            </w:pPr>
            <w:r w:rsidRPr="00631BFE">
              <w:t xml:space="preserve">Ankara, Turkey </w:t>
            </w:r>
          </w:p>
        </w:tc>
      </w:tr>
    </w:tbl>
    <w:p w:rsidR="00454ECA" w:rsidRDefault="00454ECA" w:rsidP="00454ECA">
      <w:pPr>
        <w:pStyle w:val="ECCParagraph"/>
      </w:pPr>
    </w:p>
    <w:p w:rsidR="00ED61C4" w:rsidRDefault="00E302B9" w:rsidP="00ED61C4">
      <w:pPr>
        <w:pStyle w:val="ECCParagraph"/>
      </w:pPr>
      <w:r>
        <w:t xml:space="preserve">A complete overview of preliminary schedules of CPG and relevant meeting is to be found on the </w:t>
      </w:r>
      <w:r w:rsidR="00E971F4">
        <w:t>CPG website</w:t>
      </w:r>
      <w:r w:rsidR="0092555F">
        <w:t xml:space="preserve">, </w:t>
      </w:r>
      <w:r w:rsidR="0092555F" w:rsidRPr="0092555F">
        <w:t>(</w:t>
      </w:r>
      <w:hyperlink r:id="rId9" w:history="1">
        <w:r w:rsidR="00F93290" w:rsidRPr="00F93290">
          <w:rPr>
            <w:rStyle w:val="Hyperlink"/>
          </w:rPr>
          <w:t>https://cept.org/Documents/cpg/50140/cpg-19-adm37_cpg-preliminary-schedules-cpg-till-wrc-19</w:t>
        </w:r>
      </w:hyperlink>
      <w:r w:rsidR="0092555F" w:rsidRPr="0092555F">
        <w:t>)</w:t>
      </w:r>
      <w:r>
        <w:t xml:space="preserve">. </w:t>
      </w:r>
    </w:p>
    <w:p w:rsidR="00F568EB" w:rsidRPr="002F051F" w:rsidRDefault="00F568EB" w:rsidP="00F568EB">
      <w:pPr>
        <w:pStyle w:val="Kop1"/>
      </w:pPr>
      <w:r w:rsidRPr="007230E5">
        <w:t>A</w:t>
      </w:r>
      <w:r>
        <w:t>OB</w:t>
      </w:r>
    </w:p>
    <w:p w:rsidR="00920B08" w:rsidRDefault="00C0355C" w:rsidP="00920B08">
      <w:r w:rsidRPr="00C0355C">
        <w:t xml:space="preserve">The </w:t>
      </w:r>
      <w:r w:rsidR="00327FC2">
        <w:t>C</w:t>
      </w:r>
      <w:r w:rsidRPr="00C0355C">
        <w:t>hairman pointed</w:t>
      </w:r>
      <w:r w:rsidR="00D3458E">
        <w:t xml:space="preserve"> out</w:t>
      </w:r>
      <w:r w:rsidRPr="00C0355C">
        <w:t xml:space="preserve"> that </w:t>
      </w:r>
      <w:r w:rsidR="000D7637">
        <w:t xml:space="preserve">remaining </w:t>
      </w:r>
      <w:r w:rsidRPr="00C0355C">
        <w:t>draft CEPT briefs</w:t>
      </w:r>
      <w:r w:rsidR="0092555F">
        <w:t xml:space="preserve"> and draft ECP</w:t>
      </w:r>
      <w:r w:rsidR="00531857">
        <w:t>s</w:t>
      </w:r>
      <w:r w:rsidRPr="00C0355C">
        <w:t xml:space="preserve"> </w:t>
      </w:r>
      <w:r w:rsidR="000D7637">
        <w:t xml:space="preserve">will be submitted to the next CPG meeting for adoption. </w:t>
      </w:r>
    </w:p>
    <w:p w:rsidR="001A7B74" w:rsidRPr="00683E7F" w:rsidRDefault="001A7B74" w:rsidP="00683E7F">
      <w:pPr>
        <w:pStyle w:val="Kop1"/>
      </w:pPr>
      <w:r w:rsidRPr="00683E7F">
        <w:t xml:space="preserve">Approval of the minutes of </w:t>
      </w:r>
      <w:r w:rsidR="00454ECA">
        <w:t>PTA-</w:t>
      </w:r>
      <w:r w:rsidR="00631BFE">
        <w:t>7</w:t>
      </w:r>
    </w:p>
    <w:p w:rsidR="008E15B6" w:rsidRPr="008E15B6" w:rsidRDefault="008E15B6" w:rsidP="008E15B6">
      <w:pPr>
        <w:pStyle w:val="ECCParagraph"/>
        <w:rPr>
          <w:rStyle w:val="ECCHLbold"/>
        </w:rPr>
      </w:pPr>
      <w:r w:rsidRPr="008E15B6">
        <w:t xml:space="preserve">The minutes of </w:t>
      </w:r>
      <w:r w:rsidR="00D64A62">
        <w:t xml:space="preserve">the </w:t>
      </w:r>
      <w:r w:rsidR="00631BFE">
        <w:t>seventh</w:t>
      </w:r>
      <w:r w:rsidR="00016283">
        <w:t xml:space="preserve"> </w:t>
      </w:r>
      <w:r>
        <w:t xml:space="preserve">PTA </w:t>
      </w:r>
      <w:r w:rsidRPr="008E15B6">
        <w:t xml:space="preserve">meeting </w:t>
      </w:r>
      <w:r w:rsidR="00684ABF">
        <w:t xml:space="preserve">were </w:t>
      </w:r>
      <w:r>
        <w:t>approved</w:t>
      </w:r>
      <w:r w:rsidRPr="008E15B6">
        <w:t>.</w:t>
      </w:r>
    </w:p>
    <w:p w:rsidR="001A7B74" w:rsidRPr="002F051F" w:rsidRDefault="001A7B74" w:rsidP="002F051F">
      <w:pPr>
        <w:pStyle w:val="Kop1"/>
      </w:pPr>
      <w:r w:rsidRPr="002F051F">
        <w:t>Closure of the meeting</w:t>
      </w:r>
    </w:p>
    <w:p w:rsidR="00631BFE" w:rsidRDefault="00631BFE" w:rsidP="00EB4B9D">
      <w:r w:rsidRPr="00631BFE">
        <w:t>The Chairman highlighted that this was</w:t>
      </w:r>
      <w:r>
        <w:t xml:space="preserve"> the last meeting of PTA</w:t>
      </w:r>
      <w:r w:rsidRPr="00631BFE">
        <w:t xml:space="preserve"> during this cycle</w:t>
      </w:r>
      <w:r>
        <w:t xml:space="preserve">. </w:t>
      </w:r>
      <w:r w:rsidRPr="00631BFE">
        <w:t xml:space="preserve">He thanked the meeting for </w:t>
      </w:r>
      <w:r>
        <w:t xml:space="preserve">all </w:t>
      </w:r>
      <w:r w:rsidR="002E483B">
        <w:t xml:space="preserve">its </w:t>
      </w:r>
      <w:r>
        <w:t xml:space="preserve">work that this project team has done </w:t>
      </w:r>
      <w:r w:rsidRPr="00631BFE">
        <w:t xml:space="preserve">in the preparation towards WRC-19. </w:t>
      </w:r>
      <w:r>
        <w:t xml:space="preserve">All </w:t>
      </w:r>
      <w:r w:rsidRPr="00631BFE">
        <w:t xml:space="preserve">goals were met </w:t>
      </w:r>
      <w:r>
        <w:t>in finalizing</w:t>
      </w:r>
      <w:r w:rsidRPr="00631BFE">
        <w:t xml:space="preserve"> agenda items </w:t>
      </w:r>
      <w:r w:rsidR="000D7637">
        <w:t xml:space="preserve">for which </w:t>
      </w:r>
      <w:r w:rsidR="002E483B" w:rsidRPr="002E483B">
        <w:t xml:space="preserve">this project team </w:t>
      </w:r>
      <w:r w:rsidR="000D7637">
        <w:t xml:space="preserve">was given responsibility. </w:t>
      </w:r>
    </w:p>
    <w:p w:rsidR="00C0355C" w:rsidRDefault="008E15B6" w:rsidP="00EB4B9D">
      <w:r w:rsidRPr="008E15B6">
        <w:lastRenderedPageBreak/>
        <w:t xml:space="preserve">The Chairman thanked </w:t>
      </w:r>
      <w:r w:rsidR="000D7637">
        <w:t xml:space="preserve">the Czech </w:t>
      </w:r>
      <w:r w:rsidR="004859F0" w:rsidRPr="004859F0">
        <w:t xml:space="preserve">Telecommunication Office </w:t>
      </w:r>
      <w:r w:rsidRPr="008E15B6">
        <w:t xml:space="preserve">for </w:t>
      </w:r>
      <w:r w:rsidR="00C0355C">
        <w:t>organising</w:t>
      </w:r>
      <w:r w:rsidR="00016283">
        <w:t xml:space="preserve">, </w:t>
      </w:r>
      <w:r w:rsidRPr="008E15B6">
        <w:t xml:space="preserve">hosting </w:t>
      </w:r>
      <w:r w:rsidR="00016283">
        <w:t xml:space="preserve">and for providing </w:t>
      </w:r>
      <w:r w:rsidRPr="008E15B6">
        <w:t>excellent facilities</w:t>
      </w:r>
      <w:r w:rsidR="00016283" w:rsidRPr="00016283">
        <w:t xml:space="preserve"> </w:t>
      </w:r>
      <w:r w:rsidR="00016283">
        <w:t xml:space="preserve">to </w:t>
      </w:r>
      <w:r w:rsidR="00016283" w:rsidRPr="008E15B6">
        <w:t>the meeting</w:t>
      </w:r>
      <w:r>
        <w:t xml:space="preserve">. </w:t>
      </w:r>
      <w:r w:rsidR="00C0355C" w:rsidRPr="00C0355C">
        <w:t>He thanked all the participants</w:t>
      </w:r>
      <w:r w:rsidR="001804D9">
        <w:t xml:space="preserve"> and</w:t>
      </w:r>
      <w:r w:rsidR="00C0355C">
        <w:t xml:space="preserve"> observers</w:t>
      </w:r>
      <w:r w:rsidR="00C0355C" w:rsidRPr="00C0355C">
        <w:t xml:space="preserve"> for their work, </w:t>
      </w:r>
      <w:r w:rsidR="00684ABF">
        <w:t xml:space="preserve">and expressed a </w:t>
      </w:r>
      <w:r w:rsidR="00C0355C" w:rsidRPr="00C0355C">
        <w:t xml:space="preserve">special thanks to the </w:t>
      </w:r>
      <w:r w:rsidR="00631BFE">
        <w:t xml:space="preserve">(acting) </w:t>
      </w:r>
      <w:r w:rsidR="00C0355C" w:rsidRPr="00C0355C">
        <w:t>coordinators</w:t>
      </w:r>
      <w:r w:rsidR="00AA3600">
        <w:t xml:space="preserve"> as well as the </w:t>
      </w:r>
      <w:r w:rsidR="004156F0">
        <w:t xml:space="preserve">staff of </w:t>
      </w:r>
      <w:r w:rsidR="00631BFE" w:rsidRPr="00631BFE">
        <w:t>the Czech Administration</w:t>
      </w:r>
      <w:r w:rsidR="00C0355C" w:rsidRPr="00C0355C">
        <w:t>.</w:t>
      </w:r>
      <w:r w:rsidR="00C0355C">
        <w:t xml:space="preserve"> </w:t>
      </w:r>
    </w:p>
    <w:p w:rsidR="004D2447" w:rsidRDefault="008E15B6" w:rsidP="00EB4B9D">
      <w:r w:rsidRPr="008E15B6">
        <w:t>The Chairman then wished all a safe journey back home and closed the meeting</w:t>
      </w:r>
      <w:r w:rsidR="00630D54">
        <w:t>.</w:t>
      </w:r>
    </w:p>
    <w:sectPr w:rsidR="004D2447" w:rsidSect="005919FD">
      <w:headerReference w:type="even" r:id="rId10"/>
      <w:headerReference w:type="default" r:id="rId11"/>
      <w:pgSz w:w="11907" w:h="16840" w:code="9"/>
      <w:pgMar w:top="1440" w:right="1134" w:bottom="1440"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56A1" w:rsidRDefault="006656A1" w:rsidP="008A54FC">
      <w:r>
        <w:separator/>
      </w:r>
    </w:p>
  </w:endnote>
  <w:endnote w:type="continuationSeparator" w:id="0">
    <w:p w:rsidR="006656A1" w:rsidRDefault="006656A1" w:rsidP="008A54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Lucida Grande">
    <w:altName w:val="Times New Roman"/>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56A1" w:rsidRDefault="006656A1" w:rsidP="008A54FC">
      <w:r>
        <w:separator/>
      </w:r>
    </w:p>
  </w:footnote>
  <w:footnote w:type="continuationSeparator" w:id="0">
    <w:p w:rsidR="006656A1" w:rsidRDefault="006656A1" w:rsidP="008A54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1C4D" w:rsidRPr="005611D0" w:rsidRDefault="00DC1C4D" w:rsidP="00E059C5">
    <w:pPr>
      <w:pStyle w:val="ECCHeader"/>
    </w:pPr>
    <w:r>
      <w:tab/>
    </w:r>
    <w:r w:rsidRPr="005611D0">
      <w:t xml:space="preserve">Page </w:t>
    </w:r>
    <w:r w:rsidRPr="005611D0">
      <w:fldChar w:fldCharType="begin"/>
    </w:r>
    <w:r w:rsidRPr="005611D0">
      <w:instrText xml:space="preserve"> PAGE  \* Arabic  \* MERGEFORMAT </w:instrText>
    </w:r>
    <w:r w:rsidRPr="005611D0">
      <w:fldChar w:fldCharType="separate"/>
    </w:r>
    <w:r w:rsidR="00D95029">
      <w:rPr>
        <w:noProof/>
      </w:rPr>
      <w:t>8</w:t>
    </w:r>
    <w:r w:rsidRPr="005611D0">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1C4D" w:rsidRDefault="00DC1C4D" w:rsidP="005919FD">
    <w:pPr>
      <w:pStyle w:val="ECCHeader"/>
    </w:pPr>
    <w:r>
      <w:tab/>
    </w:r>
    <w:r w:rsidRPr="005611D0">
      <w:t xml:space="preserve">Page </w:t>
    </w:r>
    <w:r w:rsidRPr="005611D0">
      <w:fldChar w:fldCharType="begin"/>
    </w:r>
    <w:r w:rsidRPr="005611D0">
      <w:instrText xml:space="preserve"> PAGE  \* Arabic  \* MERGEFORMAT </w:instrText>
    </w:r>
    <w:r w:rsidRPr="005611D0">
      <w:fldChar w:fldCharType="separate"/>
    </w:r>
    <w:r w:rsidR="00D95029">
      <w:rPr>
        <w:noProof/>
      </w:rPr>
      <w:t>9</w:t>
    </w:r>
    <w:r w:rsidRPr="005611D0">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EB4A7C"/>
    <w:multiLevelType w:val="hybridMultilevel"/>
    <w:tmpl w:val="D4CE751E"/>
    <w:lvl w:ilvl="0" w:tplc="262E1D92">
      <w:start w:val="1"/>
      <w:numFmt w:val="bullet"/>
      <w:pStyle w:val="ECCBulletsLv1"/>
      <w:lvlText w:val=""/>
      <w:lvlJc w:val="left"/>
      <w:pPr>
        <w:ind w:left="360" w:hanging="360"/>
      </w:pPr>
      <w:rPr>
        <w:rFonts w:ascii="Wingdings" w:hAnsi="Wingdings" w:hint="default"/>
        <w:color w:val="D2232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0054880"/>
    <w:multiLevelType w:val="hybridMultilevel"/>
    <w:tmpl w:val="43BC12A8"/>
    <w:lvl w:ilvl="0" w:tplc="0409000B">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A87A02"/>
    <w:multiLevelType w:val="hybridMultilevel"/>
    <w:tmpl w:val="248209E6"/>
    <w:lvl w:ilvl="0" w:tplc="3DD22614">
      <w:start w:val="1"/>
      <w:numFmt w:val="bullet"/>
      <w:pStyle w:val="ECCBulletsLv2"/>
      <w:lvlText w:val=""/>
      <w:lvlJc w:val="left"/>
      <w:pPr>
        <w:tabs>
          <w:tab w:val="num" w:pos="340"/>
        </w:tabs>
        <w:ind w:left="340" w:hanging="340"/>
      </w:pPr>
      <w:rPr>
        <w:rFonts w:ascii="Wingdings" w:hAnsi="Wingdings" w:hint="default"/>
        <w:color w:val="D2232A"/>
      </w:rPr>
    </w:lvl>
    <w:lvl w:ilvl="1" w:tplc="04090003">
      <w:start w:val="1"/>
      <w:numFmt w:val="bullet"/>
      <w:lvlText w:val="o"/>
      <w:lvlJc w:val="left"/>
      <w:pPr>
        <w:tabs>
          <w:tab w:val="num" w:pos="419"/>
        </w:tabs>
        <w:ind w:left="419" w:hanging="360"/>
      </w:pPr>
      <w:rPr>
        <w:rFonts w:ascii="Courier New" w:hAnsi="Courier New" w:cs="Arial Bold" w:hint="default"/>
      </w:rPr>
    </w:lvl>
    <w:lvl w:ilvl="2" w:tplc="04090005">
      <w:start w:val="1"/>
      <w:numFmt w:val="bullet"/>
      <w:lvlText w:val=""/>
      <w:lvlJc w:val="left"/>
      <w:pPr>
        <w:tabs>
          <w:tab w:val="num" w:pos="1139"/>
        </w:tabs>
        <w:ind w:left="1139" w:hanging="360"/>
      </w:pPr>
      <w:rPr>
        <w:rFonts w:ascii="Wingdings" w:hAnsi="Wingdings" w:hint="default"/>
      </w:rPr>
    </w:lvl>
    <w:lvl w:ilvl="3" w:tplc="04090001">
      <w:start w:val="1"/>
      <w:numFmt w:val="bullet"/>
      <w:lvlText w:val=""/>
      <w:lvlJc w:val="left"/>
      <w:pPr>
        <w:tabs>
          <w:tab w:val="num" w:pos="1859"/>
        </w:tabs>
        <w:ind w:left="1859" w:hanging="360"/>
      </w:pPr>
      <w:rPr>
        <w:rFonts w:ascii="Symbol" w:hAnsi="Symbol" w:hint="default"/>
      </w:rPr>
    </w:lvl>
    <w:lvl w:ilvl="4" w:tplc="04090003">
      <w:start w:val="1"/>
      <w:numFmt w:val="bullet"/>
      <w:lvlText w:val="o"/>
      <w:lvlJc w:val="left"/>
      <w:pPr>
        <w:tabs>
          <w:tab w:val="num" w:pos="2579"/>
        </w:tabs>
        <w:ind w:left="2579" w:hanging="360"/>
      </w:pPr>
      <w:rPr>
        <w:rFonts w:ascii="Courier New" w:hAnsi="Courier New" w:cs="Arial Bold" w:hint="default"/>
      </w:rPr>
    </w:lvl>
    <w:lvl w:ilvl="5" w:tplc="04090005">
      <w:start w:val="1"/>
      <w:numFmt w:val="bullet"/>
      <w:lvlText w:val=""/>
      <w:lvlJc w:val="left"/>
      <w:pPr>
        <w:tabs>
          <w:tab w:val="num" w:pos="3299"/>
        </w:tabs>
        <w:ind w:left="3299" w:hanging="360"/>
      </w:pPr>
      <w:rPr>
        <w:rFonts w:ascii="Wingdings" w:hAnsi="Wingdings" w:hint="default"/>
      </w:rPr>
    </w:lvl>
    <w:lvl w:ilvl="6" w:tplc="04090001">
      <w:start w:val="1"/>
      <w:numFmt w:val="bullet"/>
      <w:lvlText w:val=""/>
      <w:lvlJc w:val="left"/>
      <w:pPr>
        <w:tabs>
          <w:tab w:val="num" w:pos="4019"/>
        </w:tabs>
        <w:ind w:left="4019" w:hanging="360"/>
      </w:pPr>
      <w:rPr>
        <w:rFonts w:ascii="Symbol" w:hAnsi="Symbol" w:hint="default"/>
      </w:rPr>
    </w:lvl>
    <w:lvl w:ilvl="7" w:tplc="04090003">
      <w:start w:val="1"/>
      <w:numFmt w:val="bullet"/>
      <w:lvlText w:val="o"/>
      <w:lvlJc w:val="left"/>
      <w:pPr>
        <w:tabs>
          <w:tab w:val="num" w:pos="4739"/>
        </w:tabs>
        <w:ind w:left="4739" w:hanging="360"/>
      </w:pPr>
      <w:rPr>
        <w:rFonts w:ascii="Courier New" w:hAnsi="Courier New" w:cs="Arial Bold" w:hint="default"/>
      </w:rPr>
    </w:lvl>
    <w:lvl w:ilvl="8" w:tplc="04090005" w:tentative="1">
      <w:start w:val="1"/>
      <w:numFmt w:val="bullet"/>
      <w:lvlText w:val=""/>
      <w:lvlJc w:val="left"/>
      <w:pPr>
        <w:tabs>
          <w:tab w:val="num" w:pos="5459"/>
        </w:tabs>
        <w:ind w:left="5459" w:hanging="360"/>
      </w:pPr>
      <w:rPr>
        <w:rFonts w:ascii="Wingdings" w:hAnsi="Wingdings" w:hint="default"/>
      </w:rPr>
    </w:lvl>
  </w:abstractNum>
  <w:abstractNum w:abstractNumId="3" w15:restartNumberingAfterBreak="0">
    <w:nsid w:val="212F4188"/>
    <w:multiLevelType w:val="multilevel"/>
    <w:tmpl w:val="169232EE"/>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331D2CAF"/>
    <w:multiLevelType w:val="multilevel"/>
    <w:tmpl w:val="F5CC330C"/>
    <w:lvl w:ilvl="0">
      <w:start w:val="1"/>
      <w:numFmt w:val="decimal"/>
      <w:pStyle w:val="ECCNumberedList"/>
      <w:lvlText w:val="%1."/>
      <w:lvlJc w:val="left"/>
      <w:pPr>
        <w:tabs>
          <w:tab w:val="num" w:pos="340"/>
        </w:tabs>
        <w:ind w:left="340" w:hanging="340"/>
      </w:pPr>
      <w:rPr>
        <w:rFonts w:ascii="Arial" w:hAnsi="Arial"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5" w15:restartNumberingAfterBreak="0">
    <w:nsid w:val="3D163F7A"/>
    <w:multiLevelType w:val="multilevel"/>
    <w:tmpl w:val="AC3C20F8"/>
    <w:lvl w:ilvl="0">
      <w:start w:val="1"/>
      <w:numFmt w:val="decimal"/>
      <w:pStyle w:val="Kop1"/>
      <w:lvlText w:val="%1"/>
      <w:lvlJc w:val="left"/>
      <w:pPr>
        <w:tabs>
          <w:tab w:val="num" w:pos="432"/>
        </w:tabs>
        <w:ind w:left="432" w:hanging="432"/>
      </w:pPr>
      <w:rPr>
        <w:rFonts w:ascii="Arial" w:hAnsi="Arial" w:hint="default"/>
        <w:b/>
        <w:i w:val="0"/>
        <w:color w:val="D2232A"/>
        <w:sz w:val="20"/>
        <w:szCs w:val="20"/>
      </w:rPr>
    </w:lvl>
    <w:lvl w:ilvl="1">
      <w:start w:val="1"/>
      <w:numFmt w:val="decimal"/>
      <w:pStyle w:val="Kop2"/>
      <w:lvlText w:val="%1.%2"/>
      <w:lvlJc w:val="left"/>
      <w:pPr>
        <w:tabs>
          <w:tab w:val="num" w:pos="576"/>
        </w:tabs>
        <w:ind w:left="576" w:hanging="576"/>
      </w:pPr>
      <w:rPr>
        <w:rFonts w:ascii="Arial" w:hAnsi="Arial" w:hint="default"/>
        <w:b/>
        <w:i w:val="0"/>
        <w:sz w:val="20"/>
      </w:rPr>
    </w:lvl>
    <w:lvl w:ilvl="2">
      <w:start w:val="1"/>
      <w:numFmt w:val="decimal"/>
      <w:pStyle w:val="Kop3"/>
      <w:lvlText w:val="%1.%2.%3"/>
      <w:lvlJc w:val="left"/>
      <w:pPr>
        <w:tabs>
          <w:tab w:val="num" w:pos="720"/>
        </w:tabs>
        <w:ind w:left="720" w:hanging="720"/>
      </w:pPr>
      <w:rPr>
        <w:rFonts w:ascii="Arial" w:hAnsi="Arial" w:hint="default"/>
        <w:b/>
        <w:i w:val="0"/>
        <w:caps w:val="0"/>
        <w:sz w:val="20"/>
        <w:szCs w:val="20"/>
      </w:rPr>
    </w:lvl>
    <w:lvl w:ilvl="3">
      <w:start w:val="1"/>
      <w:numFmt w:val="decimal"/>
      <w:pStyle w:val="Kop4"/>
      <w:lvlText w:val="%1.%2.%3.%4"/>
      <w:lvlJc w:val="left"/>
      <w:pPr>
        <w:tabs>
          <w:tab w:val="num" w:pos="864"/>
        </w:tabs>
        <w:ind w:left="864" w:hanging="864"/>
      </w:pPr>
      <w:rPr>
        <w:rFonts w:ascii="Arial" w:hAnsi="Arial" w:hint="default"/>
        <w:b w:val="0"/>
        <w:i/>
        <w:sz w:val="20"/>
      </w:rPr>
    </w:lvl>
    <w:lvl w:ilvl="4">
      <w:start w:val="1"/>
      <w:numFmt w:val="decimal"/>
      <w:pStyle w:val="Kop5"/>
      <w:lvlText w:val="%1.%2.%3.%4.%5"/>
      <w:lvlJc w:val="left"/>
      <w:pPr>
        <w:tabs>
          <w:tab w:val="num" w:pos="1008"/>
        </w:tabs>
        <w:ind w:left="1008" w:hanging="1008"/>
      </w:pPr>
      <w:rPr>
        <w:rFonts w:hint="default"/>
        <w:sz w:val="24"/>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6" w15:restartNumberingAfterBreak="0">
    <w:nsid w:val="46E6242A"/>
    <w:multiLevelType w:val="hybridMultilevel"/>
    <w:tmpl w:val="9146C086"/>
    <w:lvl w:ilvl="0" w:tplc="5D1C976A">
      <w:start w:val="1"/>
      <w:numFmt w:val="decimal"/>
      <w:pStyle w:val="ECCReference"/>
      <w:lvlText w:val="[%1]"/>
      <w:lvlJc w:val="left"/>
      <w:pPr>
        <w:tabs>
          <w:tab w:val="num" w:pos="397"/>
        </w:tabs>
        <w:ind w:left="397" w:hanging="397"/>
      </w:pPr>
      <w:rPr>
        <w:rFonts w:ascii="Arial" w:hAnsi="Arial" w:hint="default"/>
        <w:b w:val="0"/>
        <w:i w:val="0"/>
        <w:color w:val="D2232A"/>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9BE4C9A"/>
    <w:multiLevelType w:val="multilevel"/>
    <w:tmpl w:val="13E206D0"/>
    <w:lvl w:ilvl="0">
      <w:start w:val="1"/>
      <w:numFmt w:val="decimal"/>
      <w:lvlText w:val="%1."/>
      <w:lvlJc w:val="left"/>
      <w:pPr>
        <w:tabs>
          <w:tab w:val="num" w:pos="340"/>
        </w:tabs>
        <w:ind w:left="340" w:hanging="340"/>
      </w:pPr>
      <w:rPr>
        <w:rFonts w:ascii="Arial" w:hAnsi="Arial" w:hint="default"/>
        <w:b w:val="0"/>
        <w:i w:val="0"/>
        <w:color w:val="D2232A"/>
        <w:sz w:val="20"/>
      </w:rPr>
    </w:lvl>
    <w:lvl w:ilvl="1">
      <w:start w:val="1"/>
      <w:numFmt w:val="lowerLetter"/>
      <w:pStyle w:val="ECCLetteredList"/>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num w:numId="1">
    <w:abstractNumId w:val="2"/>
  </w:num>
  <w:num w:numId="2">
    <w:abstractNumId w:val="3"/>
  </w:num>
  <w:num w:numId="3">
    <w:abstractNumId w:val="7"/>
  </w:num>
  <w:num w:numId="4">
    <w:abstractNumId w:val="4"/>
  </w:num>
  <w:num w:numId="5">
    <w:abstractNumId w:val="6"/>
  </w:num>
  <w:num w:numId="6">
    <w:abstractNumId w:val="5"/>
  </w:num>
  <w:num w:numId="7">
    <w:abstractNumId w:val="3"/>
  </w:num>
  <w:num w:numId="8">
    <w:abstractNumId w:val="3"/>
  </w:num>
  <w:num w:numId="9">
    <w:abstractNumId w:val="3"/>
  </w:num>
  <w:num w:numId="10">
    <w:abstractNumId w:val="3"/>
  </w:num>
  <w:num w:numId="11">
    <w:abstractNumId w:val="0"/>
  </w:num>
  <w:num w:numId="12">
    <w:abstractNumId w:val="2"/>
  </w:num>
  <w:num w:numId="13">
    <w:abstractNumId w:val="2"/>
  </w:num>
  <w:num w:numId="14">
    <w:abstractNumId w:val="7"/>
  </w:num>
  <w:num w:numId="15">
    <w:abstractNumId w:val="4"/>
  </w:num>
  <w:num w:numId="16">
    <w:abstractNumId w:val="6"/>
  </w:num>
  <w:num w:numId="17">
    <w:abstractNumId w:val="5"/>
  </w:num>
  <w:num w:numId="18">
    <w:abstractNumId w:val="5"/>
  </w:num>
  <w:num w:numId="19">
    <w:abstractNumId w:val="5"/>
  </w:num>
  <w:num w:numId="20">
    <w:abstractNumId w:val="5"/>
  </w:num>
  <w:num w:numId="21">
    <w:abstractNumId w:val="2"/>
  </w:num>
  <w:num w:numId="22">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attachedTemplate r:id="rId1"/>
  <w:stylePaneFormatFilter w:val="D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1"/>
  <w:stylePaneSortMethod w:val="0000"/>
  <w:documentProtection w:formatting="1" w:enforcement="1" w:cryptProviderType="rsaFull" w:cryptAlgorithmClass="hash" w:cryptAlgorithmType="typeAny" w:cryptAlgorithmSid="4" w:cryptSpinCount="100000" w:hash="JWpimxfgmwGAenfOfbYuGhneXbM=" w:salt="wlYRckLY5XMVtfVcb0l2Uw=="/>
  <w:autoFormatOverride/>
  <w:defaultTabStop w:val="567"/>
  <w:hyphenationZone w:val="425"/>
  <w:evenAndOddHeaders/>
  <w:characterSpacingControl w:val="doNotCompress"/>
  <w:hdrShapeDefaults>
    <o:shapedefaults v:ext="edit" spidmax="2049">
      <o:colormru v:ext="edit" colors="#7b6c58,#887e6e,#b0a69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E69"/>
    <w:rsid w:val="000006A6"/>
    <w:rsid w:val="00015885"/>
    <w:rsid w:val="00015C8A"/>
    <w:rsid w:val="00015D88"/>
    <w:rsid w:val="00016283"/>
    <w:rsid w:val="00020065"/>
    <w:rsid w:val="00021335"/>
    <w:rsid w:val="0002646B"/>
    <w:rsid w:val="0002661C"/>
    <w:rsid w:val="00033114"/>
    <w:rsid w:val="000364EA"/>
    <w:rsid w:val="00037E19"/>
    <w:rsid w:val="00041A18"/>
    <w:rsid w:val="00043239"/>
    <w:rsid w:val="00057980"/>
    <w:rsid w:val="00064AA5"/>
    <w:rsid w:val="00067793"/>
    <w:rsid w:val="00067F3B"/>
    <w:rsid w:val="0007200F"/>
    <w:rsid w:val="00075AD1"/>
    <w:rsid w:val="00080D4D"/>
    <w:rsid w:val="00082DD7"/>
    <w:rsid w:val="00084C45"/>
    <w:rsid w:val="00084C76"/>
    <w:rsid w:val="00086C63"/>
    <w:rsid w:val="000912FC"/>
    <w:rsid w:val="000950A7"/>
    <w:rsid w:val="00095620"/>
    <w:rsid w:val="000A044D"/>
    <w:rsid w:val="000A3940"/>
    <w:rsid w:val="000A3DE3"/>
    <w:rsid w:val="000B5800"/>
    <w:rsid w:val="000C028F"/>
    <w:rsid w:val="000C4F74"/>
    <w:rsid w:val="000C69A6"/>
    <w:rsid w:val="000C6F80"/>
    <w:rsid w:val="000D1710"/>
    <w:rsid w:val="000D1989"/>
    <w:rsid w:val="000D7637"/>
    <w:rsid w:val="000E05CB"/>
    <w:rsid w:val="000E18D7"/>
    <w:rsid w:val="000E3CC4"/>
    <w:rsid w:val="000E4140"/>
    <w:rsid w:val="000E42F5"/>
    <w:rsid w:val="000F0594"/>
    <w:rsid w:val="000F235C"/>
    <w:rsid w:val="000F24F5"/>
    <w:rsid w:val="000F28EF"/>
    <w:rsid w:val="000F66F3"/>
    <w:rsid w:val="001006CA"/>
    <w:rsid w:val="00100F8B"/>
    <w:rsid w:val="0010357B"/>
    <w:rsid w:val="00107421"/>
    <w:rsid w:val="00114B7C"/>
    <w:rsid w:val="001172B0"/>
    <w:rsid w:val="00117B1E"/>
    <w:rsid w:val="00121026"/>
    <w:rsid w:val="001223F7"/>
    <w:rsid w:val="00122ED4"/>
    <w:rsid w:val="00124A8C"/>
    <w:rsid w:val="001272DB"/>
    <w:rsid w:val="00127628"/>
    <w:rsid w:val="00132C58"/>
    <w:rsid w:val="001358AC"/>
    <w:rsid w:val="00140994"/>
    <w:rsid w:val="00143EDC"/>
    <w:rsid w:val="001444F6"/>
    <w:rsid w:val="001501DD"/>
    <w:rsid w:val="001505AD"/>
    <w:rsid w:val="00154073"/>
    <w:rsid w:val="00154427"/>
    <w:rsid w:val="00160D77"/>
    <w:rsid w:val="0016130A"/>
    <w:rsid w:val="001672A2"/>
    <w:rsid w:val="00171144"/>
    <w:rsid w:val="001804D9"/>
    <w:rsid w:val="00183EAB"/>
    <w:rsid w:val="00183FE0"/>
    <w:rsid w:val="00185466"/>
    <w:rsid w:val="0018553F"/>
    <w:rsid w:val="00185E59"/>
    <w:rsid w:val="00187D83"/>
    <w:rsid w:val="001A7B74"/>
    <w:rsid w:val="001C5C14"/>
    <w:rsid w:val="001D320E"/>
    <w:rsid w:val="001E1219"/>
    <w:rsid w:val="001E405A"/>
    <w:rsid w:val="001E6205"/>
    <w:rsid w:val="001E7AF3"/>
    <w:rsid w:val="001F0629"/>
    <w:rsid w:val="001F116D"/>
    <w:rsid w:val="001F2901"/>
    <w:rsid w:val="001F3C04"/>
    <w:rsid w:val="001F4691"/>
    <w:rsid w:val="001F5B8B"/>
    <w:rsid w:val="0020079A"/>
    <w:rsid w:val="002009A4"/>
    <w:rsid w:val="0020429F"/>
    <w:rsid w:val="00207C3D"/>
    <w:rsid w:val="00215D55"/>
    <w:rsid w:val="002274D9"/>
    <w:rsid w:val="00227752"/>
    <w:rsid w:val="00232B4F"/>
    <w:rsid w:val="0023360A"/>
    <w:rsid w:val="002450AD"/>
    <w:rsid w:val="002621C1"/>
    <w:rsid w:val="002717BC"/>
    <w:rsid w:val="00271DB2"/>
    <w:rsid w:val="00273A01"/>
    <w:rsid w:val="0027471F"/>
    <w:rsid w:val="002749C3"/>
    <w:rsid w:val="00274F84"/>
    <w:rsid w:val="00277E45"/>
    <w:rsid w:val="0028060B"/>
    <w:rsid w:val="0028120C"/>
    <w:rsid w:val="00283034"/>
    <w:rsid w:val="0028476D"/>
    <w:rsid w:val="00290BE3"/>
    <w:rsid w:val="00290E78"/>
    <w:rsid w:val="00294381"/>
    <w:rsid w:val="00295827"/>
    <w:rsid w:val="00295A4A"/>
    <w:rsid w:val="00295F16"/>
    <w:rsid w:val="002A063F"/>
    <w:rsid w:val="002A1098"/>
    <w:rsid w:val="002A47B8"/>
    <w:rsid w:val="002B1D74"/>
    <w:rsid w:val="002B5C18"/>
    <w:rsid w:val="002B7352"/>
    <w:rsid w:val="002B7F51"/>
    <w:rsid w:val="002C7FC7"/>
    <w:rsid w:val="002D18A3"/>
    <w:rsid w:val="002D3A6F"/>
    <w:rsid w:val="002D3AA3"/>
    <w:rsid w:val="002D45D2"/>
    <w:rsid w:val="002D50A3"/>
    <w:rsid w:val="002E483B"/>
    <w:rsid w:val="002F051F"/>
    <w:rsid w:val="00307A79"/>
    <w:rsid w:val="00311E02"/>
    <w:rsid w:val="003125A4"/>
    <w:rsid w:val="00314179"/>
    <w:rsid w:val="003143D6"/>
    <w:rsid w:val="0031550E"/>
    <w:rsid w:val="003158D5"/>
    <w:rsid w:val="00315E81"/>
    <w:rsid w:val="003161CC"/>
    <w:rsid w:val="00322E6A"/>
    <w:rsid w:val="00323729"/>
    <w:rsid w:val="00327F67"/>
    <w:rsid w:val="00327FC2"/>
    <w:rsid w:val="003314A0"/>
    <w:rsid w:val="00333A96"/>
    <w:rsid w:val="00334071"/>
    <w:rsid w:val="00336407"/>
    <w:rsid w:val="003509B4"/>
    <w:rsid w:val="00352177"/>
    <w:rsid w:val="003522DE"/>
    <w:rsid w:val="003763AC"/>
    <w:rsid w:val="00380635"/>
    <w:rsid w:val="00382E77"/>
    <w:rsid w:val="0038358E"/>
    <w:rsid w:val="00391A01"/>
    <w:rsid w:val="00391F11"/>
    <w:rsid w:val="003929A4"/>
    <w:rsid w:val="003947FA"/>
    <w:rsid w:val="003A1A7E"/>
    <w:rsid w:val="003A2E11"/>
    <w:rsid w:val="003A5711"/>
    <w:rsid w:val="003A7450"/>
    <w:rsid w:val="003A7CED"/>
    <w:rsid w:val="003C3B1D"/>
    <w:rsid w:val="003C620D"/>
    <w:rsid w:val="003C64D9"/>
    <w:rsid w:val="003D0C01"/>
    <w:rsid w:val="003E5A42"/>
    <w:rsid w:val="003E70E0"/>
    <w:rsid w:val="003F1199"/>
    <w:rsid w:val="003F3CD7"/>
    <w:rsid w:val="003F46F9"/>
    <w:rsid w:val="003F5E17"/>
    <w:rsid w:val="00403CE6"/>
    <w:rsid w:val="00405891"/>
    <w:rsid w:val="00406574"/>
    <w:rsid w:val="00407971"/>
    <w:rsid w:val="00410A2D"/>
    <w:rsid w:val="004110CA"/>
    <w:rsid w:val="00413C66"/>
    <w:rsid w:val="00415531"/>
    <w:rsid w:val="004156F0"/>
    <w:rsid w:val="004159C4"/>
    <w:rsid w:val="00415A99"/>
    <w:rsid w:val="004214C9"/>
    <w:rsid w:val="00425FB0"/>
    <w:rsid w:val="0043099B"/>
    <w:rsid w:val="004362E7"/>
    <w:rsid w:val="004366F4"/>
    <w:rsid w:val="00443482"/>
    <w:rsid w:val="00454ECA"/>
    <w:rsid w:val="00457AD1"/>
    <w:rsid w:val="00461347"/>
    <w:rsid w:val="0046427F"/>
    <w:rsid w:val="004713C0"/>
    <w:rsid w:val="004832C6"/>
    <w:rsid w:val="004844E3"/>
    <w:rsid w:val="004859F0"/>
    <w:rsid w:val="00491977"/>
    <w:rsid w:val="00491D53"/>
    <w:rsid w:val="004A1329"/>
    <w:rsid w:val="004A5EA6"/>
    <w:rsid w:val="004A7098"/>
    <w:rsid w:val="004B2ADA"/>
    <w:rsid w:val="004B7AE4"/>
    <w:rsid w:val="004C3178"/>
    <w:rsid w:val="004C404F"/>
    <w:rsid w:val="004C4A2E"/>
    <w:rsid w:val="004C6118"/>
    <w:rsid w:val="004D2447"/>
    <w:rsid w:val="004D2A6C"/>
    <w:rsid w:val="004D43CB"/>
    <w:rsid w:val="004D58E7"/>
    <w:rsid w:val="004E0243"/>
    <w:rsid w:val="004E26F0"/>
    <w:rsid w:val="004E2D2D"/>
    <w:rsid w:val="004E44C8"/>
    <w:rsid w:val="004E53BE"/>
    <w:rsid w:val="004E7B78"/>
    <w:rsid w:val="004F28C3"/>
    <w:rsid w:val="004F5CFC"/>
    <w:rsid w:val="004F5D4F"/>
    <w:rsid w:val="005015B3"/>
    <w:rsid w:val="0050660E"/>
    <w:rsid w:val="005072EA"/>
    <w:rsid w:val="0051044C"/>
    <w:rsid w:val="0051133B"/>
    <w:rsid w:val="00511D79"/>
    <w:rsid w:val="00513280"/>
    <w:rsid w:val="00516160"/>
    <w:rsid w:val="0051798A"/>
    <w:rsid w:val="00522FFC"/>
    <w:rsid w:val="005260D4"/>
    <w:rsid w:val="00531857"/>
    <w:rsid w:val="00535050"/>
    <w:rsid w:val="005356DB"/>
    <w:rsid w:val="00536F3C"/>
    <w:rsid w:val="005415B3"/>
    <w:rsid w:val="0054260E"/>
    <w:rsid w:val="0055069C"/>
    <w:rsid w:val="00550D79"/>
    <w:rsid w:val="005559AC"/>
    <w:rsid w:val="00556FD3"/>
    <w:rsid w:val="00557B5A"/>
    <w:rsid w:val="005611D0"/>
    <w:rsid w:val="0056147F"/>
    <w:rsid w:val="00567EFD"/>
    <w:rsid w:val="0057137A"/>
    <w:rsid w:val="00583EFA"/>
    <w:rsid w:val="005919FD"/>
    <w:rsid w:val="00594186"/>
    <w:rsid w:val="00595F69"/>
    <w:rsid w:val="00596745"/>
    <w:rsid w:val="005A0E76"/>
    <w:rsid w:val="005A53B8"/>
    <w:rsid w:val="005A5F35"/>
    <w:rsid w:val="005A6FED"/>
    <w:rsid w:val="005B13E2"/>
    <w:rsid w:val="005B3888"/>
    <w:rsid w:val="005C03F8"/>
    <w:rsid w:val="005C10EB"/>
    <w:rsid w:val="005C2A3C"/>
    <w:rsid w:val="005C45D3"/>
    <w:rsid w:val="005D13D2"/>
    <w:rsid w:val="005D371D"/>
    <w:rsid w:val="005D4D59"/>
    <w:rsid w:val="005E6C5F"/>
    <w:rsid w:val="005E6F2B"/>
    <w:rsid w:val="005E76FA"/>
    <w:rsid w:val="005F05E2"/>
    <w:rsid w:val="006019CD"/>
    <w:rsid w:val="006022C8"/>
    <w:rsid w:val="00604BD4"/>
    <w:rsid w:val="00604FCE"/>
    <w:rsid w:val="006051DB"/>
    <w:rsid w:val="0061511C"/>
    <w:rsid w:val="00621C12"/>
    <w:rsid w:val="0063033F"/>
    <w:rsid w:val="00630D54"/>
    <w:rsid w:val="00631BFE"/>
    <w:rsid w:val="00634AA0"/>
    <w:rsid w:val="00635A22"/>
    <w:rsid w:val="00642083"/>
    <w:rsid w:val="0064357D"/>
    <w:rsid w:val="00645276"/>
    <w:rsid w:val="00646F2B"/>
    <w:rsid w:val="00647DDB"/>
    <w:rsid w:val="0065447E"/>
    <w:rsid w:val="0065550D"/>
    <w:rsid w:val="00655CF7"/>
    <w:rsid w:val="00656915"/>
    <w:rsid w:val="006656A1"/>
    <w:rsid w:val="00680711"/>
    <w:rsid w:val="00683E7F"/>
    <w:rsid w:val="00684ABF"/>
    <w:rsid w:val="00685F2F"/>
    <w:rsid w:val="006876A8"/>
    <w:rsid w:val="0069054C"/>
    <w:rsid w:val="006A49E3"/>
    <w:rsid w:val="006A5162"/>
    <w:rsid w:val="006A64A7"/>
    <w:rsid w:val="006B0B1E"/>
    <w:rsid w:val="006B0F7E"/>
    <w:rsid w:val="006B1214"/>
    <w:rsid w:val="006B1EFD"/>
    <w:rsid w:val="006B457C"/>
    <w:rsid w:val="006B4A66"/>
    <w:rsid w:val="006B68D1"/>
    <w:rsid w:val="006C1CA4"/>
    <w:rsid w:val="006C2EAF"/>
    <w:rsid w:val="006C37EC"/>
    <w:rsid w:val="006C5340"/>
    <w:rsid w:val="006D4F11"/>
    <w:rsid w:val="006E1902"/>
    <w:rsid w:val="006F1DAC"/>
    <w:rsid w:val="006F4DA9"/>
    <w:rsid w:val="006F7169"/>
    <w:rsid w:val="00705E6C"/>
    <w:rsid w:val="0071346F"/>
    <w:rsid w:val="007160BE"/>
    <w:rsid w:val="00716F64"/>
    <w:rsid w:val="00722F65"/>
    <w:rsid w:val="00723C40"/>
    <w:rsid w:val="00723F88"/>
    <w:rsid w:val="00725B4E"/>
    <w:rsid w:val="00730F8F"/>
    <w:rsid w:val="00734552"/>
    <w:rsid w:val="00734A4F"/>
    <w:rsid w:val="0074188E"/>
    <w:rsid w:val="00750A89"/>
    <w:rsid w:val="0075142F"/>
    <w:rsid w:val="0075193B"/>
    <w:rsid w:val="00760CE6"/>
    <w:rsid w:val="00762865"/>
    <w:rsid w:val="00762BCC"/>
    <w:rsid w:val="00763BA3"/>
    <w:rsid w:val="00765B66"/>
    <w:rsid w:val="00767074"/>
    <w:rsid w:val="0076791D"/>
    <w:rsid w:val="00767BB2"/>
    <w:rsid w:val="0077338D"/>
    <w:rsid w:val="00780376"/>
    <w:rsid w:val="00786EA0"/>
    <w:rsid w:val="00791AAC"/>
    <w:rsid w:val="00797D4C"/>
    <w:rsid w:val="00797D9F"/>
    <w:rsid w:val="00797FEC"/>
    <w:rsid w:val="007A2429"/>
    <w:rsid w:val="007A26DD"/>
    <w:rsid w:val="007A6484"/>
    <w:rsid w:val="007B6944"/>
    <w:rsid w:val="007B6A21"/>
    <w:rsid w:val="007C0BBF"/>
    <w:rsid w:val="007C0E7E"/>
    <w:rsid w:val="007C1DBB"/>
    <w:rsid w:val="007C64D0"/>
    <w:rsid w:val="007D17C5"/>
    <w:rsid w:val="007D389D"/>
    <w:rsid w:val="007D52EC"/>
    <w:rsid w:val="007E42CB"/>
    <w:rsid w:val="007E7BC2"/>
    <w:rsid w:val="007F1CEE"/>
    <w:rsid w:val="007F5F2F"/>
    <w:rsid w:val="00810406"/>
    <w:rsid w:val="00812518"/>
    <w:rsid w:val="008222A3"/>
    <w:rsid w:val="00826C65"/>
    <w:rsid w:val="00830ADC"/>
    <w:rsid w:val="00837537"/>
    <w:rsid w:val="00840E03"/>
    <w:rsid w:val="00842D79"/>
    <w:rsid w:val="00846880"/>
    <w:rsid w:val="00850B10"/>
    <w:rsid w:val="0085566A"/>
    <w:rsid w:val="00855B45"/>
    <w:rsid w:val="00855E39"/>
    <w:rsid w:val="0086094D"/>
    <w:rsid w:val="008616C7"/>
    <w:rsid w:val="008630F6"/>
    <w:rsid w:val="00863F3D"/>
    <w:rsid w:val="00867D0D"/>
    <w:rsid w:val="00871AC4"/>
    <w:rsid w:val="00872382"/>
    <w:rsid w:val="00880DB8"/>
    <w:rsid w:val="008921F0"/>
    <w:rsid w:val="00892934"/>
    <w:rsid w:val="00892E86"/>
    <w:rsid w:val="00893E55"/>
    <w:rsid w:val="008976EA"/>
    <w:rsid w:val="008A320C"/>
    <w:rsid w:val="008A54FC"/>
    <w:rsid w:val="008A5E67"/>
    <w:rsid w:val="008B1CFD"/>
    <w:rsid w:val="008B32AB"/>
    <w:rsid w:val="008B3BD1"/>
    <w:rsid w:val="008B704E"/>
    <w:rsid w:val="008B70CD"/>
    <w:rsid w:val="008C6E19"/>
    <w:rsid w:val="008D5625"/>
    <w:rsid w:val="008E15B6"/>
    <w:rsid w:val="008E6109"/>
    <w:rsid w:val="008F0493"/>
    <w:rsid w:val="008F0BD0"/>
    <w:rsid w:val="008F1A27"/>
    <w:rsid w:val="008F1D62"/>
    <w:rsid w:val="008F32FC"/>
    <w:rsid w:val="008F3D7E"/>
    <w:rsid w:val="008F4243"/>
    <w:rsid w:val="009002FC"/>
    <w:rsid w:val="00902AE8"/>
    <w:rsid w:val="00907C05"/>
    <w:rsid w:val="009170EA"/>
    <w:rsid w:val="00917DE8"/>
    <w:rsid w:val="0092076F"/>
    <w:rsid w:val="00920B08"/>
    <w:rsid w:val="009237E7"/>
    <w:rsid w:val="0092555F"/>
    <w:rsid w:val="009255A4"/>
    <w:rsid w:val="00930439"/>
    <w:rsid w:val="0093434D"/>
    <w:rsid w:val="00942044"/>
    <w:rsid w:val="00943E8B"/>
    <w:rsid w:val="00945187"/>
    <w:rsid w:val="0095078C"/>
    <w:rsid w:val="009523DC"/>
    <w:rsid w:val="00961DCA"/>
    <w:rsid w:val="00966B57"/>
    <w:rsid w:val="00966E19"/>
    <w:rsid w:val="009672C0"/>
    <w:rsid w:val="00970203"/>
    <w:rsid w:val="00981198"/>
    <w:rsid w:val="00982CDE"/>
    <w:rsid w:val="00983D56"/>
    <w:rsid w:val="009843ED"/>
    <w:rsid w:val="00986677"/>
    <w:rsid w:val="00992D45"/>
    <w:rsid w:val="0099421C"/>
    <w:rsid w:val="00995613"/>
    <w:rsid w:val="009966EC"/>
    <w:rsid w:val="009A1235"/>
    <w:rsid w:val="009A47E4"/>
    <w:rsid w:val="009B2B6D"/>
    <w:rsid w:val="009B5D88"/>
    <w:rsid w:val="009B6C71"/>
    <w:rsid w:val="009C4BB8"/>
    <w:rsid w:val="009D01F1"/>
    <w:rsid w:val="009D072A"/>
    <w:rsid w:val="009D1A6D"/>
    <w:rsid w:val="009D4BA1"/>
    <w:rsid w:val="009D7D5A"/>
    <w:rsid w:val="009E2025"/>
    <w:rsid w:val="009E4693"/>
    <w:rsid w:val="009E47EB"/>
    <w:rsid w:val="009E5FA7"/>
    <w:rsid w:val="009F3A37"/>
    <w:rsid w:val="009F57CC"/>
    <w:rsid w:val="00A02090"/>
    <w:rsid w:val="00A076B5"/>
    <w:rsid w:val="00A10420"/>
    <w:rsid w:val="00A2060D"/>
    <w:rsid w:val="00A207E4"/>
    <w:rsid w:val="00A232B2"/>
    <w:rsid w:val="00A23870"/>
    <w:rsid w:val="00A244BD"/>
    <w:rsid w:val="00A27C80"/>
    <w:rsid w:val="00A323A5"/>
    <w:rsid w:val="00A326A8"/>
    <w:rsid w:val="00A4275C"/>
    <w:rsid w:val="00A5266A"/>
    <w:rsid w:val="00A54777"/>
    <w:rsid w:val="00A6749B"/>
    <w:rsid w:val="00A70335"/>
    <w:rsid w:val="00A710FB"/>
    <w:rsid w:val="00A72A5D"/>
    <w:rsid w:val="00A73298"/>
    <w:rsid w:val="00A7514C"/>
    <w:rsid w:val="00A77C5E"/>
    <w:rsid w:val="00A85368"/>
    <w:rsid w:val="00A90A10"/>
    <w:rsid w:val="00A92C8F"/>
    <w:rsid w:val="00A95ACB"/>
    <w:rsid w:val="00A97942"/>
    <w:rsid w:val="00AA079B"/>
    <w:rsid w:val="00AA086A"/>
    <w:rsid w:val="00AA18C6"/>
    <w:rsid w:val="00AA3600"/>
    <w:rsid w:val="00AB0959"/>
    <w:rsid w:val="00AB1BC9"/>
    <w:rsid w:val="00AB313F"/>
    <w:rsid w:val="00AC6791"/>
    <w:rsid w:val="00AD5AEC"/>
    <w:rsid w:val="00AD7257"/>
    <w:rsid w:val="00AF034D"/>
    <w:rsid w:val="00AF1792"/>
    <w:rsid w:val="00AF2D0C"/>
    <w:rsid w:val="00AF383A"/>
    <w:rsid w:val="00AF7470"/>
    <w:rsid w:val="00B014F4"/>
    <w:rsid w:val="00B02DBB"/>
    <w:rsid w:val="00B02E64"/>
    <w:rsid w:val="00B05E83"/>
    <w:rsid w:val="00B06754"/>
    <w:rsid w:val="00B0729D"/>
    <w:rsid w:val="00B11B52"/>
    <w:rsid w:val="00B13396"/>
    <w:rsid w:val="00B160A6"/>
    <w:rsid w:val="00B2376A"/>
    <w:rsid w:val="00B23B76"/>
    <w:rsid w:val="00B30209"/>
    <w:rsid w:val="00B3048A"/>
    <w:rsid w:val="00B30D3B"/>
    <w:rsid w:val="00B340CD"/>
    <w:rsid w:val="00B364AE"/>
    <w:rsid w:val="00B432D4"/>
    <w:rsid w:val="00B45F16"/>
    <w:rsid w:val="00B50115"/>
    <w:rsid w:val="00B54B3E"/>
    <w:rsid w:val="00B54E0F"/>
    <w:rsid w:val="00B56049"/>
    <w:rsid w:val="00B576D7"/>
    <w:rsid w:val="00B6147A"/>
    <w:rsid w:val="00B62CB1"/>
    <w:rsid w:val="00B65042"/>
    <w:rsid w:val="00B718B0"/>
    <w:rsid w:val="00B72467"/>
    <w:rsid w:val="00B728B0"/>
    <w:rsid w:val="00B7457B"/>
    <w:rsid w:val="00B7561B"/>
    <w:rsid w:val="00B75AF1"/>
    <w:rsid w:val="00B768A7"/>
    <w:rsid w:val="00B80892"/>
    <w:rsid w:val="00B81436"/>
    <w:rsid w:val="00B82456"/>
    <w:rsid w:val="00B84086"/>
    <w:rsid w:val="00B877FF"/>
    <w:rsid w:val="00B90427"/>
    <w:rsid w:val="00B92861"/>
    <w:rsid w:val="00B9384E"/>
    <w:rsid w:val="00B96656"/>
    <w:rsid w:val="00BA34CB"/>
    <w:rsid w:val="00BA5838"/>
    <w:rsid w:val="00BA6C8A"/>
    <w:rsid w:val="00BA7A69"/>
    <w:rsid w:val="00BB041A"/>
    <w:rsid w:val="00BB2980"/>
    <w:rsid w:val="00BB33D4"/>
    <w:rsid w:val="00BB3AE1"/>
    <w:rsid w:val="00BB3E69"/>
    <w:rsid w:val="00BC4DFC"/>
    <w:rsid w:val="00BC6DB6"/>
    <w:rsid w:val="00BD14F0"/>
    <w:rsid w:val="00BD1A4A"/>
    <w:rsid w:val="00BD28DF"/>
    <w:rsid w:val="00BD2F50"/>
    <w:rsid w:val="00BE2864"/>
    <w:rsid w:val="00C01390"/>
    <w:rsid w:val="00C021F1"/>
    <w:rsid w:val="00C029C6"/>
    <w:rsid w:val="00C0355C"/>
    <w:rsid w:val="00C076BF"/>
    <w:rsid w:val="00C10BF1"/>
    <w:rsid w:val="00C15BF0"/>
    <w:rsid w:val="00C177A7"/>
    <w:rsid w:val="00C17CBE"/>
    <w:rsid w:val="00C27F02"/>
    <w:rsid w:val="00C33EF7"/>
    <w:rsid w:val="00C500F6"/>
    <w:rsid w:val="00C504F4"/>
    <w:rsid w:val="00C519A5"/>
    <w:rsid w:val="00C52409"/>
    <w:rsid w:val="00C556E1"/>
    <w:rsid w:val="00C57E85"/>
    <w:rsid w:val="00C63F64"/>
    <w:rsid w:val="00C643AD"/>
    <w:rsid w:val="00C64616"/>
    <w:rsid w:val="00C65BB4"/>
    <w:rsid w:val="00C7536F"/>
    <w:rsid w:val="00C8071C"/>
    <w:rsid w:val="00C816CB"/>
    <w:rsid w:val="00C82461"/>
    <w:rsid w:val="00C830DB"/>
    <w:rsid w:val="00C83E1E"/>
    <w:rsid w:val="00C85F88"/>
    <w:rsid w:val="00C93BBB"/>
    <w:rsid w:val="00CA07CC"/>
    <w:rsid w:val="00CA0BDD"/>
    <w:rsid w:val="00CA4FCE"/>
    <w:rsid w:val="00CA5F8F"/>
    <w:rsid w:val="00CB47AE"/>
    <w:rsid w:val="00CC0E6C"/>
    <w:rsid w:val="00CC4754"/>
    <w:rsid w:val="00CC5A6F"/>
    <w:rsid w:val="00CD05EB"/>
    <w:rsid w:val="00CD2742"/>
    <w:rsid w:val="00CD4050"/>
    <w:rsid w:val="00CD7862"/>
    <w:rsid w:val="00CE271A"/>
    <w:rsid w:val="00CE6FF5"/>
    <w:rsid w:val="00CF2234"/>
    <w:rsid w:val="00CF4D21"/>
    <w:rsid w:val="00CF4FC1"/>
    <w:rsid w:val="00CF5245"/>
    <w:rsid w:val="00D00A5C"/>
    <w:rsid w:val="00D01432"/>
    <w:rsid w:val="00D01FF8"/>
    <w:rsid w:val="00D07B1A"/>
    <w:rsid w:val="00D14272"/>
    <w:rsid w:val="00D2335A"/>
    <w:rsid w:val="00D25DD0"/>
    <w:rsid w:val="00D30E46"/>
    <w:rsid w:val="00D32D45"/>
    <w:rsid w:val="00D3458E"/>
    <w:rsid w:val="00D41399"/>
    <w:rsid w:val="00D44703"/>
    <w:rsid w:val="00D50AC8"/>
    <w:rsid w:val="00D519E1"/>
    <w:rsid w:val="00D52C93"/>
    <w:rsid w:val="00D53569"/>
    <w:rsid w:val="00D578E5"/>
    <w:rsid w:val="00D623CE"/>
    <w:rsid w:val="00D631F4"/>
    <w:rsid w:val="00D64A62"/>
    <w:rsid w:val="00D65C54"/>
    <w:rsid w:val="00D663AD"/>
    <w:rsid w:val="00D82D10"/>
    <w:rsid w:val="00D83CC4"/>
    <w:rsid w:val="00D93A2A"/>
    <w:rsid w:val="00D95029"/>
    <w:rsid w:val="00DA446E"/>
    <w:rsid w:val="00DA4815"/>
    <w:rsid w:val="00DA6CAD"/>
    <w:rsid w:val="00DA70BB"/>
    <w:rsid w:val="00DA7368"/>
    <w:rsid w:val="00DB57A5"/>
    <w:rsid w:val="00DB5D0E"/>
    <w:rsid w:val="00DC1C4D"/>
    <w:rsid w:val="00DC1F9D"/>
    <w:rsid w:val="00DC339A"/>
    <w:rsid w:val="00DC7307"/>
    <w:rsid w:val="00DC7DB2"/>
    <w:rsid w:val="00DD17F5"/>
    <w:rsid w:val="00DD2963"/>
    <w:rsid w:val="00DD4D97"/>
    <w:rsid w:val="00DD5210"/>
    <w:rsid w:val="00DD5746"/>
    <w:rsid w:val="00DE4468"/>
    <w:rsid w:val="00DE547F"/>
    <w:rsid w:val="00DE7583"/>
    <w:rsid w:val="00DF0743"/>
    <w:rsid w:val="00DF2C67"/>
    <w:rsid w:val="00DF32C4"/>
    <w:rsid w:val="00DF3AE2"/>
    <w:rsid w:val="00DF45DE"/>
    <w:rsid w:val="00DF471B"/>
    <w:rsid w:val="00DF5F35"/>
    <w:rsid w:val="00DF7D21"/>
    <w:rsid w:val="00E00C42"/>
    <w:rsid w:val="00E034F6"/>
    <w:rsid w:val="00E041DE"/>
    <w:rsid w:val="00E04C91"/>
    <w:rsid w:val="00E059C5"/>
    <w:rsid w:val="00E1123F"/>
    <w:rsid w:val="00E11CF1"/>
    <w:rsid w:val="00E17070"/>
    <w:rsid w:val="00E21651"/>
    <w:rsid w:val="00E24F3A"/>
    <w:rsid w:val="00E25696"/>
    <w:rsid w:val="00E2682E"/>
    <w:rsid w:val="00E302B9"/>
    <w:rsid w:val="00E31159"/>
    <w:rsid w:val="00E343C2"/>
    <w:rsid w:val="00E3643A"/>
    <w:rsid w:val="00E37017"/>
    <w:rsid w:val="00E501BC"/>
    <w:rsid w:val="00E540AC"/>
    <w:rsid w:val="00E5470F"/>
    <w:rsid w:val="00E5703C"/>
    <w:rsid w:val="00E60351"/>
    <w:rsid w:val="00E65750"/>
    <w:rsid w:val="00E67D7D"/>
    <w:rsid w:val="00E70D12"/>
    <w:rsid w:val="00E71AE7"/>
    <w:rsid w:val="00E752E6"/>
    <w:rsid w:val="00E75C89"/>
    <w:rsid w:val="00E76EA8"/>
    <w:rsid w:val="00E81B9F"/>
    <w:rsid w:val="00E81E82"/>
    <w:rsid w:val="00E82341"/>
    <w:rsid w:val="00E85789"/>
    <w:rsid w:val="00E875EF"/>
    <w:rsid w:val="00E971F4"/>
    <w:rsid w:val="00EA24D5"/>
    <w:rsid w:val="00EA6088"/>
    <w:rsid w:val="00EA78F9"/>
    <w:rsid w:val="00EB3A35"/>
    <w:rsid w:val="00EB4B9D"/>
    <w:rsid w:val="00EB5C8F"/>
    <w:rsid w:val="00EB65A0"/>
    <w:rsid w:val="00EC059B"/>
    <w:rsid w:val="00EC1387"/>
    <w:rsid w:val="00EC1A2C"/>
    <w:rsid w:val="00EC6018"/>
    <w:rsid w:val="00ED0110"/>
    <w:rsid w:val="00ED1316"/>
    <w:rsid w:val="00ED61C4"/>
    <w:rsid w:val="00EE147A"/>
    <w:rsid w:val="00EE2515"/>
    <w:rsid w:val="00EE6857"/>
    <w:rsid w:val="00EF3993"/>
    <w:rsid w:val="00EF41D1"/>
    <w:rsid w:val="00EF69A7"/>
    <w:rsid w:val="00F00CEC"/>
    <w:rsid w:val="00F013A1"/>
    <w:rsid w:val="00F03AD9"/>
    <w:rsid w:val="00F04416"/>
    <w:rsid w:val="00F057A8"/>
    <w:rsid w:val="00F148CF"/>
    <w:rsid w:val="00F16525"/>
    <w:rsid w:val="00F16ADA"/>
    <w:rsid w:val="00F212EB"/>
    <w:rsid w:val="00F30F51"/>
    <w:rsid w:val="00F31894"/>
    <w:rsid w:val="00F34856"/>
    <w:rsid w:val="00F364EE"/>
    <w:rsid w:val="00F4017C"/>
    <w:rsid w:val="00F40E71"/>
    <w:rsid w:val="00F4119A"/>
    <w:rsid w:val="00F43688"/>
    <w:rsid w:val="00F465D3"/>
    <w:rsid w:val="00F50B1C"/>
    <w:rsid w:val="00F515F2"/>
    <w:rsid w:val="00F5288A"/>
    <w:rsid w:val="00F568EB"/>
    <w:rsid w:val="00F56F06"/>
    <w:rsid w:val="00F6095F"/>
    <w:rsid w:val="00F64889"/>
    <w:rsid w:val="00F720C5"/>
    <w:rsid w:val="00F73815"/>
    <w:rsid w:val="00F73E19"/>
    <w:rsid w:val="00F75003"/>
    <w:rsid w:val="00F7770D"/>
    <w:rsid w:val="00F80827"/>
    <w:rsid w:val="00F82C8D"/>
    <w:rsid w:val="00F93115"/>
    <w:rsid w:val="00F93290"/>
    <w:rsid w:val="00FA41C1"/>
    <w:rsid w:val="00FA55EB"/>
    <w:rsid w:val="00FA5792"/>
    <w:rsid w:val="00FA77EC"/>
    <w:rsid w:val="00FB023A"/>
    <w:rsid w:val="00FB1900"/>
    <w:rsid w:val="00FB200D"/>
    <w:rsid w:val="00FB33B2"/>
    <w:rsid w:val="00FB3A34"/>
    <w:rsid w:val="00FC167F"/>
    <w:rsid w:val="00FC5751"/>
    <w:rsid w:val="00FC6B6F"/>
    <w:rsid w:val="00FD0E66"/>
    <w:rsid w:val="00FD101C"/>
    <w:rsid w:val="00FD189D"/>
    <w:rsid w:val="00FD35A0"/>
    <w:rsid w:val="00FD4103"/>
    <w:rsid w:val="00FE309A"/>
    <w:rsid w:val="00FE3446"/>
    <w:rsid w:val="00FE5673"/>
    <w:rsid w:val="00FE7D1F"/>
    <w:rsid w:val="00FE7EEC"/>
    <w:rsid w:val="00FF0A65"/>
    <w:rsid w:val="00FF2BBC"/>
    <w:rsid w:val="00FF4916"/>
    <w:rsid w:val="00FF4C84"/>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7b6c58,#887e6e,#b0a696"/>
    </o:shapedefaults>
    <o:shapelayout v:ext="edit">
      <o:idmap v:ext="edit" data="1"/>
    </o:shapelayout>
  </w:shapeDefaults>
  <w:decimalSymbol w:val=","/>
  <w:listSeparator w:val=";"/>
  <w15:docId w15:val="{FCAE9AAF-5AC1-4E68-8524-99E2A4887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da-DK" w:eastAsia="en-US" w:bidi="ar-SA"/>
      </w:rPr>
    </w:rPrDefault>
    <w:pPrDefault>
      <w:pPr>
        <w:spacing w:before="60" w:after="120"/>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 w:unhideWhenUsed="1" w:qFormat="1"/>
    <w:lsdException w:name="toc 2" w:locked="0" w:semiHidden="1" w:uiPriority="2" w:unhideWhenUsed="1" w:qFormat="1"/>
    <w:lsdException w:name="toc 3" w:locked="0" w:semiHidden="1" w:uiPriority="2" w:unhideWhenUsed="1" w:qFormat="1"/>
    <w:lsdException w:name="toc 4" w:locked="0" w:semiHidden="1" w:uiPriority="2"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0"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0" w:unhideWhenUsed="1"/>
    <w:lsdException w:name="FollowedHyperlink" w:semiHidden="1" w:unhideWhenUsed="1"/>
    <w:lsdException w:name="Strong" w:uiPriority="0" w:qFormat="1"/>
    <w:lsdException w:name="Emphasis" w:locked="0"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uiPriority="21" w:qFormat="1"/>
    <w:lsdException w:name="Subtle Reference" w:uiPriority="31" w:qFormat="1"/>
    <w:lsdException w:name="Intense Reference" w:locked="0" w:uiPriority="0" w:qFormat="1"/>
    <w:lsdException w:name="Book Title" w:semiHidden="1"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Standaard">
    <w:name w:val="Normal"/>
    <w:aliases w:val="ECC Base"/>
    <w:qFormat/>
    <w:rsid w:val="002F051F"/>
    <w:pPr>
      <w:shd w:val="clear" w:color="FFFFFF" w:themeColor="background1" w:fill="auto"/>
      <w:spacing w:after="240"/>
      <w:jc w:val="both"/>
      <w:textboxTightWrap w:val="lastLineOnly"/>
    </w:pPr>
    <w:rPr>
      <w:rFonts w:eastAsia="Calibri"/>
      <w:szCs w:val="22"/>
      <w:lang w:val="en-GB"/>
    </w:rPr>
  </w:style>
  <w:style w:type="paragraph" w:styleId="Kop1">
    <w:name w:val="heading 1"/>
    <w:aliases w:val="ECC Heading 1"/>
    <w:next w:val="ECCParagraph"/>
    <w:qFormat/>
    <w:rsid w:val="002F051F"/>
    <w:pPr>
      <w:keepNext/>
      <w:numPr>
        <w:numId w:val="20"/>
      </w:numPr>
      <w:spacing w:before="600" w:after="240"/>
      <w:outlineLvl w:val="0"/>
    </w:pPr>
    <w:rPr>
      <w:rFonts w:cs="Arial"/>
      <w:b/>
      <w:bCs/>
      <w:caps/>
      <w:color w:val="D2232A"/>
      <w:kern w:val="32"/>
      <w:szCs w:val="32"/>
    </w:rPr>
  </w:style>
  <w:style w:type="paragraph" w:styleId="Kop2">
    <w:name w:val="heading 2"/>
    <w:aliases w:val="ECC Heading 2"/>
    <w:next w:val="Standaard"/>
    <w:qFormat/>
    <w:rsid w:val="002F051F"/>
    <w:pPr>
      <w:keepNext/>
      <w:numPr>
        <w:ilvl w:val="1"/>
        <w:numId w:val="20"/>
      </w:numPr>
      <w:spacing w:before="480" w:after="240"/>
      <w:outlineLvl w:val="1"/>
    </w:pPr>
    <w:rPr>
      <w:rFonts w:cs="Arial"/>
      <w:b/>
      <w:bCs/>
      <w:iCs/>
      <w:caps/>
      <w:szCs w:val="28"/>
    </w:rPr>
  </w:style>
  <w:style w:type="paragraph" w:styleId="Kop3">
    <w:name w:val="heading 3"/>
    <w:aliases w:val="ECC Heading 3"/>
    <w:next w:val="Standaard"/>
    <w:qFormat/>
    <w:rsid w:val="002F051F"/>
    <w:pPr>
      <w:keepNext/>
      <w:numPr>
        <w:ilvl w:val="2"/>
        <w:numId w:val="20"/>
      </w:numPr>
      <w:spacing w:before="360"/>
      <w:outlineLvl w:val="2"/>
    </w:pPr>
    <w:rPr>
      <w:rFonts w:cs="Arial"/>
      <w:b/>
      <w:bCs/>
      <w:szCs w:val="26"/>
    </w:rPr>
  </w:style>
  <w:style w:type="paragraph" w:styleId="Kop4">
    <w:name w:val="heading 4"/>
    <w:aliases w:val="ECC Heading 4"/>
    <w:next w:val="Standaard"/>
    <w:qFormat/>
    <w:rsid w:val="002F051F"/>
    <w:pPr>
      <w:numPr>
        <w:ilvl w:val="3"/>
        <w:numId w:val="20"/>
      </w:numPr>
      <w:spacing w:before="360"/>
      <w:outlineLvl w:val="3"/>
    </w:pPr>
    <w:rPr>
      <w:rFonts w:cs="Arial"/>
      <w:bCs/>
      <w:i/>
      <w:color w:val="D2232A"/>
      <w:szCs w:val="26"/>
    </w:rPr>
  </w:style>
  <w:style w:type="paragraph" w:styleId="Kop5">
    <w:name w:val="heading 5"/>
    <w:basedOn w:val="Standaard"/>
    <w:next w:val="Standaard"/>
    <w:semiHidden/>
    <w:qFormat/>
    <w:locked/>
    <w:rsid w:val="009E47EB"/>
    <w:pPr>
      <w:numPr>
        <w:ilvl w:val="4"/>
        <w:numId w:val="20"/>
      </w:numPr>
      <w:spacing w:before="240" w:after="60"/>
      <w:outlineLvl w:val="4"/>
    </w:pPr>
    <w:rPr>
      <w:b/>
      <w:bCs/>
      <w:i/>
      <w:iCs/>
      <w:sz w:val="26"/>
      <w:szCs w:val="26"/>
    </w:rPr>
  </w:style>
  <w:style w:type="paragraph" w:styleId="Kop6">
    <w:name w:val="heading 6"/>
    <w:basedOn w:val="Standaard"/>
    <w:next w:val="Standaard"/>
    <w:semiHidden/>
    <w:qFormat/>
    <w:locked/>
    <w:rsid w:val="009E47EB"/>
    <w:pPr>
      <w:numPr>
        <w:ilvl w:val="5"/>
        <w:numId w:val="20"/>
      </w:numPr>
      <w:spacing w:before="240" w:after="60"/>
      <w:outlineLvl w:val="5"/>
    </w:pPr>
    <w:rPr>
      <w:b/>
      <w:bCs/>
    </w:rPr>
  </w:style>
  <w:style w:type="paragraph" w:styleId="Kop7">
    <w:name w:val="heading 7"/>
    <w:basedOn w:val="Standaard"/>
    <w:next w:val="Standaard"/>
    <w:semiHidden/>
    <w:qFormat/>
    <w:locked/>
    <w:rsid w:val="009E47EB"/>
    <w:pPr>
      <w:numPr>
        <w:ilvl w:val="6"/>
        <w:numId w:val="20"/>
      </w:numPr>
      <w:spacing w:before="240" w:after="60"/>
      <w:outlineLvl w:val="6"/>
    </w:pPr>
    <w:rPr>
      <w:sz w:val="24"/>
    </w:rPr>
  </w:style>
  <w:style w:type="paragraph" w:styleId="Kop8">
    <w:name w:val="heading 8"/>
    <w:basedOn w:val="Standaard"/>
    <w:next w:val="Standaard"/>
    <w:semiHidden/>
    <w:qFormat/>
    <w:locked/>
    <w:rsid w:val="009E47EB"/>
    <w:pPr>
      <w:numPr>
        <w:ilvl w:val="7"/>
        <w:numId w:val="20"/>
      </w:numPr>
      <w:spacing w:before="240" w:after="60"/>
      <w:outlineLvl w:val="7"/>
    </w:pPr>
    <w:rPr>
      <w:i/>
      <w:iCs/>
      <w:sz w:val="24"/>
    </w:rPr>
  </w:style>
  <w:style w:type="paragraph" w:styleId="Kop9">
    <w:name w:val="heading 9"/>
    <w:basedOn w:val="Standaard"/>
    <w:next w:val="Standaard"/>
    <w:semiHidden/>
    <w:qFormat/>
    <w:locked/>
    <w:rsid w:val="009E47EB"/>
    <w:pPr>
      <w:numPr>
        <w:ilvl w:val="8"/>
        <w:numId w:val="20"/>
      </w:numPr>
      <w:spacing w:before="240" w:after="60"/>
      <w:outlineLvl w:val="8"/>
    </w:pPr>
    <w:rPr>
      <w:rFonts w:cs="Ari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ECCBulletsLv1">
    <w:name w:val="ECC Bullets Lv1"/>
    <w:basedOn w:val="ECCParagraph"/>
    <w:qFormat/>
    <w:rsid w:val="002F051F"/>
    <w:pPr>
      <w:numPr>
        <w:numId w:val="11"/>
      </w:numPr>
      <w:tabs>
        <w:tab w:val="left" w:pos="340"/>
      </w:tabs>
      <w:spacing w:after="120"/>
    </w:pPr>
  </w:style>
  <w:style w:type="paragraph" w:styleId="Koptekst">
    <w:name w:val="header"/>
    <w:basedOn w:val="Standaard"/>
    <w:semiHidden/>
    <w:locked/>
    <w:rsid w:val="00C95C7C"/>
    <w:pPr>
      <w:tabs>
        <w:tab w:val="center" w:pos="4320"/>
        <w:tab w:val="right" w:pos="8640"/>
      </w:tabs>
    </w:pPr>
    <w:rPr>
      <w:b/>
      <w:sz w:val="16"/>
    </w:rPr>
  </w:style>
  <w:style w:type="paragraph" w:styleId="Voettekst">
    <w:name w:val="footer"/>
    <w:basedOn w:val="Standaard"/>
    <w:semiHidden/>
    <w:locked/>
    <w:rsid w:val="0077244E"/>
    <w:pPr>
      <w:tabs>
        <w:tab w:val="center" w:pos="4320"/>
        <w:tab w:val="right" w:pos="8640"/>
      </w:tabs>
    </w:pPr>
  </w:style>
  <w:style w:type="paragraph" w:customStyle="1" w:styleId="ECCAnnexheading1">
    <w:name w:val="ECC Annex heading1"/>
    <w:next w:val="Standaard"/>
    <w:rsid w:val="002F051F"/>
    <w:pPr>
      <w:keepNext/>
      <w:pageBreakBefore/>
      <w:numPr>
        <w:numId w:val="10"/>
      </w:numPr>
    </w:pPr>
    <w:rPr>
      <w:b/>
      <w:caps/>
      <w:color w:val="D2232A"/>
    </w:rPr>
  </w:style>
  <w:style w:type="paragraph" w:styleId="Inhopg1">
    <w:name w:val="toc 1"/>
    <w:aliases w:val="ECC Index 1"/>
    <w:basedOn w:val="ECCParagraph"/>
    <w:next w:val="ECCEditorsNote"/>
    <w:link w:val="Inhopg1Char"/>
    <w:uiPriority w:val="2"/>
    <w:unhideWhenUsed/>
    <w:qFormat/>
    <w:rsid w:val="002F051F"/>
    <w:pPr>
      <w:tabs>
        <w:tab w:val="left" w:pos="400"/>
        <w:tab w:val="right" w:leader="dot" w:pos="9629"/>
      </w:tabs>
      <w:spacing w:after="100"/>
      <w:jc w:val="left"/>
    </w:pPr>
    <w:rPr>
      <w:b/>
      <w:szCs w:val="20"/>
      <w:lang w:val="da-DK"/>
    </w:rPr>
  </w:style>
  <w:style w:type="paragraph" w:styleId="Voetnoottekst">
    <w:name w:val="footnote text"/>
    <w:aliases w:val="ECC Footnote"/>
    <w:basedOn w:val="Standaard"/>
    <w:link w:val="VoetnoottekstChar"/>
    <w:rsid w:val="002F051F"/>
    <w:pPr>
      <w:tabs>
        <w:tab w:val="left" w:pos="284"/>
      </w:tabs>
      <w:spacing w:after="0"/>
      <w:ind w:left="284" w:hanging="284"/>
      <w:jc w:val="left"/>
    </w:pPr>
    <w:rPr>
      <w:sz w:val="16"/>
      <w:szCs w:val="16"/>
      <w:lang w:val="da-DK"/>
      <w14:cntxtAlts/>
    </w:rPr>
  </w:style>
  <w:style w:type="paragraph" w:styleId="Inhopg2">
    <w:name w:val="toc 2"/>
    <w:aliases w:val="ECC Index 2"/>
    <w:basedOn w:val="ECCParagraph"/>
    <w:next w:val="ECCEditorsNote"/>
    <w:uiPriority w:val="2"/>
    <w:unhideWhenUsed/>
    <w:qFormat/>
    <w:rsid w:val="002F051F"/>
    <w:pPr>
      <w:tabs>
        <w:tab w:val="left" w:pos="880"/>
        <w:tab w:val="right" w:leader="dot" w:pos="9629"/>
      </w:tabs>
      <w:spacing w:after="100"/>
      <w:ind w:left="200"/>
      <w:jc w:val="left"/>
    </w:pPr>
    <w:rPr>
      <w:szCs w:val="20"/>
      <w:lang w:val="da-DK"/>
    </w:rPr>
  </w:style>
  <w:style w:type="paragraph" w:styleId="Inhopg3">
    <w:name w:val="toc 3"/>
    <w:aliases w:val="ECC Index 3"/>
    <w:basedOn w:val="ECCParagraph"/>
    <w:next w:val="ECCEditorsNote"/>
    <w:uiPriority w:val="2"/>
    <w:unhideWhenUsed/>
    <w:qFormat/>
    <w:rsid w:val="002F051F"/>
    <w:pPr>
      <w:tabs>
        <w:tab w:val="left" w:pos="1100"/>
        <w:tab w:val="right" w:leader="dot" w:pos="9629"/>
      </w:tabs>
      <w:spacing w:after="100"/>
      <w:ind w:left="400"/>
      <w:jc w:val="left"/>
    </w:pPr>
    <w:rPr>
      <w:szCs w:val="20"/>
      <w:lang w:val="da-DK"/>
    </w:rPr>
  </w:style>
  <w:style w:type="paragraph" w:styleId="Inhopg4">
    <w:name w:val="toc 4"/>
    <w:aliases w:val="ECC Index 4"/>
    <w:basedOn w:val="ECCParagraph"/>
    <w:next w:val="ECCEditorsNote"/>
    <w:uiPriority w:val="2"/>
    <w:unhideWhenUsed/>
    <w:rsid w:val="002F051F"/>
    <w:pPr>
      <w:tabs>
        <w:tab w:val="left" w:pos="1540"/>
        <w:tab w:val="right" w:leader="dot" w:pos="9629"/>
      </w:tabs>
      <w:spacing w:after="100"/>
      <w:ind w:left="600"/>
      <w:jc w:val="left"/>
    </w:pPr>
    <w:rPr>
      <w:szCs w:val="20"/>
      <w:lang w:val="da-DK"/>
    </w:rPr>
  </w:style>
  <w:style w:type="table" w:styleId="Tabelraster">
    <w:name w:val="Table Grid"/>
    <w:basedOn w:val="Standaardtabel"/>
    <w:locked/>
    <w:rsid w:val="006F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CCHLgreen">
    <w:name w:val="ECC HL green"/>
    <w:basedOn w:val="Standaardalinea-lettertype"/>
    <w:uiPriority w:val="1"/>
    <w:qFormat/>
    <w:rsid w:val="002F051F"/>
    <w:rPr>
      <w:bdr w:val="none" w:sz="0" w:space="0" w:color="auto"/>
      <w:shd w:val="clear" w:color="auto" w:fill="92D050"/>
      <w:lang w:val="en-GB"/>
    </w:rPr>
  </w:style>
  <w:style w:type="character" w:customStyle="1" w:styleId="VoetnoottekstChar">
    <w:name w:val="Voetnoottekst Char"/>
    <w:aliases w:val="ECC Footnote Char"/>
    <w:basedOn w:val="Standaardalinea-lettertype"/>
    <w:link w:val="Voetnoottekst"/>
    <w:rsid w:val="002F051F"/>
    <w:rPr>
      <w:rFonts w:eastAsia="Calibri"/>
      <w:sz w:val="16"/>
      <w:szCs w:val="16"/>
      <w:shd w:val="clear" w:color="FFFFFF" w:themeColor="background1" w:fill="auto"/>
      <w14:cntxtAlts/>
    </w:rPr>
  </w:style>
  <w:style w:type="character" w:styleId="Voetnootmarkering">
    <w:name w:val="footnote reference"/>
    <w:aliases w:val="ECC Footnote sign"/>
    <w:basedOn w:val="Standaardalinea-lettertype"/>
    <w:rsid w:val="002F051F"/>
    <w:rPr>
      <w:rFonts w:ascii="Arial" w:hAnsi="Arial"/>
      <w:sz w:val="20"/>
      <w:vertAlign w:val="superscript"/>
    </w:rPr>
  </w:style>
  <w:style w:type="paragraph" w:styleId="Bijschrift">
    <w:name w:val="caption"/>
    <w:aliases w:val="ECC Caption"/>
    <w:next w:val="Standaard"/>
    <w:qFormat/>
    <w:locked/>
    <w:rsid w:val="002F051F"/>
    <w:pPr>
      <w:tabs>
        <w:tab w:val="left" w:pos="0"/>
        <w:tab w:val="center" w:pos="4820"/>
        <w:tab w:val="right" w:pos="9639"/>
      </w:tabs>
      <w:spacing w:before="240"/>
      <w:contextualSpacing/>
      <w:jc w:val="center"/>
    </w:pPr>
    <w:rPr>
      <w:b/>
      <w:bCs/>
      <w:color w:val="D2232A"/>
    </w:rPr>
  </w:style>
  <w:style w:type="paragraph" w:customStyle="1" w:styleId="ECCTablenote">
    <w:name w:val="ECC Table note"/>
    <w:rsid w:val="002F051F"/>
    <w:pPr>
      <w:tabs>
        <w:tab w:val="left" w:pos="284"/>
      </w:tabs>
      <w:jc w:val="both"/>
    </w:pPr>
    <w:rPr>
      <w:sz w:val="16"/>
      <w:szCs w:val="16"/>
      <w14:cntxtAlts/>
    </w:rPr>
  </w:style>
  <w:style w:type="paragraph" w:customStyle="1" w:styleId="ECCBulletsLv2">
    <w:name w:val="ECC Bullets Lv2"/>
    <w:basedOn w:val="ECCBulletsLv1"/>
    <w:rsid w:val="002F051F"/>
    <w:pPr>
      <w:numPr>
        <w:numId w:val="13"/>
      </w:numPr>
    </w:pPr>
  </w:style>
  <w:style w:type="paragraph" w:customStyle="1" w:styleId="ECCAnnexheading2">
    <w:name w:val="ECC Annex heading2"/>
    <w:next w:val="Standaard"/>
    <w:rsid w:val="002F051F"/>
    <w:pPr>
      <w:numPr>
        <w:ilvl w:val="1"/>
        <w:numId w:val="10"/>
      </w:numPr>
      <w:overflowPunct w:val="0"/>
      <w:autoSpaceDE w:val="0"/>
      <w:autoSpaceDN w:val="0"/>
      <w:adjustRightInd w:val="0"/>
      <w:spacing w:before="480" w:after="240"/>
      <w:textAlignment w:val="baseline"/>
    </w:pPr>
    <w:rPr>
      <w:b/>
      <w:caps/>
    </w:rPr>
  </w:style>
  <w:style w:type="paragraph" w:customStyle="1" w:styleId="ECCAnnexheading3">
    <w:name w:val="ECC Annex heading3"/>
    <w:next w:val="Standaard"/>
    <w:rsid w:val="002F051F"/>
    <w:pPr>
      <w:numPr>
        <w:ilvl w:val="2"/>
        <w:numId w:val="10"/>
      </w:numPr>
      <w:overflowPunct w:val="0"/>
      <w:autoSpaceDE w:val="0"/>
      <w:autoSpaceDN w:val="0"/>
      <w:adjustRightInd w:val="0"/>
      <w:spacing w:before="360"/>
      <w:textAlignment w:val="baseline"/>
    </w:pPr>
    <w:rPr>
      <w:b/>
    </w:rPr>
  </w:style>
  <w:style w:type="paragraph" w:customStyle="1" w:styleId="ECCAnnexheading4">
    <w:name w:val="ECC Annex heading4"/>
    <w:next w:val="Standaard"/>
    <w:rsid w:val="002F051F"/>
    <w:pPr>
      <w:numPr>
        <w:ilvl w:val="3"/>
        <w:numId w:val="10"/>
      </w:numPr>
      <w:overflowPunct w:val="0"/>
      <w:autoSpaceDE w:val="0"/>
      <w:autoSpaceDN w:val="0"/>
      <w:adjustRightInd w:val="0"/>
      <w:spacing w:before="360"/>
      <w:textAlignment w:val="baseline"/>
    </w:pPr>
    <w:rPr>
      <w:i/>
      <w:color w:val="D2232A"/>
    </w:rPr>
  </w:style>
  <w:style w:type="paragraph" w:customStyle="1" w:styleId="ECCBulletsLv3">
    <w:name w:val="ECC Bullets Lv3"/>
    <w:basedOn w:val="ECCBulletsLv2"/>
    <w:rsid w:val="002F051F"/>
    <w:pPr>
      <w:numPr>
        <w:numId w:val="0"/>
      </w:numPr>
      <w:tabs>
        <w:tab w:val="left" w:pos="1021"/>
      </w:tabs>
    </w:pPr>
  </w:style>
  <w:style w:type="paragraph" w:customStyle="1" w:styleId="ECCLastupdated">
    <w:name w:val="ECC Last updated"/>
    <w:next w:val="ECCParagraph"/>
    <w:rsid w:val="002F051F"/>
    <w:pPr>
      <w:spacing w:before="120"/>
      <w:ind w:left="3402"/>
    </w:pPr>
    <w:rPr>
      <w:bCs/>
      <w:sz w:val="18"/>
    </w:rPr>
  </w:style>
  <w:style w:type="paragraph" w:customStyle="1" w:styleId="ECCLetteredList">
    <w:name w:val="ECC Lettered List"/>
    <w:rsid w:val="002F051F"/>
    <w:pPr>
      <w:numPr>
        <w:ilvl w:val="1"/>
        <w:numId w:val="14"/>
      </w:numPr>
    </w:pPr>
  </w:style>
  <w:style w:type="paragraph" w:customStyle="1" w:styleId="ECCNumberedList">
    <w:name w:val="ECC Numbered List"/>
    <w:basedOn w:val="ECCParagraph"/>
    <w:rsid w:val="002F051F"/>
    <w:pPr>
      <w:numPr>
        <w:numId w:val="15"/>
      </w:numPr>
      <w:spacing w:after="120"/>
      <w:jc w:val="left"/>
    </w:pPr>
    <w:rPr>
      <w:szCs w:val="20"/>
    </w:rPr>
  </w:style>
  <w:style w:type="paragraph" w:customStyle="1" w:styleId="ECCReference">
    <w:name w:val="ECC Reference"/>
    <w:basedOn w:val="ECCParagraph"/>
    <w:rsid w:val="002F051F"/>
    <w:pPr>
      <w:numPr>
        <w:numId w:val="16"/>
      </w:numPr>
    </w:pPr>
    <w:rPr>
      <w:lang w:eastAsia="ja-JP"/>
    </w:rPr>
  </w:style>
  <w:style w:type="paragraph" w:styleId="Ballontekst">
    <w:name w:val="Balloon Text"/>
    <w:basedOn w:val="Standaard"/>
    <w:link w:val="BallontekstChar"/>
    <w:uiPriority w:val="99"/>
    <w:semiHidden/>
    <w:unhideWhenUsed/>
    <w:locked/>
    <w:rsid w:val="009E47EB"/>
    <w:rPr>
      <w:rFonts w:ascii="Lucida Grande" w:hAnsi="Lucida Grande" w:cs="Lucida Grande"/>
      <w:sz w:val="18"/>
      <w:szCs w:val="18"/>
    </w:rPr>
  </w:style>
  <w:style w:type="character" w:customStyle="1" w:styleId="BallontekstChar">
    <w:name w:val="Ballontekst Char"/>
    <w:basedOn w:val="Standaardalinea-lettertype"/>
    <w:link w:val="Ballontekst"/>
    <w:uiPriority w:val="99"/>
    <w:semiHidden/>
    <w:rsid w:val="009E47EB"/>
    <w:rPr>
      <w:rFonts w:ascii="Lucida Grande" w:hAnsi="Lucida Grande" w:cs="Lucida Grande"/>
      <w:sz w:val="18"/>
      <w:szCs w:val="18"/>
      <w:lang w:val="en-US"/>
    </w:rPr>
  </w:style>
  <w:style w:type="paragraph" w:customStyle="1" w:styleId="ECCReporttitledescription">
    <w:name w:val="ECC Report title/description"/>
    <w:next w:val="ECCLastupdated"/>
    <w:rsid w:val="002F051F"/>
    <w:pPr>
      <w:spacing w:before="600" w:line="288" w:lineRule="auto"/>
      <w:ind w:left="3402"/>
    </w:pPr>
    <w:rPr>
      <w:sz w:val="24"/>
    </w:rPr>
  </w:style>
  <w:style w:type="paragraph" w:customStyle="1" w:styleId="ECCEditorsNote">
    <w:name w:val="ECC Editor's Note"/>
    <w:rsid w:val="002F051F"/>
    <w:pPr>
      <w:tabs>
        <w:tab w:val="left" w:pos="1560"/>
      </w:tabs>
      <w:spacing w:after="240"/>
      <w:ind w:left="1560" w:hanging="1560"/>
      <w:jc w:val="both"/>
    </w:pPr>
    <w:rPr>
      <w:szCs w:val="22"/>
      <w:lang w:eastAsia="de-DE"/>
    </w:rPr>
  </w:style>
  <w:style w:type="paragraph" w:customStyle="1" w:styleId="ECCHeader">
    <w:name w:val="ECC Header"/>
    <w:rsid w:val="002F051F"/>
    <w:pPr>
      <w:tabs>
        <w:tab w:val="left" w:pos="0"/>
        <w:tab w:val="center" w:pos="4820"/>
        <w:tab w:val="right" w:pos="9639"/>
      </w:tabs>
    </w:pPr>
    <w:rPr>
      <w:b/>
      <w:sz w:val="16"/>
    </w:rPr>
  </w:style>
  <w:style w:type="paragraph" w:customStyle="1" w:styleId="ECCFigure">
    <w:name w:val="ECC Figure"/>
    <w:next w:val="ECCParagraph"/>
    <w:rsid w:val="002F051F"/>
    <w:pPr>
      <w:spacing w:before="240" w:after="240"/>
      <w:jc w:val="center"/>
    </w:pPr>
    <w:rPr>
      <w14:cntxtAlts/>
    </w:rPr>
  </w:style>
  <w:style w:type="paragraph" w:customStyle="1" w:styleId="ECCapproved">
    <w:name w:val="ECC approved"/>
    <w:next w:val="ECCLastupdated"/>
    <w:rsid w:val="002F051F"/>
    <w:pPr>
      <w:spacing w:before="600"/>
      <w:ind w:left="3402"/>
    </w:pPr>
    <w:rPr>
      <w:b/>
      <w:sz w:val="18"/>
      <w:szCs w:val="18"/>
    </w:rPr>
  </w:style>
  <w:style w:type="paragraph" w:customStyle="1" w:styleId="ECCMainTitle">
    <w:name w:val="ECC Main Title"/>
    <w:basedOn w:val="ECCParagraph"/>
    <w:link w:val="ECCMainTitleZchn"/>
    <w:rsid w:val="002F051F"/>
    <w:rPr>
      <w:color w:val="FFFFFF" w:themeColor="background1"/>
      <w:sz w:val="68"/>
      <w:szCs w:val="68"/>
    </w:rPr>
  </w:style>
  <w:style w:type="paragraph" w:customStyle="1" w:styleId="ECCLetterHead">
    <w:name w:val="ECC Letter Head"/>
    <w:basedOn w:val="ECCParagraph"/>
    <w:link w:val="ECCLetterHeadZchn"/>
    <w:qFormat/>
    <w:rsid w:val="002F051F"/>
    <w:pPr>
      <w:tabs>
        <w:tab w:val="right" w:pos="4750"/>
      </w:tabs>
      <w:spacing w:after="60"/>
      <w:jc w:val="left"/>
    </w:pPr>
    <w:rPr>
      <w:b/>
      <w:sz w:val="22"/>
      <w:szCs w:val="20"/>
    </w:rPr>
  </w:style>
  <w:style w:type="character" w:customStyle="1" w:styleId="ECCMainTitleZchn">
    <w:name w:val="ECC Main Title Zchn"/>
    <w:basedOn w:val="Standaardalinea-lettertype"/>
    <w:link w:val="ECCMainTitle"/>
    <w:rsid w:val="002F051F"/>
    <w:rPr>
      <w:rFonts w:eastAsia="Calibri"/>
      <w:color w:val="FFFFFF" w:themeColor="background1"/>
      <w:sz w:val="68"/>
      <w:szCs w:val="68"/>
      <w:shd w:val="clear" w:color="FFFFFF" w:themeColor="background1" w:fill="auto"/>
      <w:lang w:val="en-GB"/>
    </w:rPr>
  </w:style>
  <w:style w:type="character" w:customStyle="1" w:styleId="ECCHLyellow">
    <w:name w:val="ECC HL yellow"/>
    <w:basedOn w:val="Standaardalinea-lettertype"/>
    <w:uiPriority w:val="1"/>
    <w:qFormat/>
    <w:rsid w:val="002F051F"/>
    <w:rPr>
      <w:i w:val="0"/>
      <w:bdr w:val="none" w:sz="0" w:space="0" w:color="auto"/>
      <w:shd w:val="clear" w:color="auto" w:fill="FFFF00"/>
      <w:lang w:val="en-GB"/>
    </w:rPr>
  </w:style>
  <w:style w:type="paragraph" w:customStyle="1" w:styleId="ECCToC">
    <w:name w:val="ECC ToC"/>
    <w:rsid w:val="002F051F"/>
    <w:pPr>
      <w:spacing w:before="240" w:after="240"/>
    </w:pPr>
    <w:rPr>
      <w:b/>
      <w:color w:val="FFFFFF" w:themeColor="background1"/>
    </w:rPr>
  </w:style>
  <w:style w:type="character" w:styleId="Zwaar">
    <w:name w:val="Strong"/>
    <w:basedOn w:val="Standaardalinea-lettertype"/>
    <w:semiHidden/>
    <w:qFormat/>
    <w:locked/>
    <w:rsid w:val="001006CA"/>
    <w:rPr>
      <w:b/>
      <w:bCs/>
    </w:rPr>
  </w:style>
  <w:style w:type="paragraph" w:customStyle="1" w:styleId="ECCTableHeaderwhite">
    <w:name w:val="ECC Table Header white"/>
    <w:basedOn w:val="ECCTableHeaderred"/>
    <w:rsid w:val="002F051F"/>
    <w:rPr>
      <w:color w:val="FFFFFF" w:themeColor="background1"/>
    </w:rPr>
  </w:style>
  <w:style w:type="paragraph" w:customStyle="1" w:styleId="ECCTabletext">
    <w:name w:val="ECC Table text"/>
    <w:basedOn w:val="ECCParagraph"/>
    <w:qFormat/>
    <w:rsid w:val="002F051F"/>
    <w:pPr>
      <w:spacing w:after="60"/>
      <w:jc w:val="left"/>
    </w:pPr>
  </w:style>
  <w:style w:type="paragraph" w:styleId="Handtekening">
    <w:name w:val="Signature"/>
    <w:basedOn w:val="Standaard"/>
    <w:link w:val="HandtekeningChar"/>
    <w:uiPriority w:val="99"/>
    <w:semiHidden/>
    <w:unhideWhenUsed/>
    <w:locked/>
    <w:rsid w:val="007D52EC"/>
    <w:pPr>
      <w:spacing w:after="0"/>
      <w:ind w:left="4252"/>
    </w:pPr>
  </w:style>
  <w:style w:type="character" w:styleId="Hyperlink">
    <w:name w:val="Hyperlink"/>
    <w:aliases w:val="ECC Hyperlink"/>
    <w:basedOn w:val="Standaardalinea-lettertype"/>
    <w:rsid w:val="002F051F"/>
    <w:rPr>
      <w:color w:val="0000FF" w:themeColor="hyperlink"/>
      <w:u w:val="single"/>
    </w:rPr>
  </w:style>
  <w:style w:type="paragraph" w:customStyle="1" w:styleId="ECCTableHeaderred">
    <w:name w:val="ECC Table Header red"/>
    <w:rsid w:val="002F051F"/>
    <w:pPr>
      <w:spacing w:before="120"/>
    </w:pPr>
    <w:rPr>
      <w:b/>
      <w:bCs/>
      <w:color w:val="D2232A"/>
    </w:rPr>
  </w:style>
  <w:style w:type="character" w:customStyle="1" w:styleId="HandtekeningChar">
    <w:name w:val="Handtekening Char"/>
    <w:basedOn w:val="Standaardalinea-lettertype"/>
    <w:link w:val="Handtekening"/>
    <w:uiPriority w:val="99"/>
    <w:semiHidden/>
    <w:rsid w:val="007D52EC"/>
  </w:style>
  <w:style w:type="paragraph" w:customStyle="1" w:styleId="ECCFooter">
    <w:name w:val="ECC Footer"/>
    <w:rsid w:val="002F051F"/>
    <w:pPr>
      <w:tabs>
        <w:tab w:val="left" w:pos="0"/>
        <w:tab w:val="center" w:pos="4820"/>
        <w:tab w:val="right" w:pos="9639"/>
      </w:tabs>
      <w:spacing w:after="240"/>
      <w:jc w:val="both"/>
    </w:pPr>
    <w:rPr>
      <w:b/>
      <w:sz w:val="16"/>
      <w:szCs w:val="22"/>
      <w:lang w:val="de-DE" w:eastAsia="de-DE"/>
    </w:rPr>
  </w:style>
  <w:style w:type="paragraph" w:customStyle="1" w:styleId="ECCBox">
    <w:name w:val="ECC Box"/>
    <w:basedOn w:val="ECCParagraph"/>
    <w:next w:val="ECCParagraph"/>
    <w:link w:val="ECCBoxZchn"/>
    <w:rsid w:val="002F051F"/>
    <w:pPr>
      <w:keepLines/>
      <w:pBdr>
        <w:top w:val="single" w:sz="12" w:space="4" w:color="auto"/>
        <w:left w:val="single" w:sz="12" w:space="4" w:color="auto"/>
        <w:bottom w:val="single" w:sz="12" w:space="4" w:color="auto"/>
        <w:right w:val="single" w:sz="12" w:space="4" w:color="auto"/>
      </w:pBdr>
      <w:spacing w:after="60"/>
    </w:pPr>
  </w:style>
  <w:style w:type="character" w:customStyle="1" w:styleId="ECCHLbold">
    <w:name w:val="ECC HL bold"/>
    <w:uiPriority w:val="1"/>
    <w:qFormat/>
    <w:rsid w:val="002F051F"/>
    <w:rPr>
      <w:b/>
    </w:rPr>
  </w:style>
  <w:style w:type="character" w:styleId="Intensieveverwijzing">
    <w:name w:val="Intense Reference"/>
    <w:aliases w:val="ECC Main Title No"/>
    <w:basedOn w:val="Standaardalinea-lettertype"/>
    <w:qFormat/>
    <w:rsid w:val="002F051F"/>
    <w:rPr>
      <w:b/>
      <w:bCs/>
      <w:caps w:val="0"/>
      <w:smallCaps w:val="0"/>
      <w:color w:val="632423" w:themeColor="accent2" w:themeShade="80"/>
      <w:spacing w:val="5"/>
      <w:u w:val="none"/>
      <w:vertAlign w:val="baseline"/>
    </w:rPr>
  </w:style>
  <w:style w:type="character" w:customStyle="1" w:styleId="ECCHLunderlined">
    <w:name w:val="ECC HL underlined"/>
    <w:uiPriority w:val="1"/>
    <w:qFormat/>
    <w:rsid w:val="002F051F"/>
    <w:rPr>
      <w:u w:val="single"/>
    </w:rPr>
  </w:style>
  <w:style w:type="character" w:customStyle="1" w:styleId="Inhopg1Char">
    <w:name w:val="Inhopg 1 Char"/>
    <w:aliases w:val="ECC Index 1 Char"/>
    <w:basedOn w:val="Standaardalinea-lettertype"/>
    <w:link w:val="Inhopg1"/>
    <w:uiPriority w:val="2"/>
    <w:rsid w:val="002F051F"/>
    <w:rPr>
      <w:rFonts w:eastAsia="Calibri"/>
      <w:b/>
      <w:shd w:val="clear" w:color="FFFFFF" w:themeColor="background1" w:fill="auto"/>
    </w:rPr>
  </w:style>
  <w:style w:type="paragraph" w:styleId="Kopvaninhoudsopgave">
    <w:name w:val="TOC Heading"/>
    <w:basedOn w:val="Kop1"/>
    <w:next w:val="Standaard"/>
    <w:uiPriority w:val="39"/>
    <w:semiHidden/>
    <w:qFormat/>
    <w:locked/>
    <w:rsid w:val="003A5711"/>
    <w:pPr>
      <w:keepLines/>
      <w:numPr>
        <w:numId w:val="0"/>
      </w:numPr>
      <w:spacing w:before="480" w:after="0"/>
      <w:outlineLvl w:val="9"/>
    </w:pPr>
    <w:rPr>
      <w:rFonts w:asciiTheme="majorHAnsi" w:eastAsiaTheme="majorEastAsia" w:hAnsiTheme="majorHAnsi" w:cstheme="majorBidi"/>
      <w:caps w:val="0"/>
      <w:color w:val="365F91" w:themeColor="accent1" w:themeShade="BF"/>
      <w:kern w:val="0"/>
      <w:sz w:val="28"/>
      <w:szCs w:val="28"/>
      <w:lang w:val="en-GB"/>
    </w:rPr>
  </w:style>
  <w:style w:type="character" w:customStyle="1" w:styleId="ECCHLcyan">
    <w:name w:val="ECC HL cyan"/>
    <w:basedOn w:val="Standaardalinea-lettertype"/>
    <w:uiPriority w:val="1"/>
    <w:qFormat/>
    <w:rsid w:val="002F051F"/>
    <w:rPr>
      <w:iCs w:val="0"/>
      <w:bdr w:val="none" w:sz="0" w:space="0" w:color="auto"/>
      <w:shd w:val="clear" w:color="auto" w:fill="00FFFF"/>
      <w:lang w:val="en-GB"/>
    </w:rPr>
  </w:style>
  <w:style w:type="character" w:customStyle="1" w:styleId="ECCHLorange">
    <w:name w:val="ECC HL orange"/>
    <w:basedOn w:val="Standaardalinea-lettertype"/>
    <w:uiPriority w:val="1"/>
    <w:qFormat/>
    <w:rsid w:val="002F051F"/>
    <w:rPr>
      <w:bdr w:val="none" w:sz="0" w:space="0" w:color="auto"/>
      <w:shd w:val="clear" w:color="auto" w:fill="FFC000"/>
    </w:rPr>
  </w:style>
  <w:style w:type="character" w:customStyle="1" w:styleId="ECCHLblue">
    <w:name w:val="ECC HL blue"/>
    <w:basedOn w:val="Standaardalinea-lettertype"/>
    <w:uiPriority w:val="1"/>
    <w:qFormat/>
    <w:rsid w:val="002F051F"/>
    <w:rPr>
      <w:color w:val="FFFF00"/>
      <w:bdr w:val="none" w:sz="0" w:space="0" w:color="auto"/>
      <w:shd w:val="clear" w:color="auto" w:fill="548DD4" w:themeFill="text2" w:themeFillTint="99"/>
      <w:lang w:val="en-GB"/>
    </w:rPr>
  </w:style>
  <w:style w:type="character" w:customStyle="1" w:styleId="ECCHLpetrol">
    <w:name w:val="ECC HL petrol"/>
    <w:basedOn w:val="Standaardalinea-lettertype"/>
    <w:uiPriority w:val="1"/>
    <w:qFormat/>
    <w:rsid w:val="002F051F"/>
    <w:rPr>
      <w:iCs w:val="0"/>
      <w:color w:val="FFFFFF" w:themeColor="background1"/>
      <w:bdr w:val="none" w:sz="0" w:space="0" w:color="auto"/>
      <w:shd w:val="clear" w:color="auto" w:fill="008080"/>
    </w:rPr>
  </w:style>
  <w:style w:type="character" w:customStyle="1" w:styleId="ECCBoxZchn">
    <w:name w:val="ECC Box Zchn"/>
    <w:link w:val="ECCBox"/>
    <w:rsid w:val="002F051F"/>
    <w:rPr>
      <w:rFonts w:eastAsia="Calibri"/>
      <w:szCs w:val="22"/>
      <w:shd w:val="clear" w:color="FFFFFF" w:themeColor="background1" w:fill="auto"/>
      <w:lang w:val="en-GB"/>
    </w:rPr>
  </w:style>
  <w:style w:type="character" w:customStyle="1" w:styleId="ECCHLsubscript">
    <w:name w:val="ECC HL sub script"/>
    <w:uiPriority w:val="1"/>
    <w:qFormat/>
    <w:rsid w:val="002F051F"/>
    <w:rPr>
      <w:vertAlign w:val="subscript"/>
    </w:rPr>
  </w:style>
  <w:style w:type="character" w:customStyle="1" w:styleId="ECCHLsuperscript">
    <w:name w:val="ECC HL super script"/>
    <w:uiPriority w:val="1"/>
    <w:qFormat/>
    <w:rsid w:val="002F051F"/>
    <w:rPr>
      <w:vertAlign w:val="superscript"/>
    </w:rPr>
  </w:style>
  <w:style w:type="character" w:styleId="Subtielebenadrukking">
    <w:name w:val="Subtle Emphasis"/>
    <w:basedOn w:val="Standaardalinea-lettertype"/>
    <w:uiPriority w:val="19"/>
    <w:semiHidden/>
    <w:qFormat/>
    <w:locked/>
    <w:rsid w:val="009D7D5A"/>
    <w:rPr>
      <w:i/>
      <w:iCs/>
      <w:color w:val="808080" w:themeColor="text1" w:themeTint="7F"/>
    </w:rPr>
  </w:style>
  <w:style w:type="character" w:customStyle="1" w:styleId="ECCLetterHeadZchn">
    <w:name w:val="ECC Letter Head Zchn"/>
    <w:basedOn w:val="Standaardalinea-lettertype"/>
    <w:link w:val="ECCLetterHead"/>
    <w:rsid w:val="002F051F"/>
    <w:rPr>
      <w:rFonts w:eastAsia="Calibri"/>
      <w:b/>
      <w:sz w:val="22"/>
      <w:shd w:val="clear" w:color="FFFFFF" w:themeColor="background1" w:fill="auto"/>
      <w:lang w:val="en-GB"/>
    </w:rPr>
  </w:style>
  <w:style w:type="character" w:customStyle="1" w:styleId="ECCHLmagenta">
    <w:name w:val="ECC HL magenta"/>
    <w:basedOn w:val="Standaardalinea-lettertype"/>
    <w:uiPriority w:val="1"/>
    <w:qFormat/>
    <w:rsid w:val="002F051F"/>
    <w:rPr>
      <w:color w:val="auto"/>
      <w:bdr w:val="none" w:sz="0" w:space="0" w:color="auto"/>
      <w:shd w:val="clear" w:color="auto" w:fill="FF6699"/>
      <w:lang w:val="en-GB"/>
    </w:rPr>
  </w:style>
  <w:style w:type="paragraph" w:customStyle="1" w:styleId="ECCTitle">
    <w:name w:val="ECC Title"/>
    <w:basedOn w:val="Kop1"/>
    <w:rsid w:val="002F051F"/>
    <w:pPr>
      <w:numPr>
        <w:numId w:val="0"/>
      </w:numPr>
      <w:tabs>
        <w:tab w:val="left" w:pos="0"/>
        <w:tab w:val="center" w:pos="4820"/>
        <w:tab w:val="right" w:pos="9639"/>
      </w:tabs>
    </w:pPr>
  </w:style>
  <w:style w:type="character" w:customStyle="1" w:styleId="ECCHLbrown">
    <w:name w:val="ECC HL brown"/>
    <w:basedOn w:val="Standaardalinea-lettertype"/>
    <w:uiPriority w:val="1"/>
    <w:qFormat/>
    <w:rsid w:val="002F051F"/>
    <w:rPr>
      <w:color w:val="D9D9D9" w:themeColor="background1" w:themeShade="D9"/>
      <w:bdr w:val="none" w:sz="0" w:space="0" w:color="auto"/>
      <w:shd w:val="clear" w:color="auto" w:fill="996633"/>
    </w:rPr>
  </w:style>
  <w:style w:type="paragraph" w:customStyle="1" w:styleId="ECCBreak">
    <w:name w:val="ECC Break"/>
    <w:next w:val="ECCParagraph"/>
    <w:link w:val="ECCBreakZchn"/>
    <w:rsid w:val="002F051F"/>
    <w:pPr>
      <w:spacing w:before="360" w:after="60"/>
    </w:pPr>
    <w:rPr>
      <w:b/>
      <w:bCs/>
      <w:iCs/>
      <w:szCs w:val="28"/>
    </w:rPr>
  </w:style>
  <w:style w:type="character" w:customStyle="1" w:styleId="ECCBreakZchn">
    <w:name w:val="ECC Break Zchn"/>
    <w:basedOn w:val="Standaardalinea-lettertype"/>
    <w:link w:val="ECCBreak"/>
    <w:rsid w:val="002F051F"/>
    <w:rPr>
      <w:b/>
      <w:bCs/>
      <w:iCs/>
      <w:szCs w:val="28"/>
    </w:rPr>
  </w:style>
  <w:style w:type="character" w:styleId="Nadruk">
    <w:name w:val="Emphasis"/>
    <w:aliases w:val="ECC HL italics,Emphasis"/>
    <w:uiPriority w:val="20"/>
    <w:qFormat/>
    <w:rsid w:val="002F051F"/>
    <w:rPr>
      <w:i/>
    </w:rPr>
  </w:style>
  <w:style w:type="paragraph" w:customStyle="1" w:styleId="ECCParagraph">
    <w:name w:val="ECC Paragraph"/>
    <w:basedOn w:val="Standaard"/>
    <w:link w:val="ECCParagraphZchn"/>
    <w:qFormat/>
    <w:rsid w:val="002F051F"/>
  </w:style>
  <w:style w:type="character" w:customStyle="1" w:styleId="ECCParagraphZchn">
    <w:name w:val="ECC Paragraph Zchn"/>
    <w:basedOn w:val="Standaardalinea-lettertype"/>
    <w:link w:val="ECCParagraph"/>
    <w:rsid w:val="002F051F"/>
    <w:rPr>
      <w:rFonts w:eastAsia="Calibri"/>
      <w:szCs w:val="22"/>
      <w:shd w:val="clear" w:color="FFFFFF" w:themeColor="background1" w:fill="auto"/>
      <w:lang w:val="en-GB"/>
    </w:rPr>
  </w:style>
  <w:style w:type="table" w:customStyle="1" w:styleId="ECCTable">
    <w:name w:val="ECC Table"/>
    <w:basedOn w:val="Eenvoudigetabel1"/>
    <w:uiPriority w:val="99"/>
    <w:rsid w:val="002F051F"/>
    <w:pPr>
      <w:spacing w:before="0" w:after="0"/>
      <w:jc w:val="left"/>
    </w:pPr>
    <w:tblPr/>
    <w:trPr>
      <w:tblHeader/>
    </w:trPr>
    <w:tcPr>
      <w:shd w:val="clear" w:color="auto" w:fill="auto"/>
      <w:vAlign w:val="center"/>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1">
    <w:name w:val="Table Simple 1"/>
    <w:basedOn w:val="Standaardtabel"/>
    <w:uiPriority w:val="99"/>
    <w:semiHidden/>
    <w:unhideWhenUsed/>
    <w:locked/>
    <w:rsid w:val="002F051F"/>
    <w:pPr>
      <w:shd w:val="clear" w:color="FFFFFF" w:themeColor="background1" w:fill="auto"/>
      <w:spacing w:after="240"/>
      <w:jc w:val="both"/>
      <w:textboxTightWrap w:val="lastLineOnly"/>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ECCTableHeader">
    <w:name w:val="ECC Table Header"/>
    <w:basedOn w:val="Standaardtabel"/>
    <w:uiPriority w:val="99"/>
    <w:rsid w:val="002F051F"/>
    <w:pPr>
      <w:spacing w:before="0" w:after="0"/>
    </w:pPr>
    <w:tblPr/>
    <w:tblStylePr w:type="firstRow">
      <w:rPr>
        <w:rFonts w:ascii="Arial" w:hAnsi="Arial"/>
        <w:b/>
        <w:sz w:val="20"/>
      </w:rPr>
    </w:tblStylePr>
  </w:style>
  <w:style w:type="paragraph" w:styleId="Plattetekst">
    <w:name w:val="Body Text"/>
    <w:basedOn w:val="Standaard"/>
    <w:link w:val="PlattetekstChar"/>
    <w:uiPriority w:val="99"/>
    <w:semiHidden/>
    <w:unhideWhenUsed/>
    <w:locked/>
    <w:rsid w:val="008E15B6"/>
    <w:pPr>
      <w:spacing w:after="120"/>
    </w:pPr>
  </w:style>
  <w:style w:type="character" w:customStyle="1" w:styleId="PlattetekstChar">
    <w:name w:val="Platte tekst Char"/>
    <w:basedOn w:val="Standaardalinea-lettertype"/>
    <w:link w:val="Plattetekst"/>
    <w:uiPriority w:val="99"/>
    <w:semiHidden/>
    <w:rsid w:val="008E15B6"/>
    <w:rPr>
      <w:rFonts w:eastAsia="Calibri"/>
      <w:szCs w:val="22"/>
      <w:shd w:val="clear" w:color="FFFFFF" w:themeColor="background1" w:fill="auto"/>
      <w:lang w:val="en-GB"/>
    </w:rPr>
  </w:style>
  <w:style w:type="character" w:styleId="Verwijzingopmerking">
    <w:name w:val="annotation reference"/>
    <w:basedOn w:val="Standaardalinea-lettertype"/>
    <w:uiPriority w:val="99"/>
    <w:semiHidden/>
    <w:unhideWhenUsed/>
    <w:locked/>
    <w:rsid w:val="00C500F6"/>
    <w:rPr>
      <w:sz w:val="16"/>
      <w:szCs w:val="16"/>
    </w:rPr>
  </w:style>
  <w:style w:type="paragraph" w:styleId="Tekstopmerking">
    <w:name w:val="annotation text"/>
    <w:basedOn w:val="Standaard"/>
    <w:link w:val="TekstopmerkingChar"/>
    <w:uiPriority w:val="99"/>
    <w:semiHidden/>
    <w:unhideWhenUsed/>
    <w:locked/>
    <w:rsid w:val="00C500F6"/>
    <w:rPr>
      <w:szCs w:val="20"/>
    </w:rPr>
  </w:style>
  <w:style w:type="character" w:customStyle="1" w:styleId="TekstopmerkingChar">
    <w:name w:val="Tekst opmerking Char"/>
    <w:basedOn w:val="Standaardalinea-lettertype"/>
    <w:link w:val="Tekstopmerking"/>
    <w:uiPriority w:val="99"/>
    <w:semiHidden/>
    <w:rsid w:val="00C500F6"/>
    <w:rPr>
      <w:rFonts w:eastAsia="Calibri"/>
      <w:shd w:val="clear" w:color="FFFFFF" w:themeColor="background1" w:fill="auto"/>
      <w:lang w:val="en-GB"/>
    </w:rPr>
  </w:style>
  <w:style w:type="paragraph" w:styleId="Onderwerpvanopmerking">
    <w:name w:val="annotation subject"/>
    <w:basedOn w:val="Tekstopmerking"/>
    <w:next w:val="Tekstopmerking"/>
    <w:link w:val="OnderwerpvanopmerkingChar"/>
    <w:uiPriority w:val="99"/>
    <w:semiHidden/>
    <w:unhideWhenUsed/>
    <w:locked/>
    <w:rsid w:val="00C500F6"/>
    <w:rPr>
      <w:b/>
      <w:bCs/>
    </w:rPr>
  </w:style>
  <w:style w:type="character" w:customStyle="1" w:styleId="OnderwerpvanopmerkingChar">
    <w:name w:val="Onderwerp van opmerking Char"/>
    <w:basedOn w:val="TekstopmerkingChar"/>
    <w:link w:val="Onderwerpvanopmerking"/>
    <w:uiPriority w:val="99"/>
    <w:semiHidden/>
    <w:rsid w:val="00C500F6"/>
    <w:rPr>
      <w:rFonts w:eastAsia="Calibri"/>
      <w:b/>
      <w:bCs/>
      <w:shd w:val="clear" w:color="FFFFFF" w:themeColor="background1" w:fill="auto"/>
      <w:lang w:val="en-GB"/>
    </w:rPr>
  </w:style>
  <w:style w:type="paragraph" w:styleId="Revisie">
    <w:name w:val="Revision"/>
    <w:hidden/>
    <w:uiPriority w:val="99"/>
    <w:semiHidden/>
    <w:rsid w:val="003F46F9"/>
    <w:pPr>
      <w:spacing w:before="0" w:after="0"/>
    </w:pPr>
    <w:rPr>
      <w:rFonts w:eastAsia="Calibri"/>
      <w:szCs w:val="22"/>
      <w:lang w:val="en-GB"/>
    </w:rPr>
  </w:style>
  <w:style w:type="paragraph" w:styleId="Lijstalinea">
    <w:name w:val="List Paragraph"/>
    <w:basedOn w:val="Standaard"/>
    <w:uiPriority w:val="34"/>
    <w:semiHidden/>
    <w:qFormat/>
    <w:locked/>
    <w:rsid w:val="00B45F16"/>
    <w:pPr>
      <w:ind w:left="720"/>
      <w:contextualSpacing/>
    </w:pPr>
  </w:style>
  <w:style w:type="paragraph" w:styleId="Tekstzonderopmaak">
    <w:name w:val="Plain Text"/>
    <w:basedOn w:val="Standaard"/>
    <w:link w:val="TekstzonderopmaakChar"/>
    <w:uiPriority w:val="99"/>
    <w:semiHidden/>
    <w:unhideWhenUsed/>
    <w:locked/>
    <w:rsid w:val="00C643AD"/>
    <w:pPr>
      <w:spacing w:before="0" w:after="0"/>
    </w:pPr>
    <w:rPr>
      <w:rFonts w:ascii="Consolas" w:hAnsi="Consolas" w:cs="Consolas"/>
      <w:sz w:val="21"/>
      <w:szCs w:val="21"/>
    </w:rPr>
  </w:style>
  <w:style w:type="character" w:customStyle="1" w:styleId="TekstzonderopmaakChar">
    <w:name w:val="Tekst zonder opmaak Char"/>
    <w:basedOn w:val="Standaardalinea-lettertype"/>
    <w:link w:val="Tekstzonderopmaak"/>
    <w:uiPriority w:val="99"/>
    <w:semiHidden/>
    <w:rsid w:val="00C643AD"/>
    <w:rPr>
      <w:rFonts w:ascii="Consolas" w:eastAsia="Calibri" w:hAnsi="Consolas" w:cs="Consolas"/>
      <w:sz w:val="21"/>
      <w:szCs w:val="21"/>
      <w:shd w:val="clear" w:color="FFFFFF" w:themeColor="background1" w:fill="auto"/>
      <w:lang w:val="en-GB"/>
    </w:rPr>
  </w:style>
  <w:style w:type="character" w:styleId="GevolgdeHyperlink">
    <w:name w:val="FollowedHyperlink"/>
    <w:basedOn w:val="Standaardalinea-lettertype"/>
    <w:uiPriority w:val="99"/>
    <w:semiHidden/>
    <w:unhideWhenUsed/>
    <w:locked/>
    <w:rsid w:val="00683E7F"/>
    <w:rPr>
      <w:color w:val="800080" w:themeColor="followedHyperlink"/>
      <w:u w:val="single"/>
    </w:rPr>
  </w:style>
  <w:style w:type="paragraph" w:styleId="Normaalweb">
    <w:name w:val="Normal (Web)"/>
    <w:basedOn w:val="Standaard"/>
    <w:uiPriority w:val="99"/>
    <w:semiHidden/>
    <w:unhideWhenUsed/>
    <w:locked/>
    <w:rsid w:val="006B4A66"/>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43625">
      <w:bodyDiv w:val="1"/>
      <w:marLeft w:val="0"/>
      <w:marRight w:val="0"/>
      <w:marTop w:val="0"/>
      <w:marBottom w:val="0"/>
      <w:divBdr>
        <w:top w:val="none" w:sz="0" w:space="0" w:color="auto"/>
        <w:left w:val="none" w:sz="0" w:space="0" w:color="auto"/>
        <w:bottom w:val="none" w:sz="0" w:space="0" w:color="auto"/>
        <w:right w:val="none" w:sz="0" w:space="0" w:color="auto"/>
      </w:divBdr>
    </w:div>
    <w:div w:id="73358907">
      <w:bodyDiv w:val="1"/>
      <w:marLeft w:val="0"/>
      <w:marRight w:val="0"/>
      <w:marTop w:val="0"/>
      <w:marBottom w:val="0"/>
      <w:divBdr>
        <w:top w:val="none" w:sz="0" w:space="0" w:color="auto"/>
        <w:left w:val="none" w:sz="0" w:space="0" w:color="auto"/>
        <w:bottom w:val="none" w:sz="0" w:space="0" w:color="auto"/>
        <w:right w:val="none" w:sz="0" w:space="0" w:color="auto"/>
      </w:divBdr>
    </w:div>
    <w:div w:id="111944493">
      <w:bodyDiv w:val="1"/>
      <w:marLeft w:val="0"/>
      <w:marRight w:val="0"/>
      <w:marTop w:val="0"/>
      <w:marBottom w:val="0"/>
      <w:divBdr>
        <w:top w:val="none" w:sz="0" w:space="0" w:color="auto"/>
        <w:left w:val="none" w:sz="0" w:space="0" w:color="auto"/>
        <w:bottom w:val="none" w:sz="0" w:space="0" w:color="auto"/>
        <w:right w:val="none" w:sz="0" w:space="0" w:color="auto"/>
      </w:divBdr>
    </w:div>
    <w:div w:id="122357743">
      <w:bodyDiv w:val="1"/>
      <w:marLeft w:val="0"/>
      <w:marRight w:val="0"/>
      <w:marTop w:val="0"/>
      <w:marBottom w:val="0"/>
      <w:divBdr>
        <w:top w:val="none" w:sz="0" w:space="0" w:color="auto"/>
        <w:left w:val="none" w:sz="0" w:space="0" w:color="auto"/>
        <w:bottom w:val="none" w:sz="0" w:space="0" w:color="auto"/>
        <w:right w:val="none" w:sz="0" w:space="0" w:color="auto"/>
      </w:divBdr>
    </w:div>
    <w:div w:id="135076492">
      <w:bodyDiv w:val="1"/>
      <w:marLeft w:val="0"/>
      <w:marRight w:val="0"/>
      <w:marTop w:val="0"/>
      <w:marBottom w:val="0"/>
      <w:divBdr>
        <w:top w:val="none" w:sz="0" w:space="0" w:color="auto"/>
        <w:left w:val="none" w:sz="0" w:space="0" w:color="auto"/>
        <w:bottom w:val="none" w:sz="0" w:space="0" w:color="auto"/>
        <w:right w:val="none" w:sz="0" w:space="0" w:color="auto"/>
      </w:divBdr>
    </w:div>
    <w:div w:id="234316608">
      <w:bodyDiv w:val="1"/>
      <w:marLeft w:val="0"/>
      <w:marRight w:val="0"/>
      <w:marTop w:val="0"/>
      <w:marBottom w:val="0"/>
      <w:divBdr>
        <w:top w:val="none" w:sz="0" w:space="0" w:color="auto"/>
        <w:left w:val="none" w:sz="0" w:space="0" w:color="auto"/>
        <w:bottom w:val="none" w:sz="0" w:space="0" w:color="auto"/>
        <w:right w:val="none" w:sz="0" w:space="0" w:color="auto"/>
      </w:divBdr>
    </w:div>
    <w:div w:id="259417246">
      <w:bodyDiv w:val="1"/>
      <w:marLeft w:val="0"/>
      <w:marRight w:val="0"/>
      <w:marTop w:val="0"/>
      <w:marBottom w:val="0"/>
      <w:divBdr>
        <w:top w:val="none" w:sz="0" w:space="0" w:color="auto"/>
        <w:left w:val="none" w:sz="0" w:space="0" w:color="auto"/>
        <w:bottom w:val="none" w:sz="0" w:space="0" w:color="auto"/>
        <w:right w:val="none" w:sz="0" w:space="0" w:color="auto"/>
      </w:divBdr>
    </w:div>
    <w:div w:id="264701004">
      <w:bodyDiv w:val="1"/>
      <w:marLeft w:val="0"/>
      <w:marRight w:val="0"/>
      <w:marTop w:val="0"/>
      <w:marBottom w:val="0"/>
      <w:divBdr>
        <w:top w:val="none" w:sz="0" w:space="0" w:color="auto"/>
        <w:left w:val="none" w:sz="0" w:space="0" w:color="auto"/>
        <w:bottom w:val="none" w:sz="0" w:space="0" w:color="auto"/>
        <w:right w:val="none" w:sz="0" w:space="0" w:color="auto"/>
      </w:divBdr>
    </w:div>
    <w:div w:id="340012550">
      <w:bodyDiv w:val="1"/>
      <w:marLeft w:val="0"/>
      <w:marRight w:val="0"/>
      <w:marTop w:val="0"/>
      <w:marBottom w:val="0"/>
      <w:divBdr>
        <w:top w:val="none" w:sz="0" w:space="0" w:color="auto"/>
        <w:left w:val="none" w:sz="0" w:space="0" w:color="auto"/>
        <w:bottom w:val="none" w:sz="0" w:space="0" w:color="auto"/>
        <w:right w:val="none" w:sz="0" w:space="0" w:color="auto"/>
      </w:divBdr>
    </w:div>
    <w:div w:id="341786324">
      <w:bodyDiv w:val="1"/>
      <w:marLeft w:val="0"/>
      <w:marRight w:val="0"/>
      <w:marTop w:val="0"/>
      <w:marBottom w:val="0"/>
      <w:divBdr>
        <w:top w:val="none" w:sz="0" w:space="0" w:color="auto"/>
        <w:left w:val="none" w:sz="0" w:space="0" w:color="auto"/>
        <w:bottom w:val="none" w:sz="0" w:space="0" w:color="auto"/>
        <w:right w:val="none" w:sz="0" w:space="0" w:color="auto"/>
      </w:divBdr>
    </w:div>
    <w:div w:id="366417643">
      <w:bodyDiv w:val="1"/>
      <w:marLeft w:val="0"/>
      <w:marRight w:val="0"/>
      <w:marTop w:val="0"/>
      <w:marBottom w:val="0"/>
      <w:divBdr>
        <w:top w:val="none" w:sz="0" w:space="0" w:color="auto"/>
        <w:left w:val="none" w:sz="0" w:space="0" w:color="auto"/>
        <w:bottom w:val="none" w:sz="0" w:space="0" w:color="auto"/>
        <w:right w:val="none" w:sz="0" w:space="0" w:color="auto"/>
      </w:divBdr>
    </w:div>
    <w:div w:id="415446206">
      <w:bodyDiv w:val="1"/>
      <w:marLeft w:val="0"/>
      <w:marRight w:val="0"/>
      <w:marTop w:val="0"/>
      <w:marBottom w:val="0"/>
      <w:divBdr>
        <w:top w:val="none" w:sz="0" w:space="0" w:color="auto"/>
        <w:left w:val="none" w:sz="0" w:space="0" w:color="auto"/>
        <w:bottom w:val="none" w:sz="0" w:space="0" w:color="auto"/>
        <w:right w:val="none" w:sz="0" w:space="0" w:color="auto"/>
      </w:divBdr>
    </w:div>
    <w:div w:id="481700906">
      <w:bodyDiv w:val="1"/>
      <w:marLeft w:val="0"/>
      <w:marRight w:val="0"/>
      <w:marTop w:val="0"/>
      <w:marBottom w:val="0"/>
      <w:divBdr>
        <w:top w:val="none" w:sz="0" w:space="0" w:color="auto"/>
        <w:left w:val="none" w:sz="0" w:space="0" w:color="auto"/>
        <w:bottom w:val="none" w:sz="0" w:space="0" w:color="auto"/>
        <w:right w:val="none" w:sz="0" w:space="0" w:color="auto"/>
      </w:divBdr>
    </w:div>
    <w:div w:id="537012551">
      <w:bodyDiv w:val="1"/>
      <w:marLeft w:val="0"/>
      <w:marRight w:val="0"/>
      <w:marTop w:val="0"/>
      <w:marBottom w:val="0"/>
      <w:divBdr>
        <w:top w:val="none" w:sz="0" w:space="0" w:color="auto"/>
        <w:left w:val="none" w:sz="0" w:space="0" w:color="auto"/>
        <w:bottom w:val="none" w:sz="0" w:space="0" w:color="auto"/>
        <w:right w:val="none" w:sz="0" w:space="0" w:color="auto"/>
      </w:divBdr>
    </w:div>
    <w:div w:id="632247018">
      <w:bodyDiv w:val="1"/>
      <w:marLeft w:val="0"/>
      <w:marRight w:val="0"/>
      <w:marTop w:val="0"/>
      <w:marBottom w:val="0"/>
      <w:divBdr>
        <w:top w:val="none" w:sz="0" w:space="0" w:color="auto"/>
        <w:left w:val="none" w:sz="0" w:space="0" w:color="auto"/>
        <w:bottom w:val="none" w:sz="0" w:space="0" w:color="auto"/>
        <w:right w:val="none" w:sz="0" w:space="0" w:color="auto"/>
      </w:divBdr>
    </w:div>
    <w:div w:id="670986958">
      <w:bodyDiv w:val="1"/>
      <w:marLeft w:val="0"/>
      <w:marRight w:val="0"/>
      <w:marTop w:val="0"/>
      <w:marBottom w:val="0"/>
      <w:divBdr>
        <w:top w:val="none" w:sz="0" w:space="0" w:color="auto"/>
        <w:left w:val="none" w:sz="0" w:space="0" w:color="auto"/>
        <w:bottom w:val="none" w:sz="0" w:space="0" w:color="auto"/>
        <w:right w:val="none" w:sz="0" w:space="0" w:color="auto"/>
      </w:divBdr>
    </w:div>
    <w:div w:id="705519692">
      <w:bodyDiv w:val="1"/>
      <w:marLeft w:val="0"/>
      <w:marRight w:val="0"/>
      <w:marTop w:val="0"/>
      <w:marBottom w:val="0"/>
      <w:divBdr>
        <w:top w:val="none" w:sz="0" w:space="0" w:color="auto"/>
        <w:left w:val="none" w:sz="0" w:space="0" w:color="auto"/>
        <w:bottom w:val="none" w:sz="0" w:space="0" w:color="auto"/>
        <w:right w:val="none" w:sz="0" w:space="0" w:color="auto"/>
      </w:divBdr>
    </w:div>
    <w:div w:id="734278801">
      <w:bodyDiv w:val="1"/>
      <w:marLeft w:val="0"/>
      <w:marRight w:val="0"/>
      <w:marTop w:val="0"/>
      <w:marBottom w:val="0"/>
      <w:divBdr>
        <w:top w:val="none" w:sz="0" w:space="0" w:color="auto"/>
        <w:left w:val="none" w:sz="0" w:space="0" w:color="auto"/>
        <w:bottom w:val="none" w:sz="0" w:space="0" w:color="auto"/>
        <w:right w:val="none" w:sz="0" w:space="0" w:color="auto"/>
      </w:divBdr>
    </w:div>
    <w:div w:id="760611525">
      <w:bodyDiv w:val="1"/>
      <w:marLeft w:val="0"/>
      <w:marRight w:val="0"/>
      <w:marTop w:val="0"/>
      <w:marBottom w:val="0"/>
      <w:divBdr>
        <w:top w:val="none" w:sz="0" w:space="0" w:color="auto"/>
        <w:left w:val="none" w:sz="0" w:space="0" w:color="auto"/>
        <w:bottom w:val="none" w:sz="0" w:space="0" w:color="auto"/>
        <w:right w:val="none" w:sz="0" w:space="0" w:color="auto"/>
      </w:divBdr>
    </w:div>
    <w:div w:id="838692520">
      <w:bodyDiv w:val="1"/>
      <w:marLeft w:val="0"/>
      <w:marRight w:val="0"/>
      <w:marTop w:val="0"/>
      <w:marBottom w:val="0"/>
      <w:divBdr>
        <w:top w:val="none" w:sz="0" w:space="0" w:color="auto"/>
        <w:left w:val="none" w:sz="0" w:space="0" w:color="auto"/>
        <w:bottom w:val="none" w:sz="0" w:space="0" w:color="auto"/>
        <w:right w:val="none" w:sz="0" w:space="0" w:color="auto"/>
      </w:divBdr>
    </w:div>
    <w:div w:id="866023986">
      <w:bodyDiv w:val="1"/>
      <w:marLeft w:val="0"/>
      <w:marRight w:val="0"/>
      <w:marTop w:val="0"/>
      <w:marBottom w:val="0"/>
      <w:divBdr>
        <w:top w:val="none" w:sz="0" w:space="0" w:color="auto"/>
        <w:left w:val="none" w:sz="0" w:space="0" w:color="auto"/>
        <w:bottom w:val="none" w:sz="0" w:space="0" w:color="auto"/>
        <w:right w:val="none" w:sz="0" w:space="0" w:color="auto"/>
      </w:divBdr>
    </w:div>
    <w:div w:id="931012949">
      <w:bodyDiv w:val="1"/>
      <w:marLeft w:val="0"/>
      <w:marRight w:val="0"/>
      <w:marTop w:val="0"/>
      <w:marBottom w:val="0"/>
      <w:divBdr>
        <w:top w:val="none" w:sz="0" w:space="0" w:color="auto"/>
        <w:left w:val="none" w:sz="0" w:space="0" w:color="auto"/>
        <w:bottom w:val="none" w:sz="0" w:space="0" w:color="auto"/>
        <w:right w:val="none" w:sz="0" w:space="0" w:color="auto"/>
      </w:divBdr>
    </w:div>
    <w:div w:id="964963569">
      <w:bodyDiv w:val="1"/>
      <w:marLeft w:val="0"/>
      <w:marRight w:val="0"/>
      <w:marTop w:val="0"/>
      <w:marBottom w:val="0"/>
      <w:divBdr>
        <w:top w:val="none" w:sz="0" w:space="0" w:color="auto"/>
        <w:left w:val="none" w:sz="0" w:space="0" w:color="auto"/>
        <w:bottom w:val="none" w:sz="0" w:space="0" w:color="auto"/>
        <w:right w:val="none" w:sz="0" w:space="0" w:color="auto"/>
      </w:divBdr>
    </w:div>
    <w:div w:id="998188937">
      <w:bodyDiv w:val="1"/>
      <w:marLeft w:val="0"/>
      <w:marRight w:val="0"/>
      <w:marTop w:val="0"/>
      <w:marBottom w:val="0"/>
      <w:divBdr>
        <w:top w:val="none" w:sz="0" w:space="0" w:color="auto"/>
        <w:left w:val="none" w:sz="0" w:space="0" w:color="auto"/>
        <w:bottom w:val="none" w:sz="0" w:space="0" w:color="auto"/>
        <w:right w:val="none" w:sz="0" w:space="0" w:color="auto"/>
      </w:divBdr>
    </w:div>
    <w:div w:id="1000700281">
      <w:bodyDiv w:val="1"/>
      <w:marLeft w:val="0"/>
      <w:marRight w:val="0"/>
      <w:marTop w:val="0"/>
      <w:marBottom w:val="0"/>
      <w:divBdr>
        <w:top w:val="none" w:sz="0" w:space="0" w:color="auto"/>
        <w:left w:val="none" w:sz="0" w:space="0" w:color="auto"/>
        <w:bottom w:val="none" w:sz="0" w:space="0" w:color="auto"/>
        <w:right w:val="none" w:sz="0" w:space="0" w:color="auto"/>
      </w:divBdr>
    </w:div>
    <w:div w:id="1054307240">
      <w:bodyDiv w:val="1"/>
      <w:marLeft w:val="0"/>
      <w:marRight w:val="0"/>
      <w:marTop w:val="0"/>
      <w:marBottom w:val="0"/>
      <w:divBdr>
        <w:top w:val="none" w:sz="0" w:space="0" w:color="auto"/>
        <w:left w:val="none" w:sz="0" w:space="0" w:color="auto"/>
        <w:bottom w:val="none" w:sz="0" w:space="0" w:color="auto"/>
        <w:right w:val="none" w:sz="0" w:space="0" w:color="auto"/>
      </w:divBdr>
    </w:div>
    <w:div w:id="1134984298">
      <w:bodyDiv w:val="1"/>
      <w:marLeft w:val="0"/>
      <w:marRight w:val="0"/>
      <w:marTop w:val="0"/>
      <w:marBottom w:val="0"/>
      <w:divBdr>
        <w:top w:val="none" w:sz="0" w:space="0" w:color="auto"/>
        <w:left w:val="none" w:sz="0" w:space="0" w:color="auto"/>
        <w:bottom w:val="none" w:sz="0" w:space="0" w:color="auto"/>
        <w:right w:val="none" w:sz="0" w:space="0" w:color="auto"/>
      </w:divBdr>
    </w:div>
    <w:div w:id="1160923536">
      <w:bodyDiv w:val="1"/>
      <w:marLeft w:val="0"/>
      <w:marRight w:val="0"/>
      <w:marTop w:val="0"/>
      <w:marBottom w:val="0"/>
      <w:divBdr>
        <w:top w:val="none" w:sz="0" w:space="0" w:color="auto"/>
        <w:left w:val="none" w:sz="0" w:space="0" w:color="auto"/>
        <w:bottom w:val="none" w:sz="0" w:space="0" w:color="auto"/>
        <w:right w:val="none" w:sz="0" w:space="0" w:color="auto"/>
      </w:divBdr>
    </w:div>
    <w:div w:id="1200823709">
      <w:bodyDiv w:val="1"/>
      <w:marLeft w:val="0"/>
      <w:marRight w:val="0"/>
      <w:marTop w:val="0"/>
      <w:marBottom w:val="0"/>
      <w:divBdr>
        <w:top w:val="none" w:sz="0" w:space="0" w:color="auto"/>
        <w:left w:val="none" w:sz="0" w:space="0" w:color="auto"/>
        <w:bottom w:val="none" w:sz="0" w:space="0" w:color="auto"/>
        <w:right w:val="none" w:sz="0" w:space="0" w:color="auto"/>
      </w:divBdr>
    </w:div>
    <w:div w:id="1320308268">
      <w:bodyDiv w:val="1"/>
      <w:marLeft w:val="0"/>
      <w:marRight w:val="0"/>
      <w:marTop w:val="0"/>
      <w:marBottom w:val="0"/>
      <w:divBdr>
        <w:top w:val="none" w:sz="0" w:space="0" w:color="auto"/>
        <w:left w:val="none" w:sz="0" w:space="0" w:color="auto"/>
        <w:bottom w:val="none" w:sz="0" w:space="0" w:color="auto"/>
        <w:right w:val="none" w:sz="0" w:space="0" w:color="auto"/>
      </w:divBdr>
    </w:div>
    <w:div w:id="1441336321">
      <w:bodyDiv w:val="1"/>
      <w:marLeft w:val="0"/>
      <w:marRight w:val="0"/>
      <w:marTop w:val="0"/>
      <w:marBottom w:val="0"/>
      <w:divBdr>
        <w:top w:val="none" w:sz="0" w:space="0" w:color="auto"/>
        <w:left w:val="none" w:sz="0" w:space="0" w:color="auto"/>
        <w:bottom w:val="none" w:sz="0" w:space="0" w:color="auto"/>
        <w:right w:val="none" w:sz="0" w:space="0" w:color="auto"/>
      </w:divBdr>
    </w:div>
    <w:div w:id="1468813266">
      <w:bodyDiv w:val="1"/>
      <w:marLeft w:val="0"/>
      <w:marRight w:val="0"/>
      <w:marTop w:val="0"/>
      <w:marBottom w:val="0"/>
      <w:divBdr>
        <w:top w:val="none" w:sz="0" w:space="0" w:color="auto"/>
        <w:left w:val="none" w:sz="0" w:space="0" w:color="auto"/>
        <w:bottom w:val="none" w:sz="0" w:space="0" w:color="auto"/>
        <w:right w:val="none" w:sz="0" w:space="0" w:color="auto"/>
      </w:divBdr>
    </w:div>
    <w:div w:id="1541670927">
      <w:bodyDiv w:val="1"/>
      <w:marLeft w:val="0"/>
      <w:marRight w:val="0"/>
      <w:marTop w:val="0"/>
      <w:marBottom w:val="0"/>
      <w:divBdr>
        <w:top w:val="none" w:sz="0" w:space="0" w:color="auto"/>
        <w:left w:val="none" w:sz="0" w:space="0" w:color="auto"/>
        <w:bottom w:val="none" w:sz="0" w:space="0" w:color="auto"/>
        <w:right w:val="none" w:sz="0" w:space="0" w:color="auto"/>
      </w:divBdr>
    </w:div>
    <w:div w:id="1618101636">
      <w:bodyDiv w:val="1"/>
      <w:marLeft w:val="0"/>
      <w:marRight w:val="0"/>
      <w:marTop w:val="0"/>
      <w:marBottom w:val="0"/>
      <w:divBdr>
        <w:top w:val="none" w:sz="0" w:space="0" w:color="auto"/>
        <w:left w:val="none" w:sz="0" w:space="0" w:color="auto"/>
        <w:bottom w:val="none" w:sz="0" w:space="0" w:color="auto"/>
        <w:right w:val="none" w:sz="0" w:space="0" w:color="auto"/>
      </w:divBdr>
    </w:div>
    <w:div w:id="1770468923">
      <w:bodyDiv w:val="1"/>
      <w:marLeft w:val="0"/>
      <w:marRight w:val="0"/>
      <w:marTop w:val="0"/>
      <w:marBottom w:val="0"/>
      <w:divBdr>
        <w:top w:val="none" w:sz="0" w:space="0" w:color="auto"/>
        <w:left w:val="none" w:sz="0" w:space="0" w:color="auto"/>
        <w:bottom w:val="none" w:sz="0" w:space="0" w:color="auto"/>
        <w:right w:val="none" w:sz="0" w:space="0" w:color="auto"/>
      </w:divBdr>
    </w:div>
    <w:div w:id="1841964718">
      <w:bodyDiv w:val="1"/>
      <w:marLeft w:val="0"/>
      <w:marRight w:val="0"/>
      <w:marTop w:val="0"/>
      <w:marBottom w:val="0"/>
      <w:divBdr>
        <w:top w:val="none" w:sz="0" w:space="0" w:color="auto"/>
        <w:left w:val="none" w:sz="0" w:space="0" w:color="auto"/>
        <w:bottom w:val="none" w:sz="0" w:space="0" w:color="auto"/>
        <w:right w:val="none" w:sz="0" w:space="0" w:color="auto"/>
      </w:divBdr>
    </w:div>
    <w:div w:id="1920171397">
      <w:bodyDiv w:val="1"/>
      <w:marLeft w:val="0"/>
      <w:marRight w:val="0"/>
      <w:marTop w:val="0"/>
      <w:marBottom w:val="0"/>
      <w:divBdr>
        <w:top w:val="none" w:sz="0" w:space="0" w:color="auto"/>
        <w:left w:val="none" w:sz="0" w:space="0" w:color="auto"/>
        <w:bottom w:val="none" w:sz="0" w:space="0" w:color="auto"/>
        <w:right w:val="none" w:sz="0" w:space="0" w:color="auto"/>
      </w:divBdr>
    </w:div>
    <w:div w:id="1924142169">
      <w:bodyDiv w:val="1"/>
      <w:marLeft w:val="0"/>
      <w:marRight w:val="0"/>
      <w:marTop w:val="0"/>
      <w:marBottom w:val="0"/>
      <w:divBdr>
        <w:top w:val="none" w:sz="0" w:space="0" w:color="auto"/>
        <w:left w:val="none" w:sz="0" w:space="0" w:color="auto"/>
        <w:bottom w:val="none" w:sz="0" w:space="0" w:color="auto"/>
        <w:right w:val="none" w:sz="0" w:space="0" w:color="auto"/>
      </w:divBdr>
    </w:div>
    <w:div w:id="1974477966">
      <w:bodyDiv w:val="1"/>
      <w:marLeft w:val="0"/>
      <w:marRight w:val="0"/>
      <w:marTop w:val="0"/>
      <w:marBottom w:val="0"/>
      <w:divBdr>
        <w:top w:val="none" w:sz="0" w:space="0" w:color="auto"/>
        <w:left w:val="none" w:sz="0" w:space="0" w:color="auto"/>
        <w:bottom w:val="none" w:sz="0" w:space="0" w:color="auto"/>
        <w:right w:val="none" w:sz="0" w:space="0" w:color="auto"/>
      </w:divBdr>
    </w:div>
    <w:div w:id="2020963139">
      <w:bodyDiv w:val="1"/>
      <w:marLeft w:val="0"/>
      <w:marRight w:val="0"/>
      <w:marTop w:val="0"/>
      <w:marBottom w:val="0"/>
      <w:divBdr>
        <w:top w:val="none" w:sz="0" w:space="0" w:color="auto"/>
        <w:left w:val="none" w:sz="0" w:space="0" w:color="auto"/>
        <w:bottom w:val="none" w:sz="0" w:space="0" w:color="auto"/>
        <w:right w:val="none" w:sz="0" w:space="0" w:color="auto"/>
      </w:divBdr>
    </w:div>
    <w:div w:id="2089232366">
      <w:bodyDiv w:val="1"/>
      <w:marLeft w:val="0"/>
      <w:marRight w:val="0"/>
      <w:marTop w:val="0"/>
      <w:marBottom w:val="0"/>
      <w:divBdr>
        <w:top w:val="none" w:sz="0" w:space="0" w:color="auto"/>
        <w:left w:val="none" w:sz="0" w:space="0" w:color="auto"/>
        <w:bottom w:val="none" w:sz="0" w:space="0" w:color="auto"/>
        <w:right w:val="none" w:sz="0" w:space="0" w:color="auto"/>
      </w:divBdr>
    </w:div>
    <w:div w:id="2128697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ept.org/Documents/cpg/50140/cpg-19-adm37_cpg-preliminary-schedules-cpg-till-wrc-1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Transfer\CPG\PTD\Template%20Draft%20Minutes%20generi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D82DF4-828B-4082-A638-A4B8EF35F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Draft Minutes generic.dotx</Template>
  <TotalTime>1</TotalTime>
  <Pages>9</Pages>
  <Words>3849</Words>
  <Characters>21173</Characters>
  <Application>Microsoft Office Word</Application>
  <DocSecurity>0</DocSecurity>
  <Lines>176</Lines>
  <Paragraphs>49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Draft Minutes of</vt:lpstr>
      <vt:lpstr>New ECC Report Style</vt:lpstr>
    </vt:vector>
  </TitlesOfParts>
  <Manager>stella.lyubchenko@eco.cept.org</Manager>
  <Company>ECO</Company>
  <LinksUpToDate>false</LinksUpToDate>
  <CharactersWithSpaces>24973</CharactersWithSpaces>
  <SharedDoc>false</SharedDoc>
  <HLinks>
    <vt:vector size="12" baseType="variant">
      <vt:variant>
        <vt:i4>1703987</vt:i4>
      </vt:variant>
      <vt:variant>
        <vt:i4>-1</vt:i4>
      </vt:variant>
      <vt:variant>
        <vt:i4>2049</vt:i4>
      </vt:variant>
      <vt:variant>
        <vt:i4>1</vt:i4>
      </vt:variant>
      <vt:variant>
        <vt:lpwstr>cept logo</vt:lpwstr>
      </vt:variant>
      <vt:variant>
        <vt:lpwstr/>
      </vt:variant>
      <vt:variant>
        <vt:i4>3932173</vt:i4>
      </vt:variant>
      <vt:variant>
        <vt:i4>-1</vt:i4>
      </vt:variant>
      <vt:variant>
        <vt:i4>2050</vt:i4>
      </vt:variant>
      <vt:variant>
        <vt:i4>1</vt:i4>
      </vt:variant>
      <vt:variant>
        <vt:lpwstr>ecc_logo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Minutes of</dc:title>
  <dc:creator>CPG Secretary</dc:creator>
  <dc:description>this template is dedicated for generic minutes of any CEPT entity</dc:description>
  <cp:lastModifiedBy>Osinga, G.E. (Gerlof)</cp:lastModifiedBy>
  <cp:revision>2</cp:revision>
  <cp:lastPrinted>1901-01-01T00:00:00Z</cp:lastPrinted>
  <dcterms:created xsi:type="dcterms:W3CDTF">2019-06-21T09:36:00Z</dcterms:created>
  <dcterms:modified xsi:type="dcterms:W3CDTF">2019-06-21T09:36:00Z</dcterms:modified>
  <cp:category>Protected Template</cp:category>
</cp:coreProperties>
</file>