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E7012C" w14:paraId="2085C641" w14:textId="77777777" w:rsidTr="000E3E4D">
        <w:trPr>
          <w:cantSplit/>
          <w:trHeight w:val="1560"/>
        </w:trPr>
        <w:tc>
          <w:tcPr>
            <w:tcW w:w="4820" w:type="dxa"/>
            <w:gridSpan w:val="2"/>
            <w:tcBorders>
              <w:top w:val="nil"/>
              <w:left w:val="nil"/>
              <w:bottom w:val="nil"/>
              <w:right w:val="nil"/>
            </w:tcBorders>
            <w:vAlign w:val="center"/>
          </w:tcPr>
          <w:p w14:paraId="12E7937E" w14:textId="4E2393F1" w:rsidR="00265F50" w:rsidRPr="00E7012C" w:rsidRDefault="00265F50" w:rsidP="00DD5136">
            <w:pPr>
              <w:pStyle w:val="ECCLetterHead"/>
            </w:pPr>
            <w:r w:rsidRPr="00E7012C">
              <w:rPr>
                <w:noProof/>
                <w:lang w:eastAsia="da-DK"/>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F32BE8" w:rsidRPr="00E7012C">
              <w:t>CPG PT</w:t>
            </w:r>
            <w:r w:rsidR="009E272E" w:rsidRPr="00E7012C">
              <w:t>A</w:t>
            </w:r>
          </w:p>
        </w:tc>
        <w:tc>
          <w:tcPr>
            <w:tcW w:w="4961" w:type="dxa"/>
            <w:tcBorders>
              <w:top w:val="nil"/>
              <w:left w:val="nil"/>
              <w:bottom w:val="nil"/>
              <w:right w:val="nil"/>
            </w:tcBorders>
          </w:tcPr>
          <w:p w14:paraId="5911F235" w14:textId="0EFD6F59" w:rsidR="00265F50" w:rsidRPr="00E7012C" w:rsidRDefault="00265F50" w:rsidP="00DD5136">
            <w:pPr>
              <w:pStyle w:val="ECCLetterHead"/>
            </w:pPr>
            <w:r w:rsidRPr="00E7012C">
              <w:tab/>
            </w:r>
            <w:r w:rsidR="00865DE5" w:rsidRPr="00E7012C">
              <w:t xml:space="preserve">Doc. </w:t>
            </w:r>
            <w:proofErr w:type="gramStart"/>
            <w:r w:rsidR="00865DE5" w:rsidRPr="00E7012C">
              <w:t>PT</w:t>
            </w:r>
            <w:r w:rsidR="009E272E" w:rsidRPr="00E7012C">
              <w:t>A</w:t>
            </w:r>
            <w:r w:rsidR="00865DE5" w:rsidRPr="00E7012C">
              <w:t>(</w:t>
            </w:r>
            <w:proofErr w:type="gramEnd"/>
            <w:r w:rsidR="00E151DA" w:rsidRPr="00E7012C">
              <w:t>22</w:t>
            </w:r>
            <w:r w:rsidR="00865DE5" w:rsidRPr="00E7012C">
              <w:t>)</w:t>
            </w:r>
            <w:r w:rsidR="001A0D5D">
              <w:t>INFO005</w:t>
            </w:r>
          </w:p>
        </w:tc>
      </w:tr>
      <w:tr w:rsidR="00E151DA" w:rsidRPr="00E7012C" w14:paraId="4F672DAE" w14:textId="77777777"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7136DC6" w14:textId="762D5541" w:rsidR="00E151DA" w:rsidRPr="00E7012C" w:rsidRDefault="00E151DA" w:rsidP="00E151DA">
            <w:pPr>
              <w:pStyle w:val="ECCLetterHead"/>
            </w:pPr>
            <w:r w:rsidRPr="00E7012C">
              <w:t>CPG PTA-5</w:t>
            </w:r>
          </w:p>
        </w:tc>
      </w:tr>
      <w:tr w:rsidR="00E151DA" w:rsidRPr="00E7012C" w14:paraId="563A76CA" w14:textId="77777777"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4504381" w14:textId="7B7450AC" w:rsidR="00E151DA" w:rsidRPr="00E7012C" w:rsidRDefault="00E151DA" w:rsidP="00E151DA">
            <w:pPr>
              <w:pStyle w:val="ECCLetterHead"/>
            </w:pPr>
            <w:r w:rsidRPr="00E7012C">
              <w:t>Hybrid-Meeting, 22-24 June 2022</w:t>
            </w:r>
          </w:p>
        </w:tc>
      </w:tr>
      <w:tr w:rsidR="00F11542" w:rsidRPr="00E7012C" w14:paraId="4B0D1AF6" w14:textId="77777777"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1BEC15CD" w14:textId="77777777" w:rsidR="00F11542" w:rsidRPr="00E7012C" w:rsidRDefault="00F11542" w:rsidP="00263FFB">
            <w:pPr>
              <w:pStyle w:val="ECCLetterHead"/>
            </w:pPr>
          </w:p>
        </w:tc>
      </w:tr>
      <w:tr w:rsidR="00263FFB" w:rsidRPr="00E7012C" w14:paraId="7893EA43"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E7012C" w:rsidRDefault="00263FFB" w:rsidP="00263FFB">
            <w:pPr>
              <w:pStyle w:val="ECCLetterHead"/>
            </w:pPr>
            <w:r w:rsidRPr="00E7012C">
              <w:t xml:space="preserve">Date issued: </w:t>
            </w:r>
          </w:p>
        </w:tc>
        <w:tc>
          <w:tcPr>
            <w:tcW w:w="7962" w:type="dxa"/>
            <w:gridSpan w:val="2"/>
            <w:tcBorders>
              <w:top w:val="nil"/>
              <w:left w:val="nil"/>
              <w:bottom w:val="nil"/>
              <w:right w:val="nil"/>
            </w:tcBorders>
            <w:vAlign w:val="center"/>
          </w:tcPr>
          <w:p w14:paraId="5B5F7838" w14:textId="4DEA020E" w:rsidR="00263FFB" w:rsidRPr="00E7012C" w:rsidRDefault="00D738E3" w:rsidP="00263FFB">
            <w:pPr>
              <w:pStyle w:val="ECCLetterHead"/>
            </w:pPr>
            <w:r>
              <w:t>16</w:t>
            </w:r>
            <w:r w:rsidR="008428AB" w:rsidRPr="00E7012C">
              <w:t xml:space="preserve"> June 2022</w:t>
            </w:r>
          </w:p>
        </w:tc>
      </w:tr>
      <w:tr w:rsidR="00263FFB" w:rsidRPr="00E7012C" w14:paraId="610BD899"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E7012C" w:rsidRDefault="00263FFB" w:rsidP="00263FFB">
            <w:pPr>
              <w:pStyle w:val="ECCLetterHead"/>
            </w:pPr>
            <w:r w:rsidRPr="00E7012C">
              <w:t xml:space="preserve">Source: </w:t>
            </w:r>
          </w:p>
        </w:tc>
        <w:tc>
          <w:tcPr>
            <w:tcW w:w="7962" w:type="dxa"/>
            <w:gridSpan w:val="2"/>
            <w:tcBorders>
              <w:top w:val="nil"/>
              <w:left w:val="nil"/>
              <w:bottom w:val="nil"/>
              <w:right w:val="nil"/>
            </w:tcBorders>
            <w:vAlign w:val="center"/>
          </w:tcPr>
          <w:p w14:paraId="50D045A0" w14:textId="5CD8AE0F" w:rsidR="00263FFB" w:rsidRPr="00E7012C" w:rsidRDefault="009E272E" w:rsidP="00263FFB">
            <w:pPr>
              <w:pStyle w:val="ECCLetterHead"/>
            </w:pPr>
            <w:r w:rsidRPr="00E7012C">
              <w:t xml:space="preserve">European Space </w:t>
            </w:r>
            <w:r w:rsidR="00E151DA" w:rsidRPr="00E7012C">
              <w:t>Agency</w:t>
            </w:r>
          </w:p>
        </w:tc>
      </w:tr>
      <w:tr w:rsidR="00263FFB" w:rsidRPr="00E7012C" w14:paraId="31AEFAF8"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E7012C" w:rsidRDefault="00263FFB" w:rsidP="00263FFB">
            <w:pPr>
              <w:pStyle w:val="ECCLetterHead"/>
            </w:pPr>
            <w:r w:rsidRPr="00E7012C">
              <w:t xml:space="preserve">Subject: </w:t>
            </w:r>
          </w:p>
        </w:tc>
        <w:tc>
          <w:tcPr>
            <w:tcW w:w="7962" w:type="dxa"/>
            <w:gridSpan w:val="2"/>
            <w:tcBorders>
              <w:top w:val="nil"/>
              <w:left w:val="nil"/>
              <w:bottom w:val="nil"/>
              <w:right w:val="nil"/>
            </w:tcBorders>
            <w:vAlign w:val="center"/>
          </w:tcPr>
          <w:p w14:paraId="641C6DD9" w14:textId="35AD918A" w:rsidR="00263FFB" w:rsidRPr="00E7012C" w:rsidRDefault="006A6AF7" w:rsidP="00263FFB">
            <w:pPr>
              <w:pStyle w:val="ECCLetterHead"/>
            </w:pPr>
            <w:r w:rsidRPr="00E7012C">
              <w:t xml:space="preserve">Considerations on </w:t>
            </w:r>
            <w:r w:rsidR="009E272E" w:rsidRPr="00E7012C">
              <w:t xml:space="preserve">WRC-27 </w:t>
            </w:r>
            <w:r w:rsidR="006E1296">
              <w:t xml:space="preserve">Preliminary </w:t>
            </w:r>
            <w:r w:rsidR="0062684C" w:rsidRPr="00E7012C">
              <w:t>Agenda Item 2.13 (“</w:t>
            </w:r>
            <w:r w:rsidRPr="00E7012C">
              <w:rPr>
                <w:i/>
                <w:iCs/>
              </w:rPr>
              <w:t>...</w:t>
            </w:r>
            <w:r w:rsidR="0062684C" w:rsidRPr="00E7012C">
              <w:rPr>
                <w:i/>
                <w:iCs/>
              </w:rPr>
              <w:t>narrowband mobile-satellite systems</w:t>
            </w:r>
            <w:r w:rsidRPr="00E7012C">
              <w:rPr>
                <w:i/>
                <w:iCs/>
              </w:rPr>
              <w:t>...</w:t>
            </w:r>
            <w:r w:rsidR="0062684C" w:rsidRPr="00E7012C">
              <w:rPr>
                <w:i/>
                <w:iCs/>
              </w:rPr>
              <w:t xml:space="preserve">”) </w:t>
            </w:r>
          </w:p>
        </w:tc>
      </w:tr>
      <w:tr w:rsidR="00263FFB" w:rsidRPr="00E7012C" w14:paraId="1E7D321D"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20DECD78" w14:textId="77777777" w:rsidR="00263FFB" w:rsidRPr="00E7012C" w:rsidRDefault="00263FFB" w:rsidP="00263FFB">
            <w:pPr>
              <w:pStyle w:val="ECCTabletext"/>
            </w:pPr>
            <w:r w:rsidRPr="00E7012C">
              <w:rPr>
                <w:noProof/>
                <w:lang w:eastAsia="da-DK"/>
              </w:rPr>
              <mc:AlternateContent>
                <mc:Choice Requires="wps">
                  <w:drawing>
                    <wp:anchor distT="0" distB="0" distL="114300" distR="114300" simplePos="0" relativeHeight="251662336"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812F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2F0CC95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E7012C">
              <w:t xml:space="preserve">Group membership required to </w:t>
            </w:r>
            <w:proofErr w:type="gramStart"/>
            <w:r w:rsidRPr="00E7012C">
              <w:t>read?</w:t>
            </w:r>
            <w:proofErr w:type="gramEnd"/>
            <w:r w:rsidRPr="00E7012C">
              <w:t xml:space="preserve"> (Y/N)</w:t>
            </w:r>
          </w:p>
        </w:tc>
      </w:tr>
      <w:tr w:rsidR="00263FFB" w:rsidRPr="00E7012C" w14:paraId="4EB50F1F"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43F83AE2" w14:textId="77777777" w:rsidR="00263FFB" w:rsidRPr="00E7012C" w:rsidRDefault="00263FFB" w:rsidP="00263FFB">
            <w:pPr>
              <w:rPr>
                <w:rStyle w:val="ECCParagraph"/>
              </w:rPr>
            </w:pPr>
          </w:p>
          <w:p w14:paraId="24F7BA5C" w14:textId="77777777" w:rsidR="00263FFB" w:rsidRPr="00E7012C" w:rsidRDefault="00263FFB" w:rsidP="00263FFB"/>
        </w:tc>
      </w:tr>
      <w:tr w:rsidR="00263FFB" w:rsidRPr="00E7012C" w14:paraId="346A4B22"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1311FED7" w14:textId="77777777" w:rsidR="00263FFB" w:rsidRPr="00E7012C" w:rsidRDefault="00263FFB" w:rsidP="00263FFB">
            <w:pPr>
              <w:pStyle w:val="ECCLetterHead"/>
            </w:pPr>
            <w:r w:rsidRPr="00E7012C">
              <w:t xml:space="preserve">Summary: </w:t>
            </w:r>
          </w:p>
        </w:tc>
      </w:tr>
      <w:tr w:rsidR="00263FFB" w:rsidRPr="00E7012C" w14:paraId="6E5E5CE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117270CF" w14:textId="7F9A6790" w:rsidR="002F70E6" w:rsidRPr="00E7012C" w:rsidRDefault="009E03F5" w:rsidP="009E03F5">
            <w:pPr>
              <w:pStyle w:val="ECCTabletext"/>
            </w:pPr>
            <w:r w:rsidRPr="00E7012C">
              <w:t xml:space="preserve">This contribution </w:t>
            </w:r>
            <w:r w:rsidR="00E643E5" w:rsidRPr="00E7012C">
              <w:t xml:space="preserve">provides some </w:t>
            </w:r>
            <w:r w:rsidR="00102182">
              <w:t>considerations</w:t>
            </w:r>
            <w:r w:rsidR="00102182" w:rsidRPr="00E7012C">
              <w:t xml:space="preserve"> </w:t>
            </w:r>
            <w:r w:rsidR="00E643E5" w:rsidRPr="00E7012C">
              <w:t xml:space="preserve">with regards to </w:t>
            </w:r>
            <w:r w:rsidR="00243C89" w:rsidRPr="00E7012C">
              <w:t xml:space="preserve">the </w:t>
            </w:r>
            <w:r w:rsidR="00E643E5" w:rsidRPr="00E7012C">
              <w:t xml:space="preserve">WRC-27 </w:t>
            </w:r>
            <w:r w:rsidR="00102182">
              <w:t xml:space="preserve">Preliminary </w:t>
            </w:r>
            <w:r w:rsidR="00E643E5" w:rsidRPr="00E7012C">
              <w:t xml:space="preserve">Agenda Item </w:t>
            </w:r>
            <w:r w:rsidR="00D738E3">
              <w:t xml:space="preserve">2.13 </w:t>
            </w:r>
            <w:r w:rsidR="00E643E5" w:rsidRPr="00E7012C">
              <w:t>related to narrow-band MSS</w:t>
            </w:r>
            <w:r w:rsidR="00D738E3">
              <w:t>.</w:t>
            </w:r>
          </w:p>
        </w:tc>
      </w:tr>
      <w:tr w:rsidR="00263FFB" w:rsidRPr="00E7012C" w14:paraId="0A2084F3"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51F3AD3" w14:textId="77777777" w:rsidR="00263FFB" w:rsidRPr="00E7012C" w:rsidRDefault="00263FFB" w:rsidP="00263FFB">
            <w:pPr>
              <w:pStyle w:val="ECCLetterHead"/>
            </w:pPr>
            <w:r w:rsidRPr="00E7012C">
              <w:t>Proposal:</w:t>
            </w:r>
          </w:p>
        </w:tc>
      </w:tr>
      <w:tr w:rsidR="00263FFB" w:rsidRPr="00E7012C" w14:paraId="55455C93"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1C991F05" w14:textId="1DDA74B4" w:rsidR="00263FFB" w:rsidRPr="00E7012C" w:rsidRDefault="00102182" w:rsidP="00263FFB">
            <w:pPr>
              <w:pStyle w:val="ECCTabletext"/>
            </w:pPr>
            <w:r>
              <w:t>CPG PTA is invited</w:t>
            </w:r>
            <w:r w:rsidR="00265F50" w:rsidRPr="00E7012C">
              <w:t xml:space="preserve"> to</w:t>
            </w:r>
          </w:p>
          <w:p w14:paraId="339EEE3B" w14:textId="77777777" w:rsidR="00102182" w:rsidRDefault="0062684C" w:rsidP="00265F50">
            <w:pPr>
              <w:pStyle w:val="ECCBulletsLv2"/>
            </w:pPr>
            <w:r w:rsidRPr="00E7012C">
              <w:t>Consider</w:t>
            </w:r>
            <w:r w:rsidR="00E151DA" w:rsidRPr="00E7012C">
              <w:t xml:space="preserve"> ideas formulated in this contribution in the further definition of WRC-27 </w:t>
            </w:r>
            <w:r w:rsidRPr="00E7012C">
              <w:t xml:space="preserve">Agenda Item </w:t>
            </w:r>
            <w:proofErr w:type="gramStart"/>
            <w:r w:rsidRPr="00E7012C">
              <w:t>2.13</w:t>
            </w:r>
            <w:r w:rsidR="00102182">
              <w:t>;</w:t>
            </w:r>
            <w:proofErr w:type="gramEnd"/>
          </w:p>
          <w:p w14:paraId="33599852" w14:textId="547AF58A" w:rsidR="00DE117F" w:rsidRPr="00E7012C" w:rsidRDefault="00102182" w:rsidP="00265F50">
            <w:pPr>
              <w:pStyle w:val="ECCBulletsLv2"/>
            </w:pPr>
            <w:r>
              <w:t>Liaise with CPG PTB to ensure the consistency between PTA deliberation on WRC-23 AI 2.13 and PTB activities on WRC-23 AI 1.18.</w:t>
            </w:r>
            <w:r w:rsidR="0062684C" w:rsidRPr="00E7012C">
              <w:t xml:space="preserve"> </w:t>
            </w:r>
          </w:p>
          <w:p w14:paraId="70DFD042" w14:textId="77777777" w:rsidR="002F70E6" w:rsidRPr="00E7012C" w:rsidRDefault="002F70E6" w:rsidP="002F70E6">
            <w:pPr>
              <w:pStyle w:val="ECCBulletsLv2"/>
              <w:numPr>
                <w:ilvl w:val="0"/>
                <w:numId w:val="0"/>
              </w:numPr>
              <w:ind w:left="680" w:hanging="340"/>
            </w:pPr>
          </w:p>
        </w:tc>
      </w:tr>
      <w:tr w:rsidR="00263FFB" w:rsidRPr="00E7012C" w14:paraId="73D06F6E"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60FD631E" w14:textId="77777777" w:rsidR="00263FFB" w:rsidRPr="00E7012C" w:rsidRDefault="00263FFB" w:rsidP="00263FFB">
            <w:pPr>
              <w:pStyle w:val="ECCLetterHead"/>
            </w:pPr>
            <w:r w:rsidRPr="00E7012C">
              <w:t>Background:</w:t>
            </w:r>
          </w:p>
        </w:tc>
      </w:tr>
      <w:tr w:rsidR="00265F50" w:rsidRPr="00E7012C" w14:paraId="6DA4B9F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749DA917" w14:textId="155FCBEC" w:rsidR="002F70E6" w:rsidRPr="00E7012C" w:rsidRDefault="00E643E5" w:rsidP="00265F50">
            <w:pPr>
              <w:pStyle w:val="ECCTabletext"/>
            </w:pPr>
            <w:r w:rsidRPr="00E7012C">
              <w:t xml:space="preserve">WRC-23 Agenda Item 1.18 </w:t>
            </w:r>
            <w:r w:rsidR="00D738E3">
              <w:t>might</w:t>
            </w:r>
            <w:r w:rsidRPr="00E7012C">
              <w:t xml:space="preserve"> not result in additional spectrum allocations for narrow-band MSS. The related Agenda Item </w:t>
            </w:r>
            <w:r w:rsidR="003E0A07">
              <w:t xml:space="preserve">2.13 </w:t>
            </w:r>
            <w:r w:rsidRPr="00E7012C">
              <w:t>of WRC-27</w:t>
            </w:r>
            <w:r w:rsidR="003E0A07">
              <w:t xml:space="preserve"> (and the associated Resolution)</w:t>
            </w:r>
            <w:r w:rsidRPr="00E7012C">
              <w:t xml:space="preserve"> shall therefore be carefully worded</w:t>
            </w:r>
            <w:r w:rsidR="00CD08EB" w:rsidRPr="00E7012C">
              <w:t xml:space="preserve">, </w:t>
            </w:r>
            <w:proofErr w:type="gramStart"/>
            <w:r w:rsidR="00CD08EB" w:rsidRPr="00E7012C">
              <w:t>taking into account</w:t>
            </w:r>
            <w:proofErr w:type="gramEnd"/>
            <w:r w:rsidR="00CD08EB" w:rsidRPr="00E7012C">
              <w:t xml:space="preserve"> new technical developments and market interests.</w:t>
            </w:r>
          </w:p>
          <w:p w14:paraId="5F6CD7EE" w14:textId="77777777" w:rsidR="002F70E6" w:rsidRPr="00E7012C" w:rsidRDefault="002F70E6" w:rsidP="00265F50">
            <w:pPr>
              <w:pStyle w:val="ECCTabletext"/>
            </w:pPr>
          </w:p>
        </w:tc>
      </w:tr>
    </w:tbl>
    <w:p w14:paraId="637F709A" w14:textId="77777777" w:rsidR="001B0583" w:rsidRPr="00E7012C" w:rsidRDefault="001B0583" w:rsidP="001B0583">
      <w:pPr>
        <w:pStyle w:val="ECCTablenote"/>
        <w:rPr>
          <w:rStyle w:val="ECCParagraph"/>
        </w:rPr>
      </w:pPr>
    </w:p>
    <w:p w14:paraId="2B0FBA8F" w14:textId="77777777" w:rsidR="00231A0F" w:rsidRPr="00E7012C" w:rsidRDefault="00231A0F">
      <w:pPr>
        <w:rPr>
          <w:rStyle w:val="ECCParagraph"/>
          <w:rFonts w:eastAsia="Times New Roman"/>
          <w:szCs w:val="16"/>
        </w:rPr>
      </w:pPr>
      <w:r w:rsidRPr="00E7012C">
        <w:rPr>
          <w:rStyle w:val="ECCParagraph"/>
        </w:rPr>
        <w:br w:type="page"/>
      </w:r>
    </w:p>
    <w:p w14:paraId="3660C3A4" w14:textId="5CB13F7E" w:rsidR="009E272E" w:rsidRPr="00E7012C" w:rsidRDefault="009E272E" w:rsidP="00025E7E">
      <w:pPr>
        <w:pStyle w:val="Heading1"/>
        <w:rPr>
          <w:rStyle w:val="ECCParagraph"/>
        </w:rPr>
      </w:pPr>
      <w:r w:rsidRPr="00E7012C">
        <w:rPr>
          <w:rStyle w:val="ECCParagraph"/>
        </w:rPr>
        <w:lastRenderedPageBreak/>
        <w:t>Background</w:t>
      </w:r>
    </w:p>
    <w:p w14:paraId="75D94CE7" w14:textId="4C104700" w:rsidR="009E272E" w:rsidRPr="00E7012C" w:rsidRDefault="009E272E" w:rsidP="009E272E">
      <w:pPr>
        <w:pStyle w:val="Heading2"/>
        <w:rPr>
          <w:rStyle w:val="ECCParagraph"/>
        </w:rPr>
      </w:pPr>
      <w:r w:rsidRPr="00E7012C">
        <w:rPr>
          <w:rStyle w:val="ECCParagraph"/>
        </w:rPr>
        <w:t>WRC-23</w:t>
      </w:r>
    </w:p>
    <w:p w14:paraId="4D8C5C95" w14:textId="3EA39CE5" w:rsidR="00EA0584" w:rsidRPr="00E7012C" w:rsidRDefault="0048268B" w:rsidP="00E151DA">
      <w:r w:rsidRPr="00E7012C">
        <w:t xml:space="preserve">The </w:t>
      </w:r>
      <w:r w:rsidR="00EA0584" w:rsidRPr="00E7012C">
        <w:t xml:space="preserve">WRC-19 </w:t>
      </w:r>
      <w:r w:rsidRPr="00E7012C">
        <w:t xml:space="preserve">Agenda Item </w:t>
      </w:r>
      <w:r w:rsidR="00E151DA" w:rsidRPr="00E7012C">
        <w:t xml:space="preserve">1.18 </w:t>
      </w:r>
      <w:r w:rsidR="00EA0584" w:rsidRPr="00E7012C">
        <w:t xml:space="preserve">(Resolution 248, see </w:t>
      </w:r>
      <w:hyperlink r:id="rId9" w:history="1">
        <w:r w:rsidR="00EA0584" w:rsidRPr="00E7012C">
          <w:rPr>
            <w:rStyle w:val="Hyperlink"/>
          </w:rPr>
          <w:t>https://www.itu.int/dms_pub/itu-r/oth/0C/0A/R0C0A00000F0086PDFE.pdf</w:t>
        </w:r>
      </w:hyperlink>
      <w:r w:rsidR="00EA0584" w:rsidRPr="00E7012C">
        <w:t xml:space="preserve">) has suffered from </w:t>
      </w:r>
      <w:r w:rsidR="00243C89" w:rsidRPr="00E7012C">
        <w:t xml:space="preserve">long debates </w:t>
      </w:r>
      <w:r w:rsidR="00B502AC">
        <w:t>on</w:t>
      </w:r>
      <w:r w:rsidR="00243C89" w:rsidRPr="00E7012C">
        <w:t xml:space="preserve"> its interpretation</w:t>
      </w:r>
      <w:r w:rsidR="00EA0584" w:rsidRPr="00E7012C">
        <w:t xml:space="preserve"> and </w:t>
      </w:r>
      <w:r w:rsidR="00D738E3">
        <w:t>might</w:t>
      </w:r>
      <w:r w:rsidR="00EA0584" w:rsidRPr="00E7012C">
        <w:t xml:space="preserve"> result in a “no change”.</w:t>
      </w:r>
    </w:p>
    <w:p w14:paraId="62F02866" w14:textId="079512F6" w:rsidR="00EA0584" w:rsidRPr="00E7012C" w:rsidRDefault="00EA0584" w:rsidP="00EA0584">
      <w:r w:rsidRPr="00E7012C">
        <w:t xml:space="preserve">It is therefore important that the wording, scope, intention of the related Agenda Item in WRC-27 is discussed beforehand. </w:t>
      </w:r>
    </w:p>
    <w:p w14:paraId="015A53EF" w14:textId="77777777" w:rsidR="00EA0584" w:rsidRPr="00E7012C" w:rsidRDefault="00EA0584" w:rsidP="00EA0584">
      <w:pPr>
        <w:pStyle w:val="Heading2"/>
        <w:rPr>
          <w:lang w:val="en-GB"/>
        </w:rPr>
      </w:pPr>
      <w:r w:rsidRPr="00E7012C">
        <w:rPr>
          <w:lang w:val="en-GB"/>
        </w:rPr>
        <w:t>WRC-27</w:t>
      </w:r>
    </w:p>
    <w:p w14:paraId="1F33875B" w14:textId="7CA91441" w:rsidR="00EA0584" w:rsidRPr="00E7012C" w:rsidRDefault="00EA0584" w:rsidP="00EA0584">
      <w:r w:rsidRPr="00E7012C">
        <w:t xml:space="preserve">Annex 8 of ITU CA/251 - Results of the first session of the Conference Preparatory Meeting for WRC-23 (see </w:t>
      </w:r>
      <w:hyperlink r:id="rId10" w:history="1">
        <w:r w:rsidRPr="00E7012C">
          <w:rPr>
            <w:rStyle w:val="Hyperlink"/>
          </w:rPr>
          <w:t>https://www.itu.int/dms_pub/itu-r/md/00/ca/cir/R00-CA-CIR-0251!!PDF-E.pdf</w:t>
        </w:r>
      </w:hyperlink>
      <w:r w:rsidRPr="00E7012C">
        <w:t xml:space="preserve"> ) describes the proposed agenda item as: </w:t>
      </w:r>
    </w:p>
    <w:p w14:paraId="6AD1DB8C" w14:textId="562704E2" w:rsidR="00E151DA" w:rsidRPr="00E7012C" w:rsidRDefault="00EA0584" w:rsidP="00E151DA">
      <w:r w:rsidRPr="00E7012C">
        <w:t>“</w:t>
      </w:r>
      <w:r w:rsidR="00E151DA" w:rsidRPr="00E7012C">
        <w:rPr>
          <w:i/>
          <w:iCs/>
        </w:rPr>
        <w:t xml:space="preserve">2.13 to consider a possible worldwide allocation to the mobile satellite service for the future development of narrowband mobile-satellite systems in frequency bands between the range 1.5-5 GHz, </w:t>
      </w:r>
      <w:r w:rsidR="00E151DA" w:rsidRPr="00B502AC">
        <w:rPr>
          <w:i/>
          <w:iCs/>
          <w:u w:val="single"/>
        </w:rPr>
        <w:t>in accordance with Resolution 248 (WRC-19)</w:t>
      </w:r>
      <w:r w:rsidRPr="00B502AC">
        <w:rPr>
          <w:u w:val="single"/>
        </w:rPr>
        <w:t>”</w:t>
      </w:r>
    </w:p>
    <w:p w14:paraId="60D18A17" w14:textId="735F4C60" w:rsidR="00EA0584" w:rsidRPr="00E7012C" w:rsidRDefault="00EA0584" w:rsidP="00EA0584">
      <w:pPr>
        <w:pStyle w:val="Heading1"/>
        <w:rPr>
          <w:lang w:val="en-GB"/>
        </w:rPr>
      </w:pPr>
      <w:r w:rsidRPr="00E7012C">
        <w:rPr>
          <w:lang w:val="en-GB"/>
        </w:rPr>
        <w:t xml:space="preserve">Considerations </w:t>
      </w:r>
      <w:r w:rsidR="00626A58" w:rsidRPr="00E7012C">
        <w:rPr>
          <w:lang w:val="en-GB"/>
        </w:rPr>
        <w:t>on</w:t>
      </w:r>
      <w:r w:rsidRPr="00E7012C">
        <w:rPr>
          <w:lang w:val="en-GB"/>
        </w:rPr>
        <w:t xml:space="preserve"> the current </w:t>
      </w:r>
      <w:r w:rsidR="00C23426" w:rsidRPr="00E7012C">
        <w:rPr>
          <w:lang w:val="en-GB"/>
        </w:rPr>
        <w:t xml:space="preserve">and future </w:t>
      </w:r>
      <w:r w:rsidRPr="00E7012C">
        <w:rPr>
          <w:lang w:val="en-GB"/>
        </w:rPr>
        <w:t>wording of the Agenda Item</w:t>
      </w:r>
      <w:r w:rsidR="006A6AF7" w:rsidRPr="00E7012C">
        <w:rPr>
          <w:lang w:val="en-GB"/>
        </w:rPr>
        <w:t xml:space="preserve"> 2.13</w:t>
      </w:r>
    </w:p>
    <w:p w14:paraId="4E6D99A4" w14:textId="30FF9FAB" w:rsidR="008A2C7A" w:rsidRPr="00E7012C" w:rsidRDefault="006A6AF7" w:rsidP="008A2C7A">
      <w:pPr>
        <w:pStyle w:val="Heading2"/>
        <w:rPr>
          <w:lang w:val="en-GB"/>
        </w:rPr>
      </w:pPr>
      <w:r w:rsidRPr="00E7012C">
        <w:rPr>
          <w:lang w:val="en-GB"/>
        </w:rPr>
        <w:t xml:space="preserve">Current </w:t>
      </w:r>
      <w:r w:rsidR="00C23426" w:rsidRPr="00E7012C">
        <w:rPr>
          <w:lang w:val="en-GB"/>
        </w:rPr>
        <w:t>Wording in 2.13</w:t>
      </w:r>
      <w:proofErr w:type="gramStart"/>
      <w:r w:rsidR="00C23426" w:rsidRPr="00E7012C">
        <w:rPr>
          <w:lang w:val="en-GB"/>
        </w:rPr>
        <w:t xml:space="preserve">: </w:t>
      </w:r>
      <w:r w:rsidR="008A2C7A" w:rsidRPr="00E7012C">
        <w:rPr>
          <w:lang w:val="en-GB"/>
        </w:rPr>
        <w:t>”</w:t>
      </w:r>
      <w:proofErr w:type="gramEnd"/>
      <w:r w:rsidR="007A193E" w:rsidRPr="00E7012C">
        <w:rPr>
          <w:lang w:val="en-GB"/>
        </w:rPr>
        <w:t>...</w:t>
      </w:r>
      <w:r w:rsidR="008A2C7A" w:rsidRPr="00E7012C">
        <w:rPr>
          <w:lang w:val="en-GB"/>
        </w:rPr>
        <w:t>in accordance with</w:t>
      </w:r>
      <w:r w:rsidR="007A193E" w:rsidRPr="00E7012C">
        <w:rPr>
          <w:lang w:val="en-GB"/>
        </w:rPr>
        <w:t>...</w:t>
      </w:r>
      <w:r w:rsidR="008A2C7A" w:rsidRPr="00E7012C">
        <w:rPr>
          <w:lang w:val="en-GB"/>
        </w:rPr>
        <w:t>”</w:t>
      </w:r>
    </w:p>
    <w:p w14:paraId="39F09889" w14:textId="1C83EAA6" w:rsidR="00C23426" w:rsidRPr="00E7012C" w:rsidRDefault="008A2C7A" w:rsidP="00EA0584">
      <w:r w:rsidRPr="00E7012C">
        <w:t>Th</w:t>
      </w:r>
      <w:r w:rsidR="006D1777" w:rsidRPr="00E7012C">
        <w:t xml:space="preserve">e </w:t>
      </w:r>
      <w:r w:rsidR="00333B9E" w:rsidRPr="00E7012C">
        <w:t xml:space="preserve">exact meaning of the </w:t>
      </w:r>
      <w:proofErr w:type="gramStart"/>
      <w:r w:rsidR="006D1777" w:rsidRPr="00E7012C">
        <w:t>clause</w:t>
      </w:r>
      <w:r w:rsidR="00D738E3">
        <w:t xml:space="preserve"> </w:t>
      </w:r>
      <w:r w:rsidR="006D1777" w:rsidRPr="00E7012C">
        <w:t>”</w:t>
      </w:r>
      <w:r w:rsidR="006D1777" w:rsidRPr="00D738E3">
        <w:rPr>
          <w:i/>
          <w:iCs/>
        </w:rPr>
        <w:t>in</w:t>
      </w:r>
      <w:proofErr w:type="gramEnd"/>
      <w:r w:rsidR="006D1777" w:rsidRPr="00D738E3">
        <w:rPr>
          <w:i/>
          <w:iCs/>
        </w:rPr>
        <w:t xml:space="preserve"> accordance with</w:t>
      </w:r>
      <w:r w:rsidR="007A193E" w:rsidRPr="00D738E3">
        <w:rPr>
          <w:i/>
          <w:iCs/>
        </w:rPr>
        <w:t xml:space="preserve"> Resolution 248 (WRC-19)</w:t>
      </w:r>
      <w:r w:rsidR="007A193E" w:rsidRPr="00E7012C">
        <w:t>”</w:t>
      </w:r>
      <w:r w:rsidR="006D1777" w:rsidRPr="00E7012C">
        <w:t xml:space="preserve"> shall be discussed. </w:t>
      </w:r>
      <w:r w:rsidR="006113D2">
        <w:t>T</w:t>
      </w:r>
      <w:r w:rsidR="00D540AE">
        <w:t>a</w:t>
      </w:r>
      <w:r w:rsidR="006113D2">
        <w:t>ken literally, t</w:t>
      </w:r>
      <w:r w:rsidR="006D1777" w:rsidRPr="00E7012C">
        <w:t>h</w:t>
      </w:r>
      <w:r w:rsidR="006113D2">
        <w:t>is</w:t>
      </w:r>
      <w:r w:rsidR="006D1777" w:rsidRPr="00E7012C">
        <w:t xml:space="preserve"> </w:t>
      </w:r>
      <w:r w:rsidR="00333B9E" w:rsidRPr="00E7012C">
        <w:t>clause</w:t>
      </w:r>
      <w:r w:rsidR="006D1777" w:rsidRPr="00E7012C">
        <w:t xml:space="preserve"> </w:t>
      </w:r>
      <w:r w:rsidR="00333B9E" w:rsidRPr="00E7012C">
        <w:t xml:space="preserve">might impose restrictions </w:t>
      </w:r>
      <w:r w:rsidR="006113D2">
        <w:t>as:</w:t>
      </w:r>
      <w:r w:rsidR="00333B9E" w:rsidRPr="00E7012C">
        <w:t xml:space="preserve"> </w:t>
      </w:r>
    </w:p>
    <w:p w14:paraId="3F31F6AD" w14:textId="38E465F6" w:rsidR="008A2C7A" w:rsidRPr="00E7012C" w:rsidRDefault="008A2C7A" w:rsidP="00C23426">
      <w:pPr>
        <w:pStyle w:val="ListParagraph"/>
        <w:numPr>
          <w:ilvl w:val="0"/>
          <w:numId w:val="12"/>
        </w:numPr>
      </w:pPr>
      <w:r w:rsidRPr="00E7012C">
        <w:t>Res</w:t>
      </w:r>
      <w:r w:rsidR="00C23426" w:rsidRPr="00E7012C">
        <w:t>.</w:t>
      </w:r>
      <w:r w:rsidRPr="00E7012C">
        <w:t xml:space="preserve">248 </w:t>
      </w:r>
      <w:r w:rsidR="00C23426" w:rsidRPr="00E7012C">
        <w:t xml:space="preserve">contains restrictions regarding </w:t>
      </w:r>
      <w:r w:rsidR="00333B9E" w:rsidRPr="00E7012C">
        <w:t xml:space="preserve">a </w:t>
      </w:r>
      <w:r w:rsidR="00C23426" w:rsidRPr="00E7012C">
        <w:t xml:space="preserve">duty cycle which might not be in line with </w:t>
      </w:r>
      <w:r w:rsidR="00333B9E" w:rsidRPr="00E7012C">
        <w:t>certain satellite IoT technologies</w:t>
      </w:r>
      <w:r w:rsidR="00C571AF">
        <w:t>.</w:t>
      </w:r>
      <w:r w:rsidR="00333B9E" w:rsidRPr="00E7012C">
        <w:t xml:space="preserve"> </w:t>
      </w:r>
      <w:r w:rsidR="00C23426" w:rsidRPr="00E7012C">
        <w:t xml:space="preserve"> </w:t>
      </w:r>
    </w:p>
    <w:p w14:paraId="7122E355" w14:textId="2D285C98" w:rsidR="00C23426" w:rsidRPr="00E7012C" w:rsidRDefault="00C23426" w:rsidP="00C23426">
      <w:pPr>
        <w:pStyle w:val="ListParagraph"/>
        <w:numPr>
          <w:ilvl w:val="0"/>
          <w:numId w:val="12"/>
        </w:numPr>
      </w:pPr>
      <w:r w:rsidRPr="00E7012C">
        <w:t xml:space="preserve">Res.248 contains restrictions regarding </w:t>
      </w:r>
      <w:r w:rsidR="00333B9E" w:rsidRPr="00E7012C">
        <w:t xml:space="preserve">overall </w:t>
      </w:r>
      <w:r w:rsidRPr="00E7012C">
        <w:t>bandwidth, which might not be in lin</w:t>
      </w:r>
      <w:r w:rsidR="00333B9E" w:rsidRPr="00E7012C">
        <w:t>e with certain satellite IoT technologies</w:t>
      </w:r>
      <w:r w:rsidR="00C571AF">
        <w:t>.</w:t>
      </w:r>
    </w:p>
    <w:p w14:paraId="41B9E46E" w14:textId="0074FEFA" w:rsidR="00EA0584" w:rsidRPr="00E7012C" w:rsidRDefault="00C23426" w:rsidP="00EA0584">
      <w:pPr>
        <w:pStyle w:val="ListParagraph"/>
        <w:numPr>
          <w:ilvl w:val="0"/>
          <w:numId w:val="12"/>
        </w:numPr>
      </w:pPr>
      <w:r w:rsidRPr="00E7012C">
        <w:t xml:space="preserve">Res.248 contains </w:t>
      </w:r>
      <w:r w:rsidR="00333B9E" w:rsidRPr="00E7012C">
        <w:t>unclear specifications regarding the satellite EIRP limits</w:t>
      </w:r>
      <w:r w:rsidR="00C571AF">
        <w:t>.</w:t>
      </w:r>
      <w:r w:rsidR="00333B9E" w:rsidRPr="00E7012C">
        <w:t xml:space="preserve"> </w:t>
      </w:r>
    </w:p>
    <w:p w14:paraId="5A85CB67" w14:textId="7FAF064A" w:rsidR="00C23426" w:rsidRPr="00E7012C" w:rsidRDefault="00C23426" w:rsidP="00EA0584">
      <w:pPr>
        <w:pStyle w:val="ListParagraph"/>
        <w:numPr>
          <w:ilvl w:val="0"/>
          <w:numId w:val="12"/>
        </w:numPr>
      </w:pPr>
      <w:r w:rsidRPr="00E7012C">
        <w:t>Res.248 contains limitations that exclude GSO orbits</w:t>
      </w:r>
      <w:r w:rsidR="00333B9E" w:rsidRPr="00E7012C">
        <w:t>, although narrow-band satellite IoT system can equally be implemented over GSO systems.</w:t>
      </w:r>
    </w:p>
    <w:p w14:paraId="557AA7F7" w14:textId="2197D432" w:rsidR="00C23426" w:rsidRDefault="00C23426" w:rsidP="00EA0584">
      <w:pPr>
        <w:pStyle w:val="ListParagraph"/>
        <w:numPr>
          <w:ilvl w:val="0"/>
          <w:numId w:val="12"/>
        </w:numPr>
      </w:pPr>
      <w:r w:rsidRPr="00E7012C">
        <w:t xml:space="preserve">Res.248 seems to constrain </w:t>
      </w:r>
      <w:r w:rsidR="00B502AC">
        <w:t>the scope</w:t>
      </w:r>
      <w:r w:rsidRPr="00E7012C">
        <w:t xml:space="preserve"> to smaller satellites</w:t>
      </w:r>
      <w:r w:rsidR="00333B9E" w:rsidRPr="00E7012C">
        <w:t>, while larger satellites might also access proposed bands, or could host satellite IoT payloads for proposed bands.</w:t>
      </w:r>
    </w:p>
    <w:p w14:paraId="58B4502A" w14:textId="05F591BB" w:rsidR="00350D15" w:rsidRPr="00E7012C" w:rsidRDefault="00350D15" w:rsidP="00EA0584">
      <w:pPr>
        <w:pStyle w:val="ListParagraph"/>
        <w:numPr>
          <w:ilvl w:val="0"/>
          <w:numId w:val="12"/>
        </w:numPr>
      </w:pPr>
      <w:r>
        <w:t>Res.248 proposed no global band</w:t>
      </w:r>
      <w:r w:rsidR="00C571AF">
        <w:t>.</w:t>
      </w:r>
    </w:p>
    <w:p w14:paraId="434BDB68" w14:textId="5EEA0AC2" w:rsidR="00C23426" w:rsidRPr="00E7012C" w:rsidRDefault="0062684C" w:rsidP="00C23426">
      <w:pPr>
        <w:pStyle w:val="Heading2"/>
        <w:rPr>
          <w:lang w:val="en-GB"/>
        </w:rPr>
      </w:pPr>
      <w:r w:rsidRPr="00E7012C">
        <w:rPr>
          <w:lang w:val="en-GB"/>
        </w:rPr>
        <w:t xml:space="preserve">Compatibility with </w:t>
      </w:r>
      <w:r w:rsidR="00C23426" w:rsidRPr="00E7012C">
        <w:rPr>
          <w:lang w:val="en-GB"/>
        </w:rPr>
        <w:t>3GPP Non-terrestrial Air interfaces</w:t>
      </w:r>
    </w:p>
    <w:p w14:paraId="7CC9EE69" w14:textId="7DFB655F" w:rsidR="0062684C" w:rsidRPr="00E7012C" w:rsidRDefault="00C23426" w:rsidP="009E272E">
      <w:r w:rsidRPr="00E7012C">
        <w:t xml:space="preserve">As a minimum, the future agenda item shall support </w:t>
      </w:r>
      <w:r w:rsidR="00633CDF">
        <w:t xml:space="preserve">a future </w:t>
      </w:r>
      <w:r w:rsidRPr="00E7012C">
        <w:t xml:space="preserve">spectrum </w:t>
      </w:r>
      <w:r w:rsidR="00333B9E" w:rsidRPr="00E7012C">
        <w:t>allocation</w:t>
      </w:r>
      <w:r w:rsidRPr="00E7012C">
        <w:t xml:space="preserve"> </w:t>
      </w:r>
      <w:r w:rsidR="00333B9E" w:rsidRPr="00E7012C">
        <w:t>that technically</w:t>
      </w:r>
      <w:r w:rsidRPr="00E7012C">
        <w:t xml:space="preserve"> allow</w:t>
      </w:r>
      <w:r w:rsidR="00333B9E" w:rsidRPr="00E7012C">
        <w:t>s</w:t>
      </w:r>
      <w:r w:rsidRPr="00E7012C">
        <w:t xml:space="preserve"> the use of recently standardised 3GPP NB-IoT NTN air interface</w:t>
      </w:r>
      <w:r w:rsidR="001B58C4">
        <w:t xml:space="preserve"> from the ITU IMT-2020 5G family</w:t>
      </w:r>
      <w:r w:rsidRPr="00E7012C">
        <w:t xml:space="preserve">. </w:t>
      </w:r>
      <w:r w:rsidR="00333B9E" w:rsidRPr="00E7012C">
        <w:t xml:space="preserve"> </w:t>
      </w:r>
      <w:r w:rsidR="0062684C" w:rsidRPr="00E7012C">
        <w:t xml:space="preserve">This might have impact on </w:t>
      </w:r>
      <w:r w:rsidR="00333B9E" w:rsidRPr="00E7012C">
        <w:t>references to</w:t>
      </w:r>
      <w:r w:rsidR="0062684C" w:rsidRPr="00E7012C">
        <w:t xml:space="preserve"> EIRP, duty cycle</w:t>
      </w:r>
      <w:r w:rsidR="00333B9E" w:rsidRPr="00E7012C">
        <w:t>, sharing and bandwidth methods in the Agenda Item.</w:t>
      </w:r>
    </w:p>
    <w:p w14:paraId="4ACA4C82" w14:textId="56F4F529" w:rsidR="00333B9E" w:rsidRPr="00E7012C" w:rsidRDefault="002C27BB" w:rsidP="00333B9E">
      <w:pPr>
        <w:pStyle w:val="Heading2"/>
        <w:rPr>
          <w:lang w:val="en-GB"/>
        </w:rPr>
      </w:pPr>
      <w:r>
        <w:rPr>
          <w:lang w:val="en-GB"/>
        </w:rPr>
        <w:t xml:space="preserve">CHOICE of </w:t>
      </w:r>
      <w:r w:rsidR="00333B9E" w:rsidRPr="00E7012C">
        <w:rPr>
          <w:lang w:val="en-GB"/>
        </w:rPr>
        <w:t>Orbits</w:t>
      </w:r>
    </w:p>
    <w:p w14:paraId="4DE603DF" w14:textId="77777777" w:rsidR="00333B9E" w:rsidRPr="00E7012C" w:rsidRDefault="00333B9E" w:rsidP="00333B9E">
      <w:pPr>
        <w:spacing w:before="0" w:after="160" w:line="259" w:lineRule="auto"/>
        <w:jc w:val="left"/>
      </w:pPr>
    </w:p>
    <w:p w14:paraId="0C2F6A64" w14:textId="76D31253" w:rsidR="00333B9E" w:rsidRPr="00E7012C" w:rsidRDefault="00333B9E" w:rsidP="00333B9E">
      <w:pPr>
        <w:spacing w:before="0" w:after="160" w:line="259" w:lineRule="auto"/>
        <w:jc w:val="left"/>
      </w:pPr>
      <w:r w:rsidRPr="00E7012C">
        <w:t>Recently, very small satellites have been demonstrated in GSO orbits.</w:t>
      </w:r>
      <w:r w:rsidR="00231CA1">
        <w:t>, while p</w:t>
      </w:r>
      <w:r w:rsidRPr="00E7012C">
        <w:t xml:space="preserve">rogress in large antenna deployments has also been demonstrated. </w:t>
      </w:r>
      <w:r w:rsidR="00231CA1">
        <w:t>S</w:t>
      </w:r>
      <w:r w:rsidRPr="00E7012C">
        <w:t>atellite IoT systems could be equally efficient</w:t>
      </w:r>
      <w:r w:rsidR="00633CDF">
        <w:t>ly</w:t>
      </w:r>
      <w:r w:rsidRPr="00E7012C">
        <w:t xml:space="preserve"> implemented in GEO, MEO, HEO or LEO.  </w:t>
      </w:r>
    </w:p>
    <w:p w14:paraId="73AC3A25" w14:textId="7B62C47F" w:rsidR="00333B9E" w:rsidRPr="00E7012C" w:rsidRDefault="006D2BCC" w:rsidP="00333B9E">
      <w:pPr>
        <w:spacing w:before="0" w:after="160" w:line="259" w:lineRule="auto"/>
        <w:jc w:val="left"/>
      </w:pPr>
      <w:r>
        <w:t>Combinations</w:t>
      </w:r>
      <w:r w:rsidR="00333B9E" w:rsidRPr="00E7012C">
        <w:t xml:space="preserve"> of </w:t>
      </w:r>
      <w:r w:rsidR="00E7012C" w:rsidRPr="00E7012C">
        <w:t xml:space="preserve">above orbits </w:t>
      </w:r>
      <w:r w:rsidR="00333B9E" w:rsidRPr="00E7012C">
        <w:t xml:space="preserve">might prove </w:t>
      </w:r>
      <w:r w:rsidR="00E7012C" w:rsidRPr="00E7012C">
        <w:t>to be an efficient way to implement future satellite IoT systems.</w:t>
      </w:r>
    </w:p>
    <w:p w14:paraId="121132C8" w14:textId="77777777" w:rsidR="00333B9E" w:rsidRPr="00E7012C" w:rsidRDefault="00333B9E" w:rsidP="00333B9E">
      <w:pPr>
        <w:spacing w:before="0" w:after="160" w:line="259" w:lineRule="auto"/>
        <w:jc w:val="left"/>
      </w:pPr>
    </w:p>
    <w:p w14:paraId="0027AFA3" w14:textId="4CD5875E" w:rsidR="0062684C" w:rsidRPr="00E7012C" w:rsidRDefault="0062684C" w:rsidP="0062684C">
      <w:pPr>
        <w:pStyle w:val="Heading2"/>
        <w:rPr>
          <w:lang w:val="en-GB"/>
        </w:rPr>
      </w:pPr>
      <w:r w:rsidRPr="00E7012C">
        <w:rPr>
          <w:lang w:val="en-GB"/>
        </w:rPr>
        <w:t xml:space="preserve">Spectrum </w:t>
      </w:r>
      <w:r w:rsidR="00A221E0">
        <w:rPr>
          <w:lang w:val="en-GB"/>
        </w:rPr>
        <w:t>“</w:t>
      </w:r>
      <w:r w:rsidRPr="00E7012C">
        <w:rPr>
          <w:lang w:val="en-GB"/>
        </w:rPr>
        <w:t>sandbox</w:t>
      </w:r>
      <w:r w:rsidR="00A221E0">
        <w:rPr>
          <w:lang w:val="en-GB"/>
        </w:rPr>
        <w:t>”</w:t>
      </w:r>
      <w:r w:rsidR="00626A58" w:rsidRPr="00E7012C">
        <w:rPr>
          <w:lang w:val="en-GB"/>
        </w:rPr>
        <w:t xml:space="preserve"> or short duration missions</w:t>
      </w:r>
    </w:p>
    <w:p w14:paraId="70C249F8" w14:textId="77777777" w:rsidR="009E272E" w:rsidRPr="00E7012C" w:rsidRDefault="009E272E" w:rsidP="009E272E">
      <w:pPr>
        <w:spacing w:before="0" w:after="160" w:line="259" w:lineRule="auto"/>
        <w:jc w:val="left"/>
      </w:pPr>
    </w:p>
    <w:p w14:paraId="7B6646C9" w14:textId="10FBE32D" w:rsidR="009E272E" w:rsidRPr="00E7012C" w:rsidRDefault="001B58C4" w:rsidP="009E272E">
      <w:pPr>
        <w:spacing w:before="0" w:after="160" w:line="259" w:lineRule="auto"/>
        <w:jc w:val="left"/>
      </w:pPr>
      <w:r>
        <w:t>Possibly</w:t>
      </w:r>
      <w:r w:rsidR="00144F97">
        <w:t>,</w:t>
      </w:r>
      <w:r>
        <w:t xml:space="preserve"> smaller bands could be set aside</w:t>
      </w:r>
      <w:r w:rsidR="006D2BCC">
        <w:t xml:space="preserve"> </w:t>
      </w:r>
      <w:r>
        <w:t>as a</w:t>
      </w:r>
      <w:r w:rsidR="008A2C7A" w:rsidRPr="00E7012C">
        <w:t xml:space="preserve"> “spectrum sandbox” </w:t>
      </w:r>
      <w:r w:rsidR="00071AA0">
        <w:t xml:space="preserve">in a part </w:t>
      </w:r>
      <w:r w:rsidR="00B54DC9">
        <w:t xml:space="preserve">of proposed bands </w:t>
      </w:r>
      <w:r w:rsidR="00071AA0">
        <w:t xml:space="preserve">(for example 1 MHz wide) </w:t>
      </w:r>
      <w:r w:rsidR="008A2C7A" w:rsidRPr="00E7012C">
        <w:t xml:space="preserve">in which experimentation takes place, before moving to permanent </w:t>
      </w:r>
      <w:r w:rsidR="00071AA0">
        <w:t xml:space="preserve">– but adjacent - </w:t>
      </w:r>
      <w:r w:rsidR="008A2C7A" w:rsidRPr="00E7012C">
        <w:t>bands</w:t>
      </w:r>
      <w:r w:rsidR="006D2BCC">
        <w:t>.</w:t>
      </w:r>
    </w:p>
    <w:p w14:paraId="53FFF31F" w14:textId="5BDCA9C7" w:rsidR="009E272E" w:rsidRPr="00E7012C" w:rsidRDefault="0062684C" w:rsidP="0062684C">
      <w:pPr>
        <w:pStyle w:val="Heading2"/>
        <w:rPr>
          <w:lang w:val="en-GB"/>
        </w:rPr>
      </w:pPr>
      <w:r w:rsidRPr="00E7012C">
        <w:rPr>
          <w:lang w:val="en-GB"/>
        </w:rPr>
        <w:t xml:space="preserve">Sharing in the proposed </w:t>
      </w:r>
      <w:r w:rsidR="005B1152">
        <w:rPr>
          <w:lang w:val="en-GB"/>
        </w:rPr>
        <w:t>bands</w:t>
      </w:r>
    </w:p>
    <w:p w14:paraId="41D9422C" w14:textId="6EC151D0" w:rsidR="0062684C" w:rsidRDefault="0062684C" w:rsidP="009E272E">
      <w:pPr>
        <w:spacing w:before="0" w:after="160" w:line="259" w:lineRule="auto"/>
        <w:jc w:val="left"/>
      </w:pPr>
    </w:p>
    <w:p w14:paraId="096C9BEA" w14:textId="1DE30409" w:rsidR="00650476" w:rsidRPr="00E7012C" w:rsidRDefault="00650476" w:rsidP="009E272E">
      <w:pPr>
        <w:spacing w:before="0" w:after="160" w:line="259" w:lineRule="auto"/>
        <w:jc w:val="left"/>
      </w:pPr>
      <w:r>
        <w:t>With regards to sharing with incumbents, intra-service sharing, inter-service sharing</w:t>
      </w:r>
      <w:r w:rsidR="008B4579">
        <w:t xml:space="preserve">, adjacent </w:t>
      </w:r>
      <w:proofErr w:type="gramStart"/>
      <w:r w:rsidR="008B4579">
        <w:t>services</w:t>
      </w:r>
      <w:proofErr w:type="gramEnd"/>
      <w:r w:rsidR="00F810A4">
        <w:t xml:space="preserve"> and </w:t>
      </w:r>
      <w:r>
        <w:t>co-exist</w:t>
      </w:r>
      <w:r w:rsidR="00F810A4">
        <w:t xml:space="preserve">ence of multiple systems in proposed </w:t>
      </w:r>
      <w:r w:rsidR="008B4579">
        <w:t>bands, it is suggested to consider the points below:</w:t>
      </w:r>
    </w:p>
    <w:p w14:paraId="02C91157" w14:textId="228B43B0" w:rsidR="00A221E0" w:rsidRDefault="00626A58" w:rsidP="00650476">
      <w:pPr>
        <w:pStyle w:val="ListParagraph"/>
        <w:numPr>
          <w:ilvl w:val="0"/>
          <w:numId w:val="13"/>
        </w:numPr>
        <w:spacing w:before="0" w:after="160" w:line="259" w:lineRule="auto"/>
        <w:jc w:val="left"/>
      </w:pPr>
      <w:r w:rsidRPr="00E7012C">
        <w:t xml:space="preserve">In general, the fact that multiple entities </w:t>
      </w:r>
      <w:r w:rsidR="003E21A8">
        <w:t xml:space="preserve">and air interfaces </w:t>
      </w:r>
      <w:r w:rsidRPr="00E7012C">
        <w:t xml:space="preserve">will need to share shall be </w:t>
      </w:r>
      <w:r w:rsidR="00F1377A" w:rsidRPr="00E7012C">
        <w:t>considered</w:t>
      </w:r>
      <w:r w:rsidRPr="00E7012C">
        <w:t xml:space="preserve"> from the beginning. </w:t>
      </w:r>
      <w:r w:rsidR="003E21A8">
        <w:t xml:space="preserve"> While for some </w:t>
      </w:r>
      <w:r w:rsidR="003E21A8" w:rsidRPr="00E7012C">
        <w:t xml:space="preserve">air interfaces (e.g. use of NB-IoT) </w:t>
      </w:r>
      <w:r w:rsidR="00941A37">
        <w:t xml:space="preserve">it might be difficult to share spectrum, other air interfaces might be very resistant </w:t>
      </w:r>
      <w:r w:rsidR="00D15B80">
        <w:t>to inter-system interference.</w:t>
      </w:r>
    </w:p>
    <w:p w14:paraId="36ADF22F" w14:textId="6D50FC77" w:rsidR="00CC66BC" w:rsidRDefault="00A221E0" w:rsidP="00650476">
      <w:pPr>
        <w:pStyle w:val="ListParagraph"/>
        <w:numPr>
          <w:ilvl w:val="0"/>
          <w:numId w:val="13"/>
        </w:numPr>
        <w:spacing w:before="0" w:after="160" w:line="259" w:lineRule="auto"/>
        <w:jc w:val="left"/>
      </w:pPr>
      <w:r>
        <w:t>T</w:t>
      </w:r>
      <w:r w:rsidR="00071AA0">
        <w:t>echnology has progressed which can overcome interference scenarios</w:t>
      </w:r>
      <w:r>
        <w:t xml:space="preserve">, sometimes supported by </w:t>
      </w:r>
      <w:r w:rsidR="004A0EDD">
        <w:t xml:space="preserve">improved interference cancellation methods </w:t>
      </w:r>
      <w:r w:rsidR="005B1152" w:rsidRPr="00E7012C">
        <w:t xml:space="preserve">or </w:t>
      </w:r>
      <w:r>
        <w:t xml:space="preserve">cognitive satellite access methods. These mechanisms could </w:t>
      </w:r>
      <w:r w:rsidR="00EA4B14">
        <w:t xml:space="preserve">have an impact when defining intra-service or inter-service sharing conditions. </w:t>
      </w:r>
      <w:r>
        <w:t xml:space="preserve"> </w:t>
      </w:r>
    </w:p>
    <w:p w14:paraId="52EB22F0" w14:textId="3124D6CB" w:rsidR="00F1377A" w:rsidRDefault="00E158A4" w:rsidP="00650476">
      <w:pPr>
        <w:pStyle w:val="ListParagraph"/>
        <w:numPr>
          <w:ilvl w:val="0"/>
          <w:numId w:val="13"/>
        </w:numPr>
        <w:spacing w:before="0" w:after="160" w:line="259" w:lineRule="auto"/>
        <w:jc w:val="left"/>
      </w:pPr>
      <w:r>
        <w:t>T</w:t>
      </w:r>
      <w:r w:rsidR="00D15B80">
        <w:t>he increased need for</w:t>
      </w:r>
      <w:r w:rsidR="00DB6248">
        <w:t xml:space="preserve"> reduced energy consumption</w:t>
      </w:r>
      <w:r>
        <w:t xml:space="preserve"> </w:t>
      </w:r>
      <w:r w:rsidR="00E1788E">
        <w:t xml:space="preserve">suggests that </w:t>
      </w:r>
      <w:r>
        <w:t xml:space="preserve">future </w:t>
      </w:r>
      <w:r w:rsidR="00CC66BC">
        <w:t xml:space="preserve">IoT nodes (i.e. </w:t>
      </w:r>
      <w:r w:rsidR="00EA4B14">
        <w:t>E</w:t>
      </w:r>
      <w:r w:rsidR="00CC66BC">
        <w:t xml:space="preserve">arth </w:t>
      </w:r>
      <w:r w:rsidR="00EA4B14">
        <w:t>stations) in</w:t>
      </w:r>
      <w:r w:rsidR="00E1788E">
        <w:t xml:space="preserve"> satellite</w:t>
      </w:r>
      <w:r w:rsidR="008560ED">
        <w:t xml:space="preserve"> </w:t>
      </w:r>
      <w:r w:rsidR="00E1788E">
        <w:t xml:space="preserve">IoT systems </w:t>
      </w:r>
      <w:r w:rsidR="00CC66BC">
        <w:t>could</w:t>
      </w:r>
      <w:r w:rsidR="00E1788E">
        <w:t xml:space="preserve"> be very</w:t>
      </w:r>
      <w:r w:rsidR="00CC66BC">
        <w:t>, very</w:t>
      </w:r>
      <w:r w:rsidR="00E1788E">
        <w:t xml:space="preserve"> low power. This </w:t>
      </w:r>
      <w:r w:rsidR="00EA4B14">
        <w:t>might</w:t>
      </w:r>
      <w:r w:rsidR="00E1788E">
        <w:t xml:space="preserve"> have impact on </w:t>
      </w:r>
      <w:r w:rsidR="008560ED">
        <w:t>sharing conditions.</w:t>
      </w:r>
    </w:p>
    <w:p w14:paraId="1ECB4C6A" w14:textId="3E2BEC69" w:rsidR="00071AA0" w:rsidRPr="00E7012C" w:rsidRDefault="00071AA0" w:rsidP="00650476">
      <w:pPr>
        <w:pStyle w:val="ListParagraph"/>
        <w:numPr>
          <w:ilvl w:val="0"/>
          <w:numId w:val="13"/>
        </w:numPr>
        <w:spacing w:before="0" w:after="160" w:line="259" w:lineRule="auto"/>
        <w:jc w:val="left"/>
      </w:pPr>
      <w:r>
        <w:t>Furthermore, some satellite IoT services will be able to offer acceptable services in bands which are not necessarily very “clean”. In contrast to some other satellite services (FSS, BSS), satellite IoT services will likely not need availability figures of 99.9%</w:t>
      </w:r>
      <w:r w:rsidR="001B58C4">
        <w:t xml:space="preserve"> as the mostly the services are message based.</w:t>
      </w:r>
      <w:r>
        <w:t xml:space="preserve"> (Not</w:t>
      </w:r>
      <w:r w:rsidR="00925455">
        <w:t>e</w:t>
      </w:r>
      <w:r>
        <w:t xml:space="preserve"> that most terrestrial mobile network operators do </w:t>
      </w:r>
      <w:r w:rsidRPr="00E7012C">
        <w:t>no</w:t>
      </w:r>
      <w:r>
        <w:t>t</w:t>
      </w:r>
      <w:r w:rsidRPr="00E7012C">
        <w:t xml:space="preserve"> provide </w:t>
      </w:r>
      <w:r w:rsidRPr="00650476">
        <w:rPr>
          <w:u w:val="single"/>
        </w:rPr>
        <w:t>any</w:t>
      </w:r>
      <w:r>
        <w:t xml:space="preserve"> </w:t>
      </w:r>
      <w:r w:rsidRPr="00E7012C">
        <w:t xml:space="preserve">service level agreement </w:t>
      </w:r>
      <w:r>
        <w:t>f</w:t>
      </w:r>
      <w:r w:rsidRPr="00E7012C">
        <w:t xml:space="preserve">or their </w:t>
      </w:r>
      <w:r w:rsidR="004A0EDD">
        <w:t>IoT</w:t>
      </w:r>
      <w:r w:rsidR="009C7AE5">
        <w:t xml:space="preserve"> </w:t>
      </w:r>
      <w:r w:rsidRPr="00E7012C">
        <w:t>services</w:t>
      </w:r>
      <w:r>
        <w:t xml:space="preserve"> at all).</w:t>
      </w:r>
    </w:p>
    <w:p w14:paraId="57428F3A" w14:textId="3FED9A77" w:rsidR="006D2BCC" w:rsidRDefault="006D2BCC" w:rsidP="00650476">
      <w:pPr>
        <w:pStyle w:val="ListParagraph"/>
        <w:numPr>
          <w:ilvl w:val="0"/>
          <w:numId w:val="13"/>
        </w:numPr>
      </w:pPr>
      <w:r>
        <w:t>The Agenda Item could also draw lessons from co-existence studies that have been performed with</w:t>
      </w:r>
      <w:r w:rsidR="00240EDE">
        <w:t>in</w:t>
      </w:r>
      <w:r>
        <w:t xml:space="preserve"> the scope of </w:t>
      </w:r>
      <w:r w:rsidRPr="006D2BCC">
        <w:t>ERC/DEC</w:t>
      </w:r>
      <w:proofErr w:type="gramStart"/>
      <w:r w:rsidRPr="006D2BCC">
        <w:t>/(</w:t>
      </w:r>
      <w:proofErr w:type="gramEnd"/>
      <w:r w:rsidRPr="006D2BCC">
        <w:t>99)06</w:t>
      </w:r>
      <w:r>
        <w:t xml:space="preserve"> process</w:t>
      </w:r>
      <w:r w:rsidR="00240EDE">
        <w:t xml:space="preserve">, </w:t>
      </w:r>
      <w:r w:rsidR="003811F5">
        <w:t>demonstrating</w:t>
      </w:r>
      <w:r w:rsidR="00240EDE">
        <w:t xml:space="preserve"> how multiple </w:t>
      </w:r>
      <w:r w:rsidR="004A0EDD">
        <w:t>&lt; 1 GHz</w:t>
      </w:r>
      <w:r w:rsidR="00240EDE">
        <w:t xml:space="preserve"> system</w:t>
      </w:r>
      <w:r w:rsidR="004A0EDD">
        <w:t>s</w:t>
      </w:r>
      <w:r w:rsidR="00240EDE">
        <w:t xml:space="preserve"> can co-exist.</w:t>
      </w:r>
    </w:p>
    <w:p w14:paraId="5BE75FA6" w14:textId="68856621" w:rsidR="00925455" w:rsidRPr="001B58C4" w:rsidRDefault="00925455" w:rsidP="00650476">
      <w:pPr>
        <w:pStyle w:val="ListParagraph"/>
        <w:numPr>
          <w:ilvl w:val="0"/>
          <w:numId w:val="13"/>
        </w:numPr>
      </w:pPr>
      <w:r w:rsidRPr="001B58C4">
        <w:t xml:space="preserve">The frequency range which is currently under consideration as part of Agenda Item 2.13 is very wide [1.5-5 GHz].  While a regulatory analysis and sharing studies will be required without doubt, an inventory of the spectrum occupancy both in the </w:t>
      </w:r>
      <w:r w:rsidRPr="001B58C4">
        <w:rPr>
          <w:i/>
          <w:iCs/>
        </w:rPr>
        <w:t>Earth-to-space</w:t>
      </w:r>
      <w:r w:rsidRPr="001B58C4">
        <w:t xml:space="preserve"> and </w:t>
      </w:r>
      <w:r w:rsidRPr="001B58C4">
        <w:rPr>
          <w:i/>
          <w:iCs/>
        </w:rPr>
        <w:t>space-to-Earth</w:t>
      </w:r>
      <w:r w:rsidRPr="001B58C4">
        <w:t xml:space="preserve"> directions could facilitate discussions. </w:t>
      </w:r>
      <w:r w:rsidR="001B58C4">
        <w:t>A spectrum occupancy inventory might also support narrowing down the rather wide band which is not under discussion. Furthermore, s</w:t>
      </w:r>
      <w:r w:rsidR="003C6A8B" w:rsidRPr="001B58C4">
        <w:t xml:space="preserve">ome bands </w:t>
      </w:r>
      <w:r w:rsidR="006F4624" w:rsidRPr="001B58C4">
        <w:t>which are perceived to be fully occupied in terms of notified frequencies, could in some cases accommodate additional users.</w:t>
      </w:r>
      <w:r w:rsidR="001B58C4">
        <w:t xml:space="preserve"> </w:t>
      </w:r>
    </w:p>
    <w:p w14:paraId="1B7EF05B" w14:textId="1C80D9EB" w:rsidR="0062684C" w:rsidRDefault="002D57DE" w:rsidP="0003673C">
      <w:pPr>
        <w:pStyle w:val="Heading1"/>
      </w:pPr>
      <w:r>
        <w:t xml:space="preserve">Conclusion </w:t>
      </w:r>
    </w:p>
    <w:p w14:paraId="56418156" w14:textId="77777777" w:rsidR="0003673C" w:rsidRDefault="0003673C" w:rsidP="009E272E">
      <w:pPr>
        <w:spacing w:before="0" w:after="160" w:line="259" w:lineRule="auto"/>
        <w:jc w:val="left"/>
      </w:pPr>
    </w:p>
    <w:p w14:paraId="387D97F3" w14:textId="171ED71B" w:rsidR="001B58C4" w:rsidRDefault="006E1296" w:rsidP="009E272E">
      <w:pPr>
        <w:spacing w:before="0" w:after="160" w:line="259" w:lineRule="auto"/>
        <w:jc w:val="left"/>
      </w:pPr>
      <w:r>
        <w:t>CPG PTA</w:t>
      </w:r>
      <w:r w:rsidR="002D57DE">
        <w:t xml:space="preserve"> is </w:t>
      </w:r>
      <w:r w:rsidR="0003673C">
        <w:t xml:space="preserve">kindly </w:t>
      </w:r>
      <w:r w:rsidR="002D57DE">
        <w:t>request</w:t>
      </w:r>
      <w:r w:rsidR="0003673C">
        <w:t>ed</w:t>
      </w:r>
      <w:r w:rsidR="002D57DE">
        <w:t xml:space="preserve"> to</w:t>
      </w:r>
      <w:r w:rsidR="001B58C4">
        <w:t>:</w:t>
      </w:r>
    </w:p>
    <w:p w14:paraId="09DB6092" w14:textId="4455F337" w:rsidR="00B9723A" w:rsidRDefault="001B58C4" w:rsidP="006E1296">
      <w:pPr>
        <w:pStyle w:val="ListParagraph"/>
        <w:numPr>
          <w:ilvl w:val="0"/>
          <w:numId w:val="15"/>
        </w:numPr>
        <w:spacing w:before="0" w:after="160" w:line="259" w:lineRule="auto"/>
        <w:jc w:val="left"/>
      </w:pPr>
      <w:r>
        <w:t xml:space="preserve">support the preliminary Agenda Item </w:t>
      </w:r>
      <w:r w:rsidR="006E1296">
        <w:t xml:space="preserve">2.13 </w:t>
      </w:r>
      <w:r>
        <w:t>for WRC-2</w:t>
      </w:r>
      <w:r w:rsidR="00144F97">
        <w:t>7</w:t>
      </w:r>
      <w:r w:rsidR="006E1296">
        <w:t xml:space="preserve"> (noting that the frequency range under consideration would need to be narrowed down)</w:t>
      </w:r>
      <w:r w:rsidR="00B9723A">
        <w:t>, taking into account</w:t>
      </w:r>
      <w:r w:rsidR="006E1296">
        <w:t xml:space="preserve"> the</w:t>
      </w:r>
      <w:r w:rsidR="00B9723A">
        <w:t xml:space="preserve"> above considerations </w:t>
      </w:r>
      <w:r w:rsidR="00720D3B">
        <w:t xml:space="preserve">that might lead </w:t>
      </w:r>
      <w:proofErr w:type="gramStart"/>
      <w:r w:rsidR="00720D3B">
        <w:t>to  a</w:t>
      </w:r>
      <w:proofErr w:type="gramEnd"/>
      <w:r w:rsidR="00720D3B">
        <w:t xml:space="preserve"> modification of Res</w:t>
      </w:r>
      <w:r w:rsidR="006E1296">
        <w:t xml:space="preserve">olution </w:t>
      </w:r>
      <w:r w:rsidR="00720D3B">
        <w:t>248</w:t>
      </w:r>
      <w:r w:rsidR="006E1296">
        <w:t xml:space="preserve"> or the development of a new Resolution to support 2.13</w:t>
      </w:r>
      <w:r w:rsidR="00720D3B">
        <w:t>.</w:t>
      </w:r>
    </w:p>
    <w:p w14:paraId="50BB0F97" w14:textId="3D285D2F" w:rsidR="006E1296" w:rsidRDefault="006E1296" w:rsidP="006E1296">
      <w:pPr>
        <w:pStyle w:val="ListParagraph"/>
        <w:numPr>
          <w:ilvl w:val="0"/>
          <w:numId w:val="15"/>
        </w:numPr>
        <w:spacing w:before="0" w:after="160" w:line="259" w:lineRule="auto"/>
        <w:jc w:val="left"/>
      </w:pPr>
      <w:r>
        <w:t>Bring the outcome of its discussions on WRC-27 agenda item 2.13 to the attention of CPG PTB.</w:t>
      </w:r>
    </w:p>
    <w:p w14:paraId="55EC6740" w14:textId="77777777" w:rsidR="00720D3B" w:rsidRDefault="00720D3B" w:rsidP="00720D3B">
      <w:pPr>
        <w:spacing w:before="0" w:after="160" w:line="259" w:lineRule="auto"/>
        <w:jc w:val="left"/>
      </w:pPr>
    </w:p>
    <w:p w14:paraId="07289EF4" w14:textId="40147A6F" w:rsidR="001B58C4" w:rsidRPr="00E7012C" w:rsidRDefault="001B58C4" w:rsidP="00B9723A">
      <w:pPr>
        <w:pStyle w:val="ListParagraph"/>
        <w:spacing w:before="0" w:after="160" w:line="259" w:lineRule="auto"/>
        <w:jc w:val="left"/>
      </w:pPr>
    </w:p>
    <w:sectPr w:rsidR="001B58C4" w:rsidRPr="00E7012C" w:rsidSect="00797DEE">
      <w:headerReference w:type="even" r:id="rId11"/>
      <w:headerReference w:type="defaul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8BC4" w14:textId="77777777" w:rsidR="000B6B0A" w:rsidRDefault="000B6B0A" w:rsidP="00DB17F9">
      <w:r>
        <w:separator/>
      </w:r>
    </w:p>
    <w:p w14:paraId="3BB69773" w14:textId="77777777" w:rsidR="000B6B0A" w:rsidRDefault="000B6B0A"/>
  </w:endnote>
  <w:endnote w:type="continuationSeparator" w:id="0">
    <w:p w14:paraId="43BA3E12" w14:textId="77777777" w:rsidR="000B6B0A" w:rsidRDefault="000B6B0A" w:rsidP="00DB17F9">
      <w:r>
        <w:continuationSeparator/>
      </w:r>
    </w:p>
    <w:p w14:paraId="5AEC239C" w14:textId="77777777" w:rsidR="000B6B0A" w:rsidRDefault="000B6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CC"/>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2FC6" w14:textId="77777777" w:rsidR="000B6B0A" w:rsidRPr="00F51BD6" w:rsidRDefault="000B6B0A" w:rsidP="00CD07E7">
      <w:pPr>
        <w:spacing w:before="120" w:after="0"/>
      </w:pPr>
      <w:r>
        <w:separator/>
      </w:r>
    </w:p>
  </w:footnote>
  <w:footnote w:type="continuationSeparator" w:id="0">
    <w:p w14:paraId="7A6C81AC" w14:textId="77777777" w:rsidR="000B6B0A" w:rsidRDefault="000B6B0A" w:rsidP="00CD07E7">
      <w:pPr>
        <w:spacing w:before="120" w:after="0"/>
      </w:pPr>
      <w:r>
        <w:continuationSeparator/>
      </w:r>
    </w:p>
  </w:footnote>
  <w:footnote w:type="continuationNotice" w:id="1">
    <w:p w14:paraId="3262F072" w14:textId="77777777" w:rsidR="000B6B0A" w:rsidRPr="00CD07E7" w:rsidRDefault="000B6B0A"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F9A8" w14:textId="77777777"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231A0F">
      <w:rPr>
        <w:noProof/>
      </w:rPr>
      <w:t>2</w:t>
    </w:r>
    <w:r w:rsidRPr="00714F0F">
      <w:fldChar w:fldCharType="end"/>
    </w:r>
  </w:p>
  <w:p w14:paraId="74496E01"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25.75pt;height:58.9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0C6EA2"/>
    <w:multiLevelType w:val="hybridMultilevel"/>
    <w:tmpl w:val="04D82E90"/>
    <w:lvl w:ilvl="0" w:tplc="38DCE27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44CD0"/>
    <w:multiLevelType w:val="hybridMultilevel"/>
    <w:tmpl w:val="2514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52E270CE"/>
    <w:multiLevelType w:val="hybridMultilevel"/>
    <w:tmpl w:val="E026C4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BB6E17"/>
    <w:multiLevelType w:val="hybridMultilevel"/>
    <w:tmpl w:val="1A664204"/>
    <w:lvl w:ilvl="0" w:tplc="85FCA1E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E92A58"/>
    <w:multiLevelType w:val="hybridMultilevel"/>
    <w:tmpl w:val="36A60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146E10"/>
    <w:multiLevelType w:val="hybridMultilevel"/>
    <w:tmpl w:val="3162E4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5"/>
  </w:num>
  <w:num w:numId="5">
    <w:abstractNumId w:val="7"/>
  </w:num>
  <w:num w:numId="6">
    <w:abstractNumId w:val="6"/>
  </w:num>
  <w:num w:numId="7">
    <w:abstractNumId w:val="8"/>
  </w:num>
  <w:num w:numId="8">
    <w:abstractNumId w:val="4"/>
  </w:num>
  <w:num w:numId="9">
    <w:abstractNumId w:val="4"/>
  </w:num>
  <w:num w:numId="10">
    <w:abstractNumId w:val="11"/>
  </w:num>
  <w:num w:numId="11">
    <w:abstractNumId w:val="1"/>
  </w:num>
  <w:num w:numId="12">
    <w:abstractNumId w:val="12"/>
  </w:num>
  <w:num w:numId="13">
    <w:abstractNumId w:val="13"/>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1112E"/>
    <w:rsid w:val="00012E3B"/>
    <w:rsid w:val="00025E7E"/>
    <w:rsid w:val="0003673C"/>
    <w:rsid w:val="00041A18"/>
    <w:rsid w:val="0004622B"/>
    <w:rsid w:val="00067793"/>
    <w:rsid w:val="00071AA0"/>
    <w:rsid w:val="00080D4D"/>
    <w:rsid w:val="00082DD7"/>
    <w:rsid w:val="00095620"/>
    <w:rsid w:val="000A3940"/>
    <w:rsid w:val="000B6B0A"/>
    <w:rsid w:val="000B6D45"/>
    <w:rsid w:val="000C028F"/>
    <w:rsid w:val="000D1710"/>
    <w:rsid w:val="000D43BB"/>
    <w:rsid w:val="000E3E4D"/>
    <w:rsid w:val="000E42F5"/>
    <w:rsid w:val="000F0594"/>
    <w:rsid w:val="000F0CA8"/>
    <w:rsid w:val="000F24F5"/>
    <w:rsid w:val="000F2ED9"/>
    <w:rsid w:val="001006CA"/>
    <w:rsid w:val="00100F8B"/>
    <w:rsid w:val="00102172"/>
    <w:rsid w:val="00102182"/>
    <w:rsid w:val="00110652"/>
    <w:rsid w:val="00144F97"/>
    <w:rsid w:val="001526A2"/>
    <w:rsid w:val="00154F16"/>
    <w:rsid w:val="001556A8"/>
    <w:rsid w:val="00156314"/>
    <w:rsid w:val="00172B28"/>
    <w:rsid w:val="0018284C"/>
    <w:rsid w:val="00183FE0"/>
    <w:rsid w:val="00184102"/>
    <w:rsid w:val="00185296"/>
    <w:rsid w:val="0018553F"/>
    <w:rsid w:val="001A01CA"/>
    <w:rsid w:val="001A0D5D"/>
    <w:rsid w:val="001B0583"/>
    <w:rsid w:val="001B58C4"/>
    <w:rsid w:val="001C30A8"/>
    <w:rsid w:val="001D4303"/>
    <w:rsid w:val="0020079A"/>
    <w:rsid w:val="00207812"/>
    <w:rsid w:val="00222F9E"/>
    <w:rsid w:val="002302A9"/>
    <w:rsid w:val="00231A0F"/>
    <w:rsid w:val="00231CA1"/>
    <w:rsid w:val="00240EDE"/>
    <w:rsid w:val="00243C89"/>
    <w:rsid w:val="00247B0B"/>
    <w:rsid w:val="00262570"/>
    <w:rsid w:val="00263FFB"/>
    <w:rsid w:val="00265F50"/>
    <w:rsid w:val="00274F84"/>
    <w:rsid w:val="0027787F"/>
    <w:rsid w:val="0028060B"/>
    <w:rsid w:val="0028120C"/>
    <w:rsid w:val="00283417"/>
    <w:rsid w:val="00295827"/>
    <w:rsid w:val="00295F16"/>
    <w:rsid w:val="00296C44"/>
    <w:rsid w:val="002A033F"/>
    <w:rsid w:val="002C27BB"/>
    <w:rsid w:val="002C6DC3"/>
    <w:rsid w:val="002D1FA9"/>
    <w:rsid w:val="002D50A3"/>
    <w:rsid w:val="002D57DE"/>
    <w:rsid w:val="002F0C08"/>
    <w:rsid w:val="002F70E6"/>
    <w:rsid w:val="003007C0"/>
    <w:rsid w:val="00307A79"/>
    <w:rsid w:val="003204D5"/>
    <w:rsid w:val="00320ED0"/>
    <w:rsid w:val="00322E6A"/>
    <w:rsid w:val="003314A0"/>
    <w:rsid w:val="00333B9E"/>
    <w:rsid w:val="00350D15"/>
    <w:rsid w:val="00381169"/>
    <w:rsid w:val="003811F5"/>
    <w:rsid w:val="0038287C"/>
    <w:rsid w:val="0038358E"/>
    <w:rsid w:val="00387DDE"/>
    <w:rsid w:val="00391A01"/>
    <w:rsid w:val="003A0EB5"/>
    <w:rsid w:val="003A5711"/>
    <w:rsid w:val="003C64D9"/>
    <w:rsid w:val="003C6A8B"/>
    <w:rsid w:val="003E0A07"/>
    <w:rsid w:val="003E21A8"/>
    <w:rsid w:val="003E2E42"/>
    <w:rsid w:val="003E70E0"/>
    <w:rsid w:val="00401CC4"/>
    <w:rsid w:val="00403CE6"/>
    <w:rsid w:val="004110CA"/>
    <w:rsid w:val="0041160E"/>
    <w:rsid w:val="0042761F"/>
    <w:rsid w:val="00431162"/>
    <w:rsid w:val="00441EE0"/>
    <w:rsid w:val="00443482"/>
    <w:rsid w:val="00450308"/>
    <w:rsid w:val="00457AD1"/>
    <w:rsid w:val="0046427F"/>
    <w:rsid w:val="00467898"/>
    <w:rsid w:val="0048268B"/>
    <w:rsid w:val="00485665"/>
    <w:rsid w:val="00491977"/>
    <w:rsid w:val="004A0EDD"/>
    <w:rsid w:val="004A1329"/>
    <w:rsid w:val="004C1A87"/>
    <w:rsid w:val="004C4A2E"/>
    <w:rsid w:val="004E057E"/>
    <w:rsid w:val="004E44C8"/>
    <w:rsid w:val="004E53BE"/>
    <w:rsid w:val="004E7F82"/>
    <w:rsid w:val="004F3EA9"/>
    <w:rsid w:val="00501992"/>
    <w:rsid w:val="005026AC"/>
    <w:rsid w:val="00510AE7"/>
    <w:rsid w:val="00520EFD"/>
    <w:rsid w:val="0053062A"/>
    <w:rsid w:val="00535050"/>
    <w:rsid w:val="00536F3C"/>
    <w:rsid w:val="0054260E"/>
    <w:rsid w:val="00550D79"/>
    <w:rsid w:val="005559AC"/>
    <w:rsid w:val="00555FB3"/>
    <w:rsid w:val="00557B5A"/>
    <w:rsid w:val="005611D0"/>
    <w:rsid w:val="00566BD4"/>
    <w:rsid w:val="0057275C"/>
    <w:rsid w:val="00576411"/>
    <w:rsid w:val="00577CAF"/>
    <w:rsid w:val="00580223"/>
    <w:rsid w:val="00587157"/>
    <w:rsid w:val="00594186"/>
    <w:rsid w:val="005A05D1"/>
    <w:rsid w:val="005A53B8"/>
    <w:rsid w:val="005B1152"/>
    <w:rsid w:val="005B202B"/>
    <w:rsid w:val="005C10EB"/>
    <w:rsid w:val="005C2301"/>
    <w:rsid w:val="005C5A96"/>
    <w:rsid w:val="005D371D"/>
    <w:rsid w:val="005E7495"/>
    <w:rsid w:val="006113D2"/>
    <w:rsid w:val="00621C12"/>
    <w:rsid w:val="006227B1"/>
    <w:rsid w:val="00623E18"/>
    <w:rsid w:val="00625C5D"/>
    <w:rsid w:val="0062684C"/>
    <w:rsid w:val="00626A58"/>
    <w:rsid w:val="00633CDF"/>
    <w:rsid w:val="00635A22"/>
    <w:rsid w:val="00635DAD"/>
    <w:rsid w:val="00642083"/>
    <w:rsid w:val="00650476"/>
    <w:rsid w:val="0065550D"/>
    <w:rsid w:val="00664295"/>
    <w:rsid w:val="00665364"/>
    <w:rsid w:val="00667B35"/>
    <w:rsid w:val="006713EB"/>
    <w:rsid w:val="00673A9B"/>
    <w:rsid w:val="006876A8"/>
    <w:rsid w:val="006A3B77"/>
    <w:rsid w:val="006A49E3"/>
    <w:rsid w:val="006A6AF7"/>
    <w:rsid w:val="006B1EFD"/>
    <w:rsid w:val="006B4337"/>
    <w:rsid w:val="006C14E4"/>
    <w:rsid w:val="006C6DA8"/>
    <w:rsid w:val="006C7F61"/>
    <w:rsid w:val="006D1777"/>
    <w:rsid w:val="006D2BCC"/>
    <w:rsid w:val="006D407F"/>
    <w:rsid w:val="006E1296"/>
    <w:rsid w:val="006F0442"/>
    <w:rsid w:val="006F4624"/>
    <w:rsid w:val="00714F0F"/>
    <w:rsid w:val="007160BE"/>
    <w:rsid w:val="00720D3B"/>
    <w:rsid w:val="00721301"/>
    <w:rsid w:val="00722F65"/>
    <w:rsid w:val="00723679"/>
    <w:rsid w:val="007257CD"/>
    <w:rsid w:val="00734A4F"/>
    <w:rsid w:val="007414C6"/>
    <w:rsid w:val="00762BCC"/>
    <w:rsid w:val="00763BA3"/>
    <w:rsid w:val="00765B66"/>
    <w:rsid w:val="00767BB2"/>
    <w:rsid w:val="0077159C"/>
    <w:rsid w:val="00776D23"/>
    <w:rsid w:val="00780376"/>
    <w:rsid w:val="00780EE3"/>
    <w:rsid w:val="00791AAC"/>
    <w:rsid w:val="00797D4C"/>
    <w:rsid w:val="00797DEE"/>
    <w:rsid w:val="007A193E"/>
    <w:rsid w:val="007C0E7E"/>
    <w:rsid w:val="007C4098"/>
    <w:rsid w:val="007D17C5"/>
    <w:rsid w:val="007D225A"/>
    <w:rsid w:val="007D52EC"/>
    <w:rsid w:val="007E1A57"/>
    <w:rsid w:val="007F1CEE"/>
    <w:rsid w:val="00807C77"/>
    <w:rsid w:val="00837537"/>
    <w:rsid w:val="00842766"/>
    <w:rsid w:val="008428AB"/>
    <w:rsid w:val="00854EBF"/>
    <w:rsid w:val="008560ED"/>
    <w:rsid w:val="0086094D"/>
    <w:rsid w:val="00865DE5"/>
    <w:rsid w:val="0086731C"/>
    <w:rsid w:val="00872382"/>
    <w:rsid w:val="008769FE"/>
    <w:rsid w:val="00886906"/>
    <w:rsid w:val="008912FE"/>
    <w:rsid w:val="008A245D"/>
    <w:rsid w:val="008A2C7A"/>
    <w:rsid w:val="008A2D00"/>
    <w:rsid w:val="008A54FC"/>
    <w:rsid w:val="008B4579"/>
    <w:rsid w:val="008B4BEA"/>
    <w:rsid w:val="008B70CD"/>
    <w:rsid w:val="008D0A9D"/>
    <w:rsid w:val="008D141C"/>
    <w:rsid w:val="008D2C13"/>
    <w:rsid w:val="008E6109"/>
    <w:rsid w:val="008F47AB"/>
    <w:rsid w:val="008F5602"/>
    <w:rsid w:val="008F5F05"/>
    <w:rsid w:val="00907A34"/>
    <w:rsid w:val="009170EA"/>
    <w:rsid w:val="0092076F"/>
    <w:rsid w:val="00925455"/>
    <w:rsid w:val="00930439"/>
    <w:rsid w:val="00937AEB"/>
    <w:rsid w:val="00941A37"/>
    <w:rsid w:val="009662E3"/>
    <w:rsid w:val="00966DD9"/>
    <w:rsid w:val="00986677"/>
    <w:rsid w:val="0099421C"/>
    <w:rsid w:val="009A2F3A"/>
    <w:rsid w:val="009A7A45"/>
    <w:rsid w:val="009C3803"/>
    <w:rsid w:val="009C7AE5"/>
    <w:rsid w:val="009D2C13"/>
    <w:rsid w:val="009D3BA5"/>
    <w:rsid w:val="009D4BA1"/>
    <w:rsid w:val="009D7D5A"/>
    <w:rsid w:val="009E03F5"/>
    <w:rsid w:val="009E272E"/>
    <w:rsid w:val="009E47EB"/>
    <w:rsid w:val="009F3A37"/>
    <w:rsid w:val="009F6EA2"/>
    <w:rsid w:val="00A02090"/>
    <w:rsid w:val="00A03731"/>
    <w:rsid w:val="00A061CE"/>
    <w:rsid w:val="00A076B5"/>
    <w:rsid w:val="00A16871"/>
    <w:rsid w:val="00A17F69"/>
    <w:rsid w:val="00A21C2B"/>
    <w:rsid w:val="00A221E0"/>
    <w:rsid w:val="00A23870"/>
    <w:rsid w:val="00A274DB"/>
    <w:rsid w:val="00A41E1E"/>
    <w:rsid w:val="00A6411D"/>
    <w:rsid w:val="00A673EB"/>
    <w:rsid w:val="00A73298"/>
    <w:rsid w:val="00A751C0"/>
    <w:rsid w:val="00A95ACB"/>
    <w:rsid w:val="00A97942"/>
    <w:rsid w:val="00AA079B"/>
    <w:rsid w:val="00AA086A"/>
    <w:rsid w:val="00AC0EA5"/>
    <w:rsid w:val="00AC2686"/>
    <w:rsid w:val="00AD1BE1"/>
    <w:rsid w:val="00AD7257"/>
    <w:rsid w:val="00AF0889"/>
    <w:rsid w:val="00AF2D0C"/>
    <w:rsid w:val="00AF4C0E"/>
    <w:rsid w:val="00AF7E03"/>
    <w:rsid w:val="00B14E5E"/>
    <w:rsid w:val="00B25910"/>
    <w:rsid w:val="00B26973"/>
    <w:rsid w:val="00B30D3B"/>
    <w:rsid w:val="00B432D4"/>
    <w:rsid w:val="00B502AC"/>
    <w:rsid w:val="00B5315C"/>
    <w:rsid w:val="00B54DC9"/>
    <w:rsid w:val="00B576D7"/>
    <w:rsid w:val="00B80892"/>
    <w:rsid w:val="00B82735"/>
    <w:rsid w:val="00B92306"/>
    <w:rsid w:val="00B92861"/>
    <w:rsid w:val="00B9723A"/>
    <w:rsid w:val="00BA7A69"/>
    <w:rsid w:val="00BB15E2"/>
    <w:rsid w:val="00BD28DF"/>
    <w:rsid w:val="00BD6876"/>
    <w:rsid w:val="00BD7D85"/>
    <w:rsid w:val="00BE0B23"/>
    <w:rsid w:val="00BE2864"/>
    <w:rsid w:val="00C00565"/>
    <w:rsid w:val="00C076BF"/>
    <w:rsid w:val="00C212B5"/>
    <w:rsid w:val="00C23426"/>
    <w:rsid w:val="00C25F81"/>
    <w:rsid w:val="00C27F02"/>
    <w:rsid w:val="00C32C20"/>
    <w:rsid w:val="00C33DE7"/>
    <w:rsid w:val="00C365EE"/>
    <w:rsid w:val="00C44908"/>
    <w:rsid w:val="00C504F4"/>
    <w:rsid w:val="00C512DE"/>
    <w:rsid w:val="00C571AF"/>
    <w:rsid w:val="00C57E85"/>
    <w:rsid w:val="00C65BB4"/>
    <w:rsid w:val="00C8071C"/>
    <w:rsid w:val="00C816CB"/>
    <w:rsid w:val="00C82461"/>
    <w:rsid w:val="00C91E3B"/>
    <w:rsid w:val="00CA07CC"/>
    <w:rsid w:val="00CA25B5"/>
    <w:rsid w:val="00CA4FCE"/>
    <w:rsid w:val="00CA5F8F"/>
    <w:rsid w:val="00CC5A6F"/>
    <w:rsid w:val="00CC66BC"/>
    <w:rsid w:val="00CD07E7"/>
    <w:rsid w:val="00CD08EB"/>
    <w:rsid w:val="00CE271A"/>
    <w:rsid w:val="00CE6FF5"/>
    <w:rsid w:val="00CF5245"/>
    <w:rsid w:val="00D06683"/>
    <w:rsid w:val="00D07B1A"/>
    <w:rsid w:val="00D1101B"/>
    <w:rsid w:val="00D1167E"/>
    <w:rsid w:val="00D15B80"/>
    <w:rsid w:val="00D234E7"/>
    <w:rsid w:val="00D30E46"/>
    <w:rsid w:val="00D3663D"/>
    <w:rsid w:val="00D4349F"/>
    <w:rsid w:val="00D47EF6"/>
    <w:rsid w:val="00D50AC8"/>
    <w:rsid w:val="00D540AE"/>
    <w:rsid w:val="00D60A44"/>
    <w:rsid w:val="00D738E3"/>
    <w:rsid w:val="00D7390F"/>
    <w:rsid w:val="00D74F04"/>
    <w:rsid w:val="00D77A14"/>
    <w:rsid w:val="00D90913"/>
    <w:rsid w:val="00D92BEC"/>
    <w:rsid w:val="00DA18F2"/>
    <w:rsid w:val="00DB17F9"/>
    <w:rsid w:val="00DB6248"/>
    <w:rsid w:val="00DC0C37"/>
    <w:rsid w:val="00DD5136"/>
    <w:rsid w:val="00DD6973"/>
    <w:rsid w:val="00DE117F"/>
    <w:rsid w:val="00DF2C67"/>
    <w:rsid w:val="00DF3AE2"/>
    <w:rsid w:val="00DF7D21"/>
    <w:rsid w:val="00E03771"/>
    <w:rsid w:val="00E059C5"/>
    <w:rsid w:val="00E11D7E"/>
    <w:rsid w:val="00E14334"/>
    <w:rsid w:val="00E151DA"/>
    <w:rsid w:val="00E158A4"/>
    <w:rsid w:val="00E1788E"/>
    <w:rsid w:val="00E2303A"/>
    <w:rsid w:val="00E343BD"/>
    <w:rsid w:val="00E348D9"/>
    <w:rsid w:val="00E36493"/>
    <w:rsid w:val="00E36601"/>
    <w:rsid w:val="00E46600"/>
    <w:rsid w:val="00E60351"/>
    <w:rsid w:val="00E643E5"/>
    <w:rsid w:val="00E668CE"/>
    <w:rsid w:val="00E7012C"/>
    <w:rsid w:val="00E71AE7"/>
    <w:rsid w:val="00E752E6"/>
    <w:rsid w:val="00EA0584"/>
    <w:rsid w:val="00EA2ED5"/>
    <w:rsid w:val="00EA4B14"/>
    <w:rsid w:val="00EA6088"/>
    <w:rsid w:val="00EC1A2C"/>
    <w:rsid w:val="00ED2C10"/>
    <w:rsid w:val="00EF666B"/>
    <w:rsid w:val="00F11542"/>
    <w:rsid w:val="00F1377A"/>
    <w:rsid w:val="00F212EB"/>
    <w:rsid w:val="00F23D13"/>
    <w:rsid w:val="00F32BE8"/>
    <w:rsid w:val="00F32DEC"/>
    <w:rsid w:val="00F405D4"/>
    <w:rsid w:val="00F43E24"/>
    <w:rsid w:val="00F45561"/>
    <w:rsid w:val="00F465D3"/>
    <w:rsid w:val="00F51BD6"/>
    <w:rsid w:val="00F56F06"/>
    <w:rsid w:val="00F56F62"/>
    <w:rsid w:val="00F62D48"/>
    <w:rsid w:val="00F73815"/>
    <w:rsid w:val="00F7770D"/>
    <w:rsid w:val="00F810A4"/>
    <w:rsid w:val="00F83C19"/>
    <w:rsid w:val="00F905E7"/>
    <w:rsid w:val="00F91FDD"/>
    <w:rsid w:val="00F93115"/>
    <w:rsid w:val="00FA4E32"/>
    <w:rsid w:val="00FA5792"/>
    <w:rsid w:val="00FB04BE"/>
    <w:rsid w:val="00FB200D"/>
    <w:rsid w:val="00FB3571"/>
    <w:rsid w:val="00FB4F1D"/>
    <w:rsid w:val="00FC38CF"/>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41C373E8"/>
  <w15:docId w15:val="{9D7B6B4A-B33B-448E-B501-9DF3F3D5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aliases w:val="1st level - Bullet List Paragraph,Lettre d'introduction,Normal bullet 2,Bullet list,Listenabsatz"/>
    <w:basedOn w:val="Normal"/>
    <w:link w:val="ListParagraphChar"/>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table" w:customStyle="1" w:styleId="Grilledutableau1">
    <w:name w:val="Grille du tableau1"/>
    <w:basedOn w:val="TableNormal"/>
    <w:next w:val="TableGrid"/>
    <w:rsid w:val="00025E7E"/>
    <w:pPr>
      <w:spacing w:before="0" w:after="0"/>
      <w:jc w:val="left"/>
    </w:pPr>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Lettre d'introduction Char,Normal bullet 2 Char,Bullet list Char,Listenabsatz Char"/>
    <w:basedOn w:val="DefaultParagraphFont"/>
    <w:link w:val="ListParagraph"/>
    <w:uiPriority w:val="34"/>
    <w:rsid w:val="009E272E"/>
    <w:rPr>
      <w:rFonts w:eastAsia="Calibri"/>
      <w:szCs w:val="22"/>
      <w:lang w:val="en-GB"/>
    </w:rPr>
  </w:style>
  <w:style w:type="character" w:styleId="UnresolvedMention">
    <w:name w:val="Unresolved Mention"/>
    <w:basedOn w:val="DefaultParagraphFont"/>
    <w:uiPriority w:val="99"/>
    <w:semiHidden/>
    <w:unhideWhenUsed/>
    <w:rsid w:val="006B4337"/>
    <w:rPr>
      <w:color w:val="605E5C"/>
      <w:shd w:val="clear" w:color="auto" w:fill="E1DFDD"/>
    </w:rPr>
  </w:style>
  <w:style w:type="character" w:styleId="CommentReference">
    <w:name w:val="annotation reference"/>
    <w:basedOn w:val="DefaultParagraphFont"/>
    <w:uiPriority w:val="99"/>
    <w:semiHidden/>
    <w:unhideWhenUsed/>
    <w:locked/>
    <w:rsid w:val="00C33DE7"/>
    <w:rPr>
      <w:sz w:val="16"/>
      <w:szCs w:val="16"/>
    </w:rPr>
  </w:style>
  <w:style w:type="paragraph" w:styleId="CommentText">
    <w:name w:val="annotation text"/>
    <w:basedOn w:val="Normal"/>
    <w:link w:val="CommentTextChar"/>
    <w:uiPriority w:val="99"/>
    <w:semiHidden/>
    <w:unhideWhenUsed/>
    <w:locked/>
    <w:rsid w:val="00C33DE7"/>
    <w:rPr>
      <w:szCs w:val="20"/>
    </w:rPr>
  </w:style>
  <w:style w:type="character" w:customStyle="1" w:styleId="CommentTextChar">
    <w:name w:val="Comment Text Char"/>
    <w:basedOn w:val="DefaultParagraphFont"/>
    <w:link w:val="CommentText"/>
    <w:uiPriority w:val="99"/>
    <w:semiHidden/>
    <w:rsid w:val="00C33DE7"/>
    <w:rPr>
      <w:rFonts w:eastAsia="Calibri"/>
      <w:lang w:val="en-GB"/>
    </w:rPr>
  </w:style>
  <w:style w:type="paragraph" w:styleId="CommentSubject">
    <w:name w:val="annotation subject"/>
    <w:basedOn w:val="CommentText"/>
    <w:next w:val="CommentText"/>
    <w:link w:val="CommentSubjectChar"/>
    <w:uiPriority w:val="99"/>
    <w:semiHidden/>
    <w:unhideWhenUsed/>
    <w:locked/>
    <w:rsid w:val="00C33DE7"/>
    <w:rPr>
      <w:b/>
      <w:bCs/>
    </w:rPr>
  </w:style>
  <w:style w:type="character" w:customStyle="1" w:styleId="CommentSubjectChar">
    <w:name w:val="Comment Subject Char"/>
    <w:basedOn w:val="CommentTextChar"/>
    <w:link w:val="CommentSubject"/>
    <w:uiPriority w:val="99"/>
    <w:semiHidden/>
    <w:rsid w:val="00C33DE7"/>
    <w:rPr>
      <w:rFonts w:eastAsia="Calibri"/>
      <w:b/>
      <w:bCs/>
      <w:lang w:val="en-GB"/>
    </w:rPr>
  </w:style>
  <w:style w:type="character" w:styleId="FollowedHyperlink">
    <w:name w:val="FollowedHyperlink"/>
    <w:basedOn w:val="DefaultParagraphFont"/>
    <w:uiPriority w:val="99"/>
    <w:semiHidden/>
    <w:unhideWhenUsed/>
    <w:locked/>
    <w:rsid w:val="001021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701029">
      <w:bodyDiv w:val="1"/>
      <w:marLeft w:val="0"/>
      <w:marRight w:val="0"/>
      <w:marTop w:val="0"/>
      <w:marBottom w:val="0"/>
      <w:divBdr>
        <w:top w:val="none" w:sz="0" w:space="0" w:color="auto"/>
        <w:left w:val="none" w:sz="0" w:space="0" w:color="auto"/>
        <w:bottom w:val="none" w:sz="0" w:space="0" w:color="auto"/>
        <w:right w:val="none" w:sz="0" w:space="0" w:color="auto"/>
      </w:divBdr>
      <w:divsChild>
        <w:div w:id="598417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tu.int/dms_pub/itu-r/md/00/ca/cir/R00-CA-CIR-0251!!PDF-E.pdf" TargetMode="External"/><Relationship Id="rId4" Type="http://schemas.openxmlformats.org/officeDocument/2006/relationships/settings" Target="settings.xml"/><Relationship Id="rId9" Type="http://schemas.openxmlformats.org/officeDocument/2006/relationships/hyperlink" Target="https://www.itu.int/dms_pub/itu-r/oth/0C/0A/R0C0A00000F0086PDFE.pdf"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9F9D8-CC9A-4E49-8EDA-7D1D5EAB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28</TotalTime>
  <Pages>3</Pages>
  <Words>982</Words>
  <Characters>5602</Characters>
  <Application>Microsoft Office Word</Application>
  <DocSecurity>0</DocSecurity>
  <Lines>46</Lines>
  <Paragraphs>13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6571</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Jordan Oxley</cp:lastModifiedBy>
  <cp:revision>7</cp:revision>
  <cp:lastPrinted>2022-06-16T06:18:00Z</cp:lastPrinted>
  <dcterms:created xsi:type="dcterms:W3CDTF">2022-06-16T15:10:00Z</dcterms:created>
  <dcterms:modified xsi:type="dcterms:W3CDTF">2022-06-17T13:58:00Z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2022-06-12T19:08:48Z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060de64a-7673-45e5-87fa-81db546c89df</vt:lpwstr>
  </property>
  <property fmtid="{D5CDD505-2E9C-101B-9397-08002B2CF9AE}" pid="8" name="MSIP_Label_3976fa30-1907-4356-8241-62ea5e1c0256_ContentBits">
    <vt:lpwstr>0</vt:lpwstr>
  </property>
  <property fmtid="{D5CDD505-2E9C-101B-9397-08002B2CF9AE}" pid="9" name="MSIP_Label_5a50d26f-5c2c-4137-8396-1b24eb24286c_Enabled">
    <vt:lpwstr>true</vt:lpwstr>
  </property>
  <property fmtid="{D5CDD505-2E9C-101B-9397-08002B2CF9AE}" pid="10" name="MSIP_Label_5a50d26f-5c2c-4137-8396-1b24eb24286c_SetDate">
    <vt:lpwstr>2022-06-17T13:58:20Z</vt:lpwstr>
  </property>
  <property fmtid="{D5CDD505-2E9C-101B-9397-08002B2CF9AE}" pid="11" name="MSIP_Label_5a50d26f-5c2c-4137-8396-1b24eb24286c_Method">
    <vt:lpwstr>Privileged</vt:lpwstr>
  </property>
  <property fmtid="{D5CDD505-2E9C-101B-9397-08002B2CF9AE}" pid="12" name="MSIP_Label_5a50d26f-5c2c-4137-8396-1b24eb24286c_Name">
    <vt:lpwstr>5a50d26f-5c2c-4137-8396-1b24eb24286c</vt:lpwstr>
  </property>
  <property fmtid="{D5CDD505-2E9C-101B-9397-08002B2CF9AE}" pid="13" name="MSIP_Label_5a50d26f-5c2c-4137-8396-1b24eb24286c_SiteId">
    <vt:lpwstr>0af648de-310c-4068-8ae4-f9418bae24cc</vt:lpwstr>
  </property>
  <property fmtid="{D5CDD505-2E9C-101B-9397-08002B2CF9AE}" pid="14" name="MSIP_Label_5a50d26f-5c2c-4137-8396-1b24eb24286c_ActionId">
    <vt:lpwstr>26590222-243e-49c2-86df-cf538dde6c4c</vt:lpwstr>
  </property>
  <property fmtid="{D5CDD505-2E9C-101B-9397-08002B2CF9AE}" pid="15" name="MSIP_Label_5a50d26f-5c2c-4137-8396-1b24eb24286c_ContentBits">
    <vt:lpwstr>0</vt:lpwstr>
  </property>
</Properties>
</file>