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72" w:type="dxa"/>
        <w:tblLayout w:type="fixed"/>
        <w:tblCellMar>
          <w:left w:w="70" w:type="dxa"/>
          <w:right w:w="70" w:type="dxa"/>
        </w:tblCellMar>
        <w:tblLook w:val="0000" w:firstRow="0" w:lastRow="0" w:firstColumn="0" w:lastColumn="0" w:noHBand="0" w:noVBand="0"/>
      </w:tblPr>
      <w:tblGrid>
        <w:gridCol w:w="1694"/>
        <w:gridCol w:w="3623"/>
        <w:gridCol w:w="4426"/>
        <w:gridCol w:w="38"/>
      </w:tblGrid>
      <w:tr w:rsidR="00095941" w:rsidRPr="00235592" w14:paraId="74CF0F37" w14:textId="77777777" w:rsidTr="008D2737">
        <w:trPr>
          <w:cantSplit/>
          <w:trHeight w:val="1240"/>
        </w:trPr>
        <w:tc>
          <w:tcPr>
            <w:tcW w:w="5317" w:type="dxa"/>
            <w:gridSpan w:val="2"/>
            <w:tcBorders>
              <w:top w:val="nil"/>
              <w:left w:val="nil"/>
              <w:bottom w:val="nil"/>
              <w:right w:val="nil"/>
            </w:tcBorders>
          </w:tcPr>
          <w:p w14:paraId="500FA35D" w14:textId="54B2C7BA" w:rsidR="00095941" w:rsidRPr="00494AB8" w:rsidRDefault="008D2737" w:rsidP="00095941">
            <w:pPr>
              <w:pStyle w:val="ECCLetterHead"/>
            </w:pPr>
            <w:r w:rsidRPr="008D2737">
              <w:drawing>
                <wp:inline distT="0" distB="0" distL="0" distR="0" wp14:anchorId="0579D011" wp14:editId="3AF4FA20">
                  <wp:extent cx="1784719" cy="666750"/>
                  <wp:effectExtent l="0" t="0" r="6350" b="0"/>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485" cy="668904"/>
                          </a:xfrm>
                          <a:prstGeom prst="rect">
                            <a:avLst/>
                          </a:prstGeom>
                          <a:noFill/>
                        </pic:spPr>
                      </pic:pic>
                    </a:graphicData>
                  </a:graphic>
                </wp:inline>
              </w:drawing>
            </w:r>
            <w:r>
              <w:t>CPG23</w:t>
            </w:r>
          </w:p>
        </w:tc>
        <w:tc>
          <w:tcPr>
            <w:tcW w:w="4464" w:type="dxa"/>
            <w:gridSpan w:val="2"/>
            <w:tcBorders>
              <w:top w:val="nil"/>
              <w:left w:val="nil"/>
              <w:bottom w:val="nil"/>
              <w:right w:val="nil"/>
            </w:tcBorders>
          </w:tcPr>
          <w:p w14:paraId="02FB1130" w14:textId="6D68703D" w:rsidR="00095941" w:rsidRPr="00095941" w:rsidRDefault="00095941" w:rsidP="003D1F4F">
            <w:pPr>
              <w:pStyle w:val="ECCLetterHead"/>
            </w:pPr>
            <w:r w:rsidRPr="00494AB8">
              <w:tab/>
            </w:r>
            <w:proofErr w:type="gramStart"/>
            <w:r w:rsidR="008D2737">
              <w:t>PTA(</w:t>
            </w:r>
            <w:proofErr w:type="gramEnd"/>
            <w:r w:rsidR="008D2737">
              <w:t>23)020</w:t>
            </w:r>
          </w:p>
        </w:tc>
      </w:tr>
      <w:tr w:rsidR="00095941" w:rsidRPr="00235592" w14:paraId="2CCF760A" w14:textId="77777777" w:rsidTr="008D2737">
        <w:tblPrEx>
          <w:tblCellMar>
            <w:left w:w="108" w:type="dxa"/>
            <w:right w:w="108" w:type="dxa"/>
          </w:tblCellMar>
        </w:tblPrEx>
        <w:trPr>
          <w:gridAfter w:val="1"/>
          <w:wAfter w:w="38" w:type="dxa"/>
          <w:cantSplit/>
          <w:trHeight w:val="405"/>
        </w:trPr>
        <w:tc>
          <w:tcPr>
            <w:tcW w:w="5317" w:type="dxa"/>
            <w:gridSpan w:val="2"/>
            <w:tcBorders>
              <w:top w:val="nil"/>
              <w:left w:val="nil"/>
              <w:bottom w:val="nil"/>
              <w:right w:val="nil"/>
            </w:tcBorders>
            <w:shd w:val="clear" w:color="auto" w:fill="auto"/>
            <w:vAlign w:val="center"/>
          </w:tcPr>
          <w:p w14:paraId="46879456" w14:textId="48FEBEBE" w:rsidR="00095941" w:rsidRPr="00095941" w:rsidRDefault="00095941" w:rsidP="003D1F4F">
            <w:pPr>
              <w:pStyle w:val="ECCLetterHead"/>
              <w:rPr>
                <w:rStyle w:val="ECCHLyellow"/>
              </w:rPr>
            </w:pPr>
            <w:r>
              <w:t>CPG23</w:t>
            </w:r>
            <w:r w:rsidRPr="00095941">
              <w:t xml:space="preserve"> PTA#</w:t>
            </w:r>
            <w:r w:rsidR="008D2737">
              <w:t>7</w:t>
            </w:r>
          </w:p>
        </w:tc>
        <w:tc>
          <w:tcPr>
            <w:tcW w:w="4426" w:type="dxa"/>
            <w:tcBorders>
              <w:top w:val="nil"/>
              <w:left w:val="nil"/>
              <w:bottom w:val="nil"/>
              <w:right w:val="nil"/>
            </w:tcBorders>
            <w:vAlign w:val="center"/>
          </w:tcPr>
          <w:p w14:paraId="5A52929D" w14:textId="77777777" w:rsidR="00095941" w:rsidRPr="00494AB8" w:rsidRDefault="00095941" w:rsidP="00095941">
            <w:pPr>
              <w:pStyle w:val="ECCLetterHead"/>
            </w:pPr>
          </w:p>
        </w:tc>
      </w:tr>
      <w:tr w:rsidR="00095941" w:rsidRPr="00235592" w14:paraId="43C40030" w14:textId="77777777" w:rsidTr="008D2737">
        <w:tblPrEx>
          <w:tblCellMar>
            <w:left w:w="108" w:type="dxa"/>
            <w:right w:w="108" w:type="dxa"/>
          </w:tblCellMar>
        </w:tblPrEx>
        <w:trPr>
          <w:gridAfter w:val="1"/>
          <w:wAfter w:w="38" w:type="dxa"/>
          <w:cantSplit/>
          <w:trHeight w:val="405"/>
        </w:trPr>
        <w:tc>
          <w:tcPr>
            <w:tcW w:w="5317" w:type="dxa"/>
            <w:gridSpan w:val="2"/>
            <w:tcBorders>
              <w:top w:val="nil"/>
              <w:left w:val="nil"/>
              <w:bottom w:val="nil"/>
              <w:right w:val="nil"/>
            </w:tcBorders>
            <w:vAlign w:val="center"/>
          </w:tcPr>
          <w:p w14:paraId="2DF031C7" w14:textId="220D588D" w:rsidR="00095941" w:rsidRPr="00095941" w:rsidRDefault="008D2737" w:rsidP="003D1F4F">
            <w:pPr>
              <w:pStyle w:val="ECCLetterHead"/>
            </w:pPr>
            <w:r>
              <w:t>Hybrid, Mainz, Germany 16 - 20 January 2023</w:t>
            </w:r>
          </w:p>
        </w:tc>
        <w:tc>
          <w:tcPr>
            <w:tcW w:w="4426" w:type="dxa"/>
            <w:tcBorders>
              <w:top w:val="nil"/>
              <w:left w:val="nil"/>
              <w:bottom w:val="nil"/>
              <w:right w:val="nil"/>
            </w:tcBorders>
            <w:vAlign w:val="center"/>
          </w:tcPr>
          <w:p w14:paraId="72B27874" w14:textId="77777777" w:rsidR="00095941" w:rsidRPr="00494AB8" w:rsidRDefault="00095941" w:rsidP="00095941">
            <w:pPr>
              <w:pStyle w:val="ECCTabletext"/>
            </w:pPr>
          </w:p>
        </w:tc>
      </w:tr>
      <w:tr w:rsidR="00095941" w:rsidRPr="00235592" w14:paraId="2AA4B907" w14:textId="77777777" w:rsidTr="008D2737">
        <w:tblPrEx>
          <w:tblCellMar>
            <w:left w:w="108" w:type="dxa"/>
            <w:right w:w="108" w:type="dxa"/>
          </w:tblCellMar>
        </w:tblPrEx>
        <w:trPr>
          <w:gridAfter w:val="1"/>
          <w:wAfter w:w="38" w:type="dxa"/>
          <w:cantSplit/>
          <w:trHeight w:hRule="exact" w:val="79"/>
        </w:trPr>
        <w:tc>
          <w:tcPr>
            <w:tcW w:w="5317" w:type="dxa"/>
            <w:gridSpan w:val="2"/>
            <w:tcBorders>
              <w:top w:val="nil"/>
              <w:left w:val="nil"/>
              <w:bottom w:val="nil"/>
              <w:right w:val="nil"/>
            </w:tcBorders>
            <w:vAlign w:val="center"/>
          </w:tcPr>
          <w:p w14:paraId="514809A1" w14:textId="77777777" w:rsidR="00095941" w:rsidRPr="00494AB8" w:rsidRDefault="00095941" w:rsidP="00095941">
            <w:pPr>
              <w:pStyle w:val="ECCLetterHead"/>
            </w:pPr>
          </w:p>
        </w:tc>
        <w:tc>
          <w:tcPr>
            <w:tcW w:w="4426" w:type="dxa"/>
            <w:tcBorders>
              <w:top w:val="nil"/>
              <w:left w:val="nil"/>
              <w:bottom w:val="nil"/>
              <w:right w:val="nil"/>
            </w:tcBorders>
            <w:vAlign w:val="center"/>
          </w:tcPr>
          <w:p w14:paraId="53A6374F" w14:textId="77777777" w:rsidR="00095941" w:rsidRPr="00494AB8" w:rsidRDefault="00095941" w:rsidP="00095941">
            <w:pPr>
              <w:pStyle w:val="ECCLetterHead"/>
            </w:pPr>
          </w:p>
        </w:tc>
      </w:tr>
      <w:tr w:rsidR="00095941" w:rsidRPr="00235592" w14:paraId="7DCEC9CA" w14:textId="77777777" w:rsidTr="00BA6A70">
        <w:tblPrEx>
          <w:tblCellMar>
            <w:left w:w="108" w:type="dxa"/>
            <w:right w:w="108" w:type="dxa"/>
          </w:tblCellMar>
        </w:tblPrEx>
        <w:trPr>
          <w:gridAfter w:val="1"/>
          <w:wAfter w:w="38" w:type="dxa"/>
          <w:cantSplit/>
          <w:trHeight w:val="405"/>
        </w:trPr>
        <w:tc>
          <w:tcPr>
            <w:tcW w:w="1694" w:type="dxa"/>
            <w:tcBorders>
              <w:top w:val="nil"/>
              <w:left w:val="nil"/>
              <w:bottom w:val="nil"/>
              <w:right w:val="nil"/>
            </w:tcBorders>
            <w:vAlign w:val="center"/>
          </w:tcPr>
          <w:p w14:paraId="0C5B0788" w14:textId="77777777" w:rsidR="00095941" w:rsidRPr="00095941" w:rsidRDefault="00095941" w:rsidP="00095941">
            <w:pPr>
              <w:pStyle w:val="ECCLetterHead"/>
            </w:pPr>
            <w:r w:rsidRPr="00235592">
              <w:t xml:space="preserve">Date issued: </w:t>
            </w:r>
          </w:p>
        </w:tc>
        <w:tc>
          <w:tcPr>
            <w:tcW w:w="8049" w:type="dxa"/>
            <w:gridSpan w:val="2"/>
            <w:tcBorders>
              <w:top w:val="nil"/>
              <w:left w:val="nil"/>
              <w:bottom w:val="nil"/>
              <w:right w:val="nil"/>
            </w:tcBorders>
            <w:vAlign w:val="center"/>
          </w:tcPr>
          <w:p w14:paraId="1B3C928C" w14:textId="7A127892" w:rsidR="00095941" w:rsidRPr="00095941" w:rsidRDefault="003E05A7" w:rsidP="00095941">
            <w:pPr>
              <w:pStyle w:val="ECCLetterHead"/>
            </w:pPr>
            <w:r>
              <w:t>01</w:t>
            </w:r>
            <w:r w:rsidR="00095941" w:rsidRPr="00095941">
              <w:t xml:space="preserve"> </w:t>
            </w:r>
            <w:r>
              <w:t>January 2023</w:t>
            </w:r>
          </w:p>
        </w:tc>
      </w:tr>
      <w:tr w:rsidR="00095941" w:rsidRPr="00235592" w14:paraId="4293E465" w14:textId="77777777" w:rsidTr="00BA6A70">
        <w:tblPrEx>
          <w:tblCellMar>
            <w:left w:w="108" w:type="dxa"/>
            <w:right w:w="108" w:type="dxa"/>
          </w:tblCellMar>
        </w:tblPrEx>
        <w:trPr>
          <w:gridAfter w:val="1"/>
          <w:wAfter w:w="38" w:type="dxa"/>
          <w:cantSplit/>
          <w:trHeight w:val="405"/>
        </w:trPr>
        <w:tc>
          <w:tcPr>
            <w:tcW w:w="1694" w:type="dxa"/>
            <w:tcBorders>
              <w:top w:val="nil"/>
              <w:left w:val="nil"/>
              <w:bottom w:val="nil"/>
              <w:right w:val="nil"/>
            </w:tcBorders>
            <w:vAlign w:val="center"/>
          </w:tcPr>
          <w:p w14:paraId="01204EC9" w14:textId="77777777" w:rsidR="00095941" w:rsidRPr="00095941" w:rsidRDefault="00095941" w:rsidP="00095941">
            <w:pPr>
              <w:pStyle w:val="ECCLetterHead"/>
            </w:pPr>
            <w:r w:rsidRPr="00235592">
              <w:t xml:space="preserve">Source: </w:t>
            </w:r>
          </w:p>
        </w:tc>
        <w:tc>
          <w:tcPr>
            <w:tcW w:w="8049" w:type="dxa"/>
            <w:gridSpan w:val="2"/>
            <w:tcBorders>
              <w:top w:val="nil"/>
              <w:left w:val="nil"/>
              <w:bottom w:val="nil"/>
              <w:right w:val="nil"/>
            </w:tcBorders>
            <w:vAlign w:val="center"/>
          </w:tcPr>
          <w:p w14:paraId="4F7B26FF" w14:textId="440AC7B8" w:rsidR="00095941" w:rsidRPr="00095941" w:rsidRDefault="003D1F4F" w:rsidP="00095941">
            <w:pPr>
              <w:pStyle w:val="ECCLetterHead"/>
            </w:pPr>
            <w:r>
              <w:t>FRANCE</w:t>
            </w:r>
          </w:p>
        </w:tc>
      </w:tr>
      <w:tr w:rsidR="00095941" w:rsidRPr="00AC57C0" w14:paraId="2C0FED46" w14:textId="77777777" w:rsidTr="00BA6A70">
        <w:tblPrEx>
          <w:tblCellMar>
            <w:left w:w="108" w:type="dxa"/>
            <w:right w:w="108" w:type="dxa"/>
          </w:tblCellMar>
        </w:tblPrEx>
        <w:trPr>
          <w:gridAfter w:val="1"/>
          <w:wAfter w:w="38" w:type="dxa"/>
          <w:cantSplit/>
          <w:trHeight w:val="405"/>
        </w:trPr>
        <w:tc>
          <w:tcPr>
            <w:tcW w:w="1694" w:type="dxa"/>
            <w:tcBorders>
              <w:top w:val="nil"/>
              <w:left w:val="nil"/>
              <w:bottom w:val="nil"/>
              <w:right w:val="nil"/>
            </w:tcBorders>
            <w:vAlign w:val="center"/>
          </w:tcPr>
          <w:p w14:paraId="3EADE13D" w14:textId="77777777" w:rsidR="00095941" w:rsidRPr="00095941" w:rsidRDefault="00095941" w:rsidP="00095941">
            <w:pPr>
              <w:pStyle w:val="ECCLetterHead"/>
            </w:pPr>
            <w:r w:rsidRPr="00494AB8">
              <w:t xml:space="preserve">Subject: </w:t>
            </w:r>
          </w:p>
        </w:tc>
        <w:tc>
          <w:tcPr>
            <w:tcW w:w="8049" w:type="dxa"/>
            <w:gridSpan w:val="2"/>
            <w:tcBorders>
              <w:top w:val="nil"/>
              <w:left w:val="nil"/>
              <w:bottom w:val="nil"/>
              <w:right w:val="nil"/>
            </w:tcBorders>
            <w:vAlign w:val="center"/>
          </w:tcPr>
          <w:p w14:paraId="2FA6C63D" w14:textId="5AA6D5A3" w:rsidR="00095941" w:rsidRPr="00AC57C0" w:rsidRDefault="00AC57C0" w:rsidP="00095941">
            <w:pPr>
              <w:pStyle w:val="ECCLetterHead"/>
            </w:pPr>
            <w:r w:rsidRPr="00AC57C0">
              <w:rPr>
                <w:lang w:val="en-US"/>
              </w:rPr>
              <w:t>Discussion on passive band un</w:t>
            </w:r>
            <w:r>
              <w:t>der RR 5.458 for SST measurement</w:t>
            </w:r>
          </w:p>
        </w:tc>
      </w:tr>
      <w:tr w:rsidR="00095941" w:rsidRPr="00AC57C0" w14:paraId="5EEE2B32" w14:textId="77777777" w:rsidTr="00BA6A70">
        <w:tblPrEx>
          <w:tblCellMar>
            <w:left w:w="108" w:type="dxa"/>
            <w:right w:w="108" w:type="dxa"/>
          </w:tblCellMar>
        </w:tblPrEx>
        <w:trPr>
          <w:gridAfter w:val="1"/>
          <w:wAfter w:w="38" w:type="dxa"/>
          <w:cantSplit/>
          <w:trHeight w:hRule="exact" w:val="74"/>
        </w:trPr>
        <w:tc>
          <w:tcPr>
            <w:tcW w:w="9743" w:type="dxa"/>
            <w:gridSpan w:val="3"/>
            <w:tcBorders>
              <w:top w:val="nil"/>
              <w:left w:val="nil"/>
              <w:bottom w:val="single" w:sz="6" w:space="0" w:color="C00000"/>
              <w:right w:val="nil"/>
            </w:tcBorders>
            <w:vAlign w:val="center"/>
          </w:tcPr>
          <w:p w14:paraId="7A0E6B78" w14:textId="77777777" w:rsidR="00095941" w:rsidRPr="00AC57C0" w:rsidRDefault="00095941" w:rsidP="00095941">
            <w:pPr>
              <w:rPr>
                <w:rStyle w:val="ECCParagraph"/>
                <w:lang w:val="en-US"/>
              </w:rPr>
            </w:pPr>
          </w:p>
          <w:p w14:paraId="163DE105" w14:textId="77777777" w:rsidR="00095941" w:rsidRPr="00AC57C0" w:rsidRDefault="00095941" w:rsidP="00095941">
            <w:pPr>
              <w:pStyle w:val="ECCLetterHead"/>
              <w:rPr>
                <w:lang w:val="en-US"/>
              </w:rPr>
            </w:pPr>
          </w:p>
        </w:tc>
      </w:tr>
      <w:tr w:rsidR="00095941" w:rsidRPr="00235592" w14:paraId="381A775A" w14:textId="77777777" w:rsidTr="00BA6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4"/>
            <w:tcBorders>
              <w:top w:val="single" w:sz="6" w:space="0" w:color="C00000"/>
              <w:left w:val="single" w:sz="6" w:space="0" w:color="C00000"/>
              <w:bottom w:val="nil"/>
              <w:right w:val="single" w:sz="6" w:space="0" w:color="C00000"/>
            </w:tcBorders>
            <w:vAlign w:val="center"/>
          </w:tcPr>
          <w:p w14:paraId="6CC0B631" w14:textId="4073E791" w:rsidR="00095941" w:rsidRPr="00494AB8" w:rsidRDefault="00095941" w:rsidP="00095941">
            <w:pPr>
              <w:pStyle w:val="ECCLetterHead"/>
            </w:pPr>
            <w:r w:rsidRPr="00494AB8">
              <w:t xml:space="preserve">Summary: </w:t>
            </w:r>
          </w:p>
        </w:tc>
      </w:tr>
      <w:tr w:rsidR="00095941" w:rsidRPr="00235592" w14:paraId="3C6F4290" w14:textId="77777777" w:rsidTr="00BA6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4"/>
            <w:tcBorders>
              <w:top w:val="nil"/>
              <w:left w:val="single" w:sz="6" w:space="0" w:color="C00000"/>
              <w:bottom w:val="single" w:sz="6" w:space="0" w:color="C00000"/>
              <w:right w:val="single" w:sz="6" w:space="0" w:color="C00000"/>
            </w:tcBorders>
          </w:tcPr>
          <w:p w14:paraId="708B449E" w14:textId="77777777" w:rsidR="003E05A7" w:rsidRPr="00CD49C4" w:rsidRDefault="00AC57C0" w:rsidP="003E05A7">
            <w:pPr>
              <w:rPr>
                <w:lang w:val="en-US"/>
              </w:rPr>
            </w:pPr>
            <w:r>
              <w:t>Based on the minute of CPG (document CPG (22)018): “</w:t>
            </w:r>
            <w:r w:rsidR="003E05A7" w:rsidRPr="00CD49C4">
              <w:rPr>
                <w:lang w:val="en-US"/>
              </w:rPr>
              <w:t xml:space="preserve">The PTA Chair introduced the PTA report to CPG on Sea Surface Temperature (SST) measurements provided in ANNEX VI to Document 020R1. In summary, it was noted that two potential frequency ranges, within the range 4-9 GHz, that could be considered as potential replacements/complements to those currently specified in footnote RR No 5.458, have been identified in WP7C (see WP7C/459 Annex 27). The EU Copernicus programme CIMR is planning to use the 6/7 GHz range for SST measurements. </w:t>
            </w:r>
          </w:p>
          <w:p w14:paraId="6A6193C8" w14:textId="04BF7839" w:rsidR="003E05A7" w:rsidRPr="00494AB8" w:rsidRDefault="003E05A7" w:rsidP="003E05A7">
            <w:pPr>
              <w:pStyle w:val="ECCTabletext"/>
            </w:pPr>
            <w:r w:rsidRPr="00CD49C4">
              <w:rPr>
                <w:lang w:val="en-US"/>
              </w:rPr>
              <w:t xml:space="preserve">Varying views were expressed on the manner, in which CPG should consider the handling of this issue, in the context of WRC action. The meeting concluded that where the studies in ITU-R WP7C were continuing (see Chairman’s Report WP7C/459 Annex 26) and where the CEPT position for the band 6425 – 7125 MHz under Agenda Item 1.2 was undecided, that further information on this subject be collated by PTA and be provided to a future CPG for </w:t>
            </w:r>
            <w:r w:rsidRPr="00E30435">
              <w:rPr>
                <w:lang w:val="en-US"/>
              </w:rPr>
              <w:t>consideration.</w:t>
            </w:r>
            <w:r w:rsidR="00AC57C0">
              <w:t>”</w:t>
            </w:r>
            <w:r>
              <w:t>, France proposed to introduce new information on the history and importance of keeping a capability to measure SST.</w:t>
            </w:r>
          </w:p>
        </w:tc>
      </w:tr>
      <w:tr w:rsidR="00095941" w:rsidRPr="00235592" w14:paraId="50037B9D" w14:textId="77777777" w:rsidTr="00BA6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4"/>
            <w:tcBorders>
              <w:top w:val="single" w:sz="6" w:space="0" w:color="C00000"/>
              <w:left w:val="single" w:sz="6" w:space="0" w:color="C00000"/>
              <w:bottom w:val="nil"/>
              <w:right w:val="single" w:sz="6" w:space="0" w:color="C00000"/>
            </w:tcBorders>
            <w:vAlign w:val="center"/>
          </w:tcPr>
          <w:p w14:paraId="13595F2A" w14:textId="77777777" w:rsidR="00095941" w:rsidRPr="00095941" w:rsidRDefault="00095941" w:rsidP="00095941">
            <w:pPr>
              <w:pStyle w:val="ECCLetterHead"/>
            </w:pPr>
            <w:r w:rsidRPr="00494AB8">
              <w:t>Proposal:</w:t>
            </w:r>
          </w:p>
          <w:p w14:paraId="66A4815B" w14:textId="77777777" w:rsidR="00095941" w:rsidRPr="00494AB8" w:rsidRDefault="00095941" w:rsidP="00095941">
            <w:pPr>
              <w:pStyle w:val="ECCLetterHead"/>
            </w:pPr>
          </w:p>
        </w:tc>
      </w:tr>
      <w:tr w:rsidR="00095941" w:rsidRPr="00235592" w14:paraId="0A351343" w14:textId="77777777" w:rsidTr="00BA6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781" w:type="dxa"/>
            <w:gridSpan w:val="4"/>
            <w:tcBorders>
              <w:top w:val="nil"/>
              <w:left w:val="single" w:sz="6" w:space="0" w:color="C00000"/>
              <w:bottom w:val="single" w:sz="6" w:space="0" w:color="C00000"/>
              <w:right w:val="single" w:sz="6" w:space="0" w:color="C00000"/>
            </w:tcBorders>
          </w:tcPr>
          <w:p w14:paraId="30AA2408" w14:textId="65D68C01" w:rsidR="00095941" w:rsidRPr="00494AB8" w:rsidRDefault="00095941" w:rsidP="00095941">
            <w:pPr>
              <w:pStyle w:val="ECCTabletext"/>
            </w:pPr>
          </w:p>
        </w:tc>
      </w:tr>
    </w:tbl>
    <w:p w14:paraId="5F32EF7F" w14:textId="77777777" w:rsidR="00095941" w:rsidRDefault="00095941" w:rsidP="003A68D5">
      <w:pPr>
        <w:pStyle w:val="ECCHeadingnonumbering"/>
        <w:rPr>
          <w:lang w:val="en-GB"/>
        </w:rPr>
      </w:pPr>
    </w:p>
    <w:p w14:paraId="5EE226DB" w14:textId="77777777" w:rsidR="00095941" w:rsidRDefault="00095941">
      <w:pPr>
        <w:rPr>
          <w:rFonts w:cs="Arial"/>
          <w:b/>
          <w:bCs/>
          <w:caps/>
          <w:color w:val="D2232A"/>
          <w:kern w:val="32"/>
          <w:szCs w:val="32"/>
        </w:rPr>
      </w:pPr>
      <w:r>
        <w:br w:type="page"/>
      </w:r>
    </w:p>
    <w:p w14:paraId="60497D30" w14:textId="6DE97FDB" w:rsidR="003771D5" w:rsidRDefault="00B3169C" w:rsidP="007C405A">
      <w:pPr>
        <w:pStyle w:val="Heading1"/>
        <w:rPr>
          <w:lang w:val="en-GB"/>
        </w:rPr>
      </w:pPr>
      <w:r>
        <w:lastRenderedPageBreak/>
        <w:t xml:space="preserve">HIstory of the </w:t>
      </w:r>
      <w:r w:rsidR="0016072C">
        <w:t xml:space="preserve">PasSive </w:t>
      </w:r>
      <w:r>
        <w:t>bandS</w:t>
      </w:r>
      <w:r w:rsidR="0016072C">
        <w:t xml:space="preserve"> in RR</w:t>
      </w:r>
    </w:p>
    <w:p w14:paraId="441D58E3" w14:textId="7F774AD4" w:rsidR="0016072C" w:rsidRDefault="0016072C" w:rsidP="0016072C">
      <w:pPr>
        <w:pStyle w:val="Heading2"/>
      </w:pPr>
      <w:r>
        <w:t xml:space="preserve">summary of </w:t>
      </w:r>
      <w:r w:rsidR="00350A23">
        <w:t>the change performed during WARC-79</w:t>
      </w:r>
    </w:p>
    <w:p w14:paraId="5086E26B" w14:textId="547C6AE3" w:rsidR="00765260" w:rsidRDefault="00765260" w:rsidP="00765260">
      <w:r>
        <w:t>Before, 1979, the Earth Exploration Satellite Service passive did not exist.  The only band</w:t>
      </w:r>
      <w:r w:rsidR="00A316CD">
        <w:t>s</w:t>
      </w:r>
      <w:r>
        <w:t xml:space="preserve"> used in a passive way </w:t>
      </w:r>
      <w:r w:rsidR="00A316CD">
        <w:t xml:space="preserve">were allocated to RAS </w:t>
      </w:r>
      <w:r w:rsidR="00A316CD" w:rsidRPr="00A316CD">
        <w:t>(with or without additional regional allocation)</w:t>
      </w:r>
      <w:r w:rsidR="00A316CD">
        <w:t xml:space="preserve"> and particularly </w:t>
      </w:r>
      <w:r w:rsidR="00A316CD" w:rsidRPr="00A316CD">
        <w:t>1 400-1 427 MHz, 2 690-2 700 MHz, 10.68-10.7 GHz, 15.35-15.4 GHz, 23.6-24 GHz, 31.3-31.5 GHz</w:t>
      </w:r>
      <w:r w:rsidR="00A316CD">
        <w:t xml:space="preserve">. </w:t>
      </w:r>
      <w:r w:rsidRPr="00765260">
        <w:t>The EESS passive allocation and associated band were discussed during the WARC-79 (World Administrative Radio Conference - Geneva, 1979) that took place between 24 September to 6 December 1979. During this conference:</w:t>
      </w:r>
    </w:p>
    <w:p w14:paraId="0EFF07DF" w14:textId="6D901505" w:rsidR="00A316CD" w:rsidRDefault="00765260" w:rsidP="00A316CD">
      <w:pPr>
        <w:pStyle w:val="ECCBulletsLv1"/>
      </w:pPr>
      <w:r w:rsidRPr="00765260">
        <w:t xml:space="preserve">The definitions of active and passive sensors were added. </w:t>
      </w:r>
      <w:r w:rsidR="00A316CD" w:rsidRPr="00A316CD">
        <w:t xml:space="preserve">The new definition </w:t>
      </w:r>
      <w:r w:rsidR="0016072C">
        <w:t xml:space="preserve">RR No 48 </w:t>
      </w:r>
      <w:r w:rsidR="00A316CD" w:rsidRPr="00A316CD">
        <w:t xml:space="preserve">(RR 1.51) includes active and passive sensors which are introduced respectively in </w:t>
      </w:r>
      <w:r w:rsidR="00811EC1">
        <w:t xml:space="preserve">No </w:t>
      </w:r>
      <w:r w:rsidR="00350A23">
        <w:t>174</w:t>
      </w:r>
      <w:r w:rsidR="00A316CD" w:rsidRPr="00A316CD">
        <w:t xml:space="preserve"> and </w:t>
      </w:r>
      <w:r w:rsidR="00811EC1">
        <w:t xml:space="preserve">No </w:t>
      </w:r>
      <w:r w:rsidR="00350A23">
        <w:t>175</w:t>
      </w:r>
      <w:r w:rsidR="00A316CD" w:rsidRPr="00A316CD">
        <w:t>, that will become in the new version of RR (after 2001), RR 1.182 and RR 1.183.</w:t>
      </w:r>
    </w:p>
    <w:p w14:paraId="1B236D6E" w14:textId="267D9570" w:rsidR="00A316CD" w:rsidRDefault="00765260" w:rsidP="00A316CD">
      <w:pPr>
        <w:pStyle w:val="ECCBulletsLv1"/>
      </w:pPr>
      <w:r w:rsidRPr="00765260">
        <w:t xml:space="preserve">A new footnote relative to the protection of EESS and SRS passive was introduced </w:t>
      </w:r>
      <w:r w:rsidR="00DE69F8">
        <w:t xml:space="preserve">RR No </w:t>
      </w:r>
      <w:r w:rsidRPr="00765260">
        <w:t xml:space="preserve">345 (will become RR </w:t>
      </w:r>
      <w:r w:rsidR="00A316CD">
        <w:t>No.</w:t>
      </w:r>
      <w:r w:rsidRPr="00765260">
        <w:t xml:space="preserve">4.7) </w:t>
      </w:r>
    </w:p>
    <w:p w14:paraId="32CDD6C3" w14:textId="77777777" w:rsidR="00A316CD" w:rsidRDefault="00765260" w:rsidP="00A316CD">
      <w:pPr>
        <w:pStyle w:val="ECCBulletsLv1"/>
      </w:pPr>
      <w:r w:rsidRPr="00765260">
        <w:t>The prohibition of emission in certain bands were made (1 400-1 427 MHz (721), 2 690-2 700 MHz (768), 10.68-10.7 (833), 15.35-15.4 GHz (864), 23.6-24 GHz (880), 31.3-31.5 GHz (887), 48.94-49.04 GHz (905))</w:t>
      </w:r>
    </w:p>
    <w:p w14:paraId="09EEC418" w14:textId="12D99387" w:rsidR="0016072C" w:rsidRDefault="00A316CD" w:rsidP="0016072C">
      <w:pPr>
        <w:pStyle w:val="ECCBulletsLv1"/>
      </w:pPr>
      <w:r>
        <w:t>I</w:t>
      </w:r>
      <w:r w:rsidR="00765260" w:rsidRPr="00765260">
        <w:t>n all RAS bands where emission was prohibited</w:t>
      </w:r>
      <w:r w:rsidR="00350A23">
        <w:t xml:space="preserve">, </w:t>
      </w:r>
      <w:r w:rsidR="00765260" w:rsidRPr="00765260">
        <w:t xml:space="preserve">EESS and SRS (passive) were introduced. </w:t>
      </w:r>
    </w:p>
    <w:p w14:paraId="025ABF99" w14:textId="3ADAA1E2" w:rsidR="00A316CD" w:rsidRDefault="00A316CD" w:rsidP="0016072C">
      <w:pPr>
        <w:pStyle w:val="ECCBulletsLv1"/>
      </w:pPr>
      <w:r w:rsidRPr="00A316CD">
        <w:t xml:space="preserve">the footnote </w:t>
      </w:r>
      <w:r w:rsidR="00DE69F8">
        <w:t xml:space="preserve">RR No </w:t>
      </w:r>
      <w:r w:rsidR="0016072C" w:rsidRPr="00A316CD">
        <w:t>809</w:t>
      </w:r>
      <w:r w:rsidR="0016072C">
        <w:t xml:space="preserve"> </w:t>
      </w:r>
      <w:r w:rsidR="0016072C" w:rsidRPr="00A316CD">
        <w:t xml:space="preserve">(RR 5.458) </w:t>
      </w:r>
      <w:r w:rsidR="0016072C">
        <w:t>relative to SST measurement above ocean</w:t>
      </w:r>
      <w:r w:rsidRPr="00A316CD">
        <w:t xml:space="preserve"> was added.</w:t>
      </w:r>
    </w:p>
    <w:p w14:paraId="754E326C" w14:textId="70813DC8" w:rsidR="00350A23" w:rsidRDefault="00350A23" w:rsidP="00350A23">
      <w:pPr>
        <w:pStyle w:val="ECCBulletsLv1"/>
      </w:pPr>
      <w:r w:rsidRPr="00A316CD">
        <w:t xml:space="preserve">the footnote </w:t>
      </w:r>
      <w:r w:rsidR="00DE69F8">
        <w:t xml:space="preserve">RR No </w:t>
      </w:r>
      <w:r>
        <w:t xml:space="preserve">789 </w:t>
      </w:r>
      <w:r w:rsidRPr="00A316CD">
        <w:t>(RR 5.4</w:t>
      </w:r>
      <w:r w:rsidR="00C63C15">
        <w:t>37</w:t>
      </w:r>
      <w:r w:rsidRPr="00A316CD">
        <w:t xml:space="preserve">) </w:t>
      </w:r>
      <w:r>
        <w:t xml:space="preserve">relative to the authorization of </w:t>
      </w:r>
      <w:r w:rsidR="00B36856">
        <w:t xml:space="preserve">the </w:t>
      </w:r>
      <w:r>
        <w:t>usage of EESS passive in a secondary basis in the band 4.2-4.4 GHz was</w:t>
      </w:r>
      <w:r w:rsidRPr="00A316CD">
        <w:t xml:space="preserve"> </w:t>
      </w:r>
      <w:r>
        <w:t>introduced</w:t>
      </w:r>
      <w:r w:rsidRPr="00A316CD">
        <w:t>.</w:t>
      </w:r>
    </w:p>
    <w:p w14:paraId="52876A57" w14:textId="5E1DC60F" w:rsidR="00B26F59" w:rsidRDefault="00B26F59" w:rsidP="00B26F59">
      <w:pPr>
        <w:pStyle w:val="Heading2"/>
      </w:pPr>
      <w:r>
        <w:t>Proposal made during the WARC-79</w:t>
      </w:r>
    </w:p>
    <w:p w14:paraId="29BAE7C8" w14:textId="3A7C5BAC" w:rsidR="00A316CD" w:rsidRDefault="00A316CD" w:rsidP="00DF5DE5">
      <w:pPr>
        <w:pStyle w:val="ECCTabletext"/>
        <w:rPr>
          <w:lang w:val="da-DK"/>
        </w:rPr>
      </w:pPr>
    </w:p>
    <w:p w14:paraId="2D4CF700" w14:textId="3EFF4583" w:rsidR="00911F20" w:rsidRDefault="00911F20" w:rsidP="00DF5DE5">
      <w:pPr>
        <w:pStyle w:val="ECCTabletext"/>
      </w:pPr>
      <w:r>
        <w:t xml:space="preserve">During the WARC-79, one US document was presented </w:t>
      </w:r>
      <w:r w:rsidRPr="00911F20">
        <w:t>(Document No.437-E, October 1979)</w:t>
      </w:r>
      <w:r>
        <w:t xml:space="preserve">. This document </w:t>
      </w:r>
      <w:r w:rsidR="00DF5DE5">
        <w:t>provided some information concerning the remote sensing frequency allocations for spaceborne passive microwave sensors. The Document start with the following observation:</w:t>
      </w:r>
    </w:p>
    <w:p w14:paraId="621A920C" w14:textId="541C8DCB" w:rsidR="00DF5DE5" w:rsidRDefault="00DF5DE5" w:rsidP="00DF5DE5">
      <w:pPr>
        <w:pStyle w:val="ECCBulletsLv1"/>
      </w:pPr>
      <w:r>
        <w:t>“Every nation faces critical problems in managing its natural resources and protecting the quality of its environments”</w:t>
      </w:r>
    </w:p>
    <w:p w14:paraId="130B47F9" w14:textId="529F225E" w:rsidR="00DF5DE5" w:rsidRDefault="00DF5DE5" w:rsidP="00DF5DE5">
      <w:pPr>
        <w:pStyle w:val="ECCBulletsLv1"/>
      </w:pPr>
      <w:r>
        <w:t>“Supplies of energy, food and water must be nurtured and developed, land must be cultivated and protected, and the effects of natural disasters must be minimized.”</w:t>
      </w:r>
    </w:p>
    <w:p w14:paraId="5DC4BD0A" w14:textId="00E55A90" w:rsidR="00DF5DE5" w:rsidRDefault="00DF5DE5" w:rsidP="00DF5DE5">
      <w:pPr>
        <w:pStyle w:val="ECCBulletsLv1"/>
      </w:pPr>
      <w:r>
        <w:t>“The increasing demands on resources are international problems, from which no nation is immune. They cannot be solved alone by any country”</w:t>
      </w:r>
    </w:p>
    <w:p w14:paraId="21409E10" w14:textId="68BAB042" w:rsidR="00DF5DE5" w:rsidRDefault="00DF5DE5" w:rsidP="00DF5DE5">
      <w:pPr>
        <w:pStyle w:val="ECCBulletsLv1"/>
      </w:pPr>
      <w:r>
        <w:t>“Fortunately, the technological tools we need to help solve many of these problems are being developed”</w:t>
      </w:r>
    </w:p>
    <w:p w14:paraId="048B54D9" w14:textId="60A5E74A" w:rsidR="00DF5DE5" w:rsidRDefault="00DF5DE5" w:rsidP="00DF5DE5">
      <w:pPr>
        <w:pStyle w:val="ECCBulletsLv1"/>
      </w:pPr>
      <w:r>
        <w:t>“Today, all nations can benefit from technical innovations that help them understand and evaluate climate, weather, ocean effects and resources, land structure, geographical and geological characteristics and other scientific data important to environmental quality.”</w:t>
      </w:r>
    </w:p>
    <w:p w14:paraId="57A6F161" w14:textId="768D3D0C" w:rsidR="00DF5DE5" w:rsidRDefault="00EF52FA" w:rsidP="00EF52FA">
      <w:pPr>
        <w:pStyle w:val="ECCTabletext"/>
      </w:pPr>
      <w:r>
        <w:t>The document described, in a second step, the experience and success of remote sensing, particularly due to the usage of the data performed by the program LANDSAT</w:t>
      </w:r>
      <w:r w:rsidR="00777279">
        <w:t xml:space="preserve"> (Landsat 1, 2 and 3 sent respectively in July 1972, January 1975 and March 1978)</w:t>
      </w:r>
      <w:r>
        <w:t>.</w:t>
      </w:r>
    </w:p>
    <w:p w14:paraId="799EDFFC" w14:textId="5F03C639" w:rsidR="005C04BF" w:rsidRDefault="005C04BF" w:rsidP="00EF52FA">
      <w:pPr>
        <w:pStyle w:val="ECCTabletext"/>
      </w:pPr>
    </w:p>
    <w:p w14:paraId="2ED86654" w14:textId="08E3C1E0" w:rsidR="005C04BF" w:rsidRDefault="005C04BF" w:rsidP="00EF52FA">
      <w:pPr>
        <w:pStyle w:val="ECCTabletext"/>
      </w:pPr>
      <w:r>
        <w:t xml:space="preserve">In a last step, US </w:t>
      </w:r>
      <w:r w:rsidR="00D53738">
        <w:t xml:space="preserve">input </w:t>
      </w:r>
      <w:r>
        <w:t>explained that:</w:t>
      </w:r>
    </w:p>
    <w:p w14:paraId="4F572874" w14:textId="45A827F4" w:rsidR="005C04BF" w:rsidRDefault="005C04BF" w:rsidP="005C04BF">
      <w:pPr>
        <w:pStyle w:val="ECCBulletsLv1"/>
      </w:pPr>
      <w:r>
        <w:t>“The frequency requirements for remote microwave sensing must be satisfied if we are to continue its development and apply its full capabilities to the global problems we face now”</w:t>
      </w:r>
    </w:p>
    <w:p w14:paraId="5F1182BF" w14:textId="41490A77" w:rsidR="005C04BF" w:rsidRDefault="005C04BF" w:rsidP="005C04BF">
      <w:pPr>
        <w:pStyle w:val="ECCBulletsLv1"/>
      </w:pPr>
      <w:r>
        <w:t>“Unfortunately, the growth of land and satellite base communications has already begun to affect the efficiency of these measuring devices”</w:t>
      </w:r>
    </w:p>
    <w:p w14:paraId="38516158" w14:textId="70AF19F8" w:rsidR="005C04BF" w:rsidRDefault="005C04BF" w:rsidP="005C04BF">
      <w:pPr>
        <w:pStyle w:val="ECCBulletsLv1"/>
      </w:pPr>
      <w:r>
        <w:t>“Unless specific steps are taken to protect the frequencies at which sensors operate, their usefulness to all nation may be lost entirely”</w:t>
      </w:r>
    </w:p>
    <w:p w14:paraId="0884235A" w14:textId="2730E6F9" w:rsidR="005C04BF" w:rsidRDefault="005C04BF" w:rsidP="005C04BF">
      <w:pPr>
        <w:pStyle w:val="ECCBulletsLv1"/>
      </w:pPr>
      <w:r>
        <w:t>“U</w:t>
      </w:r>
      <w:r w:rsidRPr="005C04BF">
        <w:t xml:space="preserve">nless these frequencies are protected, the expansion of satellite and </w:t>
      </w:r>
      <w:r w:rsidR="00A24828" w:rsidRPr="005C04BF">
        <w:t>land-based</w:t>
      </w:r>
      <w:r w:rsidRPr="005C04BF">
        <w:t xml:space="preserve"> communications stations may make the continued development of microwave sensing and its use in conjunction with global Earth resource programs such as the LANDSAT program, impossible</w:t>
      </w:r>
      <w:r>
        <w:t>”</w:t>
      </w:r>
    </w:p>
    <w:p w14:paraId="2214090E" w14:textId="1A199BD3" w:rsidR="00A24828" w:rsidRDefault="00A24828" w:rsidP="00A24828">
      <w:pPr>
        <w:pStyle w:val="ECCBulletsLv1"/>
        <w:numPr>
          <w:ilvl w:val="0"/>
          <w:numId w:val="0"/>
        </w:numPr>
      </w:pPr>
    </w:p>
    <w:p w14:paraId="637BBE6C" w14:textId="115633B7" w:rsidR="00A24828" w:rsidRDefault="00A24828" w:rsidP="00A24828">
      <w:pPr>
        <w:pStyle w:val="ECCBulletsLv1"/>
        <w:numPr>
          <w:ilvl w:val="0"/>
          <w:numId w:val="0"/>
        </w:numPr>
      </w:pPr>
      <w:r>
        <w:t>At the end, US proposed two set</w:t>
      </w:r>
      <w:r w:rsidR="00197124">
        <w:t>s</w:t>
      </w:r>
      <w:r>
        <w:t xml:space="preserve"> of frequency bands</w:t>
      </w:r>
      <w:r w:rsidR="00197124">
        <w:t>, one for atmospheric measurements, where, in particular, the band 23.6-24GHz were proposed and a second sets for terrestrial measurement where the bands 6 425-</w:t>
      </w:r>
      <w:r w:rsidR="00197124">
        <w:lastRenderedPageBreak/>
        <w:t>7 125 MHz and 4.200-4.400 MHz were introduced with all other bands</w:t>
      </w:r>
      <w:r w:rsidR="003D2005">
        <w:t xml:space="preserve"> </w:t>
      </w:r>
      <w:r w:rsidR="00197124">
        <w:t>(i.e. 1.400-1427 MHz, 10.6- 10.7 GHz, 18.6-18.8 GHz)</w:t>
      </w:r>
    </w:p>
    <w:p w14:paraId="0677AE77" w14:textId="386CC96C" w:rsidR="00197124" w:rsidRDefault="00197124" w:rsidP="00A24828">
      <w:pPr>
        <w:pStyle w:val="ECCBulletsLv1"/>
        <w:numPr>
          <w:ilvl w:val="0"/>
          <w:numId w:val="0"/>
        </w:numPr>
      </w:pPr>
    </w:p>
    <w:p w14:paraId="71A541DC" w14:textId="5ADBA59F" w:rsidR="00550C50" w:rsidRDefault="00197124" w:rsidP="00A24828">
      <w:pPr>
        <w:pStyle w:val="ECCBulletsLv1"/>
        <w:numPr>
          <w:ilvl w:val="0"/>
          <w:numId w:val="0"/>
        </w:numPr>
      </w:pPr>
      <w:r>
        <w:t>Other administration</w:t>
      </w:r>
      <w:r w:rsidR="009A0B8F">
        <w:t>s</w:t>
      </w:r>
      <w:r>
        <w:t xml:space="preserve"> proposed during the same conference the introduction of some new passive band in the RR. The following table provides the </w:t>
      </w:r>
      <w:r w:rsidR="009A0B8F">
        <w:t xml:space="preserve">input to </w:t>
      </w:r>
      <w:r w:rsidR="001000B0">
        <w:t xml:space="preserve">WARC-79 of </w:t>
      </w:r>
      <w:r>
        <w:t xml:space="preserve">each administration in regards of each passive </w:t>
      </w:r>
      <w:r w:rsidR="005D5A6C">
        <w:t>band</w:t>
      </w:r>
      <w:r>
        <w:t xml:space="preserve"> </w:t>
      </w:r>
      <w:r w:rsidR="005D5A6C">
        <w:t>(limited to band below 60 GHz)</w:t>
      </w:r>
    </w:p>
    <w:p w14:paraId="376DA725" w14:textId="04B1FCE1" w:rsidR="00550C50" w:rsidRDefault="00550C50" w:rsidP="00A24828">
      <w:pPr>
        <w:pStyle w:val="ECCBulletsLv1"/>
        <w:numPr>
          <w:ilvl w:val="0"/>
          <w:numId w:val="0"/>
        </w:numPr>
      </w:pPr>
    </w:p>
    <w:p w14:paraId="6508A3B2" w14:textId="7021F91D" w:rsidR="00550C50" w:rsidRDefault="00550C50" w:rsidP="00550C50">
      <w:pPr>
        <w:pStyle w:val="ECCTableHeaderredfont"/>
      </w:pPr>
      <w:r>
        <w:t>Table 1: Support and allocation of EESS passive bands during WARC-29</w:t>
      </w:r>
    </w:p>
    <w:tbl>
      <w:tblPr>
        <w:tblW w:w="7796" w:type="dxa"/>
        <w:jc w:val="center"/>
        <w:tblCellMar>
          <w:left w:w="70" w:type="dxa"/>
          <w:right w:w="70" w:type="dxa"/>
        </w:tblCellMar>
        <w:tblLook w:val="0000" w:firstRow="0" w:lastRow="0" w:firstColumn="0" w:lastColumn="0" w:noHBand="0" w:noVBand="0"/>
      </w:tblPr>
      <w:tblGrid>
        <w:gridCol w:w="369"/>
        <w:gridCol w:w="834"/>
        <w:gridCol w:w="1179"/>
        <w:gridCol w:w="374"/>
        <w:gridCol w:w="375"/>
        <w:gridCol w:w="375"/>
        <w:gridCol w:w="375"/>
        <w:gridCol w:w="375"/>
        <w:gridCol w:w="464"/>
        <w:gridCol w:w="452"/>
        <w:gridCol w:w="452"/>
        <w:gridCol w:w="364"/>
        <w:gridCol w:w="452"/>
        <w:gridCol w:w="452"/>
        <w:gridCol w:w="452"/>
        <w:gridCol w:w="452"/>
      </w:tblGrid>
      <w:tr w:rsidR="00DF2CF8" w14:paraId="5F718BE4" w14:textId="77777777" w:rsidTr="00BA6A70">
        <w:trPr>
          <w:jc w:val="center"/>
        </w:trPr>
        <w:tc>
          <w:tcPr>
            <w:tcW w:w="1203" w:type="dxa"/>
            <w:gridSpan w:val="2"/>
            <w:vMerge w:val="restart"/>
            <w:tcBorders>
              <w:top w:val="single" w:sz="4" w:space="0" w:color="auto"/>
              <w:left w:val="single" w:sz="4" w:space="0" w:color="auto"/>
              <w:right w:val="single" w:sz="4" w:space="0" w:color="auto"/>
            </w:tcBorders>
          </w:tcPr>
          <w:p w14:paraId="76A66842" w14:textId="77777777" w:rsidR="00DF2CF8" w:rsidRPr="00DF2CF8" w:rsidRDefault="00DF2CF8" w:rsidP="00DF2CF8">
            <w:pPr>
              <w:pStyle w:val="ECCTablenote"/>
            </w:pPr>
          </w:p>
        </w:tc>
        <w:tc>
          <w:tcPr>
            <w:tcW w:w="1179" w:type="dxa"/>
            <w:vMerge w:val="restart"/>
            <w:tcBorders>
              <w:top w:val="single" w:sz="4" w:space="0" w:color="auto"/>
              <w:left w:val="single" w:sz="4" w:space="0" w:color="auto"/>
              <w:right w:val="single" w:sz="4" w:space="0" w:color="auto"/>
            </w:tcBorders>
          </w:tcPr>
          <w:p w14:paraId="68FAA8BB" w14:textId="77777777" w:rsidR="00DF2CF8" w:rsidRPr="00DF2CF8" w:rsidRDefault="00DF2CF8" w:rsidP="00DF2CF8">
            <w:pPr>
              <w:pStyle w:val="ECCTablenote"/>
            </w:pPr>
            <w:r w:rsidRPr="00DF2CF8">
              <w:t>Document of WARC-79</w:t>
            </w:r>
          </w:p>
        </w:tc>
        <w:tc>
          <w:tcPr>
            <w:tcW w:w="5414" w:type="dxa"/>
            <w:gridSpan w:val="13"/>
            <w:tcBorders>
              <w:top w:val="single" w:sz="4" w:space="0" w:color="auto"/>
              <w:left w:val="single" w:sz="4" w:space="0" w:color="auto"/>
              <w:bottom w:val="single" w:sz="4" w:space="0" w:color="auto"/>
              <w:right w:val="single" w:sz="4" w:space="0" w:color="auto"/>
            </w:tcBorders>
          </w:tcPr>
          <w:p w14:paraId="7327F867" w14:textId="77777777" w:rsidR="00DF2CF8" w:rsidRPr="00DF2CF8" w:rsidRDefault="00DF2CF8" w:rsidP="00DF2CF8">
            <w:pPr>
              <w:pStyle w:val="ECCTablenote"/>
            </w:pPr>
            <w:r w:rsidRPr="00DF2CF8">
              <w:t>Passive Bands (GHz)</w:t>
            </w:r>
          </w:p>
        </w:tc>
      </w:tr>
      <w:tr w:rsidR="00DF2CF8" w14:paraId="6E4A3A55" w14:textId="77777777" w:rsidTr="00BA6A70">
        <w:trPr>
          <w:jc w:val="center"/>
        </w:trPr>
        <w:tc>
          <w:tcPr>
            <w:tcW w:w="1203" w:type="dxa"/>
            <w:gridSpan w:val="2"/>
            <w:vMerge/>
            <w:tcBorders>
              <w:left w:val="single" w:sz="4" w:space="0" w:color="auto"/>
              <w:bottom w:val="single" w:sz="4" w:space="0" w:color="auto"/>
              <w:right w:val="single" w:sz="4" w:space="0" w:color="auto"/>
            </w:tcBorders>
          </w:tcPr>
          <w:p w14:paraId="22108910" w14:textId="77777777" w:rsidR="00DF2CF8" w:rsidRPr="00DF2CF8" w:rsidRDefault="00DF2CF8" w:rsidP="00DF2CF8">
            <w:pPr>
              <w:pStyle w:val="ECCTablenote"/>
            </w:pPr>
          </w:p>
        </w:tc>
        <w:tc>
          <w:tcPr>
            <w:tcW w:w="1179" w:type="dxa"/>
            <w:vMerge/>
            <w:tcBorders>
              <w:left w:val="single" w:sz="4" w:space="0" w:color="auto"/>
              <w:bottom w:val="single" w:sz="4" w:space="0" w:color="auto"/>
              <w:right w:val="single" w:sz="4" w:space="0" w:color="auto"/>
            </w:tcBorders>
          </w:tcPr>
          <w:p w14:paraId="6F66FF7B" w14:textId="77777777" w:rsidR="00DF2CF8" w:rsidRPr="00DF2CF8" w:rsidRDefault="00DF2CF8" w:rsidP="00DF2CF8">
            <w:pPr>
              <w:pStyle w:val="ECCTablenote"/>
            </w:pPr>
          </w:p>
        </w:tc>
        <w:tc>
          <w:tcPr>
            <w:tcW w:w="374" w:type="dxa"/>
            <w:tcBorders>
              <w:top w:val="single" w:sz="4" w:space="0" w:color="auto"/>
              <w:left w:val="single" w:sz="4" w:space="0" w:color="auto"/>
              <w:bottom w:val="single" w:sz="4" w:space="0" w:color="auto"/>
              <w:right w:val="single" w:sz="4" w:space="0" w:color="auto"/>
            </w:tcBorders>
          </w:tcPr>
          <w:p w14:paraId="5D63F543" w14:textId="77777777" w:rsidR="00DF2CF8" w:rsidRPr="00DF2CF8" w:rsidRDefault="00DF2CF8" w:rsidP="00DF2CF8">
            <w:pPr>
              <w:pStyle w:val="ECCTablenote"/>
            </w:pPr>
            <w:r w:rsidRPr="00DF2CF8">
              <w:t>1.4</w:t>
            </w:r>
          </w:p>
        </w:tc>
        <w:tc>
          <w:tcPr>
            <w:tcW w:w="375" w:type="dxa"/>
            <w:tcBorders>
              <w:top w:val="single" w:sz="4" w:space="0" w:color="auto"/>
              <w:left w:val="single" w:sz="4" w:space="0" w:color="auto"/>
              <w:bottom w:val="single" w:sz="4" w:space="0" w:color="auto"/>
              <w:right w:val="single" w:sz="4" w:space="0" w:color="auto"/>
            </w:tcBorders>
          </w:tcPr>
          <w:p w14:paraId="5EC4F49D" w14:textId="77777777" w:rsidR="00DF2CF8" w:rsidRPr="00DF2CF8" w:rsidRDefault="00DF2CF8" w:rsidP="00DF2CF8">
            <w:pPr>
              <w:pStyle w:val="ECCTablenote"/>
            </w:pPr>
            <w:r w:rsidRPr="00DF2CF8">
              <w:t>1.6</w:t>
            </w:r>
          </w:p>
        </w:tc>
        <w:tc>
          <w:tcPr>
            <w:tcW w:w="375" w:type="dxa"/>
            <w:tcBorders>
              <w:top w:val="single" w:sz="4" w:space="0" w:color="auto"/>
              <w:left w:val="single" w:sz="4" w:space="0" w:color="auto"/>
              <w:bottom w:val="single" w:sz="4" w:space="0" w:color="auto"/>
              <w:right w:val="single" w:sz="4" w:space="0" w:color="auto"/>
            </w:tcBorders>
          </w:tcPr>
          <w:p w14:paraId="44E90CBE" w14:textId="77777777" w:rsidR="00DF2CF8" w:rsidRPr="00DF2CF8" w:rsidRDefault="00DF2CF8" w:rsidP="00DF2CF8">
            <w:pPr>
              <w:pStyle w:val="ECCTablenote"/>
            </w:pPr>
            <w:r w:rsidRPr="00DF2CF8">
              <w:t>2.6</w:t>
            </w:r>
          </w:p>
        </w:tc>
        <w:tc>
          <w:tcPr>
            <w:tcW w:w="375" w:type="dxa"/>
            <w:tcBorders>
              <w:top w:val="single" w:sz="4" w:space="0" w:color="auto"/>
              <w:left w:val="single" w:sz="4" w:space="0" w:color="auto"/>
              <w:bottom w:val="single" w:sz="4" w:space="0" w:color="auto"/>
              <w:right w:val="single" w:sz="4" w:space="0" w:color="auto"/>
            </w:tcBorders>
          </w:tcPr>
          <w:p w14:paraId="3B9AA978" w14:textId="77777777" w:rsidR="00DF2CF8" w:rsidRPr="00DF2CF8" w:rsidRDefault="00DF2CF8" w:rsidP="00DF2CF8">
            <w:pPr>
              <w:pStyle w:val="ECCTablenote"/>
            </w:pPr>
            <w:r w:rsidRPr="00DF2CF8">
              <w:t>4.3</w:t>
            </w:r>
          </w:p>
        </w:tc>
        <w:tc>
          <w:tcPr>
            <w:tcW w:w="375" w:type="dxa"/>
            <w:tcBorders>
              <w:top w:val="single" w:sz="4" w:space="0" w:color="auto"/>
              <w:left w:val="single" w:sz="4" w:space="0" w:color="auto"/>
              <w:bottom w:val="single" w:sz="4" w:space="0" w:color="auto"/>
              <w:right w:val="single" w:sz="4" w:space="0" w:color="auto"/>
            </w:tcBorders>
          </w:tcPr>
          <w:p w14:paraId="37642F45" w14:textId="77777777" w:rsidR="00DF2CF8" w:rsidRPr="00DF2CF8" w:rsidRDefault="00DF2CF8" w:rsidP="00DF2CF8">
            <w:pPr>
              <w:pStyle w:val="ECCTablenote"/>
            </w:pPr>
            <w:r w:rsidRPr="00DF2CF8">
              <w:t>6.5</w:t>
            </w:r>
          </w:p>
        </w:tc>
        <w:tc>
          <w:tcPr>
            <w:tcW w:w="464" w:type="dxa"/>
            <w:tcBorders>
              <w:top w:val="single" w:sz="4" w:space="0" w:color="auto"/>
              <w:left w:val="single" w:sz="4" w:space="0" w:color="auto"/>
              <w:bottom w:val="single" w:sz="4" w:space="0" w:color="auto"/>
              <w:right w:val="single" w:sz="4" w:space="0" w:color="auto"/>
            </w:tcBorders>
          </w:tcPr>
          <w:p w14:paraId="19763945" w14:textId="6ACBECD1" w:rsidR="00DF2CF8" w:rsidRPr="00DF2CF8" w:rsidRDefault="00DF2CF8" w:rsidP="00DF2CF8">
            <w:pPr>
              <w:pStyle w:val="ECCTablenote"/>
            </w:pPr>
            <w:r w:rsidRPr="00DF2CF8">
              <w:t>10.6</w:t>
            </w:r>
          </w:p>
        </w:tc>
        <w:tc>
          <w:tcPr>
            <w:tcW w:w="452" w:type="dxa"/>
            <w:tcBorders>
              <w:top w:val="single" w:sz="4" w:space="0" w:color="auto"/>
              <w:left w:val="single" w:sz="4" w:space="0" w:color="auto"/>
              <w:bottom w:val="single" w:sz="4" w:space="0" w:color="auto"/>
              <w:right w:val="single" w:sz="4" w:space="0" w:color="auto"/>
            </w:tcBorders>
          </w:tcPr>
          <w:p w14:paraId="677FBF51" w14:textId="77777777" w:rsidR="00DF2CF8" w:rsidRPr="00DF2CF8" w:rsidRDefault="00DF2CF8" w:rsidP="00DF2CF8">
            <w:pPr>
              <w:pStyle w:val="ECCTablenote"/>
            </w:pPr>
            <w:r w:rsidRPr="00DF2CF8">
              <w:t>15.4</w:t>
            </w:r>
          </w:p>
        </w:tc>
        <w:tc>
          <w:tcPr>
            <w:tcW w:w="452" w:type="dxa"/>
            <w:tcBorders>
              <w:top w:val="single" w:sz="4" w:space="0" w:color="auto"/>
              <w:left w:val="single" w:sz="4" w:space="0" w:color="auto"/>
              <w:bottom w:val="single" w:sz="4" w:space="0" w:color="auto"/>
              <w:right w:val="single" w:sz="4" w:space="0" w:color="auto"/>
            </w:tcBorders>
          </w:tcPr>
          <w:p w14:paraId="2ADB698F" w14:textId="77777777" w:rsidR="00DF2CF8" w:rsidRPr="00DF2CF8" w:rsidRDefault="00DF2CF8" w:rsidP="00DF2CF8">
            <w:pPr>
              <w:pStyle w:val="ECCTablenote"/>
            </w:pPr>
            <w:r w:rsidRPr="00DF2CF8">
              <w:t>18.7</w:t>
            </w:r>
          </w:p>
        </w:tc>
        <w:tc>
          <w:tcPr>
            <w:tcW w:w="364" w:type="dxa"/>
            <w:tcBorders>
              <w:top w:val="single" w:sz="4" w:space="0" w:color="auto"/>
              <w:left w:val="single" w:sz="4" w:space="0" w:color="auto"/>
              <w:bottom w:val="single" w:sz="4" w:space="0" w:color="auto"/>
              <w:right w:val="single" w:sz="4" w:space="0" w:color="auto"/>
            </w:tcBorders>
          </w:tcPr>
          <w:p w14:paraId="3E6D5257" w14:textId="77777777" w:rsidR="00DF2CF8" w:rsidRPr="00DF2CF8" w:rsidRDefault="00DF2CF8" w:rsidP="00DF2CF8">
            <w:pPr>
              <w:pStyle w:val="ECCTablenote"/>
            </w:pPr>
            <w:r w:rsidRPr="00DF2CF8">
              <w:t>22</w:t>
            </w:r>
          </w:p>
        </w:tc>
        <w:tc>
          <w:tcPr>
            <w:tcW w:w="452" w:type="dxa"/>
            <w:tcBorders>
              <w:top w:val="single" w:sz="4" w:space="0" w:color="auto"/>
              <w:left w:val="single" w:sz="4" w:space="0" w:color="auto"/>
              <w:bottom w:val="single" w:sz="4" w:space="0" w:color="auto"/>
              <w:right w:val="single" w:sz="4" w:space="0" w:color="auto"/>
            </w:tcBorders>
          </w:tcPr>
          <w:p w14:paraId="02FCA0B6" w14:textId="77777777" w:rsidR="00DF2CF8" w:rsidRPr="00DF2CF8" w:rsidRDefault="00DF2CF8" w:rsidP="00DF2CF8">
            <w:pPr>
              <w:pStyle w:val="ECCTablenote"/>
            </w:pPr>
            <w:r w:rsidRPr="00DF2CF8">
              <w:t>23.6</w:t>
            </w:r>
          </w:p>
        </w:tc>
        <w:tc>
          <w:tcPr>
            <w:tcW w:w="452" w:type="dxa"/>
            <w:tcBorders>
              <w:top w:val="single" w:sz="4" w:space="0" w:color="auto"/>
              <w:left w:val="single" w:sz="4" w:space="0" w:color="auto"/>
              <w:bottom w:val="single" w:sz="4" w:space="0" w:color="auto"/>
              <w:right w:val="single" w:sz="4" w:space="0" w:color="auto"/>
            </w:tcBorders>
          </w:tcPr>
          <w:p w14:paraId="30AE1613" w14:textId="77777777" w:rsidR="00DF2CF8" w:rsidRPr="00DF2CF8" w:rsidRDefault="00DF2CF8" w:rsidP="00DF2CF8">
            <w:pPr>
              <w:pStyle w:val="ECCTablenote"/>
            </w:pPr>
            <w:r w:rsidRPr="00DF2CF8">
              <w:t>31.3</w:t>
            </w:r>
          </w:p>
        </w:tc>
        <w:tc>
          <w:tcPr>
            <w:tcW w:w="452" w:type="dxa"/>
            <w:tcBorders>
              <w:top w:val="single" w:sz="4" w:space="0" w:color="auto"/>
              <w:left w:val="single" w:sz="4" w:space="0" w:color="auto"/>
              <w:bottom w:val="single" w:sz="4" w:space="0" w:color="auto"/>
              <w:right w:val="single" w:sz="4" w:space="0" w:color="auto"/>
            </w:tcBorders>
          </w:tcPr>
          <w:p w14:paraId="219193F9" w14:textId="77777777" w:rsidR="00DF2CF8" w:rsidRPr="00DF2CF8" w:rsidRDefault="00DF2CF8" w:rsidP="00DF2CF8">
            <w:pPr>
              <w:pStyle w:val="ECCTablenote"/>
            </w:pPr>
            <w:r w:rsidRPr="00DF2CF8">
              <w:t>36.5</w:t>
            </w:r>
          </w:p>
        </w:tc>
        <w:tc>
          <w:tcPr>
            <w:tcW w:w="452" w:type="dxa"/>
            <w:tcBorders>
              <w:top w:val="single" w:sz="4" w:space="0" w:color="auto"/>
              <w:left w:val="single" w:sz="4" w:space="0" w:color="auto"/>
              <w:bottom w:val="single" w:sz="4" w:space="0" w:color="auto"/>
              <w:right w:val="single" w:sz="4" w:space="0" w:color="auto"/>
            </w:tcBorders>
          </w:tcPr>
          <w:p w14:paraId="68E6835B" w14:textId="77777777" w:rsidR="00DF2CF8" w:rsidRPr="00DF2CF8" w:rsidRDefault="00DF2CF8" w:rsidP="00DF2CF8">
            <w:pPr>
              <w:pStyle w:val="ECCTablenote"/>
            </w:pPr>
            <w:r w:rsidRPr="00DF2CF8">
              <w:t>50.3</w:t>
            </w:r>
          </w:p>
        </w:tc>
      </w:tr>
      <w:tr w:rsidR="00DF2CF8" w14:paraId="790BA903" w14:textId="77777777" w:rsidTr="00BA6A70">
        <w:trPr>
          <w:jc w:val="center"/>
        </w:trPr>
        <w:tc>
          <w:tcPr>
            <w:tcW w:w="369" w:type="dxa"/>
            <w:vMerge w:val="restart"/>
            <w:tcBorders>
              <w:top w:val="single" w:sz="4" w:space="0" w:color="auto"/>
              <w:left w:val="single" w:sz="4" w:space="0" w:color="auto"/>
              <w:right w:val="single" w:sz="4" w:space="0" w:color="auto"/>
            </w:tcBorders>
            <w:textDirection w:val="btLr"/>
          </w:tcPr>
          <w:p w14:paraId="30ACCDE2" w14:textId="77777777" w:rsidR="00DF2CF8" w:rsidRPr="00DF2CF8" w:rsidRDefault="00DF2CF8" w:rsidP="00DF2CF8">
            <w:pPr>
              <w:pStyle w:val="ECCTablenote"/>
            </w:pPr>
            <w:r w:rsidRPr="00DF2CF8">
              <w:t>Administrations</w:t>
            </w:r>
          </w:p>
        </w:tc>
        <w:tc>
          <w:tcPr>
            <w:tcW w:w="834" w:type="dxa"/>
            <w:tcBorders>
              <w:top w:val="single" w:sz="4" w:space="0" w:color="auto"/>
              <w:left w:val="single" w:sz="4" w:space="0" w:color="auto"/>
              <w:bottom w:val="single" w:sz="4" w:space="0" w:color="auto"/>
              <w:right w:val="single" w:sz="4" w:space="0" w:color="auto"/>
            </w:tcBorders>
          </w:tcPr>
          <w:p w14:paraId="70632C71" w14:textId="77777777" w:rsidR="00DF2CF8" w:rsidRPr="00DF2CF8" w:rsidRDefault="00DF2CF8" w:rsidP="00DF2CF8">
            <w:pPr>
              <w:pStyle w:val="ECCTablenote"/>
            </w:pPr>
            <w:r w:rsidRPr="00DF2CF8">
              <w:t>Argentina</w:t>
            </w:r>
          </w:p>
        </w:tc>
        <w:tc>
          <w:tcPr>
            <w:tcW w:w="1179" w:type="dxa"/>
            <w:tcBorders>
              <w:top w:val="single" w:sz="4" w:space="0" w:color="auto"/>
              <w:left w:val="single" w:sz="4" w:space="0" w:color="auto"/>
              <w:bottom w:val="single" w:sz="4" w:space="0" w:color="auto"/>
              <w:right w:val="single" w:sz="4" w:space="0" w:color="auto"/>
            </w:tcBorders>
          </w:tcPr>
          <w:p w14:paraId="27ACE6FC" w14:textId="77777777" w:rsidR="00DF2CF8" w:rsidRPr="00DF2CF8" w:rsidRDefault="00DF2CF8" w:rsidP="00DF2CF8">
            <w:pPr>
              <w:pStyle w:val="ECCTablenote"/>
            </w:pPr>
            <w:r w:rsidRPr="00DF2CF8">
              <w:t>No.14-E</w:t>
            </w:r>
          </w:p>
        </w:tc>
        <w:tc>
          <w:tcPr>
            <w:tcW w:w="374" w:type="dxa"/>
            <w:tcBorders>
              <w:top w:val="single" w:sz="4" w:space="0" w:color="auto"/>
              <w:left w:val="single" w:sz="4" w:space="0" w:color="auto"/>
              <w:bottom w:val="single" w:sz="4" w:space="0" w:color="auto"/>
              <w:right w:val="single" w:sz="4" w:space="0" w:color="auto"/>
            </w:tcBorders>
          </w:tcPr>
          <w:p w14:paraId="2F2615CF" w14:textId="77777777" w:rsidR="00DF2CF8" w:rsidRPr="00DF2CF8" w:rsidRDefault="00DF2CF8" w:rsidP="00DF2CF8">
            <w:pPr>
              <w:pStyle w:val="ECCTablenote"/>
              <w:rPr>
                <w:rStyle w:val="ECCHLgreen"/>
              </w:rPr>
            </w:pPr>
          </w:p>
        </w:tc>
        <w:tc>
          <w:tcPr>
            <w:tcW w:w="375" w:type="dxa"/>
            <w:tcBorders>
              <w:top w:val="single" w:sz="4" w:space="0" w:color="auto"/>
              <w:left w:val="single" w:sz="4" w:space="0" w:color="auto"/>
              <w:bottom w:val="single" w:sz="4" w:space="0" w:color="auto"/>
              <w:right w:val="single" w:sz="4" w:space="0" w:color="auto"/>
            </w:tcBorders>
          </w:tcPr>
          <w:p w14:paraId="631F6BE1" w14:textId="77777777" w:rsidR="00DF2CF8" w:rsidRPr="00DF2CF8" w:rsidRDefault="00DF2CF8" w:rsidP="00DF2CF8">
            <w:pPr>
              <w:pStyle w:val="ECCTablenote"/>
              <w:rPr>
                <w:rStyle w:val="ECCHLgreen"/>
              </w:rPr>
            </w:pPr>
          </w:p>
        </w:tc>
        <w:tc>
          <w:tcPr>
            <w:tcW w:w="375" w:type="dxa"/>
            <w:tcBorders>
              <w:top w:val="single" w:sz="4" w:space="0" w:color="auto"/>
              <w:left w:val="single" w:sz="4" w:space="0" w:color="auto"/>
              <w:bottom w:val="single" w:sz="4" w:space="0" w:color="auto"/>
              <w:right w:val="single" w:sz="4" w:space="0" w:color="auto"/>
            </w:tcBorders>
          </w:tcPr>
          <w:p w14:paraId="477A9418" w14:textId="77777777" w:rsidR="00DF2CF8" w:rsidRPr="00DF2CF8" w:rsidRDefault="00DF2CF8" w:rsidP="00DF2CF8">
            <w:pPr>
              <w:pStyle w:val="ECCTablenote"/>
              <w:rPr>
                <w:rStyle w:val="ECCHLgreen"/>
              </w:rPr>
            </w:pPr>
            <w:r w:rsidRPr="00DF2CF8">
              <w:rPr>
                <w:rStyle w:val="ECCHLgreen"/>
              </w:rPr>
              <w:t>X</w:t>
            </w:r>
          </w:p>
        </w:tc>
        <w:tc>
          <w:tcPr>
            <w:tcW w:w="375" w:type="dxa"/>
            <w:tcBorders>
              <w:top w:val="single" w:sz="4" w:space="0" w:color="auto"/>
              <w:left w:val="single" w:sz="4" w:space="0" w:color="auto"/>
              <w:bottom w:val="single" w:sz="4" w:space="0" w:color="auto"/>
              <w:right w:val="single" w:sz="4" w:space="0" w:color="auto"/>
            </w:tcBorders>
          </w:tcPr>
          <w:p w14:paraId="44903223" w14:textId="77777777" w:rsidR="00DF2CF8" w:rsidRPr="00DF2CF8" w:rsidRDefault="00DF2CF8" w:rsidP="00DF2CF8">
            <w:pPr>
              <w:pStyle w:val="ECCTablenote"/>
              <w:rPr>
                <w:rStyle w:val="ECCHLgreen"/>
              </w:rPr>
            </w:pPr>
          </w:p>
        </w:tc>
        <w:tc>
          <w:tcPr>
            <w:tcW w:w="375" w:type="dxa"/>
            <w:tcBorders>
              <w:top w:val="single" w:sz="4" w:space="0" w:color="auto"/>
              <w:left w:val="single" w:sz="4" w:space="0" w:color="auto"/>
              <w:bottom w:val="single" w:sz="4" w:space="0" w:color="auto"/>
              <w:right w:val="single" w:sz="4" w:space="0" w:color="auto"/>
            </w:tcBorders>
          </w:tcPr>
          <w:p w14:paraId="6AE04540" w14:textId="77777777" w:rsidR="00DF2CF8" w:rsidRPr="00DF2CF8" w:rsidRDefault="00DF2CF8" w:rsidP="00DF2CF8">
            <w:pPr>
              <w:pStyle w:val="ECCTablenote"/>
              <w:rPr>
                <w:rStyle w:val="ECCHLgreen"/>
              </w:rPr>
            </w:pPr>
          </w:p>
        </w:tc>
        <w:tc>
          <w:tcPr>
            <w:tcW w:w="464" w:type="dxa"/>
            <w:tcBorders>
              <w:top w:val="single" w:sz="4" w:space="0" w:color="auto"/>
              <w:left w:val="single" w:sz="4" w:space="0" w:color="auto"/>
              <w:bottom w:val="single" w:sz="4" w:space="0" w:color="auto"/>
              <w:right w:val="single" w:sz="4" w:space="0" w:color="auto"/>
            </w:tcBorders>
          </w:tcPr>
          <w:p w14:paraId="38CD8E9A" w14:textId="77777777" w:rsidR="00DF2CF8" w:rsidRPr="00DF2CF8" w:rsidRDefault="00DF2CF8" w:rsidP="00DF2CF8">
            <w:pPr>
              <w:pStyle w:val="ECCTablenote"/>
              <w:rPr>
                <w:rStyle w:val="ECCHLgreen"/>
              </w:rPr>
            </w:pPr>
          </w:p>
        </w:tc>
        <w:tc>
          <w:tcPr>
            <w:tcW w:w="452" w:type="dxa"/>
            <w:tcBorders>
              <w:top w:val="single" w:sz="4" w:space="0" w:color="auto"/>
              <w:left w:val="single" w:sz="4" w:space="0" w:color="auto"/>
              <w:bottom w:val="single" w:sz="4" w:space="0" w:color="auto"/>
              <w:right w:val="single" w:sz="4" w:space="0" w:color="auto"/>
            </w:tcBorders>
          </w:tcPr>
          <w:p w14:paraId="40E48894" w14:textId="77777777" w:rsidR="00DF2CF8" w:rsidRPr="00DF2CF8" w:rsidRDefault="00DF2CF8" w:rsidP="00DF2CF8">
            <w:pPr>
              <w:pStyle w:val="ECCTablenote"/>
              <w:rPr>
                <w:rStyle w:val="ECCHLgreen"/>
              </w:rPr>
            </w:pPr>
          </w:p>
        </w:tc>
        <w:tc>
          <w:tcPr>
            <w:tcW w:w="452" w:type="dxa"/>
            <w:tcBorders>
              <w:top w:val="single" w:sz="4" w:space="0" w:color="auto"/>
              <w:left w:val="single" w:sz="4" w:space="0" w:color="auto"/>
              <w:bottom w:val="single" w:sz="4" w:space="0" w:color="auto"/>
              <w:right w:val="single" w:sz="4" w:space="0" w:color="auto"/>
            </w:tcBorders>
          </w:tcPr>
          <w:p w14:paraId="1A587F6B" w14:textId="77777777" w:rsidR="00DF2CF8" w:rsidRPr="00DF2CF8" w:rsidRDefault="00DF2CF8" w:rsidP="00DF2CF8">
            <w:pPr>
              <w:pStyle w:val="ECCTablenote"/>
              <w:rPr>
                <w:rStyle w:val="ECCHLgreen"/>
              </w:rPr>
            </w:pPr>
          </w:p>
        </w:tc>
        <w:tc>
          <w:tcPr>
            <w:tcW w:w="364" w:type="dxa"/>
            <w:tcBorders>
              <w:top w:val="single" w:sz="4" w:space="0" w:color="auto"/>
              <w:left w:val="single" w:sz="4" w:space="0" w:color="auto"/>
              <w:bottom w:val="single" w:sz="4" w:space="0" w:color="auto"/>
              <w:right w:val="single" w:sz="4" w:space="0" w:color="auto"/>
            </w:tcBorders>
          </w:tcPr>
          <w:p w14:paraId="501CE3B1" w14:textId="77777777" w:rsidR="00DF2CF8" w:rsidRPr="00DF2CF8" w:rsidRDefault="00DF2CF8" w:rsidP="00DF2CF8">
            <w:pPr>
              <w:pStyle w:val="ECCTablenote"/>
              <w:rPr>
                <w:rStyle w:val="ECCHLgreen"/>
              </w:rPr>
            </w:pPr>
          </w:p>
        </w:tc>
        <w:tc>
          <w:tcPr>
            <w:tcW w:w="452" w:type="dxa"/>
            <w:tcBorders>
              <w:top w:val="single" w:sz="4" w:space="0" w:color="auto"/>
              <w:left w:val="single" w:sz="4" w:space="0" w:color="auto"/>
              <w:bottom w:val="single" w:sz="4" w:space="0" w:color="auto"/>
              <w:right w:val="single" w:sz="4" w:space="0" w:color="auto"/>
            </w:tcBorders>
          </w:tcPr>
          <w:p w14:paraId="7F57E380" w14:textId="77777777" w:rsidR="00DF2CF8" w:rsidRPr="00DF2CF8" w:rsidRDefault="00DF2CF8" w:rsidP="00DF2CF8">
            <w:pPr>
              <w:pStyle w:val="ECCTablenote"/>
              <w:rPr>
                <w:rStyle w:val="ECCHLgreen"/>
              </w:rPr>
            </w:pPr>
          </w:p>
        </w:tc>
        <w:tc>
          <w:tcPr>
            <w:tcW w:w="452" w:type="dxa"/>
            <w:tcBorders>
              <w:top w:val="single" w:sz="4" w:space="0" w:color="auto"/>
              <w:left w:val="single" w:sz="4" w:space="0" w:color="auto"/>
              <w:bottom w:val="single" w:sz="4" w:space="0" w:color="auto"/>
              <w:right w:val="single" w:sz="4" w:space="0" w:color="auto"/>
            </w:tcBorders>
          </w:tcPr>
          <w:p w14:paraId="69BF9C69" w14:textId="77777777" w:rsidR="00DF2CF8" w:rsidRPr="00DF2CF8" w:rsidRDefault="00DF2CF8" w:rsidP="00DF2CF8">
            <w:pPr>
              <w:pStyle w:val="ECCTablenote"/>
            </w:pPr>
          </w:p>
        </w:tc>
        <w:tc>
          <w:tcPr>
            <w:tcW w:w="452" w:type="dxa"/>
            <w:tcBorders>
              <w:top w:val="single" w:sz="4" w:space="0" w:color="auto"/>
              <w:left w:val="single" w:sz="4" w:space="0" w:color="auto"/>
              <w:bottom w:val="single" w:sz="4" w:space="0" w:color="auto"/>
              <w:right w:val="single" w:sz="4" w:space="0" w:color="auto"/>
            </w:tcBorders>
          </w:tcPr>
          <w:p w14:paraId="76E04C2C" w14:textId="77777777" w:rsidR="00DF2CF8" w:rsidRPr="00DF2CF8" w:rsidRDefault="00DF2CF8" w:rsidP="00DF2CF8">
            <w:pPr>
              <w:pStyle w:val="ECCTablenote"/>
            </w:pPr>
          </w:p>
        </w:tc>
        <w:tc>
          <w:tcPr>
            <w:tcW w:w="452" w:type="dxa"/>
            <w:tcBorders>
              <w:top w:val="single" w:sz="4" w:space="0" w:color="auto"/>
              <w:left w:val="single" w:sz="4" w:space="0" w:color="auto"/>
              <w:bottom w:val="single" w:sz="4" w:space="0" w:color="auto"/>
              <w:right w:val="single" w:sz="4" w:space="0" w:color="auto"/>
            </w:tcBorders>
          </w:tcPr>
          <w:p w14:paraId="15D720A2" w14:textId="77777777" w:rsidR="00DF2CF8" w:rsidRPr="00DF2CF8" w:rsidRDefault="00DF2CF8" w:rsidP="00DF2CF8">
            <w:pPr>
              <w:pStyle w:val="ECCTablenote"/>
            </w:pPr>
          </w:p>
        </w:tc>
      </w:tr>
      <w:tr w:rsidR="00DF2CF8" w14:paraId="1D0B91F7" w14:textId="77777777" w:rsidTr="00BA6A70">
        <w:trPr>
          <w:jc w:val="center"/>
        </w:trPr>
        <w:tc>
          <w:tcPr>
            <w:tcW w:w="369" w:type="dxa"/>
            <w:vMerge/>
            <w:tcBorders>
              <w:left w:val="single" w:sz="4" w:space="0" w:color="auto"/>
              <w:right w:val="single" w:sz="4" w:space="0" w:color="auto"/>
            </w:tcBorders>
          </w:tcPr>
          <w:p w14:paraId="4F5FC0D7" w14:textId="77777777" w:rsidR="00DF2CF8" w:rsidRPr="00DF2CF8" w:rsidRDefault="00DF2CF8" w:rsidP="00DF2CF8">
            <w:pPr>
              <w:pStyle w:val="ECCTablenote"/>
            </w:pPr>
          </w:p>
        </w:tc>
        <w:tc>
          <w:tcPr>
            <w:tcW w:w="834" w:type="dxa"/>
            <w:tcBorders>
              <w:top w:val="single" w:sz="4" w:space="0" w:color="auto"/>
              <w:left w:val="single" w:sz="4" w:space="0" w:color="auto"/>
              <w:bottom w:val="single" w:sz="4" w:space="0" w:color="auto"/>
              <w:right w:val="single" w:sz="4" w:space="0" w:color="auto"/>
            </w:tcBorders>
          </w:tcPr>
          <w:p w14:paraId="2775CF8C" w14:textId="77777777" w:rsidR="00DF2CF8" w:rsidRPr="00DF2CF8" w:rsidRDefault="00DF2CF8" w:rsidP="00DF2CF8">
            <w:pPr>
              <w:pStyle w:val="ECCTablenote"/>
            </w:pPr>
            <w:r w:rsidRPr="00DF2CF8">
              <w:t>Sweden</w:t>
            </w:r>
          </w:p>
        </w:tc>
        <w:tc>
          <w:tcPr>
            <w:tcW w:w="1179" w:type="dxa"/>
            <w:tcBorders>
              <w:top w:val="single" w:sz="4" w:space="0" w:color="auto"/>
              <w:left w:val="single" w:sz="4" w:space="0" w:color="auto"/>
              <w:bottom w:val="single" w:sz="4" w:space="0" w:color="auto"/>
              <w:right w:val="single" w:sz="4" w:space="0" w:color="auto"/>
            </w:tcBorders>
          </w:tcPr>
          <w:p w14:paraId="6DA806B9" w14:textId="77777777" w:rsidR="00DF2CF8" w:rsidRPr="00DF2CF8" w:rsidRDefault="00DF2CF8" w:rsidP="00DF2CF8">
            <w:pPr>
              <w:pStyle w:val="ECCTablenote"/>
            </w:pPr>
            <w:r w:rsidRPr="00DF2CF8">
              <w:t>No.15-E</w:t>
            </w:r>
          </w:p>
        </w:tc>
        <w:tc>
          <w:tcPr>
            <w:tcW w:w="374" w:type="dxa"/>
            <w:tcBorders>
              <w:top w:val="single" w:sz="4" w:space="0" w:color="auto"/>
              <w:left w:val="single" w:sz="4" w:space="0" w:color="auto"/>
              <w:bottom w:val="single" w:sz="4" w:space="0" w:color="auto"/>
              <w:right w:val="single" w:sz="4" w:space="0" w:color="auto"/>
            </w:tcBorders>
          </w:tcPr>
          <w:p w14:paraId="6216D161" w14:textId="77777777" w:rsidR="00DF2CF8" w:rsidRPr="00DF2CF8" w:rsidRDefault="00DF2CF8" w:rsidP="00DF2CF8">
            <w:pPr>
              <w:pStyle w:val="ECCTablenote"/>
              <w:rPr>
                <w:rStyle w:val="ECCHLgreen"/>
              </w:rPr>
            </w:pPr>
            <w:r w:rsidRPr="00DF2CF8">
              <w:rPr>
                <w:rStyle w:val="ECCHLgreen"/>
              </w:rPr>
              <w:t>X</w:t>
            </w:r>
          </w:p>
        </w:tc>
        <w:tc>
          <w:tcPr>
            <w:tcW w:w="375" w:type="dxa"/>
            <w:tcBorders>
              <w:top w:val="single" w:sz="4" w:space="0" w:color="auto"/>
              <w:left w:val="single" w:sz="4" w:space="0" w:color="auto"/>
              <w:bottom w:val="single" w:sz="4" w:space="0" w:color="auto"/>
              <w:right w:val="single" w:sz="4" w:space="0" w:color="auto"/>
            </w:tcBorders>
          </w:tcPr>
          <w:p w14:paraId="206B5EEA" w14:textId="77777777" w:rsidR="00DF2CF8" w:rsidRPr="00DF2CF8" w:rsidRDefault="00DF2CF8" w:rsidP="00DF2CF8">
            <w:pPr>
              <w:pStyle w:val="ECCTablenote"/>
              <w:rPr>
                <w:rStyle w:val="ECCHLgreen"/>
              </w:rPr>
            </w:pPr>
          </w:p>
        </w:tc>
        <w:tc>
          <w:tcPr>
            <w:tcW w:w="375" w:type="dxa"/>
            <w:tcBorders>
              <w:top w:val="single" w:sz="4" w:space="0" w:color="auto"/>
              <w:left w:val="single" w:sz="4" w:space="0" w:color="auto"/>
              <w:bottom w:val="single" w:sz="4" w:space="0" w:color="auto"/>
              <w:right w:val="single" w:sz="4" w:space="0" w:color="auto"/>
            </w:tcBorders>
          </w:tcPr>
          <w:p w14:paraId="52250755" w14:textId="77777777" w:rsidR="00DF2CF8" w:rsidRPr="00DF2CF8" w:rsidRDefault="00DF2CF8" w:rsidP="00DF2CF8">
            <w:pPr>
              <w:pStyle w:val="ECCTablenote"/>
              <w:rPr>
                <w:rStyle w:val="ECCHLgreen"/>
              </w:rPr>
            </w:pPr>
          </w:p>
        </w:tc>
        <w:tc>
          <w:tcPr>
            <w:tcW w:w="375" w:type="dxa"/>
            <w:tcBorders>
              <w:top w:val="single" w:sz="4" w:space="0" w:color="auto"/>
              <w:left w:val="single" w:sz="4" w:space="0" w:color="auto"/>
              <w:bottom w:val="single" w:sz="4" w:space="0" w:color="auto"/>
              <w:right w:val="single" w:sz="4" w:space="0" w:color="auto"/>
            </w:tcBorders>
          </w:tcPr>
          <w:p w14:paraId="719716ED" w14:textId="77777777" w:rsidR="00DF2CF8" w:rsidRPr="00DF2CF8" w:rsidRDefault="00DF2CF8" w:rsidP="00DF2CF8">
            <w:pPr>
              <w:pStyle w:val="ECCTablenote"/>
              <w:rPr>
                <w:rStyle w:val="ECCHLgreen"/>
              </w:rPr>
            </w:pPr>
          </w:p>
        </w:tc>
        <w:tc>
          <w:tcPr>
            <w:tcW w:w="375" w:type="dxa"/>
            <w:tcBorders>
              <w:top w:val="single" w:sz="4" w:space="0" w:color="auto"/>
              <w:left w:val="single" w:sz="4" w:space="0" w:color="auto"/>
              <w:bottom w:val="single" w:sz="4" w:space="0" w:color="auto"/>
              <w:right w:val="single" w:sz="4" w:space="0" w:color="auto"/>
            </w:tcBorders>
          </w:tcPr>
          <w:p w14:paraId="4C577423" w14:textId="77777777" w:rsidR="00DF2CF8" w:rsidRPr="00DF2CF8" w:rsidRDefault="00DF2CF8" w:rsidP="00DF2CF8">
            <w:pPr>
              <w:pStyle w:val="ECCTablenote"/>
              <w:rPr>
                <w:rStyle w:val="ECCHLgreen"/>
              </w:rPr>
            </w:pPr>
          </w:p>
        </w:tc>
        <w:tc>
          <w:tcPr>
            <w:tcW w:w="464" w:type="dxa"/>
            <w:tcBorders>
              <w:top w:val="single" w:sz="4" w:space="0" w:color="auto"/>
              <w:left w:val="single" w:sz="4" w:space="0" w:color="auto"/>
              <w:bottom w:val="single" w:sz="4" w:space="0" w:color="auto"/>
              <w:right w:val="single" w:sz="4" w:space="0" w:color="auto"/>
            </w:tcBorders>
          </w:tcPr>
          <w:p w14:paraId="520F4E3C" w14:textId="77777777" w:rsidR="00DF2CF8" w:rsidRPr="00DF2CF8" w:rsidRDefault="00DF2CF8" w:rsidP="00DF2CF8">
            <w:pPr>
              <w:pStyle w:val="ECCTablenote"/>
              <w:rPr>
                <w:rStyle w:val="ECCHLgreen"/>
              </w:rPr>
            </w:pPr>
          </w:p>
        </w:tc>
        <w:tc>
          <w:tcPr>
            <w:tcW w:w="452" w:type="dxa"/>
            <w:tcBorders>
              <w:top w:val="single" w:sz="4" w:space="0" w:color="auto"/>
              <w:left w:val="single" w:sz="4" w:space="0" w:color="auto"/>
              <w:bottom w:val="single" w:sz="4" w:space="0" w:color="auto"/>
              <w:right w:val="single" w:sz="4" w:space="0" w:color="auto"/>
            </w:tcBorders>
          </w:tcPr>
          <w:p w14:paraId="303946BD" w14:textId="77777777" w:rsidR="00DF2CF8" w:rsidRPr="00DF2CF8" w:rsidRDefault="00DF2CF8" w:rsidP="00DF2CF8">
            <w:pPr>
              <w:pStyle w:val="ECCTablenote"/>
              <w:rPr>
                <w:rStyle w:val="ECCHLgreen"/>
              </w:rPr>
            </w:pPr>
          </w:p>
        </w:tc>
        <w:tc>
          <w:tcPr>
            <w:tcW w:w="452" w:type="dxa"/>
            <w:tcBorders>
              <w:top w:val="single" w:sz="4" w:space="0" w:color="auto"/>
              <w:left w:val="single" w:sz="4" w:space="0" w:color="auto"/>
              <w:bottom w:val="single" w:sz="4" w:space="0" w:color="auto"/>
              <w:right w:val="single" w:sz="4" w:space="0" w:color="auto"/>
            </w:tcBorders>
          </w:tcPr>
          <w:p w14:paraId="205B8C91" w14:textId="77777777" w:rsidR="00DF2CF8" w:rsidRPr="00DF2CF8" w:rsidRDefault="00DF2CF8" w:rsidP="00DF2CF8">
            <w:pPr>
              <w:pStyle w:val="ECCTablenote"/>
              <w:rPr>
                <w:rStyle w:val="ECCHLgreen"/>
              </w:rPr>
            </w:pPr>
          </w:p>
        </w:tc>
        <w:tc>
          <w:tcPr>
            <w:tcW w:w="364" w:type="dxa"/>
            <w:tcBorders>
              <w:top w:val="single" w:sz="4" w:space="0" w:color="auto"/>
              <w:left w:val="single" w:sz="4" w:space="0" w:color="auto"/>
              <w:bottom w:val="single" w:sz="4" w:space="0" w:color="auto"/>
              <w:right w:val="single" w:sz="4" w:space="0" w:color="auto"/>
            </w:tcBorders>
          </w:tcPr>
          <w:p w14:paraId="732C4A39" w14:textId="77777777" w:rsidR="00DF2CF8" w:rsidRPr="00DF2CF8" w:rsidRDefault="00DF2CF8" w:rsidP="00DF2CF8">
            <w:pPr>
              <w:pStyle w:val="ECCTablenote"/>
              <w:rPr>
                <w:rStyle w:val="ECCHLgreen"/>
              </w:rPr>
            </w:pPr>
          </w:p>
        </w:tc>
        <w:tc>
          <w:tcPr>
            <w:tcW w:w="452" w:type="dxa"/>
            <w:tcBorders>
              <w:top w:val="single" w:sz="4" w:space="0" w:color="auto"/>
              <w:left w:val="single" w:sz="4" w:space="0" w:color="auto"/>
              <w:bottom w:val="single" w:sz="4" w:space="0" w:color="auto"/>
              <w:right w:val="single" w:sz="4" w:space="0" w:color="auto"/>
            </w:tcBorders>
          </w:tcPr>
          <w:p w14:paraId="05286BB7" w14:textId="77777777" w:rsidR="00DF2CF8" w:rsidRPr="00DF2CF8" w:rsidRDefault="00DF2CF8" w:rsidP="00DF2CF8">
            <w:pPr>
              <w:pStyle w:val="ECCTablenote"/>
              <w:rPr>
                <w:rStyle w:val="ECCHLgreen"/>
              </w:rPr>
            </w:pPr>
          </w:p>
        </w:tc>
        <w:tc>
          <w:tcPr>
            <w:tcW w:w="452" w:type="dxa"/>
            <w:tcBorders>
              <w:top w:val="single" w:sz="4" w:space="0" w:color="auto"/>
              <w:left w:val="single" w:sz="4" w:space="0" w:color="auto"/>
              <w:bottom w:val="single" w:sz="4" w:space="0" w:color="auto"/>
              <w:right w:val="single" w:sz="4" w:space="0" w:color="auto"/>
            </w:tcBorders>
          </w:tcPr>
          <w:p w14:paraId="7AB8FA75" w14:textId="77777777" w:rsidR="00DF2CF8" w:rsidRPr="00DF2CF8" w:rsidRDefault="00DF2CF8" w:rsidP="00DF2CF8">
            <w:pPr>
              <w:pStyle w:val="ECCTablenote"/>
            </w:pPr>
          </w:p>
        </w:tc>
        <w:tc>
          <w:tcPr>
            <w:tcW w:w="452" w:type="dxa"/>
            <w:tcBorders>
              <w:top w:val="single" w:sz="4" w:space="0" w:color="auto"/>
              <w:left w:val="single" w:sz="4" w:space="0" w:color="auto"/>
              <w:bottom w:val="single" w:sz="4" w:space="0" w:color="auto"/>
              <w:right w:val="single" w:sz="4" w:space="0" w:color="auto"/>
            </w:tcBorders>
          </w:tcPr>
          <w:p w14:paraId="256D5670" w14:textId="77777777" w:rsidR="00DF2CF8" w:rsidRPr="00DF2CF8" w:rsidRDefault="00DF2CF8" w:rsidP="00DF2CF8">
            <w:pPr>
              <w:pStyle w:val="ECCTablenote"/>
            </w:pPr>
          </w:p>
        </w:tc>
        <w:tc>
          <w:tcPr>
            <w:tcW w:w="452" w:type="dxa"/>
            <w:tcBorders>
              <w:top w:val="single" w:sz="4" w:space="0" w:color="auto"/>
              <w:left w:val="single" w:sz="4" w:space="0" w:color="auto"/>
              <w:bottom w:val="single" w:sz="4" w:space="0" w:color="auto"/>
              <w:right w:val="single" w:sz="4" w:space="0" w:color="auto"/>
            </w:tcBorders>
          </w:tcPr>
          <w:p w14:paraId="6E99CAF2" w14:textId="77777777" w:rsidR="00DF2CF8" w:rsidRPr="00DF2CF8" w:rsidRDefault="00DF2CF8" w:rsidP="00DF2CF8">
            <w:pPr>
              <w:pStyle w:val="ECCTablenote"/>
            </w:pPr>
          </w:p>
        </w:tc>
      </w:tr>
      <w:tr w:rsidR="00DF2CF8" w14:paraId="0F4E6259" w14:textId="77777777" w:rsidTr="00BA6A70">
        <w:trPr>
          <w:jc w:val="center"/>
        </w:trPr>
        <w:tc>
          <w:tcPr>
            <w:tcW w:w="369" w:type="dxa"/>
            <w:vMerge/>
            <w:tcBorders>
              <w:left w:val="single" w:sz="4" w:space="0" w:color="auto"/>
              <w:right w:val="single" w:sz="4" w:space="0" w:color="auto"/>
            </w:tcBorders>
          </w:tcPr>
          <w:p w14:paraId="5FEB6182" w14:textId="77777777" w:rsidR="00DF2CF8" w:rsidRPr="00DF2CF8" w:rsidRDefault="00DF2CF8" w:rsidP="00DF2CF8">
            <w:pPr>
              <w:pStyle w:val="ECCTablenote"/>
            </w:pPr>
          </w:p>
        </w:tc>
        <w:tc>
          <w:tcPr>
            <w:tcW w:w="834" w:type="dxa"/>
            <w:tcBorders>
              <w:top w:val="single" w:sz="4" w:space="0" w:color="auto"/>
              <w:left w:val="single" w:sz="4" w:space="0" w:color="auto"/>
              <w:bottom w:val="single" w:sz="4" w:space="0" w:color="auto"/>
              <w:right w:val="single" w:sz="4" w:space="0" w:color="auto"/>
            </w:tcBorders>
          </w:tcPr>
          <w:p w14:paraId="64089B94" w14:textId="77777777" w:rsidR="00DF2CF8" w:rsidRPr="00DF2CF8" w:rsidRDefault="00DF2CF8" w:rsidP="00DF2CF8">
            <w:pPr>
              <w:pStyle w:val="ECCTablenote"/>
            </w:pPr>
            <w:r w:rsidRPr="00DF2CF8">
              <w:t>Germany</w:t>
            </w:r>
          </w:p>
        </w:tc>
        <w:tc>
          <w:tcPr>
            <w:tcW w:w="1179" w:type="dxa"/>
            <w:tcBorders>
              <w:top w:val="single" w:sz="4" w:space="0" w:color="auto"/>
              <w:left w:val="single" w:sz="4" w:space="0" w:color="auto"/>
              <w:bottom w:val="single" w:sz="4" w:space="0" w:color="auto"/>
              <w:right w:val="single" w:sz="4" w:space="0" w:color="auto"/>
            </w:tcBorders>
          </w:tcPr>
          <w:p w14:paraId="3945776D" w14:textId="77777777" w:rsidR="00DF2CF8" w:rsidRPr="00DF2CF8" w:rsidRDefault="00DF2CF8" w:rsidP="00DF2CF8">
            <w:pPr>
              <w:pStyle w:val="ECCTablenote"/>
            </w:pPr>
            <w:r w:rsidRPr="00DF2CF8">
              <w:t>No.16-E</w:t>
            </w:r>
          </w:p>
        </w:tc>
        <w:tc>
          <w:tcPr>
            <w:tcW w:w="374" w:type="dxa"/>
            <w:tcBorders>
              <w:top w:val="single" w:sz="4" w:space="0" w:color="auto"/>
              <w:left w:val="single" w:sz="4" w:space="0" w:color="auto"/>
              <w:bottom w:val="single" w:sz="4" w:space="0" w:color="auto"/>
              <w:right w:val="single" w:sz="4" w:space="0" w:color="auto"/>
            </w:tcBorders>
          </w:tcPr>
          <w:p w14:paraId="39035156" w14:textId="77777777" w:rsidR="00DF2CF8" w:rsidRPr="00DF2CF8" w:rsidRDefault="00DF2CF8" w:rsidP="00DF2CF8">
            <w:pPr>
              <w:pStyle w:val="ECCTablenote"/>
              <w:rPr>
                <w:rStyle w:val="ECCHLgreen"/>
              </w:rPr>
            </w:pPr>
          </w:p>
        </w:tc>
        <w:tc>
          <w:tcPr>
            <w:tcW w:w="375" w:type="dxa"/>
            <w:tcBorders>
              <w:top w:val="single" w:sz="4" w:space="0" w:color="auto"/>
              <w:left w:val="single" w:sz="4" w:space="0" w:color="auto"/>
              <w:bottom w:val="single" w:sz="4" w:space="0" w:color="auto"/>
              <w:right w:val="single" w:sz="4" w:space="0" w:color="auto"/>
            </w:tcBorders>
          </w:tcPr>
          <w:p w14:paraId="4F5427AF" w14:textId="77777777" w:rsidR="00DF2CF8" w:rsidRPr="00DF2CF8" w:rsidRDefault="00DF2CF8" w:rsidP="00DF2CF8">
            <w:pPr>
              <w:pStyle w:val="ECCTablenote"/>
              <w:rPr>
                <w:rStyle w:val="ECCHLgreen"/>
              </w:rPr>
            </w:pPr>
          </w:p>
        </w:tc>
        <w:tc>
          <w:tcPr>
            <w:tcW w:w="375" w:type="dxa"/>
            <w:tcBorders>
              <w:top w:val="single" w:sz="4" w:space="0" w:color="auto"/>
              <w:left w:val="single" w:sz="4" w:space="0" w:color="auto"/>
              <w:bottom w:val="single" w:sz="4" w:space="0" w:color="auto"/>
              <w:right w:val="single" w:sz="4" w:space="0" w:color="auto"/>
            </w:tcBorders>
          </w:tcPr>
          <w:p w14:paraId="6A833D70" w14:textId="77777777" w:rsidR="00DF2CF8" w:rsidRPr="00DF2CF8" w:rsidRDefault="00DF2CF8" w:rsidP="00DF2CF8">
            <w:pPr>
              <w:pStyle w:val="ECCTablenote"/>
              <w:rPr>
                <w:rStyle w:val="ECCHLgreen"/>
              </w:rPr>
            </w:pPr>
          </w:p>
        </w:tc>
        <w:tc>
          <w:tcPr>
            <w:tcW w:w="375" w:type="dxa"/>
            <w:tcBorders>
              <w:top w:val="single" w:sz="4" w:space="0" w:color="auto"/>
              <w:left w:val="single" w:sz="4" w:space="0" w:color="auto"/>
              <w:bottom w:val="single" w:sz="4" w:space="0" w:color="auto"/>
              <w:right w:val="single" w:sz="4" w:space="0" w:color="auto"/>
            </w:tcBorders>
          </w:tcPr>
          <w:p w14:paraId="47D8DBDC" w14:textId="77777777" w:rsidR="00DF2CF8" w:rsidRPr="00DF2CF8" w:rsidRDefault="00DF2CF8" w:rsidP="00DF2CF8">
            <w:pPr>
              <w:pStyle w:val="ECCTablenote"/>
              <w:rPr>
                <w:rStyle w:val="ECCHLgreen"/>
              </w:rPr>
            </w:pPr>
          </w:p>
        </w:tc>
        <w:tc>
          <w:tcPr>
            <w:tcW w:w="375" w:type="dxa"/>
            <w:tcBorders>
              <w:top w:val="single" w:sz="4" w:space="0" w:color="auto"/>
              <w:left w:val="single" w:sz="4" w:space="0" w:color="auto"/>
              <w:bottom w:val="single" w:sz="4" w:space="0" w:color="auto"/>
              <w:right w:val="single" w:sz="4" w:space="0" w:color="auto"/>
            </w:tcBorders>
          </w:tcPr>
          <w:p w14:paraId="65776F85" w14:textId="77777777" w:rsidR="00DF2CF8" w:rsidRPr="00DF2CF8" w:rsidRDefault="00DF2CF8" w:rsidP="00DF2CF8">
            <w:pPr>
              <w:pStyle w:val="ECCTablenote"/>
              <w:rPr>
                <w:rStyle w:val="ECCHLgreen"/>
              </w:rPr>
            </w:pPr>
          </w:p>
        </w:tc>
        <w:tc>
          <w:tcPr>
            <w:tcW w:w="464" w:type="dxa"/>
            <w:tcBorders>
              <w:top w:val="single" w:sz="4" w:space="0" w:color="auto"/>
              <w:left w:val="single" w:sz="4" w:space="0" w:color="auto"/>
              <w:bottom w:val="single" w:sz="4" w:space="0" w:color="auto"/>
              <w:right w:val="single" w:sz="4" w:space="0" w:color="auto"/>
            </w:tcBorders>
          </w:tcPr>
          <w:p w14:paraId="31FE3109"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7FABF970" w14:textId="77777777" w:rsidR="00DF2CF8" w:rsidRPr="00DF2CF8" w:rsidRDefault="00DF2CF8" w:rsidP="00DF2CF8">
            <w:pPr>
              <w:pStyle w:val="ECCTablenote"/>
              <w:rPr>
                <w:rStyle w:val="ECCHLgreen"/>
              </w:rPr>
            </w:pPr>
          </w:p>
        </w:tc>
        <w:tc>
          <w:tcPr>
            <w:tcW w:w="452" w:type="dxa"/>
            <w:tcBorders>
              <w:top w:val="single" w:sz="4" w:space="0" w:color="auto"/>
              <w:left w:val="single" w:sz="4" w:space="0" w:color="auto"/>
              <w:bottom w:val="single" w:sz="4" w:space="0" w:color="auto"/>
              <w:right w:val="single" w:sz="4" w:space="0" w:color="auto"/>
            </w:tcBorders>
          </w:tcPr>
          <w:p w14:paraId="038D2F5C" w14:textId="77777777" w:rsidR="00DF2CF8" w:rsidRPr="00DF2CF8" w:rsidRDefault="00DF2CF8" w:rsidP="00DF2CF8">
            <w:pPr>
              <w:pStyle w:val="ECCTablenote"/>
              <w:rPr>
                <w:rStyle w:val="ECCHLgreen"/>
              </w:rPr>
            </w:pPr>
          </w:p>
        </w:tc>
        <w:tc>
          <w:tcPr>
            <w:tcW w:w="364" w:type="dxa"/>
            <w:tcBorders>
              <w:top w:val="single" w:sz="4" w:space="0" w:color="auto"/>
              <w:left w:val="single" w:sz="4" w:space="0" w:color="auto"/>
              <w:bottom w:val="single" w:sz="4" w:space="0" w:color="auto"/>
              <w:right w:val="single" w:sz="4" w:space="0" w:color="auto"/>
            </w:tcBorders>
          </w:tcPr>
          <w:p w14:paraId="5A5E7EAA"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762E19F8"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61A7339B" w14:textId="77777777" w:rsidR="00DF2CF8" w:rsidRPr="00DF2CF8" w:rsidRDefault="00DF2CF8" w:rsidP="00DF2CF8">
            <w:pPr>
              <w:pStyle w:val="ECCTablenote"/>
            </w:pPr>
          </w:p>
        </w:tc>
        <w:tc>
          <w:tcPr>
            <w:tcW w:w="452" w:type="dxa"/>
            <w:tcBorders>
              <w:top w:val="single" w:sz="4" w:space="0" w:color="auto"/>
              <w:left w:val="single" w:sz="4" w:space="0" w:color="auto"/>
              <w:bottom w:val="single" w:sz="4" w:space="0" w:color="auto"/>
              <w:right w:val="single" w:sz="4" w:space="0" w:color="auto"/>
            </w:tcBorders>
          </w:tcPr>
          <w:p w14:paraId="6673AC87" w14:textId="77777777" w:rsidR="00DF2CF8" w:rsidRPr="00DF2CF8" w:rsidRDefault="00DF2CF8" w:rsidP="00DF2CF8">
            <w:pPr>
              <w:pStyle w:val="ECCTablenote"/>
            </w:pPr>
          </w:p>
        </w:tc>
        <w:tc>
          <w:tcPr>
            <w:tcW w:w="452" w:type="dxa"/>
            <w:tcBorders>
              <w:top w:val="single" w:sz="4" w:space="0" w:color="auto"/>
              <w:left w:val="single" w:sz="4" w:space="0" w:color="auto"/>
              <w:bottom w:val="single" w:sz="4" w:space="0" w:color="auto"/>
              <w:right w:val="single" w:sz="4" w:space="0" w:color="auto"/>
            </w:tcBorders>
          </w:tcPr>
          <w:p w14:paraId="7EAEB478" w14:textId="77777777" w:rsidR="00DF2CF8" w:rsidRPr="00DF2CF8" w:rsidRDefault="00DF2CF8" w:rsidP="00DF2CF8">
            <w:pPr>
              <w:pStyle w:val="ECCTablenote"/>
            </w:pPr>
          </w:p>
        </w:tc>
      </w:tr>
      <w:tr w:rsidR="00DF2CF8" w14:paraId="5EBD4AE3" w14:textId="77777777" w:rsidTr="00BA6A70">
        <w:trPr>
          <w:jc w:val="center"/>
        </w:trPr>
        <w:tc>
          <w:tcPr>
            <w:tcW w:w="369" w:type="dxa"/>
            <w:vMerge/>
            <w:tcBorders>
              <w:left w:val="single" w:sz="4" w:space="0" w:color="auto"/>
              <w:right w:val="single" w:sz="4" w:space="0" w:color="auto"/>
            </w:tcBorders>
          </w:tcPr>
          <w:p w14:paraId="4D1FA275" w14:textId="77777777" w:rsidR="00DF2CF8" w:rsidRPr="00DF2CF8" w:rsidRDefault="00DF2CF8" w:rsidP="00DF2CF8">
            <w:pPr>
              <w:pStyle w:val="ECCTablenote"/>
            </w:pPr>
          </w:p>
        </w:tc>
        <w:tc>
          <w:tcPr>
            <w:tcW w:w="834" w:type="dxa"/>
            <w:tcBorders>
              <w:top w:val="single" w:sz="4" w:space="0" w:color="auto"/>
              <w:left w:val="single" w:sz="4" w:space="0" w:color="auto"/>
              <w:bottom w:val="single" w:sz="4" w:space="0" w:color="auto"/>
              <w:right w:val="single" w:sz="4" w:space="0" w:color="auto"/>
            </w:tcBorders>
          </w:tcPr>
          <w:p w14:paraId="51A85033" w14:textId="77777777" w:rsidR="00DF2CF8" w:rsidRPr="00DF2CF8" w:rsidRDefault="00DF2CF8" w:rsidP="00DF2CF8">
            <w:pPr>
              <w:pStyle w:val="ECCTablenote"/>
            </w:pPr>
            <w:r w:rsidRPr="00DF2CF8">
              <w:t>PNG</w:t>
            </w:r>
          </w:p>
        </w:tc>
        <w:tc>
          <w:tcPr>
            <w:tcW w:w="1179" w:type="dxa"/>
            <w:tcBorders>
              <w:top w:val="single" w:sz="4" w:space="0" w:color="auto"/>
              <w:left w:val="single" w:sz="4" w:space="0" w:color="auto"/>
              <w:bottom w:val="single" w:sz="4" w:space="0" w:color="auto"/>
              <w:right w:val="single" w:sz="4" w:space="0" w:color="auto"/>
            </w:tcBorders>
          </w:tcPr>
          <w:p w14:paraId="41198B5F" w14:textId="77777777" w:rsidR="00DF2CF8" w:rsidRPr="00DF2CF8" w:rsidRDefault="00DF2CF8" w:rsidP="00DF2CF8">
            <w:pPr>
              <w:pStyle w:val="ECCTablenote"/>
            </w:pPr>
            <w:r w:rsidRPr="00DF2CF8">
              <w:t>No.39A-E</w:t>
            </w:r>
          </w:p>
        </w:tc>
        <w:tc>
          <w:tcPr>
            <w:tcW w:w="374" w:type="dxa"/>
            <w:tcBorders>
              <w:top w:val="single" w:sz="4" w:space="0" w:color="auto"/>
              <w:left w:val="single" w:sz="4" w:space="0" w:color="auto"/>
              <w:bottom w:val="single" w:sz="4" w:space="0" w:color="auto"/>
              <w:right w:val="single" w:sz="4" w:space="0" w:color="auto"/>
            </w:tcBorders>
          </w:tcPr>
          <w:p w14:paraId="0C0482FF" w14:textId="77777777" w:rsidR="00DF2CF8" w:rsidRPr="00DF2CF8" w:rsidRDefault="00DF2CF8" w:rsidP="00DF2CF8">
            <w:pPr>
              <w:pStyle w:val="ECCTablenote"/>
              <w:rPr>
                <w:rStyle w:val="ECCHLgreen"/>
              </w:rPr>
            </w:pPr>
          </w:p>
        </w:tc>
        <w:tc>
          <w:tcPr>
            <w:tcW w:w="375" w:type="dxa"/>
            <w:tcBorders>
              <w:top w:val="single" w:sz="4" w:space="0" w:color="auto"/>
              <w:left w:val="single" w:sz="4" w:space="0" w:color="auto"/>
              <w:bottom w:val="single" w:sz="4" w:space="0" w:color="auto"/>
              <w:right w:val="single" w:sz="4" w:space="0" w:color="auto"/>
            </w:tcBorders>
          </w:tcPr>
          <w:p w14:paraId="24222F0E" w14:textId="77777777" w:rsidR="00DF2CF8" w:rsidRPr="00DF2CF8" w:rsidRDefault="00DF2CF8" w:rsidP="00DF2CF8">
            <w:pPr>
              <w:pStyle w:val="ECCTablenote"/>
              <w:rPr>
                <w:rStyle w:val="ECCHLgreen"/>
              </w:rPr>
            </w:pPr>
            <w:r w:rsidRPr="00DF2CF8">
              <w:rPr>
                <w:rStyle w:val="ECCHLgreen"/>
              </w:rPr>
              <w:t>X</w:t>
            </w:r>
          </w:p>
        </w:tc>
        <w:tc>
          <w:tcPr>
            <w:tcW w:w="375" w:type="dxa"/>
            <w:tcBorders>
              <w:top w:val="single" w:sz="4" w:space="0" w:color="auto"/>
              <w:left w:val="single" w:sz="4" w:space="0" w:color="auto"/>
              <w:bottom w:val="single" w:sz="4" w:space="0" w:color="auto"/>
              <w:right w:val="single" w:sz="4" w:space="0" w:color="auto"/>
            </w:tcBorders>
          </w:tcPr>
          <w:p w14:paraId="4E73EB53" w14:textId="77777777" w:rsidR="00DF2CF8" w:rsidRPr="00DF2CF8" w:rsidRDefault="00DF2CF8" w:rsidP="00DF2CF8">
            <w:pPr>
              <w:pStyle w:val="ECCTablenote"/>
              <w:rPr>
                <w:rStyle w:val="ECCHLgreen"/>
              </w:rPr>
            </w:pPr>
          </w:p>
        </w:tc>
        <w:tc>
          <w:tcPr>
            <w:tcW w:w="375" w:type="dxa"/>
            <w:tcBorders>
              <w:top w:val="single" w:sz="4" w:space="0" w:color="auto"/>
              <w:left w:val="single" w:sz="4" w:space="0" w:color="auto"/>
              <w:bottom w:val="single" w:sz="4" w:space="0" w:color="auto"/>
              <w:right w:val="single" w:sz="4" w:space="0" w:color="auto"/>
            </w:tcBorders>
          </w:tcPr>
          <w:p w14:paraId="5017B4AE" w14:textId="77777777" w:rsidR="00DF2CF8" w:rsidRPr="00DF2CF8" w:rsidRDefault="00DF2CF8" w:rsidP="00DF2CF8">
            <w:pPr>
              <w:pStyle w:val="ECCTablenote"/>
              <w:rPr>
                <w:rStyle w:val="ECCHLgreen"/>
              </w:rPr>
            </w:pPr>
          </w:p>
        </w:tc>
        <w:tc>
          <w:tcPr>
            <w:tcW w:w="375" w:type="dxa"/>
            <w:tcBorders>
              <w:top w:val="single" w:sz="4" w:space="0" w:color="auto"/>
              <w:left w:val="single" w:sz="4" w:space="0" w:color="auto"/>
              <w:bottom w:val="single" w:sz="4" w:space="0" w:color="auto"/>
              <w:right w:val="single" w:sz="4" w:space="0" w:color="auto"/>
            </w:tcBorders>
          </w:tcPr>
          <w:p w14:paraId="387B55C5" w14:textId="77777777" w:rsidR="00DF2CF8" w:rsidRPr="00DF2CF8" w:rsidRDefault="00DF2CF8" w:rsidP="00DF2CF8">
            <w:pPr>
              <w:pStyle w:val="ECCTablenote"/>
              <w:rPr>
                <w:rStyle w:val="ECCHLgreen"/>
              </w:rPr>
            </w:pPr>
          </w:p>
        </w:tc>
        <w:tc>
          <w:tcPr>
            <w:tcW w:w="464" w:type="dxa"/>
            <w:tcBorders>
              <w:top w:val="single" w:sz="4" w:space="0" w:color="auto"/>
              <w:left w:val="single" w:sz="4" w:space="0" w:color="auto"/>
              <w:bottom w:val="single" w:sz="4" w:space="0" w:color="auto"/>
              <w:right w:val="single" w:sz="4" w:space="0" w:color="auto"/>
            </w:tcBorders>
          </w:tcPr>
          <w:p w14:paraId="6E96493F"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1684D832" w14:textId="77777777" w:rsidR="00DF2CF8" w:rsidRPr="00DF2CF8" w:rsidRDefault="00DF2CF8" w:rsidP="00DF2CF8">
            <w:pPr>
              <w:pStyle w:val="ECCTablenote"/>
              <w:rPr>
                <w:rStyle w:val="ECCHLgreen"/>
              </w:rPr>
            </w:pPr>
          </w:p>
        </w:tc>
        <w:tc>
          <w:tcPr>
            <w:tcW w:w="452" w:type="dxa"/>
            <w:tcBorders>
              <w:top w:val="single" w:sz="4" w:space="0" w:color="auto"/>
              <w:left w:val="single" w:sz="4" w:space="0" w:color="auto"/>
              <w:bottom w:val="single" w:sz="4" w:space="0" w:color="auto"/>
              <w:right w:val="single" w:sz="4" w:space="0" w:color="auto"/>
            </w:tcBorders>
          </w:tcPr>
          <w:p w14:paraId="0166B5A2" w14:textId="77777777" w:rsidR="00DF2CF8" w:rsidRPr="00DF2CF8" w:rsidRDefault="00DF2CF8" w:rsidP="00DF2CF8">
            <w:pPr>
              <w:pStyle w:val="ECCTablenote"/>
              <w:rPr>
                <w:rStyle w:val="ECCHLgreen"/>
              </w:rPr>
            </w:pPr>
          </w:p>
        </w:tc>
        <w:tc>
          <w:tcPr>
            <w:tcW w:w="364" w:type="dxa"/>
            <w:tcBorders>
              <w:top w:val="single" w:sz="4" w:space="0" w:color="auto"/>
              <w:left w:val="single" w:sz="4" w:space="0" w:color="auto"/>
              <w:bottom w:val="single" w:sz="4" w:space="0" w:color="auto"/>
              <w:right w:val="single" w:sz="4" w:space="0" w:color="auto"/>
            </w:tcBorders>
          </w:tcPr>
          <w:p w14:paraId="5C52B58E" w14:textId="77777777" w:rsidR="00DF2CF8" w:rsidRPr="00DF2CF8" w:rsidRDefault="00DF2CF8" w:rsidP="00DF2CF8">
            <w:pPr>
              <w:pStyle w:val="ECCTablenote"/>
              <w:rPr>
                <w:rStyle w:val="ECCHLgreen"/>
              </w:rPr>
            </w:pPr>
          </w:p>
        </w:tc>
        <w:tc>
          <w:tcPr>
            <w:tcW w:w="452" w:type="dxa"/>
            <w:tcBorders>
              <w:top w:val="single" w:sz="4" w:space="0" w:color="auto"/>
              <w:left w:val="single" w:sz="4" w:space="0" w:color="auto"/>
              <w:bottom w:val="single" w:sz="4" w:space="0" w:color="auto"/>
              <w:right w:val="single" w:sz="4" w:space="0" w:color="auto"/>
            </w:tcBorders>
          </w:tcPr>
          <w:p w14:paraId="6C0C0125" w14:textId="77777777" w:rsidR="00DF2CF8" w:rsidRPr="00DF2CF8" w:rsidRDefault="00DF2CF8" w:rsidP="00DF2CF8">
            <w:pPr>
              <w:pStyle w:val="ECCTablenote"/>
              <w:rPr>
                <w:rStyle w:val="ECCHLgreen"/>
              </w:rPr>
            </w:pPr>
          </w:p>
        </w:tc>
        <w:tc>
          <w:tcPr>
            <w:tcW w:w="452" w:type="dxa"/>
            <w:tcBorders>
              <w:top w:val="single" w:sz="4" w:space="0" w:color="auto"/>
              <w:left w:val="single" w:sz="4" w:space="0" w:color="auto"/>
              <w:bottom w:val="single" w:sz="4" w:space="0" w:color="auto"/>
              <w:right w:val="single" w:sz="4" w:space="0" w:color="auto"/>
            </w:tcBorders>
          </w:tcPr>
          <w:p w14:paraId="2394D7B6" w14:textId="77777777" w:rsidR="00DF2CF8" w:rsidRPr="00DF2CF8" w:rsidRDefault="00DF2CF8" w:rsidP="00DF2CF8">
            <w:pPr>
              <w:pStyle w:val="ECCTablenote"/>
            </w:pPr>
          </w:p>
        </w:tc>
        <w:tc>
          <w:tcPr>
            <w:tcW w:w="452" w:type="dxa"/>
            <w:tcBorders>
              <w:top w:val="single" w:sz="4" w:space="0" w:color="auto"/>
              <w:left w:val="single" w:sz="4" w:space="0" w:color="auto"/>
              <w:bottom w:val="single" w:sz="4" w:space="0" w:color="auto"/>
              <w:right w:val="single" w:sz="4" w:space="0" w:color="auto"/>
            </w:tcBorders>
          </w:tcPr>
          <w:p w14:paraId="202430EB" w14:textId="77777777" w:rsidR="00DF2CF8" w:rsidRPr="00DF2CF8" w:rsidRDefault="00DF2CF8" w:rsidP="00DF2CF8">
            <w:pPr>
              <w:pStyle w:val="ECCTablenote"/>
            </w:pPr>
          </w:p>
        </w:tc>
        <w:tc>
          <w:tcPr>
            <w:tcW w:w="452" w:type="dxa"/>
            <w:tcBorders>
              <w:top w:val="single" w:sz="4" w:space="0" w:color="auto"/>
              <w:left w:val="single" w:sz="4" w:space="0" w:color="auto"/>
              <w:bottom w:val="single" w:sz="4" w:space="0" w:color="auto"/>
              <w:right w:val="single" w:sz="4" w:space="0" w:color="auto"/>
            </w:tcBorders>
          </w:tcPr>
          <w:p w14:paraId="27756C02" w14:textId="77777777" w:rsidR="00DF2CF8" w:rsidRPr="00DF2CF8" w:rsidRDefault="00DF2CF8" w:rsidP="00DF2CF8">
            <w:pPr>
              <w:pStyle w:val="ECCTablenote"/>
            </w:pPr>
          </w:p>
        </w:tc>
      </w:tr>
      <w:tr w:rsidR="00DF2CF8" w14:paraId="3A38079E" w14:textId="77777777" w:rsidTr="00BA6A70">
        <w:trPr>
          <w:jc w:val="center"/>
        </w:trPr>
        <w:tc>
          <w:tcPr>
            <w:tcW w:w="369" w:type="dxa"/>
            <w:vMerge/>
            <w:tcBorders>
              <w:left w:val="single" w:sz="4" w:space="0" w:color="auto"/>
              <w:right w:val="single" w:sz="4" w:space="0" w:color="auto"/>
            </w:tcBorders>
          </w:tcPr>
          <w:p w14:paraId="1EEECF38" w14:textId="77777777" w:rsidR="00DF2CF8" w:rsidRPr="00DF2CF8" w:rsidRDefault="00DF2CF8" w:rsidP="00DF2CF8">
            <w:pPr>
              <w:pStyle w:val="ECCTablenote"/>
            </w:pPr>
          </w:p>
        </w:tc>
        <w:tc>
          <w:tcPr>
            <w:tcW w:w="834" w:type="dxa"/>
            <w:tcBorders>
              <w:top w:val="single" w:sz="4" w:space="0" w:color="auto"/>
              <w:left w:val="single" w:sz="4" w:space="0" w:color="auto"/>
              <w:bottom w:val="single" w:sz="4" w:space="0" w:color="auto"/>
              <w:right w:val="single" w:sz="4" w:space="0" w:color="auto"/>
            </w:tcBorders>
          </w:tcPr>
          <w:p w14:paraId="4A904846" w14:textId="77777777" w:rsidR="00DF2CF8" w:rsidRPr="00DF2CF8" w:rsidRDefault="00DF2CF8" w:rsidP="00DF2CF8">
            <w:pPr>
              <w:pStyle w:val="ECCTablenote"/>
            </w:pPr>
            <w:r w:rsidRPr="00DF2CF8">
              <w:t>USA</w:t>
            </w:r>
          </w:p>
        </w:tc>
        <w:tc>
          <w:tcPr>
            <w:tcW w:w="1179" w:type="dxa"/>
            <w:tcBorders>
              <w:top w:val="single" w:sz="4" w:space="0" w:color="auto"/>
              <w:left w:val="single" w:sz="4" w:space="0" w:color="auto"/>
              <w:bottom w:val="single" w:sz="4" w:space="0" w:color="auto"/>
              <w:right w:val="single" w:sz="4" w:space="0" w:color="auto"/>
            </w:tcBorders>
          </w:tcPr>
          <w:p w14:paraId="1C31705C" w14:textId="77777777" w:rsidR="00DF2CF8" w:rsidRPr="00DF2CF8" w:rsidRDefault="00DF2CF8" w:rsidP="00DF2CF8">
            <w:pPr>
              <w:pStyle w:val="ECCTablenote"/>
            </w:pPr>
            <w:r w:rsidRPr="00DF2CF8">
              <w:t>No.45-E</w:t>
            </w:r>
          </w:p>
        </w:tc>
        <w:tc>
          <w:tcPr>
            <w:tcW w:w="374" w:type="dxa"/>
            <w:tcBorders>
              <w:top w:val="single" w:sz="4" w:space="0" w:color="auto"/>
              <w:left w:val="single" w:sz="4" w:space="0" w:color="auto"/>
              <w:bottom w:val="single" w:sz="4" w:space="0" w:color="auto"/>
              <w:right w:val="single" w:sz="4" w:space="0" w:color="auto"/>
            </w:tcBorders>
          </w:tcPr>
          <w:p w14:paraId="2FB0457A" w14:textId="77777777" w:rsidR="00DF2CF8" w:rsidRPr="00DF2CF8" w:rsidRDefault="00DF2CF8" w:rsidP="00DF2CF8">
            <w:pPr>
              <w:pStyle w:val="ECCTablenote"/>
              <w:rPr>
                <w:rStyle w:val="ECCHLgreen"/>
              </w:rPr>
            </w:pPr>
            <w:r w:rsidRPr="00DF2CF8">
              <w:rPr>
                <w:rStyle w:val="ECCHLgreen"/>
              </w:rPr>
              <w:t>X</w:t>
            </w:r>
          </w:p>
        </w:tc>
        <w:tc>
          <w:tcPr>
            <w:tcW w:w="375" w:type="dxa"/>
            <w:tcBorders>
              <w:top w:val="single" w:sz="4" w:space="0" w:color="auto"/>
              <w:left w:val="single" w:sz="4" w:space="0" w:color="auto"/>
              <w:bottom w:val="single" w:sz="4" w:space="0" w:color="auto"/>
              <w:right w:val="single" w:sz="4" w:space="0" w:color="auto"/>
            </w:tcBorders>
          </w:tcPr>
          <w:p w14:paraId="18661ACF" w14:textId="77777777" w:rsidR="00DF2CF8" w:rsidRPr="00DF2CF8" w:rsidRDefault="00DF2CF8" w:rsidP="00DF2CF8">
            <w:pPr>
              <w:pStyle w:val="ECCTablenote"/>
              <w:rPr>
                <w:rStyle w:val="ECCHLgreen"/>
              </w:rPr>
            </w:pPr>
          </w:p>
        </w:tc>
        <w:tc>
          <w:tcPr>
            <w:tcW w:w="375" w:type="dxa"/>
            <w:tcBorders>
              <w:top w:val="single" w:sz="4" w:space="0" w:color="auto"/>
              <w:left w:val="single" w:sz="4" w:space="0" w:color="auto"/>
              <w:bottom w:val="single" w:sz="4" w:space="0" w:color="auto"/>
              <w:right w:val="single" w:sz="4" w:space="0" w:color="auto"/>
            </w:tcBorders>
          </w:tcPr>
          <w:p w14:paraId="201F4799" w14:textId="77777777" w:rsidR="00DF2CF8" w:rsidRPr="00DF2CF8" w:rsidRDefault="00DF2CF8" w:rsidP="00DF2CF8">
            <w:pPr>
              <w:pStyle w:val="ECCTablenote"/>
              <w:rPr>
                <w:rStyle w:val="ECCHLgreen"/>
              </w:rPr>
            </w:pPr>
            <w:r w:rsidRPr="00DF2CF8">
              <w:rPr>
                <w:rStyle w:val="ECCHLgreen"/>
              </w:rPr>
              <w:t>X</w:t>
            </w:r>
          </w:p>
        </w:tc>
        <w:tc>
          <w:tcPr>
            <w:tcW w:w="375" w:type="dxa"/>
            <w:tcBorders>
              <w:top w:val="single" w:sz="4" w:space="0" w:color="auto"/>
              <w:left w:val="single" w:sz="4" w:space="0" w:color="auto"/>
              <w:bottom w:val="single" w:sz="4" w:space="0" w:color="auto"/>
              <w:right w:val="single" w:sz="4" w:space="0" w:color="auto"/>
            </w:tcBorders>
          </w:tcPr>
          <w:p w14:paraId="6B0A8E99" w14:textId="77777777" w:rsidR="00DF2CF8" w:rsidRPr="00DF2CF8" w:rsidRDefault="00DF2CF8" w:rsidP="00DF2CF8">
            <w:pPr>
              <w:pStyle w:val="ECCTablenote"/>
              <w:rPr>
                <w:rStyle w:val="ECCHLorange"/>
              </w:rPr>
            </w:pPr>
            <w:r w:rsidRPr="00DF2CF8">
              <w:rPr>
                <w:rStyle w:val="ECCHLorange"/>
              </w:rPr>
              <w:t>X</w:t>
            </w:r>
          </w:p>
        </w:tc>
        <w:tc>
          <w:tcPr>
            <w:tcW w:w="375" w:type="dxa"/>
            <w:tcBorders>
              <w:top w:val="single" w:sz="4" w:space="0" w:color="auto"/>
              <w:left w:val="single" w:sz="4" w:space="0" w:color="auto"/>
              <w:bottom w:val="single" w:sz="4" w:space="0" w:color="auto"/>
              <w:right w:val="single" w:sz="4" w:space="0" w:color="auto"/>
            </w:tcBorders>
          </w:tcPr>
          <w:p w14:paraId="0F0D7181" w14:textId="77777777" w:rsidR="00DF2CF8" w:rsidRPr="00DF2CF8" w:rsidRDefault="00DF2CF8" w:rsidP="00DF2CF8">
            <w:pPr>
              <w:pStyle w:val="ECCTablenote"/>
              <w:rPr>
                <w:rStyle w:val="ECCHLorange"/>
              </w:rPr>
            </w:pPr>
            <w:r w:rsidRPr="00DF2CF8">
              <w:rPr>
                <w:rStyle w:val="ECCHLorange"/>
              </w:rPr>
              <w:t>X</w:t>
            </w:r>
          </w:p>
        </w:tc>
        <w:tc>
          <w:tcPr>
            <w:tcW w:w="464" w:type="dxa"/>
            <w:tcBorders>
              <w:top w:val="single" w:sz="4" w:space="0" w:color="auto"/>
              <w:left w:val="single" w:sz="4" w:space="0" w:color="auto"/>
              <w:bottom w:val="single" w:sz="4" w:space="0" w:color="auto"/>
              <w:right w:val="single" w:sz="4" w:space="0" w:color="auto"/>
            </w:tcBorders>
          </w:tcPr>
          <w:p w14:paraId="11C82753"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46995D3D" w14:textId="77777777" w:rsidR="00DF2CF8" w:rsidRPr="00DF2CF8" w:rsidRDefault="00DF2CF8" w:rsidP="00DF2CF8">
            <w:pPr>
              <w:pStyle w:val="ECCTablenote"/>
              <w:rPr>
                <w:rStyle w:val="ECCHLgreen"/>
              </w:rPr>
            </w:pPr>
          </w:p>
        </w:tc>
        <w:tc>
          <w:tcPr>
            <w:tcW w:w="452" w:type="dxa"/>
            <w:tcBorders>
              <w:top w:val="single" w:sz="4" w:space="0" w:color="auto"/>
              <w:left w:val="single" w:sz="4" w:space="0" w:color="auto"/>
              <w:bottom w:val="single" w:sz="4" w:space="0" w:color="auto"/>
              <w:right w:val="single" w:sz="4" w:space="0" w:color="auto"/>
            </w:tcBorders>
          </w:tcPr>
          <w:p w14:paraId="049ACEF2" w14:textId="77777777" w:rsidR="00DF2CF8" w:rsidRPr="00DF2CF8" w:rsidRDefault="00DF2CF8" w:rsidP="00DF2CF8">
            <w:pPr>
              <w:pStyle w:val="ECCTablenote"/>
              <w:rPr>
                <w:rStyle w:val="ECCHLgreen"/>
              </w:rPr>
            </w:pPr>
            <w:r w:rsidRPr="00DF2CF8">
              <w:rPr>
                <w:rStyle w:val="ECCHLgreen"/>
              </w:rPr>
              <w:t>X</w:t>
            </w:r>
          </w:p>
        </w:tc>
        <w:tc>
          <w:tcPr>
            <w:tcW w:w="364" w:type="dxa"/>
            <w:tcBorders>
              <w:top w:val="single" w:sz="4" w:space="0" w:color="auto"/>
              <w:left w:val="single" w:sz="4" w:space="0" w:color="auto"/>
              <w:bottom w:val="single" w:sz="4" w:space="0" w:color="auto"/>
              <w:right w:val="single" w:sz="4" w:space="0" w:color="auto"/>
            </w:tcBorders>
          </w:tcPr>
          <w:p w14:paraId="4201CEF7"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5A6DA448"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3B445418"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475AF2D0"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0721E417" w14:textId="77777777" w:rsidR="00DF2CF8" w:rsidRPr="00DF2CF8" w:rsidRDefault="00DF2CF8" w:rsidP="00DF2CF8">
            <w:pPr>
              <w:pStyle w:val="ECCTablenote"/>
              <w:rPr>
                <w:rStyle w:val="ECCHLgreen"/>
              </w:rPr>
            </w:pPr>
            <w:r w:rsidRPr="00DF2CF8">
              <w:rPr>
                <w:rStyle w:val="ECCHLgreen"/>
              </w:rPr>
              <w:t>X</w:t>
            </w:r>
          </w:p>
        </w:tc>
      </w:tr>
      <w:tr w:rsidR="00DF2CF8" w14:paraId="51552722" w14:textId="77777777" w:rsidTr="00BA6A70">
        <w:trPr>
          <w:jc w:val="center"/>
        </w:trPr>
        <w:tc>
          <w:tcPr>
            <w:tcW w:w="369" w:type="dxa"/>
            <w:vMerge/>
            <w:tcBorders>
              <w:left w:val="single" w:sz="4" w:space="0" w:color="auto"/>
              <w:right w:val="single" w:sz="4" w:space="0" w:color="auto"/>
            </w:tcBorders>
          </w:tcPr>
          <w:p w14:paraId="12891A42" w14:textId="77777777" w:rsidR="00DF2CF8" w:rsidRPr="00DF2CF8" w:rsidRDefault="00DF2CF8" w:rsidP="00DF2CF8">
            <w:pPr>
              <w:pStyle w:val="ECCTablenote"/>
            </w:pPr>
          </w:p>
        </w:tc>
        <w:tc>
          <w:tcPr>
            <w:tcW w:w="834" w:type="dxa"/>
            <w:tcBorders>
              <w:top w:val="single" w:sz="4" w:space="0" w:color="auto"/>
              <w:left w:val="single" w:sz="4" w:space="0" w:color="auto"/>
              <w:bottom w:val="single" w:sz="4" w:space="0" w:color="auto"/>
              <w:right w:val="single" w:sz="4" w:space="0" w:color="auto"/>
            </w:tcBorders>
          </w:tcPr>
          <w:p w14:paraId="30C111FF" w14:textId="77777777" w:rsidR="00DF2CF8" w:rsidRPr="00DF2CF8" w:rsidRDefault="00DF2CF8" w:rsidP="00DF2CF8">
            <w:pPr>
              <w:pStyle w:val="ECCTablenote"/>
            </w:pPr>
            <w:r w:rsidRPr="00DF2CF8">
              <w:t>UK</w:t>
            </w:r>
          </w:p>
        </w:tc>
        <w:tc>
          <w:tcPr>
            <w:tcW w:w="1179" w:type="dxa"/>
            <w:tcBorders>
              <w:top w:val="single" w:sz="4" w:space="0" w:color="auto"/>
              <w:left w:val="single" w:sz="4" w:space="0" w:color="auto"/>
              <w:bottom w:val="single" w:sz="4" w:space="0" w:color="auto"/>
              <w:right w:val="single" w:sz="4" w:space="0" w:color="auto"/>
            </w:tcBorders>
          </w:tcPr>
          <w:p w14:paraId="79DC2A11" w14:textId="77777777" w:rsidR="00DF2CF8" w:rsidRPr="00DF2CF8" w:rsidRDefault="00DF2CF8" w:rsidP="00DF2CF8">
            <w:pPr>
              <w:pStyle w:val="ECCTablenote"/>
            </w:pPr>
            <w:r w:rsidRPr="00DF2CF8">
              <w:t>No.53A-E</w:t>
            </w:r>
          </w:p>
        </w:tc>
        <w:tc>
          <w:tcPr>
            <w:tcW w:w="374" w:type="dxa"/>
            <w:tcBorders>
              <w:top w:val="single" w:sz="4" w:space="0" w:color="auto"/>
              <w:left w:val="single" w:sz="4" w:space="0" w:color="auto"/>
              <w:bottom w:val="single" w:sz="4" w:space="0" w:color="auto"/>
              <w:right w:val="single" w:sz="4" w:space="0" w:color="auto"/>
            </w:tcBorders>
          </w:tcPr>
          <w:p w14:paraId="0E46C47E" w14:textId="77777777" w:rsidR="00DF2CF8" w:rsidRPr="00DF2CF8" w:rsidRDefault="00DF2CF8" w:rsidP="00DF2CF8">
            <w:pPr>
              <w:pStyle w:val="ECCTablenote"/>
              <w:rPr>
                <w:rStyle w:val="ECCHLgreen"/>
              </w:rPr>
            </w:pPr>
            <w:r w:rsidRPr="00DF2CF8">
              <w:rPr>
                <w:rStyle w:val="ECCHLgreen"/>
              </w:rPr>
              <w:t>X</w:t>
            </w:r>
          </w:p>
        </w:tc>
        <w:tc>
          <w:tcPr>
            <w:tcW w:w="375" w:type="dxa"/>
            <w:tcBorders>
              <w:top w:val="single" w:sz="4" w:space="0" w:color="auto"/>
              <w:left w:val="single" w:sz="4" w:space="0" w:color="auto"/>
              <w:bottom w:val="single" w:sz="4" w:space="0" w:color="auto"/>
              <w:right w:val="single" w:sz="4" w:space="0" w:color="auto"/>
            </w:tcBorders>
          </w:tcPr>
          <w:p w14:paraId="4BECC20E" w14:textId="77777777" w:rsidR="00DF2CF8" w:rsidRPr="00DF2CF8" w:rsidRDefault="00DF2CF8" w:rsidP="00DF2CF8">
            <w:pPr>
              <w:pStyle w:val="ECCTablenote"/>
              <w:rPr>
                <w:rStyle w:val="ECCHLgreen"/>
              </w:rPr>
            </w:pPr>
          </w:p>
        </w:tc>
        <w:tc>
          <w:tcPr>
            <w:tcW w:w="375" w:type="dxa"/>
            <w:tcBorders>
              <w:top w:val="single" w:sz="4" w:space="0" w:color="auto"/>
              <w:left w:val="single" w:sz="4" w:space="0" w:color="auto"/>
              <w:bottom w:val="single" w:sz="4" w:space="0" w:color="auto"/>
              <w:right w:val="single" w:sz="4" w:space="0" w:color="auto"/>
            </w:tcBorders>
          </w:tcPr>
          <w:p w14:paraId="54DD7A56" w14:textId="77777777" w:rsidR="00DF2CF8" w:rsidRPr="00DF2CF8" w:rsidRDefault="00DF2CF8" w:rsidP="00DF2CF8">
            <w:pPr>
              <w:pStyle w:val="ECCTablenote"/>
              <w:rPr>
                <w:rStyle w:val="ECCHLgreen"/>
              </w:rPr>
            </w:pPr>
            <w:r w:rsidRPr="00DF2CF8">
              <w:rPr>
                <w:rStyle w:val="ECCHLgreen"/>
              </w:rPr>
              <w:t>X</w:t>
            </w:r>
          </w:p>
        </w:tc>
        <w:tc>
          <w:tcPr>
            <w:tcW w:w="375" w:type="dxa"/>
            <w:tcBorders>
              <w:top w:val="single" w:sz="4" w:space="0" w:color="auto"/>
              <w:left w:val="single" w:sz="4" w:space="0" w:color="auto"/>
              <w:bottom w:val="single" w:sz="4" w:space="0" w:color="auto"/>
              <w:right w:val="single" w:sz="4" w:space="0" w:color="auto"/>
            </w:tcBorders>
          </w:tcPr>
          <w:p w14:paraId="4FAB1A9F" w14:textId="77777777" w:rsidR="00DF2CF8" w:rsidRPr="00DF2CF8" w:rsidRDefault="00DF2CF8" w:rsidP="00DF2CF8">
            <w:pPr>
              <w:pStyle w:val="ECCTablenote"/>
              <w:rPr>
                <w:rStyle w:val="ECCHLgreen"/>
              </w:rPr>
            </w:pPr>
          </w:p>
        </w:tc>
        <w:tc>
          <w:tcPr>
            <w:tcW w:w="375" w:type="dxa"/>
            <w:tcBorders>
              <w:top w:val="single" w:sz="4" w:space="0" w:color="auto"/>
              <w:left w:val="single" w:sz="4" w:space="0" w:color="auto"/>
              <w:bottom w:val="single" w:sz="4" w:space="0" w:color="auto"/>
              <w:right w:val="single" w:sz="4" w:space="0" w:color="auto"/>
            </w:tcBorders>
          </w:tcPr>
          <w:p w14:paraId="72291662" w14:textId="77777777" w:rsidR="00DF2CF8" w:rsidRPr="00DF2CF8" w:rsidRDefault="00DF2CF8" w:rsidP="00DF2CF8">
            <w:pPr>
              <w:pStyle w:val="ECCTablenote"/>
              <w:rPr>
                <w:rStyle w:val="ECCHLgreen"/>
              </w:rPr>
            </w:pPr>
          </w:p>
        </w:tc>
        <w:tc>
          <w:tcPr>
            <w:tcW w:w="464" w:type="dxa"/>
            <w:tcBorders>
              <w:top w:val="single" w:sz="4" w:space="0" w:color="auto"/>
              <w:left w:val="single" w:sz="4" w:space="0" w:color="auto"/>
              <w:bottom w:val="single" w:sz="4" w:space="0" w:color="auto"/>
              <w:right w:val="single" w:sz="4" w:space="0" w:color="auto"/>
            </w:tcBorders>
          </w:tcPr>
          <w:p w14:paraId="2D4C9887"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6E842E4F" w14:textId="77777777" w:rsidR="00DF2CF8" w:rsidRPr="00DF2CF8" w:rsidRDefault="00DF2CF8" w:rsidP="00DF2CF8">
            <w:pPr>
              <w:pStyle w:val="ECCTablenote"/>
              <w:rPr>
                <w:rStyle w:val="ECCHLgreen"/>
              </w:rPr>
            </w:pPr>
          </w:p>
        </w:tc>
        <w:tc>
          <w:tcPr>
            <w:tcW w:w="452" w:type="dxa"/>
            <w:tcBorders>
              <w:top w:val="single" w:sz="4" w:space="0" w:color="auto"/>
              <w:left w:val="single" w:sz="4" w:space="0" w:color="auto"/>
              <w:bottom w:val="single" w:sz="4" w:space="0" w:color="auto"/>
              <w:right w:val="single" w:sz="4" w:space="0" w:color="auto"/>
            </w:tcBorders>
          </w:tcPr>
          <w:p w14:paraId="5FF18089" w14:textId="77777777" w:rsidR="00DF2CF8" w:rsidRPr="00DF2CF8" w:rsidRDefault="00DF2CF8" w:rsidP="00DF2CF8">
            <w:pPr>
              <w:pStyle w:val="ECCTablenote"/>
              <w:rPr>
                <w:rStyle w:val="ECCHLgreen"/>
              </w:rPr>
            </w:pPr>
          </w:p>
        </w:tc>
        <w:tc>
          <w:tcPr>
            <w:tcW w:w="364" w:type="dxa"/>
            <w:tcBorders>
              <w:top w:val="single" w:sz="4" w:space="0" w:color="auto"/>
              <w:left w:val="single" w:sz="4" w:space="0" w:color="auto"/>
              <w:bottom w:val="single" w:sz="4" w:space="0" w:color="auto"/>
              <w:right w:val="single" w:sz="4" w:space="0" w:color="auto"/>
            </w:tcBorders>
          </w:tcPr>
          <w:p w14:paraId="4EDD0114" w14:textId="77777777" w:rsidR="00DF2CF8" w:rsidRPr="00DF2CF8" w:rsidRDefault="00DF2CF8" w:rsidP="00DF2CF8">
            <w:pPr>
              <w:pStyle w:val="ECCTablenote"/>
              <w:rPr>
                <w:rStyle w:val="ECCHLgreen"/>
              </w:rPr>
            </w:pPr>
          </w:p>
        </w:tc>
        <w:tc>
          <w:tcPr>
            <w:tcW w:w="452" w:type="dxa"/>
            <w:tcBorders>
              <w:top w:val="single" w:sz="4" w:space="0" w:color="auto"/>
              <w:left w:val="single" w:sz="4" w:space="0" w:color="auto"/>
              <w:bottom w:val="single" w:sz="4" w:space="0" w:color="auto"/>
              <w:right w:val="single" w:sz="4" w:space="0" w:color="auto"/>
            </w:tcBorders>
          </w:tcPr>
          <w:p w14:paraId="0F7F3908"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1EBB9670"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1D8718D0" w14:textId="77777777" w:rsidR="00DF2CF8" w:rsidRPr="00DF2CF8" w:rsidRDefault="00DF2CF8" w:rsidP="00DF2CF8">
            <w:pPr>
              <w:pStyle w:val="ECCTablenote"/>
            </w:pPr>
          </w:p>
        </w:tc>
        <w:tc>
          <w:tcPr>
            <w:tcW w:w="452" w:type="dxa"/>
            <w:tcBorders>
              <w:top w:val="single" w:sz="4" w:space="0" w:color="auto"/>
              <w:left w:val="single" w:sz="4" w:space="0" w:color="auto"/>
              <w:bottom w:val="single" w:sz="4" w:space="0" w:color="auto"/>
              <w:right w:val="single" w:sz="4" w:space="0" w:color="auto"/>
            </w:tcBorders>
          </w:tcPr>
          <w:p w14:paraId="62CF9A09" w14:textId="77777777" w:rsidR="00DF2CF8" w:rsidRPr="00DF2CF8" w:rsidRDefault="00DF2CF8" w:rsidP="00DF2CF8">
            <w:pPr>
              <w:pStyle w:val="ECCTablenote"/>
            </w:pPr>
          </w:p>
        </w:tc>
      </w:tr>
      <w:tr w:rsidR="00DF2CF8" w14:paraId="71D634F8" w14:textId="77777777" w:rsidTr="00BA6A70">
        <w:trPr>
          <w:jc w:val="center"/>
        </w:trPr>
        <w:tc>
          <w:tcPr>
            <w:tcW w:w="369" w:type="dxa"/>
            <w:vMerge/>
            <w:tcBorders>
              <w:left w:val="single" w:sz="4" w:space="0" w:color="auto"/>
              <w:right w:val="single" w:sz="4" w:space="0" w:color="auto"/>
            </w:tcBorders>
          </w:tcPr>
          <w:p w14:paraId="4ACB115A" w14:textId="77777777" w:rsidR="00DF2CF8" w:rsidRPr="00DF2CF8" w:rsidRDefault="00DF2CF8" w:rsidP="00DF2CF8">
            <w:pPr>
              <w:pStyle w:val="ECCTablenote"/>
            </w:pPr>
          </w:p>
        </w:tc>
        <w:tc>
          <w:tcPr>
            <w:tcW w:w="834" w:type="dxa"/>
            <w:tcBorders>
              <w:top w:val="single" w:sz="4" w:space="0" w:color="auto"/>
              <w:left w:val="single" w:sz="4" w:space="0" w:color="auto"/>
              <w:bottom w:val="single" w:sz="4" w:space="0" w:color="auto"/>
              <w:right w:val="single" w:sz="4" w:space="0" w:color="auto"/>
            </w:tcBorders>
          </w:tcPr>
          <w:p w14:paraId="6B6586E7" w14:textId="77777777" w:rsidR="00DF2CF8" w:rsidRPr="00DF2CF8" w:rsidRDefault="00DF2CF8" w:rsidP="00DF2CF8">
            <w:pPr>
              <w:pStyle w:val="ECCTablenote"/>
            </w:pPr>
            <w:r w:rsidRPr="00DF2CF8">
              <w:t>FR</w:t>
            </w:r>
          </w:p>
        </w:tc>
        <w:tc>
          <w:tcPr>
            <w:tcW w:w="1179" w:type="dxa"/>
            <w:tcBorders>
              <w:top w:val="single" w:sz="4" w:space="0" w:color="auto"/>
              <w:left w:val="single" w:sz="4" w:space="0" w:color="auto"/>
              <w:bottom w:val="single" w:sz="4" w:space="0" w:color="auto"/>
              <w:right w:val="single" w:sz="4" w:space="0" w:color="auto"/>
            </w:tcBorders>
          </w:tcPr>
          <w:p w14:paraId="30F54A9F" w14:textId="77777777" w:rsidR="00DF2CF8" w:rsidRPr="00DF2CF8" w:rsidRDefault="00DF2CF8" w:rsidP="00DF2CF8">
            <w:pPr>
              <w:pStyle w:val="ECCTablenote"/>
            </w:pPr>
            <w:r w:rsidRPr="00DF2CF8">
              <w:t>No.57A-E</w:t>
            </w:r>
          </w:p>
        </w:tc>
        <w:tc>
          <w:tcPr>
            <w:tcW w:w="374" w:type="dxa"/>
            <w:tcBorders>
              <w:top w:val="single" w:sz="4" w:space="0" w:color="auto"/>
              <w:left w:val="single" w:sz="4" w:space="0" w:color="auto"/>
              <w:bottom w:val="single" w:sz="4" w:space="0" w:color="auto"/>
              <w:right w:val="single" w:sz="4" w:space="0" w:color="auto"/>
            </w:tcBorders>
          </w:tcPr>
          <w:p w14:paraId="4D3C9598" w14:textId="77777777" w:rsidR="00DF2CF8" w:rsidRPr="00DF2CF8" w:rsidRDefault="00DF2CF8" w:rsidP="00DF2CF8">
            <w:pPr>
              <w:pStyle w:val="ECCTablenote"/>
              <w:rPr>
                <w:rStyle w:val="ECCHLgreen"/>
              </w:rPr>
            </w:pPr>
            <w:r w:rsidRPr="00DF2CF8">
              <w:rPr>
                <w:rStyle w:val="ECCHLgreen"/>
              </w:rPr>
              <w:t>X</w:t>
            </w:r>
          </w:p>
        </w:tc>
        <w:tc>
          <w:tcPr>
            <w:tcW w:w="375" w:type="dxa"/>
            <w:tcBorders>
              <w:top w:val="single" w:sz="4" w:space="0" w:color="auto"/>
              <w:left w:val="single" w:sz="4" w:space="0" w:color="auto"/>
              <w:bottom w:val="single" w:sz="4" w:space="0" w:color="auto"/>
              <w:right w:val="single" w:sz="4" w:space="0" w:color="auto"/>
            </w:tcBorders>
          </w:tcPr>
          <w:p w14:paraId="2843CE46" w14:textId="77777777" w:rsidR="00DF2CF8" w:rsidRPr="00DF2CF8" w:rsidRDefault="00DF2CF8" w:rsidP="00DF2CF8">
            <w:pPr>
              <w:pStyle w:val="ECCTablenote"/>
              <w:rPr>
                <w:rStyle w:val="ECCHLgreen"/>
              </w:rPr>
            </w:pPr>
          </w:p>
        </w:tc>
        <w:tc>
          <w:tcPr>
            <w:tcW w:w="375" w:type="dxa"/>
            <w:tcBorders>
              <w:top w:val="single" w:sz="4" w:space="0" w:color="auto"/>
              <w:left w:val="single" w:sz="4" w:space="0" w:color="auto"/>
              <w:bottom w:val="single" w:sz="4" w:space="0" w:color="auto"/>
              <w:right w:val="single" w:sz="4" w:space="0" w:color="auto"/>
            </w:tcBorders>
          </w:tcPr>
          <w:p w14:paraId="4C4D160A" w14:textId="77777777" w:rsidR="00DF2CF8" w:rsidRPr="00DF2CF8" w:rsidRDefault="00DF2CF8" w:rsidP="00DF2CF8">
            <w:pPr>
              <w:pStyle w:val="ECCTablenote"/>
              <w:rPr>
                <w:rStyle w:val="ECCHLgreen"/>
              </w:rPr>
            </w:pPr>
            <w:r w:rsidRPr="00DF2CF8">
              <w:rPr>
                <w:rStyle w:val="ECCHLgreen"/>
              </w:rPr>
              <w:t>X</w:t>
            </w:r>
          </w:p>
        </w:tc>
        <w:tc>
          <w:tcPr>
            <w:tcW w:w="375" w:type="dxa"/>
            <w:tcBorders>
              <w:top w:val="single" w:sz="4" w:space="0" w:color="auto"/>
              <w:left w:val="single" w:sz="4" w:space="0" w:color="auto"/>
              <w:bottom w:val="single" w:sz="4" w:space="0" w:color="auto"/>
              <w:right w:val="single" w:sz="4" w:space="0" w:color="auto"/>
            </w:tcBorders>
          </w:tcPr>
          <w:p w14:paraId="445369D4" w14:textId="77777777" w:rsidR="00DF2CF8" w:rsidRPr="00DF2CF8" w:rsidRDefault="00DF2CF8" w:rsidP="00DF2CF8">
            <w:pPr>
              <w:pStyle w:val="ECCTablenote"/>
              <w:rPr>
                <w:rStyle w:val="ECCHLgreen"/>
              </w:rPr>
            </w:pPr>
          </w:p>
        </w:tc>
        <w:tc>
          <w:tcPr>
            <w:tcW w:w="375" w:type="dxa"/>
            <w:tcBorders>
              <w:top w:val="single" w:sz="4" w:space="0" w:color="auto"/>
              <w:left w:val="single" w:sz="4" w:space="0" w:color="auto"/>
              <w:bottom w:val="single" w:sz="4" w:space="0" w:color="auto"/>
              <w:right w:val="single" w:sz="4" w:space="0" w:color="auto"/>
            </w:tcBorders>
          </w:tcPr>
          <w:p w14:paraId="4F0FCEF2" w14:textId="77777777" w:rsidR="00DF2CF8" w:rsidRPr="00DF2CF8" w:rsidRDefault="00DF2CF8" w:rsidP="00DF2CF8">
            <w:pPr>
              <w:pStyle w:val="ECCTablenote"/>
              <w:rPr>
                <w:rStyle w:val="ECCHLgreen"/>
              </w:rPr>
            </w:pPr>
          </w:p>
        </w:tc>
        <w:tc>
          <w:tcPr>
            <w:tcW w:w="464" w:type="dxa"/>
            <w:tcBorders>
              <w:top w:val="single" w:sz="4" w:space="0" w:color="auto"/>
              <w:left w:val="single" w:sz="4" w:space="0" w:color="auto"/>
              <w:bottom w:val="single" w:sz="4" w:space="0" w:color="auto"/>
              <w:right w:val="single" w:sz="4" w:space="0" w:color="auto"/>
            </w:tcBorders>
          </w:tcPr>
          <w:p w14:paraId="2C82E717"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34E83AA4"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4C1E84E3" w14:textId="77777777" w:rsidR="00DF2CF8" w:rsidRPr="00DF2CF8" w:rsidRDefault="00DF2CF8" w:rsidP="00DF2CF8">
            <w:pPr>
              <w:pStyle w:val="ECCTablenote"/>
              <w:rPr>
                <w:rStyle w:val="ECCHLgreen"/>
              </w:rPr>
            </w:pPr>
            <w:r w:rsidRPr="00DF2CF8">
              <w:rPr>
                <w:rStyle w:val="ECCHLgreen"/>
              </w:rPr>
              <w:t>X</w:t>
            </w:r>
          </w:p>
        </w:tc>
        <w:tc>
          <w:tcPr>
            <w:tcW w:w="364" w:type="dxa"/>
            <w:tcBorders>
              <w:top w:val="single" w:sz="4" w:space="0" w:color="auto"/>
              <w:left w:val="single" w:sz="4" w:space="0" w:color="auto"/>
              <w:bottom w:val="single" w:sz="4" w:space="0" w:color="auto"/>
              <w:right w:val="single" w:sz="4" w:space="0" w:color="auto"/>
            </w:tcBorders>
          </w:tcPr>
          <w:p w14:paraId="49DCD41A"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37C1C8E8"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20452F7F"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193BCBFE"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260D933C" w14:textId="77777777" w:rsidR="00DF2CF8" w:rsidRPr="00DF2CF8" w:rsidRDefault="00DF2CF8" w:rsidP="00DF2CF8">
            <w:pPr>
              <w:pStyle w:val="ECCTablenote"/>
            </w:pPr>
          </w:p>
        </w:tc>
      </w:tr>
      <w:tr w:rsidR="00DF2CF8" w14:paraId="7A415A6C" w14:textId="77777777" w:rsidTr="00BA6A70">
        <w:trPr>
          <w:jc w:val="center"/>
        </w:trPr>
        <w:tc>
          <w:tcPr>
            <w:tcW w:w="369" w:type="dxa"/>
            <w:vMerge/>
            <w:tcBorders>
              <w:left w:val="single" w:sz="4" w:space="0" w:color="auto"/>
              <w:right w:val="single" w:sz="4" w:space="0" w:color="auto"/>
            </w:tcBorders>
          </w:tcPr>
          <w:p w14:paraId="41BAF592" w14:textId="77777777" w:rsidR="00DF2CF8" w:rsidRPr="00DF2CF8" w:rsidRDefault="00DF2CF8" w:rsidP="00DF2CF8">
            <w:pPr>
              <w:pStyle w:val="ECCTablenote"/>
            </w:pPr>
          </w:p>
        </w:tc>
        <w:tc>
          <w:tcPr>
            <w:tcW w:w="834" w:type="dxa"/>
            <w:tcBorders>
              <w:top w:val="single" w:sz="4" w:space="0" w:color="auto"/>
              <w:left w:val="single" w:sz="4" w:space="0" w:color="auto"/>
              <w:bottom w:val="single" w:sz="4" w:space="0" w:color="auto"/>
              <w:right w:val="single" w:sz="4" w:space="0" w:color="auto"/>
            </w:tcBorders>
          </w:tcPr>
          <w:p w14:paraId="3C6BB609" w14:textId="77777777" w:rsidR="00DF2CF8" w:rsidRPr="00DF2CF8" w:rsidRDefault="00DF2CF8" w:rsidP="00DF2CF8">
            <w:pPr>
              <w:pStyle w:val="ECCTablenote"/>
            </w:pPr>
            <w:r w:rsidRPr="00DF2CF8">
              <w:t>Australia</w:t>
            </w:r>
          </w:p>
        </w:tc>
        <w:tc>
          <w:tcPr>
            <w:tcW w:w="1179" w:type="dxa"/>
            <w:tcBorders>
              <w:top w:val="single" w:sz="4" w:space="0" w:color="auto"/>
              <w:left w:val="single" w:sz="4" w:space="0" w:color="auto"/>
              <w:bottom w:val="single" w:sz="4" w:space="0" w:color="auto"/>
              <w:right w:val="single" w:sz="4" w:space="0" w:color="auto"/>
            </w:tcBorders>
          </w:tcPr>
          <w:p w14:paraId="0B334280" w14:textId="77777777" w:rsidR="00DF2CF8" w:rsidRPr="00DF2CF8" w:rsidRDefault="00DF2CF8" w:rsidP="00DF2CF8">
            <w:pPr>
              <w:pStyle w:val="ECCTablenote"/>
            </w:pPr>
            <w:r w:rsidRPr="00DF2CF8">
              <w:t>No.59-E</w:t>
            </w:r>
          </w:p>
        </w:tc>
        <w:tc>
          <w:tcPr>
            <w:tcW w:w="374" w:type="dxa"/>
            <w:tcBorders>
              <w:top w:val="single" w:sz="4" w:space="0" w:color="auto"/>
              <w:left w:val="single" w:sz="4" w:space="0" w:color="auto"/>
              <w:bottom w:val="single" w:sz="4" w:space="0" w:color="auto"/>
              <w:right w:val="single" w:sz="4" w:space="0" w:color="auto"/>
            </w:tcBorders>
          </w:tcPr>
          <w:p w14:paraId="488AEA10" w14:textId="77777777" w:rsidR="00DF2CF8" w:rsidRPr="00DF2CF8" w:rsidRDefault="00DF2CF8" w:rsidP="00DF2CF8">
            <w:pPr>
              <w:pStyle w:val="ECCTablenote"/>
              <w:rPr>
                <w:rStyle w:val="ECCHLgreen"/>
              </w:rPr>
            </w:pPr>
            <w:r w:rsidRPr="00DF2CF8">
              <w:rPr>
                <w:rStyle w:val="ECCHLgreen"/>
              </w:rPr>
              <w:t>X</w:t>
            </w:r>
          </w:p>
        </w:tc>
        <w:tc>
          <w:tcPr>
            <w:tcW w:w="375" w:type="dxa"/>
            <w:tcBorders>
              <w:top w:val="single" w:sz="4" w:space="0" w:color="auto"/>
              <w:left w:val="single" w:sz="4" w:space="0" w:color="auto"/>
              <w:bottom w:val="single" w:sz="4" w:space="0" w:color="auto"/>
              <w:right w:val="single" w:sz="4" w:space="0" w:color="auto"/>
            </w:tcBorders>
          </w:tcPr>
          <w:p w14:paraId="14423F2F" w14:textId="77777777" w:rsidR="00DF2CF8" w:rsidRPr="00DF2CF8" w:rsidRDefault="00DF2CF8" w:rsidP="00DF2CF8">
            <w:pPr>
              <w:pStyle w:val="ECCTablenote"/>
              <w:rPr>
                <w:rStyle w:val="ECCHLgreen"/>
              </w:rPr>
            </w:pPr>
          </w:p>
        </w:tc>
        <w:tc>
          <w:tcPr>
            <w:tcW w:w="375" w:type="dxa"/>
            <w:tcBorders>
              <w:top w:val="single" w:sz="4" w:space="0" w:color="auto"/>
              <w:left w:val="single" w:sz="4" w:space="0" w:color="auto"/>
              <w:bottom w:val="single" w:sz="4" w:space="0" w:color="auto"/>
              <w:right w:val="single" w:sz="4" w:space="0" w:color="auto"/>
            </w:tcBorders>
          </w:tcPr>
          <w:p w14:paraId="4C7E999B" w14:textId="77777777" w:rsidR="00DF2CF8" w:rsidRPr="00DF2CF8" w:rsidRDefault="00DF2CF8" w:rsidP="00DF2CF8">
            <w:pPr>
              <w:pStyle w:val="ECCTablenote"/>
              <w:rPr>
                <w:rStyle w:val="ECCHLgreen"/>
              </w:rPr>
            </w:pPr>
            <w:r w:rsidRPr="00DF2CF8">
              <w:rPr>
                <w:rStyle w:val="ECCHLgreen"/>
              </w:rPr>
              <w:t>X</w:t>
            </w:r>
          </w:p>
        </w:tc>
        <w:tc>
          <w:tcPr>
            <w:tcW w:w="375" w:type="dxa"/>
            <w:tcBorders>
              <w:top w:val="single" w:sz="4" w:space="0" w:color="auto"/>
              <w:left w:val="single" w:sz="4" w:space="0" w:color="auto"/>
              <w:bottom w:val="single" w:sz="4" w:space="0" w:color="auto"/>
              <w:right w:val="single" w:sz="4" w:space="0" w:color="auto"/>
            </w:tcBorders>
          </w:tcPr>
          <w:p w14:paraId="2FD7BD9B" w14:textId="77777777" w:rsidR="00DF2CF8" w:rsidRPr="00DF2CF8" w:rsidRDefault="00DF2CF8" w:rsidP="00DF2CF8">
            <w:pPr>
              <w:pStyle w:val="ECCTablenote"/>
              <w:rPr>
                <w:rStyle w:val="ECCHLgreen"/>
              </w:rPr>
            </w:pPr>
          </w:p>
        </w:tc>
        <w:tc>
          <w:tcPr>
            <w:tcW w:w="375" w:type="dxa"/>
            <w:tcBorders>
              <w:top w:val="single" w:sz="4" w:space="0" w:color="auto"/>
              <w:left w:val="single" w:sz="4" w:space="0" w:color="auto"/>
              <w:bottom w:val="single" w:sz="4" w:space="0" w:color="auto"/>
              <w:right w:val="single" w:sz="4" w:space="0" w:color="auto"/>
            </w:tcBorders>
          </w:tcPr>
          <w:p w14:paraId="0291A52D" w14:textId="77777777" w:rsidR="00DF2CF8" w:rsidRPr="00DF2CF8" w:rsidRDefault="00DF2CF8" w:rsidP="00DF2CF8">
            <w:pPr>
              <w:pStyle w:val="ECCTablenote"/>
              <w:rPr>
                <w:rStyle w:val="ECCHLgreen"/>
              </w:rPr>
            </w:pPr>
          </w:p>
        </w:tc>
        <w:tc>
          <w:tcPr>
            <w:tcW w:w="464" w:type="dxa"/>
            <w:tcBorders>
              <w:top w:val="single" w:sz="4" w:space="0" w:color="auto"/>
              <w:left w:val="single" w:sz="4" w:space="0" w:color="auto"/>
              <w:bottom w:val="single" w:sz="4" w:space="0" w:color="auto"/>
              <w:right w:val="single" w:sz="4" w:space="0" w:color="auto"/>
            </w:tcBorders>
          </w:tcPr>
          <w:p w14:paraId="287A55DD" w14:textId="77777777" w:rsidR="00DF2CF8" w:rsidRPr="00DF2CF8" w:rsidRDefault="00DF2CF8" w:rsidP="00DF2CF8">
            <w:pPr>
              <w:pStyle w:val="ECCTablenote"/>
              <w:rPr>
                <w:rStyle w:val="ECCHLgreen"/>
              </w:rPr>
            </w:pPr>
          </w:p>
        </w:tc>
        <w:tc>
          <w:tcPr>
            <w:tcW w:w="452" w:type="dxa"/>
            <w:tcBorders>
              <w:top w:val="single" w:sz="4" w:space="0" w:color="auto"/>
              <w:left w:val="single" w:sz="4" w:space="0" w:color="auto"/>
              <w:bottom w:val="single" w:sz="4" w:space="0" w:color="auto"/>
              <w:right w:val="single" w:sz="4" w:space="0" w:color="auto"/>
            </w:tcBorders>
          </w:tcPr>
          <w:p w14:paraId="783CC0B2" w14:textId="77777777" w:rsidR="00DF2CF8" w:rsidRPr="00DF2CF8" w:rsidRDefault="00DF2CF8" w:rsidP="00DF2CF8">
            <w:pPr>
              <w:pStyle w:val="ECCTablenote"/>
              <w:rPr>
                <w:rStyle w:val="ECCHLgreen"/>
              </w:rPr>
            </w:pPr>
          </w:p>
        </w:tc>
        <w:tc>
          <w:tcPr>
            <w:tcW w:w="452" w:type="dxa"/>
            <w:tcBorders>
              <w:top w:val="single" w:sz="4" w:space="0" w:color="auto"/>
              <w:left w:val="single" w:sz="4" w:space="0" w:color="auto"/>
              <w:bottom w:val="single" w:sz="4" w:space="0" w:color="auto"/>
              <w:right w:val="single" w:sz="4" w:space="0" w:color="auto"/>
            </w:tcBorders>
          </w:tcPr>
          <w:p w14:paraId="4DB97376" w14:textId="77777777" w:rsidR="00DF2CF8" w:rsidRPr="00DF2CF8" w:rsidRDefault="00DF2CF8" w:rsidP="00DF2CF8">
            <w:pPr>
              <w:pStyle w:val="ECCTablenote"/>
              <w:rPr>
                <w:rStyle w:val="ECCHLgreen"/>
              </w:rPr>
            </w:pPr>
          </w:p>
        </w:tc>
        <w:tc>
          <w:tcPr>
            <w:tcW w:w="364" w:type="dxa"/>
            <w:tcBorders>
              <w:top w:val="single" w:sz="4" w:space="0" w:color="auto"/>
              <w:left w:val="single" w:sz="4" w:space="0" w:color="auto"/>
              <w:bottom w:val="single" w:sz="4" w:space="0" w:color="auto"/>
              <w:right w:val="single" w:sz="4" w:space="0" w:color="auto"/>
            </w:tcBorders>
          </w:tcPr>
          <w:p w14:paraId="5E8F4703"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39A4336E" w14:textId="77777777" w:rsidR="00DF2CF8" w:rsidRPr="00DF2CF8" w:rsidRDefault="00DF2CF8" w:rsidP="00DF2CF8">
            <w:pPr>
              <w:pStyle w:val="ECCTablenote"/>
              <w:rPr>
                <w:rStyle w:val="ECCHLgreen"/>
              </w:rPr>
            </w:pPr>
          </w:p>
        </w:tc>
        <w:tc>
          <w:tcPr>
            <w:tcW w:w="452" w:type="dxa"/>
            <w:tcBorders>
              <w:top w:val="single" w:sz="4" w:space="0" w:color="auto"/>
              <w:left w:val="single" w:sz="4" w:space="0" w:color="auto"/>
              <w:bottom w:val="single" w:sz="4" w:space="0" w:color="auto"/>
              <w:right w:val="single" w:sz="4" w:space="0" w:color="auto"/>
            </w:tcBorders>
          </w:tcPr>
          <w:p w14:paraId="6B55C7AB"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54D9DA9D" w14:textId="77777777" w:rsidR="00DF2CF8" w:rsidRPr="00DF2CF8" w:rsidRDefault="00DF2CF8" w:rsidP="00DF2CF8">
            <w:pPr>
              <w:pStyle w:val="ECCTablenote"/>
            </w:pPr>
          </w:p>
        </w:tc>
        <w:tc>
          <w:tcPr>
            <w:tcW w:w="452" w:type="dxa"/>
            <w:tcBorders>
              <w:top w:val="single" w:sz="4" w:space="0" w:color="auto"/>
              <w:left w:val="single" w:sz="4" w:space="0" w:color="auto"/>
              <w:bottom w:val="single" w:sz="4" w:space="0" w:color="auto"/>
              <w:right w:val="single" w:sz="4" w:space="0" w:color="auto"/>
            </w:tcBorders>
          </w:tcPr>
          <w:p w14:paraId="44A49DAA" w14:textId="77777777" w:rsidR="00DF2CF8" w:rsidRPr="00DF2CF8" w:rsidRDefault="00DF2CF8" w:rsidP="00DF2CF8">
            <w:pPr>
              <w:pStyle w:val="ECCTablenote"/>
            </w:pPr>
          </w:p>
        </w:tc>
      </w:tr>
      <w:tr w:rsidR="00DF2CF8" w14:paraId="5A206BA7" w14:textId="77777777" w:rsidTr="00BA6A70">
        <w:trPr>
          <w:jc w:val="center"/>
        </w:trPr>
        <w:tc>
          <w:tcPr>
            <w:tcW w:w="369" w:type="dxa"/>
            <w:vMerge/>
            <w:tcBorders>
              <w:left w:val="single" w:sz="4" w:space="0" w:color="auto"/>
              <w:right w:val="single" w:sz="4" w:space="0" w:color="auto"/>
            </w:tcBorders>
          </w:tcPr>
          <w:p w14:paraId="3836CF01" w14:textId="77777777" w:rsidR="00DF2CF8" w:rsidRPr="00DF2CF8" w:rsidRDefault="00DF2CF8" w:rsidP="00DF2CF8">
            <w:pPr>
              <w:pStyle w:val="ECCTablenote"/>
            </w:pPr>
          </w:p>
        </w:tc>
        <w:tc>
          <w:tcPr>
            <w:tcW w:w="834" w:type="dxa"/>
            <w:tcBorders>
              <w:top w:val="single" w:sz="4" w:space="0" w:color="auto"/>
              <w:left w:val="single" w:sz="4" w:space="0" w:color="auto"/>
              <w:bottom w:val="single" w:sz="4" w:space="0" w:color="auto"/>
              <w:right w:val="single" w:sz="4" w:space="0" w:color="auto"/>
            </w:tcBorders>
          </w:tcPr>
          <w:p w14:paraId="29B03740" w14:textId="77777777" w:rsidR="00DF2CF8" w:rsidRPr="00DF2CF8" w:rsidRDefault="00DF2CF8" w:rsidP="00DF2CF8">
            <w:pPr>
              <w:pStyle w:val="ECCTablenote"/>
            </w:pPr>
            <w:r w:rsidRPr="00DF2CF8">
              <w:t>Canada</w:t>
            </w:r>
          </w:p>
        </w:tc>
        <w:tc>
          <w:tcPr>
            <w:tcW w:w="1179" w:type="dxa"/>
            <w:tcBorders>
              <w:top w:val="single" w:sz="4" w:space="0" w:color="auto"/>
              <w:left w:val="single" w:sz="4" w:space="0" w:color="auto"/>
              <w:bottom w:val="single" w:sz="4" w:space="0" w:color="auto"/>
              <w:right w:val="single" w:sz="4" w:space="0" w:color="auto"/>
            </w:tcBorders>
          </w:tcPr>
          <w:p w14:paraId="68445C94" w14:textId="77777777" w:rsidR="00DF2CF8" w:rsidRPr="00DF2CF8" w:rsidRDefault="00DF2CF8" w:rsidP="00DF2CF8">
            <w:pPr>
              <w:pStyle w:val="ECCTablenote"/>
            </w:pPr>
            <w:r w:rsidRPr="00DF2CF8">
              <w:t>No.60-E</w:t>
            </w:r>
          </w:p>
        </w:tc>
        <w:tc>
          <w:tcPr>
            <w:tcW w:w="374" w:type="dxa"/>
            <w:tcBorders>
              <w:top w:val="single" w:sz="4" w:space="0" w:color="auto"/>
              <w:left w:val="single" w:sz="4" w:space="0" w:color="auto"/>
              <w:bottom w:val="single" w:sz="4" w:space="0" w:color="auto"/>
              <w:right w:val="single" w:sz="4" w:space="0" w:color="auto"/>
            </w:tcBorders>
          </w:tcPr>
          <w:p w14:paraId="21A07ACD" w14:textId="77777777" w:rsidR="00DF2CF8" w:rsidRPr="00DF2CF8" w:rsidRDefault="00DF2CF8" w:rsidP="00DF2CF8">
            <w:pPr>
              <w:pStyle w:val="ECCTablenote"/>
              <w:rPr>
                <w:rStyle w:val="ECCHLgreen"/>
              </w:rPr>
            </w:pPr>
            <w:r w:rsidRPr="00DF2CF8">
              <w:rPr>
                <w:rStyle w:val="ECCHLgreen"/>
              </w:rPr>
              <w:t>X</w:t>
            </w:r>
          </w:p>
        </w:tc>
        <w:tc>
          <w:tcPr>
            <w:tcW w:w="375" w:type="dxa"/>
            <w:tcBorders>
              <w:top w:val="single" w:sz="4" w:space="0" w:color="auto"/>
              <w:left w:val="single" w:sz="4" w:space="0" w:color="auto"/>
              <w:bottom w:val="single" w:sz="4" w:space="0" w:color="auto"/>
              <w:right w:val="single" w:sz="4" w:space="0" w:color="auto"/>
            </w:tcBorders>
          </w:tcPr>
          <w:p w14:paraId="2493C691" w14:textId="77777777" w:rsidR="00DF2CF8" w:rsidRPr="00DF2CF8" w:rsidRDefault="00DF2CF8" w:rsidP="00DF2CF8">
            <w:pPr>
              <w:pStyle w:val="ECCTablenote"/>
              <w:rPr>
                <w:rStyle w:val="ECCHLgreen"/>
              </w:rPr>
            </w:pPr>
          </w:p>
        </w:tc>
        <w:tc>
          <w:tcPr>
            <w:tcW w:w="375" w:type="dxa"/>
            <w:tcBorders>
              <w:top w:val="single" w:sz="4" w:space="0" w:color="auto"/>
              <w:left w:val="single" w:sz="4" w:space="0" w:color="auto"/>
              <w:bottom w:val="single" w:sz="4" w:space="0" w:color="auto"/>
              <w:right w:val="single" w:sz="4" w:space="0" w:color="auto"/>
            </w:tcBorders>
          </w:tcPr>
          <w:p w14:paraId="54357613" w14:textId="77777777" w:rsidR="00DF2CF8" w:rsidRPr="00DF2CF8" w:rsidRDefault="00DF2CF8" w:rsidP="00DF2CF8">
            <w:pPr>
              <w:pStyle w:val="ECCTablenote"/>
              <w:rPr>
                <w:rStyle w:val="ECCHLgreen"/>
              </w:rPr>
            </w:pPr>
            <w:r w:rsidRPr="00DF2CF8">
              <w:rPr>
                <w:rStyle w:val="ECCHLgreen"/>
              </w:rPr>
              <w:t>X</w:t>
            </w:r>
          </w:p>
        </w:tc>
        <w:tc>
          <w:tcPr>
            <w:tcW w:w="375" w:type="dxa"/>
            <w:tcBorders>
              <w:top w:val="single" w:sz="4" w:space="0" w:color="auto"/>
              <w:left w:val="single" w:sz="4" w:space="0" w:color="auto"/>
              <w:bottom w:val="single" w:sz="4" w:space="0" w:color="auto"/>
              <w:right w:val="single" w:sz="4" w:space="0" w:color="auto"/>
            </w:tcBorders>
          </w:tcPr>
          <w:p w14:paraId="21FFA918" w14:textId="77777777" w:rsidR="00DF2CF8" w:rsidRPr="00DF2CF8" w:rsidRDefault="00DF2CF8" w:rsidP="00DF2CF8">
            <w:pPr>
              <w:pStyle w:val="ECCTablenote"/>
              <w:rPr>
                <w:rStyle w:val="ECCHLgreen"/>
              </w:rPr>
            </w:pPr>
          </w:p>
        </w:tc>
        <w:tc>
          <w:tcPr>
            <w:tcW w:w="375" w:type="dxa"/>
            <w:tcBorders>
              <w:top w:val="single" w:sz="4" w:space="0" w:color="auto"/>
              <w:left w:val="single" w:sz="4" w:space="0" w:color="auto"/>
              <w:bottom w:val="single" w:sz="4" w:space="0" w:color="auto"/>
              <w:right w:val="single" w:sz="4" w:space="0" w:color="auto"/>
            </w:tcBorders>
          </w:tcPr>
          <w:p w14:paraId="6806D0AA" w14:textId="77777777" w:rsidR="00DF2CF8" w:rsidRPr="00DF2CF8" w:rsidRDefault="00DF2CF8" w:rsidP="00DF2CF8">
            <w:pPr>
              <w:pStyle w:val="ECCTablenote"/>
              <w:rPr>
                <w:rStyle w:val="ECCHLgreen"/>
              </w:rPr>
            </w:pPr>
          </w:p>
        </w:tc>
        <w:tc>
          <w:tcPr>
            <w:tcW w:w="464" w:type="dxa"/>
            <w:tcBorders>
              <w:top w:val="single" w:sz="4" w:space="0" w:color="auto"/>
              <w:left w:val="single" w:sz="4" w:space="0" w:color="auto"/>
              <w:bottom w:val="single" w:sz="4" w:space="0" w:color="auto"/>
              <w:right w:val="single" w:sz="4" w:space="0" w:color="auto"/>
            </w:tcBorders>
          </w:tcPr>
          <w:p w14:paraId="687FE684" w14:textId="77777777" w:rsidR="00DF2CF8" w:rsidRPr="00DF2CF8" w:rsidRDefault="00DF2CF8" w:rsidP="00DF2CF8">
            <w:pPr>
              <w:pStyle w:val="ECCTablenote"/>
              <w:rPr>
                <w:rStyle w:val="ECCHLgreen"/>
              </w:rPr>
            </w:pPr>
          </w:p>
        </w:tc>
        <w:tc>
          <w:tcPr>
            <w:tcW w:w="452" w:type="dxa"/>
            <w:tcBorders>
              <w:top w:val="single" w:sz="4" w:space="0" w:color="auto"/>
              <w:left w:val="single" w:sz="4" w:space="0" w:color="auto"/>
              <w:bottom w:val="single" w:sz="4" w:space="0" w:color="auto"/>
              <w:right w:val="single" w:sz="4" w:space="0" w:color="auto"/>
            </w:tcBorders>
          </w:tcPr>
          <w:p w14:paraId="0DBB5137"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662756BD" w14:textId="77777777" w:rsidR="00DF2CF8" w:rsidRPr="00DF2CF8" w:rsidRDefault="00DF2CF8" w:rsidP="00DF2CF8">
            <w:pPr>
              <w:pStyle w:val="ECCTablenote"/>
              <w:rPr>
                <w:rStyle w:val="ECCHLgreen"/>
              </w:rPr>
            </w:pPr>
          </w:p>
        </w:tc>
        <w:tc>
          <w:tcPr>
            <w:tcW w:w="364" w:type="dxa"/>
            <w:tcBorders>
              <w:top w:val="single" w:sz="4" w:space="0" w:color="auto"/>
              <w:left w:val="single" w:sz="4" w:space="0" w:color="auto"/>
              <w:bottom w:val="single" w:sz="4" w:space="0" w:color="auto"/>
              <w:right w:val="single" w:sz="4" w:space="0" w:color="auto"/>
            </w:tcBorders>
          </w:tcPr>
          <w:p w14:paraId="0E376D80"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7F707CFF"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19783701"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33E2D849" w14:textId="77777777" w:rsidR="00DF2CF8" w:rsidRPr="00DF2CF8" w:rsidRDefault="00DF2CF8" w:rsidP="00DF2CF8">
            <w:pPr>
              <w:pStyle w:val="ECCTablenote"/>
            </w:pPr>
          </w:p>
        </w:tc>
        <w:tc>
          <w:tcPr>
            <w:tcW w:w="452" w:type="dxa"/>
            <w:tcBorders>
              <w:top w:val="single" w:sz="4" w:space="0" w:color="auto"/>
              <w:left w:val="single" w:sz="4" w:space="0" w:color="auto"/>
              <w:bottom w:val="single" w:sz="4" w:space="0" w:color="auto"/>
              <w:right w:val="single" w:sz="4" w:space="0" w:color="auto"/>
            </w:tcBorders>
          </w:tcPr>
          <w:p w14:paraId="209047D5" w14:textId="77777777" w:rsidR="00DF2CF8" w:rsidRPr="00DF2CF8" w:rsidRDefault="00DF2CF8" w:rsidP="00DF2CF8">
            <w:pPr>
              <w:pStyle w:val="ECCTablenote"/>
            </w:pPr>
          </w:p>
        </w:tc>
      </w:tr>
      <w:tr w:rsidR="00DF2CF8" w14:paraId="1736B52A" w14:textId="77777777" w:rsidTr="00BA6A70">
        <w:trPr>
          <w:jc w:val="center"/>
        </w:trPr>
        <w:tc>
          <w:tcPr>
            <w:tcW w:w="369" w:type="dxa"/>
            <w:vMerge/>
            <w:tcBorders>
              <w:left w:val="single" w:sz="4" w:space="0" w:color="auto"/>
              <w:right w:val="single" w:sz="4" w:space="0" w:color="auto"/>
            </w:tcBorders>
          </w:tcPr>
          <w:p w14:paraId="28CEC521" w14:textId="77777777" w:rsidR="00DF2CF8" w:rsidRPr="00DF2CF8" w:rsidRDefault="00DF2CF8" w:rsidP="00DF2CF8">
            <w:pPr>
              <w:pStyle w:val="ECCTablenote"/>
            </w:pPr>
          </w:p>
        </w:tc>
        <w:tc>
          <w:tcPr>
            <w:tcW w:w="834" w:type="dxa"/>
            <w:tcBorders>
              <w:top w:val="single" w:sz="4" w:space="0" w:color="auto"/>
              <w:left w:val="single" w:sz="4" w:space="0" w:color="auto"/>
              <w:bottom w:val="single" w:sz="4" w:space="0" w:color="auto"/>
              <w:right w:val="single" w:sz="4" w:space="0" w:color="auto"/>
            </w:tcBorders>
          </w:tcPr>
          <w:p w14:paraId="1F6D4634" w14:textId="77777777" w:rsidR="00DF2CF8" w:rsidRPr="00DF2CF8" w:rsidRDefault="00DF2CF8" w:rsidP="00DF2CF8">
            <w:pPr>
              <w:pStyle w:val="ECCTablenote"/>
            </w:pPr>
            <w:r w:rsidRPr="00DF2CF8">
              <w:t>Japan</w:t>
            </w:r>
          </w:p>
        </w:tc>
        <w:tc>
          <w:tcPr>
            <w:tcW w:w="1179" w:type="dxa"/>
            <w:tcBorders>
              <w:top w:val="single" w:sz="4" w:space="0" w:color="auto"/>
              <w:left w:val="single" w:sz="4" w:space="0" w:color="auto"/>
              <w:bottom w:val="single" w:sz="4" w:space="0" w:color="auto"/>
              <w:right w:val="single" w:sz="4" w:space="0" w:color="auto"/>
            </w:tcBorders>
          </w:tcPr>
          <w:p w14:paraId="3E2AE9BF" w14:textId="77777777" w:rsidR="00DF2CF8" w:rsidRPr="00DF2CF8" w:rsidRDefault="00DF2CF8" w:rsidP="00DF2CF8">
            <w:pPr>
              <w:pStyle w:val="ECCTablenote"/>
            </w:pPr>
            <w:r w:rsidRPr="00DF2CF8">
              <w:t>No.62A-E</w:t>
            </w:r>
          </w:p>
        </w:tc>
        <w:tc>
          <w:tcPr>
            <w:tcW w:w="374" w:type="dxa"/>
            <w:tcBorders>
              <w:top w:val="single" w:sz="4" w:space="0" w:color="auto"/>
              <w:left w:val="single" w:sz="4" w:space="0" w:color="auto"/>
              <w:bottom w:val="single" w:sz="4" w:space="0" w:color="auto"/>
              <w:right w:val="single" w:sz="4" w:space="0" w:color="auto"/>
            </w:tcBorders>
          </w:tcPr>
          <w:p w14:paraId="0F56085A" w14:textId="77777777" w:rsidR="00DF2CF8" w:rsidRPr="00DF2CF8" w:rsidRDefault="00DF2CF8" w:rsidP="00DF2CF8">
            <w:pPr>
              <w:pStyle w:val="ECCTablenote"/>
              <w:rPr>
                <w:rStyle w:val="ECCHLgreen"/>
              </w:rPr>
            </w:pPr>
            <w:r w:rsidRPr="00DF2CF8">
              <w:rPr>
                <w:rStyle w:val="ECCHLgreen"/>
              </w:rPr>
              <w:t>X</w:t>
            </w:r>
          </w:p>
        </w:tc>
        <w:tc>
          <w:tcPr>
            <w:tcW w:w="375" w:type="dxa"/>
            <w:tcBorders>
              <w:top w:val="single" w:sz="4" w:space="0" w:color="auto"/>
              <w:left w:val="single" w:sz="4" w:space="0" w:color="auto"/>
              <w:bottom w:val="single" w:sz="4" w:space="0" w:color="auto"/>
              <w:right w:val="single" w:sz="4" w:space="0" w:color="auto"/>
            </w:tcBorders>
          </w:tcPr>
          <w:p w14:paraId="728B0E81" w14:textId="77777777" w:rsidR="00DF2CF8" w:rsidRPr="00DF2CF8" w:rsidRDefault="00DF2CF8" w:rsidP="00DF2CF8">
            <w:pPr>
              <w:pStyle w:val="ECCTablenote"/>
              <w:rPr>
                <w:rStyle w:val="ECCHLgreen"/>
              </w:rPr>
            </w:pPr>
          </w:p>
        </w:tc>
        <w:tc>
          <w:tcPr>
            <w:tcW w:w="375" w:type="dxa"/>
            <w:tcBorders>
              <w:top w:val="single" w:sz="4" w:space="0" w:color="auto"/>
              <w:left w:val="single" w:sz="4" w:space="0" w:color="auto"/>
              <w:bottom w:val="single" w:sz="4" w:space="0" w:color="auto"/>
              <w:right w:val="single" w:sz="4" w:space="0" w:color="auto"/>
            </w:tcBorders>
          </w:tcPr>
          <w:p w14:paraId="5BB85257" w14:textId="77777777" w:rsidR="00DF2CF8" w:rsidRPr="00DF2CF8" w:rsidRDefault="00DF2CF8" w:rsidP="00DF2CF8">
            <w:pPr>
              <w:pStyle w:val="ECCTablenote"/>
              <w:rPr>
                <w:rStyle w:val="ECCHLgreen"/>
              </w:rPr>
            </w:pPr>
            <w:r w:rsidRPr="00DF2CF8">
              <w:rPr>
                <w:rStyle w:val="ECCHLgreen"/>
              </w:rPr>
              <w:t>X</w:t>
            </w:r>
          </w:p>
        </w:tc>
        <w:tc>
          <w:tcPr>
            <w:tcW w:w="375" w:type="dxa"/>
            <w:tcBorders>
              <w:top w:val="single" w:sz="4" w:space="0" w:color="auto"/>
              <w:left w:val="single" w:sz="4" w:space="0" w:color="auto"/>
              <w:bottom w:val="single" w:sz="4" w:space="0" w:color="auto"/>
              <w:right w:val="single" w:sz="4" w:space="0" w:color="auto"/>
            </w:tcBorders>
          </w:tcPr>
          <w:p w14:paraId="493BA79A" w14:textId="77777777" w:rsidR="00DF2CF8" w:rsidRPr="00DF2CF8" w:rsidRDefault="00DF2CF8" w:rsidP="00DF2CF8">
            <w:pPr>
              <w:pStyle w:val="ECCTablenote"/>
              <w:rPr>
                <w:rStyle w:val="ECCHLgreen"/>
              </w:rPr>
            </w:pPr>
          </w:p>
        </w:tc>
        <w:tc>
          <w:tcPr>
            <w:tcW w:w="375" w:type="dxa"/>
            <w:tcBorders>
              <w:top w:val="single" w:sz="4" w:space="0" w:color="auto"/>
              <w:left w:val="single" w:sz="4" w:space="0" w:color="auto"/>
              <w:bottom w:val="single" w:sz="4" w:space="0" w:color="auto"/>
              <w:right w:val="single" w:sz="4" w:space="0" w:color="auto"/>
            </w:tcBorders>
          </w:tcPr>
          <w:p w14:paraId="10998A2D" w14:textId="77777777" w:rsidR="00DF2CF8" w:rsidRPr="00DF2CF8" w:rsidRDefault="00DF2CF8" w:rsidP="00DF2CF8">
            <w:pPr>
              <w:pStyle w:val="ECCTablenote"/>
              <w:rPr>
                <w:rStyle w:val="ECCHLgreen"/>
              </w:rPr>
            </w:pPr>
          </w:p>
        </w:tc>
        <w:tc>
          <w:tcPr>
            <w:tcW w:w="464" w:type="dxa"/>
            <w:tcBorders>
              <w:top w:val="single" w:sz="4" w:space="0" w:color="auto"/>
              <w:left w:val="single" w:sz="4" w:space="0" w:color="auto"/>
              <w:bottom w:val="single" w:sz="4" w:space="0" w:color="auto"/>
              <w:right w:val="single" w:sz="4" w:space="0" w:color="auto"/>
            </w:tcBorders>
          </w:tcPr>
          <w:p w14:paraId="6D56A1E8" w14:textId="77777777" w:rsidR="00DF2CF8" w:rsidRPr="00DF2CF8" w:rsidRDefault="00DF2CF8" w:rsidP="00DF2CF8">
            <w:pPr>
              <w:pStyle w:val="ECCTablenote"/>
              <w:rPr>
                <w:rStyle w:val="ECCHLgreen"/>
              </w:rPr>
            </w:pPr>
          </w:p>
        </w:tc>
        <w:tc>
          <w:tcPr>
            <w:tcW w:w="452" w:type="dxa"/>
            <w:tcBorders>
              <w:top w:val="single" w:sz="4" w:space="0" w:color="auto"/>
              <w:left w:val="single" w:sz="4" w:space="0" w:color="auto"/>
              <w:bottom w:val="single" w:sz="4" w:space="0" w:color="auto"/>
              <w:right w:val="single" w:sz="4" w:space="0" w:color="auto"/>
            </w:tcBorders>
          </w:tcPr>
          <w:p w14:paraId="2F8E3F03"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7F142822" w14:textId="77777777" w:rsidR="00DF2CF8" w:rsidRPr="00DF2CF8" w:rsidRDefault="00DF2CF8" w:rsidP="00DF2CF8">
            <w:pPr>
              <w:pStyle w:val="ECCTablenote"/>
              <w:rPr>
                <w:rStyle w:val="ECCHLgreen"/>
              </w:rPr>
            </w:pPr>
          </w:p>
        </w:tc>
        <w:tc>
          <w:tcPr>
            <w:tcW w:w="364" w:type="dxa"/>
            <w:tcBorders>
              <w:top w:val="single" w:sz="4" w:space="0" w:color="auto"/>
              <w:left w:val="single" w:sz="4" w:space="0" w:color="auto"/>
              <w:bottom w:val="single" w:sz="4" w:space="0" w:color="auto"/>
              <w:right w:val="single" w:sz="4" w:space="0" w:color="auto"/>
            </w:tcBorders>
          </w:tcPr>
          <w:p w14:paraId="43549C95"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2007E044"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693345E6"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6F0D8768"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75108E79" w14:textId="77777777" w:rsidR="00DF2CF8" w:rsidRPr="00DF2CF8" w:rsidRDefault="00DF2CF8" w:rsidP="00DF2CF8">
            <w:pPr>
              <w:pStyle w:val="ECCTablenote"/>
              <w:rPr>
                <w:rStyle w:val="ECCHLgreen"/>
              </w:rPr>
            </w:pPr>
            <w:r w:rsidRPr="00DF2CF8">
              <w:rPr>
                <w:rStyle w:val="ECCHLgreen"/>
              </w:rPr>
              <w:t>X</w:t>
            </w:r>
          </w:p>
        </w:tc>
      </w:tr>
      <w:tr w:rsidR="00DF2CF8" w14:paraId="4975500C" w14:textId="77777777" w:rsidTr="00BA6A70">
        <w:trPr>
          <w:jc w:val="center"/>
        </w:trPr>
        <w:tc>
          <w:tcPr>
            <w:tcW w:w="369" w:type="dxa"/>
            <w:vMerge/>
            <w:tcBorders>
              <w:left w:val="single" w:sz="4" w:space="0" w:color="auto"/>
              <w:right w:val="single" w:sz="4" w:space="0" w:color="auto"/>
            </w:tcBorders>
          </w:tcPr>
          <w:p w14:paraId="28D0D3D1" w14:textId="77777777" w:rsidR="00DF2CF8" w:rsidRPr="00DF2CF8" w:rsidRDefault="00DF2CF8" w:rsidP="00DF2CF8">
            <w:pPr>
              <w:pStyle w:val="ECCTablenote"/>
            </w:pPr>
          </w:p>
        </w:tc>
        <w:tc>
          <w:tcPr>
            <w:tcW w:w="834" w:type="dxa"/>
            <w:tcBorders>
              <w:top w:val="single" w:sz="4" w:space="0" w:color="auto"/>
              <w:left w:val="single" w:sz="4" w:space="0" w:color="auto"/>
              <w:bottom w:val="single" w:sz="4" w:space="0" w:color="auto"/>
              <w:right w:val="single" w:sz="4" w:space="0" w:color="auto"/>
            </w:tcBorders>
          </w:tcPr>
          <w:p w14:paraId="6E5ABE4F" w14:textId="77777777" w:rsidR="00DF2CF8" w:rsidRPr="00DF2CF8" w:rsidRDefault="00DF2CF8" w:rsidP="00DF2CF8">
            <w:pPr>
              <w:pStyle w:val="ECCTablenote"/>
            </w:pPr>
            <w:r w:rsidRPr="00DF2CF8">
              <w:t>India</w:t>
            </w:r>
          </w:p>
        </w:tc>
        <w:tc>
          <w:tcPr>
            <w:tcW w:w="1179" w:type="dxa"/>
            <w:tcBorders>
              <w:top w:val="single" w:sz="4" w:space="0" w:color="auto"/>
              <w:left w:val="single" w:sz="4" w:space="0" w:color="auto"/>
              <w:bottom w:val="single" w:sz="4" w:space="0" w:color="auto"/>
              <w:right w:val="single" w:sz="4" w:space="0" w:color="auto"/>
            </w:tcBorders>
          </w:tcPr>
          <w:p w14:paraId="2A43BE2F" w14:textId="77777777" w:rsidR="00DF2CF8" w:rsidRPr="00DF2CF8" w:rsidRDefault="00DF2CF8" w:rsidP="00DF2CF8">
            <w:pPr>
              <w:pStyle w:val="ECCTablenote"/>
            </w:pPr>
            <w:r w:rsidRPr="00DF2CF8">
              <w:t>No.83A-E</w:t>
            </w:r>
          </w:p>
        </w:tc>
        <w:tc>
          <w:tcPr>
            <w:tcW w:w="374" w:type="dxa"/>
            <w:tcBorders>
              <w:top w:val="single" w:sz="4" w:space="0" w:color="auto"/>
              <w:left w:val="single" w:sz="4" w:space="0" w:color="auto"/>
              <w:bottom w:val="single" w:sz="4" w:space="0" w:color="auto"/>
              <w:right w:val="single" w:sz="4" w:space="0" w:color="auto"/>
            </w:tcBorders>
          </w:tcPr>
          <w:p w14:paraId="03E3D0B1" w14:textId="77777777" w:rsidR="00DF2CF8" w:rsidRPr="00DF2CF8" w:rsidRDefault="00DF2CF8" w:rsidP="00DF2CF8">
            <w:pPr>
              <w:pStyle w:val="ECCTablenote"/>
            </w:pPr>
          </w:p>
        </w:tc>
        <w:tc>
          <w:tcPr>
            <w:tcW w:w="375" w:type="dxa"/>
            <w:tcBorders>
              <w:top w:val="single" w:sz="4" w:space="0" w:color="auto"/>
              <w:left w:val="single" w:sz="4" w:space="0" w:color="auto"/>
              <w:bottom w:val="single" w:sz="4" w:space="0" w:color="auto"/>
              <w:right w:val="single" w:sz="4" w:space="0" w:color="auto"/>
            </w:tcBorders>
          </w:tcPr>
          <w:p w14:paraId="55C9D1F1" w14:textId="77777777" w:rsidR="00DF2CF8" w:rsidRPr="00DF2CF8" w:rsidRDefault="00DF2CF8" w:rsidP="00DF2CF8">
            <w:pPr>
              <w:pStyle w:val="ECCTablenote"/>
            </w:pPr>
          </w:p>
        </w:tc>
        <w:tc>
          <w:tcPr>
            <w:tcW w:w="375" w:type="dxa"/>
            <w:tcBorders>
              <w:top w:val="single" w:sz="4" w:space="0" w:color="auto"/>
              <w:left w:val="single" w:sz="4" w:space="0" w:color="auto"/>
              <w:bottom w:val="single" w:sz="4" w:space="0" w:color="auto"/>
              <w:right w:val="single" w:sz="4" w:space="0" w:color="auto"/>
            </w:tcBorders>
          </w:tcPr>
          <w:p w14:paraId="3A87FADE" w14:textId="77777777" w:rsidR="00DF2CF8" w:rsidRPr="00DF2CF8" w:rsidRDefault="00DF2CF8" w:rsidP="00DF2CF8">
            <w:pPr>
              <w:pStyle w:val="ECCTablenote"/>
            </w:pPr>
          </w:p>
        </w:tc>
        <w:tc>
          <w:tcPr>
            <w:tcW w:w="375" w:type="dxa"/>
            <w:tcBorders>
              <w:top w:val="single" w:sz="4" w:space="0" w:color="auto"/>
              <w:left w:val="single" w:sz="4" w:space="0" w:color="auto"/>
              <w:bottom w:val="single" w:sz="4" w:space="0" w:color="auto"/>
              <w:right w:val="single" w:sz="4" w:space="0" w:color="auto"/>
            </w:tcBorders>
          </w:tcPr>
          <w:p w14:paraId="0DAFFB35" w14:textId="77777777" w:rsidR="00DF2CF8" w:rsidRPr="00DF2CF8" w:rsidRDefault="00DF2CF8" w:rsidP="00DF2CF8">
            <w:pPr>
              <w:pStyle w:val="ECCTablenote"/>
              <w:rPr>
                <w:rStyle w:val="ECCHLorange"/>
              </w:rPr>
            </w:pPr>
            <w:r w:rsidRPr="00DF2CF8">
              <w:rPr>
                <w:rStyle w:val="ECCHLorange"/>
              </w:rPr>
              <w:t>X</w:t>
            </w:r>
          </w:p>
        </w:tc>
        <w:tc>
          <w:tcPr>
            <w:tcW w:w="375" w:type="dxa"/>
            <w:tcBorders>
              <w:top w:val="single" w:sz="4" w:space="0" w:color="auto"/>
              <w:left w:val="single" w:sz="4" w:space="0" w:color="auto"/>
              <w:bottom w:val="single" w:sz="4" w:space="0" w:color="auto"/>
              <w:right w:val="single" w:sz="4" w:space="0" w:color="auto"/>
            </w:tcBorders>
          </w:tcPr>
          <w:p w14:paraId="3344CA97" w14:textId="77777777" w:rsidR="00DF2CF8" w:rsidRPr="00DF2CF8" w:rsidRDefault="00DF2CF8" w:rsidP="00DF2CF8">
            <w:pPr>
              <w:pStyle w:val="ECCTablenote"/>
            </w:pPr>
          </w:p>
        </w:tc>
        <w:tc>
          <w:tcPr>
            <w:tcW w:w="464" w:type="dxa"/>
            <w:tcBorders>
              <w:top w:val="single" w:sz="4" w:space="0" w:color="auto"/>
              <w:left w:val="single" w:sz="4" w:space="0" w:color="auto"/>
              <w:bottom w:val="single" w:sz="4" w:space="0" w:color="auto"/>
              <w:right w:val="single" w:sz="4" w:space="0" w:color="auto"/>
            </w:tcBorders>
          </w:tcPr>
          <w:p w14:paraId="711CCE61" w14:textId="77777777" w:rsidR="00DF2CF8" w:rsidRPr="00DF2CF8" w:rsidRDefault="00DF2CF8" w:rsidP="00DF2CF8">
            <w:pPr>
              <w:pStyle w:val="ECCTablenote"/>
            </w:pPr>
          </w:p>
        </w:tc>
        <w:tc>
          <w:tcPr>
            <w:tcW w:w="452" w:type="dxa"/>
            <w:tcBorders>
              <w:top w:val="single" w:sz="4" w:space="0" w:color="auto"/>
              <w:left w:val="single" w:sz="4" w:space="0" w:color="auto"/>
              <w:bottom w:val="single" w:sz="4" w:space="0" w:color="auto"/>
              <w:right w:val="single" w:sz="4" w:space="0" w:color="auto"/>
            </w:tcBorders>
          </w:tcPr>
          <w:p w14:paraId="79266309" w14:textId="77777777" w:rsidR="00DF2CF8" w:rsidRPr="00DF2CF8" w:rsidRDefault="00DF2CF8" w:rsidP="00DF2CF8">
            <w:pPr>
              <w:pStyle w:val="ECCTablenote"/>
            </w:pPr>
          </w:p>
        </w:tc>
        <w:tc>
          <w:tcPr>
            <w:tcW w:w="452" w:type="dxa"/>
            <w:tcBorders>
              <w:top w:val="single" w:sz="4" w:space="0" w:color="auto"/>
              <w:left w:val="single" w:sz="4" w:space="0" w:color="auto"/>
              <w:bottom w:val="single" w:sz="4" w:space="0" w:color="auto"/>
              <w:right w:val="single" w:sz="4" w:space="0" w:color="auto"/>
            </w:tcBorders>
          </w:tcPr>
          <w:p w14:paraId="50B23D97" w14:textId="77777777" w:rsidR="00DF2CF8" w:rsidRPr="00DF2CF8" w:rsidRDefault="00DF2CF8" w:rsidP="00DF2CF8">
            <w:pPr>
              <w:pStyle w:val="ECCTablenote"/>
            </w:pPr>
          </w:p>
        </w:tc>
        <w:tc>
          <w:tcPr>
            <w:tcW w:w="364" w:type="dxa"/>
            <w:tcBorders>
              <w:top w:val="single" w:sz="4" w:space="0" w:color="auto"/>
              <w:left w:val="single" w:sz="4" w:space="0" w:color="auto"/>
              <w:bottom w:val="single" w:sz="4" w:space="0" w:color="auto"/>
              <w:right w:val="single" w:sz="4" w:space="0" w:color="auto"/>
            </w:tcBorders>
          </w:tcPr>
          <w:p w14:paraId="60F1A44B" w14:textId="77777777" w:rsidR="00DF2CF8" w:rsidRPr="00DF2CF8" w:rsidRDefault="00DF2CF8" w:rsidP="00DF2CF8">
            <w:pPr>
              <w:pStyle w:val="ECCTablenote"/>
            </w:pPr>
          </w:p>
        </w:tc>
        <w:tc>
          <w:tcPr>
            <w:tcW w:w="452" w:type="dxa"/>
            <w:tcBorders>
              <w:top w:val="single" w:sz="4" w:space="0" w:color="auto"/>
              <w:left w:val="single" w:sz="4" w:space="0" w:color="auto"/>
              <w:bottom w:val="single" w:sz="4" w:space="0" w:color="auto"/>
              <w:right w:val="single" w:sz="4" w:space="0" w:color="auto"/>
            </w:tcBorders>
          </w:tcPr>
          <w:p w14:paraId="3138B44D" w14:textId="77777777" w:rsidR="00DF2CF8" w:rsidRPr="00DF2CF8" w:rsidRDefault="00DF2CF8" w:rsidP="00DF2CF8">
            <w:pPr>
              <w:pStyle w:val="ECCTablenote"/>
            </w:pPr>
          </w:p>
        </w:tc>
        <w:tc>
          <w:tcPr>
            <w:tcW w:w="452" w:type="dxa"/>
            <w:tcBorders>
              <w:top w:val="single" w:sz="4" w:space="0" w:color="auto"/>
              <w:left w:val="single" w:sz="4" w:space="0" w:color="auto"/>
              <w:bottom w:val="single" w:sz="4" w:space="0" w:color="auto"/>
              <w:right w:val="single" w:sz="4" w:space="0" w:color="auto"/>
            </w:tcBorders>
          </w:tcPr>
          <w:p w14:paraId="6769CCC1" w14:textId="77777777" w:rsidR="00DF2CF8" w:rsidRPr="00DF2CF8" w:rsidRDefault="00DF2CF8" w:rsidP="00DF2CF8">
            <w:pPr>
              <w:pStyle w:val="ECCTablenote"/>
            </w:pPr>
          </w:p>
        </w:tc>
        <w:tc>
          <w:tcPr>
            <w:tcW w:w="452" w:type="dxa"/>
            <w:tcBorders>
              <w:top w:val="single" w:sz="4" w:space="0" w:color="auto"/>
              <w:left w:val="single" w:sz="4" w:space="0" w:color="auto"/>
              <w:bottom w:val="single" w:sz="4" w:space="0" w:color="auto"/>
              <w:right w:val="single" w:sz="4" w:space="0" w:color="auto"/>
            </w:tcBorders>
          </w:tcPr>
          <w:p w14:paraId="60E0FFB2" w14:textId="77777777" w:rsidR="00DF2CF8" w:rsidRPr="00DF2CF8" w:rsidRDefault="00DF2CF8" w:rsidP="00DF2CF8">
            <w:pPr>
              <w:pStyle w:val="ECCTablenote"/>
            </w:pPr>
          </w:p>
        </w:tc>
        <w:tc>
          <w:tcPr>
            <w:tcW w:w="452" w:type="dxa"/>
            <w:tcBorders>
              <w:top w:val="single" w:sz="4" w:space="0" w:color="auto"/>
              <w:left w:val="single" w:sz="4" w:space="0" w:color="auto"/>
              <w:bottom w:val="single" w:sz="4" w:space="0" w:color="auto"/>
              <w:right w:val="single" w:sz="4" w:space="0" w:color="auto"/>
            </w:tcBorders>
          </w:tcPr>
          <w:p w14:paraId="32BE4BF9" w14:textId="77777777" w:rsidR="00DF2CF8" w:rsidRPr="00DF2CF8" w:rsidRDefault="00DF2CF8" w:rsidP="00DF2CF8">
            <w:pPr>
              <w:pStyle w:val="ECCTablenote"/>
            </w:pPr>
          </w:p>
        </w:tc>
      </w:tr>
      <w:tr w:rsidR="00DF2CF8" w14:paraId="3970587C" w14:textId="77777777" w:rsidTr="00BA6A70">
        <w:trPr>
          <w:jc w:val="center"/>
        </w:trPr>
        <w:tc>
          <w:tcPr>
            <w:tcW w:w="369" w:type="dxa"/>
            <w:vMerge/>
            <w:tcBorders>
              <w:left w:val="single" w:sz="4" w:space="0" w:color="auto"/>
              <w:right w:val="single" w:sz="4" w:space="0" w:color="auto"/>
            </w:tcBorders>
          </w:tcPr>
          <w:p w14:paraId="348CA5DD" w14:textId="77777777" w:rsidR="00DF2CF8" w:rsidRPr="00DF2CF8" w:rsidRDefault="00DF2CF8" w:rsidP="00DF2CF8">
            <w:pPr>
              <w:pStyle w:val="ECCTablenote"/>
            </w:pPr>
          </w:p>
        </w:tc>
        <w:tc>
          <w:tcPr>
            <w:tcW w:w="834" w:type="dxa"/>
            <w:tcBorders>
              <w:top w:val="single" w:sz="4" w:space="0" w:color="auto"/>
              <w:left w:val="single" w:sz="4" w:space="0" w:color="auto"/>
              <w:bottom w:val="single" w:sz="4" w:space="0" w:color="auto"/>
              <w:right w:val="single" w:sz="4" w:space="0" w:color="auto"/>
            </w:tcBorders>
          </w:tcPr>
          <w:p w14:paraId="12C3F065" w14:textId="77777777" w:rsidR="00DF2CF8" w:rsidRPr="00DF2CF8" w:rsidRDefault="00DF2CF8" w:rsidP="00DF2CF8">
            <w:pPr>
              <w:pStyle w:val="ECCTablenote"/>
            </w:pPr>
            <w:r w:rsidRPr="00DF2CF8">
              <w:t>Egypt</w:t>
            </w:r>
          </w:p>
        </w:tc>
        <w:tc>
          <w:tcPr>
            <w:tcW w:w="1179" w:type="dxa"/>
            <w:tcBorders>
              <w:top w:val="single" w:sz="4" w:space="0" w:color="auto"/>
              <w:left w:val="single" w:sz="4" w:space="0" w:color="auto"/>
              <w:bottom w:val="single" w:sz="4" w:space="0" w:color="auto"/>
              <w:right w:val="single" w:sz="4" w:space="0" w:color="auto"/>
            </w:tcBorders>
          </w:tcPr>
          <w:p w14:paraId="01EA15C2" w14:textId="77777777" w:rsidR="00DF2CF8" w:rsidRPr="00DF2CF8" w:rsidRDefault="00DF2CF8" w:rsidP="00DF2CF8">
            <w:pPr>
              <w:pStyle w:val="ECCTablenote"/>
            </w:pPr>
            <w:r w:rsidRPr="00DF2CF8">
              <w:t>No.90A-E</w:t>
            </w:r>
          </w:p>
        </w:tc>
        <w:tc>
          <w:tcPr>
            <w:tcW w:w="374" w:type="dxa"/>
            <w:tcBorders>
              <w:top w:val="single" w:sz="4" w:space="0" w:color="auto"/>
              <w:left w:val="single" w:sz="4" w:space="0" w:color="auto"/>
              <w:bottom w:val="single" w:sz="4" w:space="0" w:color="auto"/>
              <w:right w:val="single" w:sz="4" w:space="0" w:color="auto"/>
            </w:tcBorders>
          </w:tcPr>
          <w:p w14:paraId="0C515666" w14:textId="77777777" w:rsidR="00DF2CF8" w:rsidRPr="00DF2CF8" w:rsidRDefault="00DF2CF8" w:rsidP="00DF2CF8">
            <w:pPr>
              <w:pStyle w:val="ECCTablenote"/>
              <w:rPr>
                <w:rStyle w:val="ECCHLgreen"/>
              </w:rPr>
            </w:pPr>
            <w:r w:rsidRPr="00DF2CF8">
              <w:rPr>
                <w:rStyle w:val="ECCHLgreen"/>
              </w:rPr>
              <w:t>X</w:t>
            </w:r>
          </w:p>
        </w:tc>
        <w:tc>
          <w:tcPr>
            <w:tcW w:w="375" w:type="dxa"/>
            <w:tcBorders>
              <w:top w:val="single" w:sz="4" w:space="0" w:color="auto"/>
              <w:left w:val="single" w:sz="4" w:space="0" w:color="auto"/>
              <w:bottom w:val="single" w:sz="4" w:space="0" w:color="auto"/>
              <w:right w:val="single" w:sz="4" w:space="0" w:color="auto"/>
            </w:tcBorders>
          </w:tcPr>
          <w:p w14:paraId="276C2CE6" w14:textId="77777777" w:rsidR="00DF2CF8" w:rsidRPr="00DF2CF8" w:rsidRDefault="00DF2CF8" w:rsidP="00DF2CF8">
            <w:pPr>
              <w:pStyle w:val="ECCTablenote"/>
            </w:pPr>
          </w:p>
        </w:tc>
        <w:tc>
          <w:tcPr>
            <w:tcW w:w="375" w:type="dxa"/>
            <w:tcBorders>
              <w:top w:val="single" w:sz="4" w:space="0" w:color="auto"/>
              <w:left w:val="single" w:sz="4" w:space="0" w:color="auto"/>
              <w:bottom w:val="single" w:sz="4" w:space="0" w:color="auto"/>
              <w:right w:val="single" w:sz="4" w:space="0" w:color="auto"/>
            </w:tcBorders>
          </w:tcPr>
          <w:p w14:paraId="7C03339B" w14:textId="77777777" w:rsidR="00DF2CF8" w:rsidRPr="00DF2CF8" w:rsidRDefault="00DF2CF8" w:rsidP="00DF2CF8">
            <w:pPr>
              <w:pStyle w:val="ECCTablenote"/>
            </w:pPr>
          </w:p>
        </w:tc>
        <w:tc>
          <w:tcPr>
            <w:tcW w:w="375" w:type="dxa"/>
            <w:tcBorders>
              <w:top w:val="single" w:sz="4" w:space="0" w:color="auto"/>
              <w:left w:val="single" w:sz="4" w:space="0" w:color="auto"/>
              <w:bottom w:val="single" w:sz="4" w:space="0" w:color="auto"/>
              <w:right w:val="single" w:sz="4" w:space="0" w:color="auto"/>
            </w:tcBorders>
          </w:tcPr>
          <w:p w14:paraId="21DFBDE1" w14:textId="77777777" w:rsidR="00DF2CF8" w:rsidRPr="00DF2CF8" w:rsidRDefault="00DF2CF8" w:rsidP="00DF2CF8">
            <w:pPr>
              <w:pStyle w:val="ECCTablenote"/>
            </w:pPr>
          </w:p>
        </w:tc>
        <w:tc>
          <w:tcPr>
            <w:tcW w:w="375" w:type="dxa"/>
            <w:tcBorders>
              <w:top w:val="single" w:sz="4" w:space="0" w:color="auto"/>
              <w:left w:val="single" w:sz="4" w:space="0" w:color="auto"/>
              <w:bottom w:val="single" w:sz="4" w:space="0" w:color="auto"/>
              <w:right w:val="single" w:sz="4" w:space="0" w:color="auto"/>
            </w:tcBorders>
          </w:tcPr>
          <w:p w14:paraId="1F8426A6" w14:textId="77777777" w:rsidR="00DF2CF8" w:rsidRPr="00DF2CF8" w:rsidRDefault="00DF2CF8" w:rsidP="00DF2CF8">
            <w:pPr>
              <w:pStyle w:val="ECCTablenote"/>
            </w:pPr>
          </w:p>
        </w:tc>
        <w:tc>
          <w:tcPr>
            <w:tcW w:w="464" w:type="dxa"/>
            <w:tcBorders>
              <w:top w:val="single" w:sz="4" w:space="0" w:color="auto"/>
              <w:left w:val="single" w:sz="4" w:space="0" w:color="auto"/>
              <w:bottom w:val="single" w:sz="4" w:space="0" w:color="auto"/>
              <w:right w:val="single" w:sz="4" w:space="0" w:color="auto"/>
            </w:tcBorders>
          </w:tcPr>
          <w:p w14:paraId="2BCB73D7" w14:textId="77777777" w:rsidR="00DF2CF8" w:rsidRPr="00DF2CF8" w:rsidRDefault="00DF2CF8" w:rsidP="00DF2CF8">
            <w:pPr>
              <w:pStyle w:val="ECCTablenote"/>
            </w:pPr>
          </w:p>
        </w:tc>
        <w:tc>
          <w:tcPr>
            <w:tcW w:w="452" w:type="dxa"/>
            <w:tcBorders>
              <w:top w:val="single" w:sz="4" w:space="0" w:color="auto"/>
              <w:left w:val="single" w:sz="4" w:space="0" w:color="auto"/>
              <w:bottom w:val="single" w:sz="4" w:space="0" w:color="auto"/>
              <w:right w:val="single" w:sz="4" w:space="0" w:color="auto"/>
            </w:tcBorders>
          </w:tcPr>
          <w:p w14:paraId="3727C829" w14:textId="77777777" w:rsidR="00DF2CF8" w:rsidRPr="00DF2CF8" w:rsidRDefault="00DF2CF8" w:rsidP="00DF2CF8">
            <w:pPr>
              <w:pStyle w:val="ECCTablenote"/>
            </w:pPr>
          </w:p>
        </w:tc>
        <w:tc>
          <w:tcPr>
            <w:tcW w:w="452" w:type="dxa"/>
            <w:tcBorders>
              <w:top w:val="single" w:sz="4" w:space="0" w:color="auto"/>
              <w:left w:val="single" w:sz="4" w:space="0" w:color="auto"/>
              <w:bottom w:val="single" w:sz="4" w:space="0" w:color="auto"/>
              <w:right w:val="single" w:sz="4" w:space="0" w:color="auto"/>
            </w:tcBorders>
          </w:tcPr>
          <w:p w14:paraId="0C36AA8F" w14:textId="77777777" w:rsidR="00DF2CF8" w:rsidRPr="00DF2CF8" w:rsidRDefault="00DF2CF8" w:rsidP="00DF2CF8">
            <w:pPr>
              <w:pStyle w:val="ECCTablenote"/>
            </w:pPr>
          </w:p>
        </w:tc>
        <w:tc>
          <w:tcPr>
            <w:tcW w:w="364" w:type="dxa"/>
            <w:tcBorders>
              <w:top w:val="single" w:sz="4" w:space="0" w:color="auto"/>
              <w:left w:val="single" w:sz="4" w:space="0" w:color="auto"/>
              <w:bottom w:val="single" w:sz="4" w:space="0" w:color="auto"/>
              <w:right w:val="single" w:sz="4" w:space="0" w:color="auto"/>
            </w:tcBorders>
          </w:tcPr>
          <w:p w14:paraId="2839E560" w14:textId="77777777" w:rsidR="00DF2CF8" w:rsidRPr="00DF2CF8" w:rsidRDefault="00DF2CF8" w:rsidP="00DF2CF8">
            <w:pPr>
              <w:pStyle w:val="ECCTablenote"/>
            </w:pPr>
          </w:p>
        </w:tc>
        <w:tc>
          <w:tcPr>
            <w:tcW w:w="452" w:type="dxa"/>
            <w:tcBorders>
              <w:top w:val="single" w:sz="4" w:space="0" w:color="auto"/>
              <w:left w:val="single" w:sz="4" w:space="0" w:color="auto"/>
              <w:bottom w:val="single" w:sz="4" w:space="0" w:color="auto"/>
              <w:right w:val="single" w:sz="4" w:space="0" w:color="auto"/>
            </w:tcBorders>
          </w:tcPr>
          <w:p w14:paraId="50215AE8" w14:textId="77777777" w:rsidR="00DF2CF8" w:rsidRPr="00DF2CF8" w:rsidRDefault="00DF2CF8" w:rsidP="00DF2CF8">
            <w:pPr>
              <w:pStyle w:val="ECCTablenote"/>
            </w:pPr>
          </w:p>
        </w:tc>
        <w:tc>
          <w:tcPr>
            <w:tcW w:w="452" w:type="dxa"/>
            <w:tcBorders>
              <w:top w:val="single" w:sz="4" w:space="0" w:color="auto"/>
              <w:left w:val="single" w:sz="4" w:space="0" w:color="auto"/>
              <w:bottom w:val="single" w:sz="4" w:space="0" w:color="auto"/>
              <w:right w:val="single" w:sz="4" w:space="0" w:color="auto"/>
            </w:tcBorders>
          </w:tcPr>
          <w:p w14:paraId="2AA9579D" w14:textId="77777777" w:rsidR="00DF2CF8" w:rsidRPr="00DF2CF8" w:rsidRDefault="00DF2CF8" w:rsidP="00DF2CF8">
            <w:pPr>
              <w:pStyle w:val="ECCTablenote"/>
            </w:pPr>
          </w:p>
        </w:tc>
        <w:tc>
          <w:tcPr>
            <w:tcW w:w="452" w:type="dxa"/>
            <w:tcBorders>
              <w:top w:val="single" w:sz="4" w:space="0" w:color="auto"/>
              <w:left w:val="single" w:sz="4" w:space="0" w:color="auto"/>
              <w:bottom w:val="single" w:sz="4" w:space="0" w:color="auto"/>
              <w:right w:val="single" w:sz="4" w:space="0" w:color="auto"/>
            </w:tcBorders>
          </w:tcPr>
          <w:p w14:paraId="3D92FA00" w14:textId="77777777" w:rsidR="00DF2CF8" w:rsidRPr="00DF2CF8" w:rsidRDefault="00DF2CF8" w:rsidP="00DF2CF8">
            <w:pPr>
              <w:pStyle w:val="ECCTablenote"/>
            </w:pPr>
          </w:p>
        </w:tc>
        <w:tc>
          <w:tcPr>
            <w:tcW w:w="452" w:type="dxa"/>
            <w:tcBorders>
              <w:top w:val="single" w:sz="4" w:space="0" w:color="auto"/>
              <w:left w:val="single" w:sz="4" w:space="0" w:color="auto"/>
              <w:bottom w:val="single" w:sz="4" w:space="0" w:color="auto"/>
              <w:right w:val="single" w:sz="4" w:space="0" w:color="auto"/>
            </w:tcBorders>
          </w:tcPr>
          <w:p w14:paraId="4A8DB548" w14:textId="77777777" w:rsidR="00DF2CF8" w:rsidRPr="00DF2CF8" w:rsidRDefault="00DF2CF8" w:rsidP="00DF2CF8">
            <w:pPr>
              <w:pStyle w:val="ECCTablenote"/>
            </w:pPr>
          </w:p>
        </w:tc>
      </w:tr>
      <w:tr w:rsidR="00DF2CF8" w14:paraId="605D2D56" w14:textId="77777777" w:rsidTr="00BA6A70">
        <w:trPr>
          <w:jc w:val="center"/>
        </w:trPr>
        <w:tc>
          <w:tcPr>
            <w:tcW w:w="369" w:type="dxa"/>
            <w:vMerge/>
            <w:tcBorders>
              <w:left w:val="single" w:sz="4" w:space="0" w:color="auto"/>
              <w:right w:val="single" w:sz="4" w:space="0" w:color="auto"/>
            </w:tcBorders>
          </w:tcPr>
          <w:p w14:paraId="25FF51E8" w14:textId="77777777" w:rsidR="00DF2CF8" w:rsidRPr="00DF2CF8" w:rsidRDefault="00DF2CF8" w:rsidP="00DF2CF8">
            <w:pPr>
              <w:pStyle w:val="ECCTablenote"/>
            </w:pPr>
          </w:p>
        </w:tc>
        <w:tc>
          <w:tcPr>
            <w:tcW w:w="834" w:type="dxa"/>
            <w:tcBorders>
              <w:top w:val="single" w:sz="4" w:space="0" w:color="auto"/>
              <w:left w:val="single" w:sz="4" w:space="0" w:color="auto"/>
              <w:bottom w:val="single" w:sz="4" w:space="0" w:color="auto"/>
              <w:right w:val="single" w:sz="4" w:space="0" w:color="auto"/>
            </w:tcBorders>
          </w:tcPr>
          <w:p w14:paraId="4EF60859" w14:textId="77777777" w:rsidR="00DF2CF8" w:rsidRPr="00DF2CF8" w:rsidRDefault="00DF2CF8" w:rsidP="00DF2CF8">
            <w:pPr>
              <w:pStyle w:val="ECCTablenote"/>
            </w:pPr>
            <w:r w:rsidRPr="00DF2CF8">
              <w:t>Philippine</w:t>
            </w:r>
          </w:p>
        </w:tc>
        <w:tc>
          <w:tcPr>
            <w:tcW w:w="1179" w:type="dxa"/>
            <w:tcBorders>
              <w:top w:val="single" w:sz="4" w:space="0" w:color="auto"/>
              <w:left w:val="single" w:sz="4" w:space="0" w:color="auto"/>
              <w:bottom w:val="single" w:sz="4" w:space="0" w:color="auto"/>
              <w:right w:val="single" w:sz="4" w:space="0" w:color="auto"/>
            </w:tcBorders>
          </w:tcPr>
          <w:p w14:paraId="4FAB1AB8" w14:textId="77777777" w:rsidR="00DF2CF8" w:rsidRPr="00DF2CF8" w:rsidRDefault="00DF2CF8" w:rsidP="00DF2CF8">
            <w:pPr>
              <w:pStyle w:val="ECCTablenote"/>
            </w:pPr>
            <w:r w:rsidRPr="00DF2CF8">
              <w:t>No.92A-E</w:t>
            </w:r>
          </w:p>
        </w:tc>
        <w:tc>
          <w:tcPr>
            <w:tcW w:w="374" w:type="dxa"/>
            <w:tcBorders>
              <w:top w:val="single" w:sz="4" w:space="0" w:color="auto"/>
              <w:left w:val="single" w:sz="4" w:space="0" w:color="auto"/>
              <w:bottom w:val="single" w:sz="4" w:space="0" w:color="auto"/>
              <w:right w:val="single" w:sz="4" w:space="0" w:color="auto"/>
            </w:tcBorders>
          </w:tcPr>
          <w:p w14:paraId="722CDD42" w14:textId="77777777" w:rsidR="00DF2CF8" w:rsidRPr="00DF2CF8" w:rsidRDefault="00DF2CF8" w:rsidP="00DF2CF8">
            <w:pPr>
              <w:pStyle w:val="ECCTablenote"/>
              <w:rPr>
                <w:rStyle w:val="ECCHLgreen"/>
              </w:rPr>
            </w:pPr>
            <w:r w:rsidRPr="00DF2CF8">
              <w:rPr>
                <w:rStyle w:val="ECCHLgreen"/>
              </w:rPr>
              <w:t>X</w:t>
            </w:r>
          </w:p>
        </w:tc>
        <w:tc>
          <w:tcPr>
            <w:tcW w:w="375" w:type="dxa"/>
            <w:tcBorders>
              <w:top w:val="single" w:sz="4" w:space="0" w:color="auto"/>
              <w:left w:val="single" w:sz="4" w:space="0" w:color="auto"/>
              <w:bottom w:val="single" w:sz="4" w:space="0" w:color="auto"/>
              <w:right w:val="single" w:sz="4" w:space="0" w:color="auto"/>
            </w:tcBorders>
          </w:tcPr>
          <w:p w14:paraId="3E3113B4" w14:textId="77777777" w:rsidR="00DF2CF8" w:rsidRPr="00DF2CF8" w:rsidRDefault="00DF2CF8" w:rsidP="00DF2CF8">
            <w:pPr>
              <w:pStyle w:val="ECCTablenote"/>
              <w:rPr>
                <w:rStyle w:val="ECCHLgreen"/>
              </w:rPr>
            </w:pPr>
          </w:p>
        </w:tc>
        <w:tc>
          <w:tcPr>
            <w:tcW w:w="375" w:type="dxa"/>
            <w:tcBorders>
              <w:top w:val="single" w:sz="4" w:space="0" w:color="auto"/>
              <w:left w:val="single" w:sz="4" w:space="0" w:color="auto"/>
              <w:bottom w:val="single" w:sz="4" w:space="0" w:color="auto"/>
              <w:right w:val="single" w:sz="4" w:space="0" w:color="auto"/>
            </w:tcBorders>
          </w:tcPr>
          <w:p w14:paraId="7BCDBB6D" w14:textId="77777777" w:rsidR="00DF2CF8" w:rsidRPr="00DF2CF8" w:rsidRDefault="00DF2CF8" w:rsidP="00DF2CF8">
            <w:pPr>
              <w:pStyle w:val="ECCTablenote"/>
              <w:rPr>
                <w:rStyle w:val="ECCHLgreen"/>
              </w:rPr>
            </w:pPr>
            <w:r w:rsidRPr="00DF2CF8">
              <w:rPr>
                <w:rStyle w:val="ECCHLgreen"/>
              </w:rPr>
              <w:t>X</w:t>
            </w:r>
          </w:p>
        </w:tc>
        <w:tc>
          <w:tcPr>
            <w:tcW w:w="375" w:type="dxa"/>
            <w:tcBorders>
              <w:top w:val="single" w:sz="4" w:space="0" w:color="auto"/>
              <w:left w:val="single" w:sz="4" w:space="0" w:color="auto"/>
              <w:bottom w:val="single" w:sz="4" w:space="0" w:color="auto"/>
              <w:right w:val="single" w:sz="4" w:space="0" w:color="auto"/>
            </w:tcBorders>
          </w:tcPr>
          <w:p w14:paraId="1E9C390A" w14:textId="77777777" w:rsidR="00DF2CF8" w:rsidRPr="00DF2CF8" w:rsidRDefault="00DF2CF8" w:rsidP="00DF2CF8">
            <w:pPr>
              <w:pStyle w:val="ECCTablenote"/>
              <w:rPr>
                <w:rStyle w:val="ECCHLgreen"/>
              </w:rPr>
            </w:pPr>
          </w:p>
        </w:tc>
        <w:tc>
          <w:tcPr>
            <w:tcW w:w="375" w:type="dxa"/>
            <w:tcBorders>
              <w:top w:val="single" w:sz="4" w:space="0" w:color="auto"/>
              <w:left w:val="single" w:sz="4" w:space="0" w:color="auto"/>
              <w:bottom w:val="single" w:sz="4" w:space="0" w:color="auto"/>
              <w:right w:val="single" w:sz="4" w:space="0" w:color="auto"/>
            </w:tcBorders>
          </w:tcPr>
          <w:p w14:paraId="6A44F299" w14:textId="77777777" w:rsidR="00DF2CF8" w:rsidRPr="00DF2CF8" w:rsidRDefault="00DF2CF8" w:rsidP="00DF2CF8">
            <w:pPr>
              <w:pStyle w:val="ECCTablenote"/>
              <w:rPr>
                <w:rStyle w:val="ECCHLgreen"/>
              </w:rPr>
            </w:pPr>
          </w:p>
        </w:tc>
        <w:tc>
          <w:tcPr>
            <w:tcW w:w="464" w:type="dxa"/>
            <w:tcBorders>
              <w:top w:val="single" w:sz="4" w:space="0" w:color="auto"/>
              <w:left w:val="single" w:sz="4" w:space="0" w:color="auto"/>
              <w:bottom w:val="single" w:sz="4" w:space="0" w:color="auto"/>
              <w:right w:val="single" w:sz="4" w:space="0" w:color="auto"/>
            </w:tcBorders>
          </w:tcPr>
          <w:p w14:paraId="721BB9BC" w14:textId="77777777" w:rsidR="00DF2CF8" w:rsidRPr="00DF2CF8" w:rsidRDefault="00DF2CF8" w:rsidP="00DF2CF8">
            <w:pPr>
              <w:pStyle w:val="ECCTablenote"/>
              <w:rPr>
                <w:rStyle w:val="ECCHLgreen"/>
              </w:rPr>
            </w:pPr>
          </w:p>
        </w:tc>
        <w:tc>
          <w:tcPr>
            <w:tcW w:w="452" w:type="dxa"/>
            <w:tcBorders>
              <w:top w:val="single" w:sz="4" w:space="0" w:color="auto"/>
              <w:left w:val="single" w:sz="4" w:space="0" w:color="auto"/>
              <w:bottom w:val="single" w:sz="4" w:space="0" w:color="auto"/>
              <w:right w:val="single" w:sz="4" w:space="0" w:color="auto"/>
            </w:tcBorders>
          </w:tcPr>
          <w:p w14:paraId="2CB15F8D"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2BAB809C" w14:textId="77777777" w:rsidR="00DF2CF8" w:rsidRPr="00DF2CF8" w:rsidRDefault="00DF2CF8" w:rsidP="00DF2CF8">
            <w:pPr>
              <w:pStyle w:val="ECCTablenote"/>
              <w:rPr>
                <w:rStyle w:val="ECCHLgreen"/>
              </w:rPr>
            </w:pPr>
          </w:p>
        </w:tc>
        <w:tc>
          <w:tcPr>
            <w:tcW w:w="364" w:type="dxa"/>
            <w:tcBorders>
              <w:top w:val="single" w:sz="4" w:space="0" w:color="auto"/>
              <w:left w:val="single" w:sz="4" w:space="0" w:color="auto"/>
              <w:bottom w:val="single" w:sz="4" w:space="0" w:color="auto"/>
              <w:right w:val="single" w:sz="4" w:space="0" w:color="auto"/>
            </w:tcBorders>
          </w:tcPr>
          <w:p w14:paraId="6D71B916"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3ED667B8"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4255D8E2"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726E242D"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066EB688" w14:textId="77777777" w:rsidR="00DF2CF8" w:rsidRPr="00DF2CF8" w:rsidRDefault="00DF2CF8" w:rsidP="00DF2CF8">
            <w:pPr>
              <w:pStyle w:val="ECCTablenote"/>
              <w:rPr>
                <w:rStyle w:val="ECCHLgreen"/>
              </w:rPr>
            </w:pPr>
            <w:r w:rsidRPr="00DF2CF8">
              <w:rPr>
                <w:rStyle w:val="ECCHLgreen"/>
              </w:rPr>
              <w:t>X</w:t>
            </w:r>
          </w:p>
        </w:tc>
      </w:tr>
      <w:tr w:rsidR="00DF2CF8" w14:paraId="375CCA07" w14:textId="77777777" w:rsidTr="00BA6A70">
        <w:trPr>
          <w:jc w:val="center"/>
        </w:trPr>
        <w:tc>
          <w:tcPr>
            <w:tcW w:w="369" w:type="dxa"/>
            <w:vMerge/>
            <w:tcBorders>
              <w:left w:val="single" w:sz="4" w:space="0" w:color="auto"/>
              <w:right w:val="single" w:sz="4" w:space="0" w:color="auto"/>
            </w:tcBorders>
          </w:tcPr>
          <w:p w14:paraId="71A12357" w14:textId="77777777" w:rsidR="00DF2CF8" w:rsidRPr="00DF2CF8" w:rsidRDefault="00DF2CF8" w:rsidP="00DF2CF8">
            <w:pPr>
              <w:pStyle w:val="ECCTablenote"/>
            </w:pPr>
          </w:p>
        </w:tc>
        <w:tc>
          <w:tcPr>
            <w:tcW w:w="834" w:type="dxa"/>
            <w:tcBorders>
              <w:top w:val="single" w:sz="4" w:space="0" w:color="auto"/>
              <w:left w:val="single" w:sz="4" w:space="0" w:color="auto"/>
              <w:bottom w:val="single" w:sz="4" w:space="0" w:color="auto"/>
              <w:right w:val="single" w:sz="4" w:space="0" w:color="auto"/>
            </w:tcBorders>
          </w:tcPr>
          <w:p w14:paraId="4DD5BE69" w14:textId="77777777" w:rsidR="00DF2CF8" w:rsidRPr="00DF2CF8" w:rsidRDefault="00DF2CF8" w:rsidP="00DF2CF8">
            <w:pPr>
              <w:pStyle w:val="ECCTablenote"/>
            </w:pPr>
            <w:r w:rsidRPr="00DF2CF8">
              <w:t>Mexico</w:t>
            </w:r>
          </w:p>
        </w:tc>
        <w:tc>
          <w:tcPr>
            <w:tcW w:w="1179" w:type="dxa"/>
            <w:tcBorders>
              <w:top w:val="single" w:sz="4" w:space="0" w:color="auto"/>
              <w:left w:val="single" w:sz="4" w:space="0" w:color="auto"/>
              <w:bottom w:val="single" w:sz="4" w:space="0" w:color="auto"/>
              <w:right w:val="single" w:sz="4" w:space="0" w:color="auto"/>
            </w:tcBorders>
          </w:tcPr>
          <w:p w14:paraId="1BF69B16" w14:textId="77777777" w:rsidR="00DF2CF8" w:rsidRPr="00DF2CF8" w:rsidRDefault="00DF2CF8" w:rsidP="00DF2CF8">
            <w:pPr>
              <w:pStyle w:val="ECCTablenote"/>
            </w:pPr>
            <w:r w:rsidRPr="00DF2CF8">
              <w:t>No.109-E</w:t>
            </w:r>
          </w:p>
        </w:tc>
        <w:tc>
          <w:tcPr>
            <w:tcW w:w="374" w:type="dxa"/>
            <w:tcBorders>
              <w:top w:val="single" w:sz="4" w:space="0" w:color="auto"/>
              <w:left w:val="single" w:sz="4" w:space="0" w:color="auto"/>
              <w:bottom w:val="single" w:sz="4" w:space="0" w:color="auto"/>
              <w:right w:val="single" w:sz="4" w:space="0" w:color="auto"/>
            </w:tcBorders>
          </w:tcPr>
          <w:p w14:paraId="5EA865C5" w14:textId="77777777" w:rsidR="00DF2CF8" w:rsidRPr="00DF2CF8" w:rsidRDefault="00DF2CF8" w:rsidP="00DF2CF8">
            <w:pPr>
              <w:pStyle w:val="ECCTablenote"/>
            </w:pPr>
          </w:p>
        </w:tc>
        <w:tc>
          <w:tcPr>
            <w:tcW w:w="375" w:type="dxa"/>
            <w:tcBorders>
              <w:top w:val="single" w:sz="4" w:space="0" w:color="auto"/>
              <w:left w:val="single" w:sz="4" w:space="0" w:color="auto"/>
              <w:bottom w:val="single" w:sz="4" w:space="0" w:color="auto"/>
              <w:right w:val="single" w:sz="4" w:space="0" w:color="auto"/>
            </w:tcBorders>
          </w:tcPr>
          <w:p w14:paraId="7D551B0B" w14:textId="77777777" w:rsidR="00DF2CF8" w:rsidRPr="00DF2CF8" w:rsidRDefault="00DF2CF8" w:rsidP="00DF2CF8">
            <w:pPr>
              <w:pStyle w:val="ECCTablenote"/>
            </w:pPr>
          </w:p>
        </w:tc>
        <w:tc>
          <w:tcPr>
            <w:tcW w:w="375" w:type="dxa"/>
            <w:tcBorders>
              <w:top w:val="single" w:sz="4" w:space="0" w:color="auto"/>
              <w:left w:val="single" w:sz="4" w:space="0" w:color="auto"/>
              <w:bottom w:val="single" w:sz="4" w:space="0" w:color="auto"/>
              <w:right w:val="single" w:sz="4" w:space="0" w:color="auto"/>
            </w:tcBorders>
          </w:tcPr>
          <w:p w14:paraId="44FB6517" w14:textId="77777777" w:rsidR="00DF2CF8" w:rsidRPr="00DF2CF8" w:rsidRDefault="00DF2CF8" w:rsidP="00DF2CF8">
            <w:pPr>
              <w:pStyle w:val="ECCTablenote"/>
            </w:pPr>
          </w:p>
        </w:tc>
        <w:tc>
          <w:tcPr>
            <w:tcW w:w="375" w:type="dxa"/>
            <w:tcBorders>
              <w:top w:val="single" w:sz="4" w:space="0" w:color="auto"/>
              <w:left w:val="single" w:sz="4" w:space="0" w:color="auto"/>
              <w:bottom w:val="single" w:sz="4" w:space="0" w:color="auto"/>
              <w:right w:val="single" w:sz="4" w:space="0" w:color="auto"/>
            </w:tcBorders>
          </w:tcPr>
          <w:p w14:paraId="7B61F300" w14:textId="77777777" w:rsidR="00DF2CF8" w:rsidRPr="00DF2CF8" w:rsidRDefault="00DF2CF8" w:rsidP="00DF2CF8">
            <w:pPr>
              <w:pStyle w:val="ECCTablenote"/>
            </w:pPr>
          </w:p>
        </w:tc>
        <w:tc>
          <w:tcPr>
            <w:tcW w:w="375" w:type="dxa"/>
            <w:tcBorders>
              <w:top w:val="single" w:sz="4" w:space="0" w:color="auto"/>
              <w:left w:val="single" w:sz="4" w:space="0" w:color="auto"/>
              <w:bottom w:val="single" w:sz="4" w:space="0" w:color="auto"/>
              <w:right w:val="single" w:sz="4" w:space="0" w:color="auto"/>
            </w:tcBorders>
          </w:tcPr>
          <w:p w14:paraId="77B44A6C" w14:textId="77777777" w:rsidR="00DF2CF8" w:rsidRPr="00DF2CF8" w:rsidRDefault="00DF2CF8" w:rsidP="00DF2CF8">
            <w:pPr>
              <w:pStyle w:val="ECCTablenote"/>
            </w:pPr>
          </w:p>
        </w:tc>
        <w:tc>
          <w:tcPr>
            <w:tcW w:w="464" w:type="dxa"/>
            <w:tcBorders>
              <w:top w:val="single" w:sz="4" w:space="0" w:color="auto"/>
              <w:left w:val="single" w:sz="4" w:space="0" w:color="auto"/>
              <w:bottom w:val="single" w:sz="4" w:space="0" w:color="auto"/>
              <w:right w:val="single" w:sz="4" w:space="0" w:color="auto"/>
            </w:tcBorders>
          </w:tcPr>
          <w:p w14:paraId="5A980226" w14:textId="77777777" w:rsidR="00DF2CF8" w:rsidRPr="00DF2CF8" w:rsidRDefault="00DF2CF8" w:rsidP="00DF2CF8">
            <w:pPr>
              <w:pStyle w:val="ECCTablenote"/>
            </w:pPr>
          </w:p>
        </w:tc>
        <w:tc>
          <w:tcPr>
            <w:tcW w:w="452" w:type="dxa"/>
            <w:tcBorders>
              <w:top w:val="single" w:sz="4" w:space="0" w:color="auto"/>
              <w:left w:val="single" w:sz="4" w:space="0" w:color="auto"/>
              <w:bottom w:val="single" w:sz="4" w:space="0" w:color="auto"/>
              <w:right w:val="single" w:sz="4" w:space="0" w:color="auto"/>
            </w:tcBorders>
          </w:tcPr>
          <w:p w14:paraId="149761D2"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0E906BFD" w14:textId="77777777" w:rsidR="00DF2CF8" w:rsidRPr="00DF2CF8" w:rsidRDefault="00DF2CF8" w:rsidP="00DF2CF8">
            <w:pPr>
              <w:pStyle w:val="ECCTablenote"/>
            </w:pPr>
          </w:p>
        </w:tc>
        <w:tc>
          <w:tcPr>
            <w:tcW w:w="364" w:type="dxa"/>
            <w:tcBorders>
              <w:top w:val="single" w:sz="4" w:space="0" w:color="auto"/>
              <w:left w:val="single" w:sz="4" w:space="0" w:color="auto"/>
              <w:bottom w:val="single" w:sz="4" w:space="0" w:color="auto"/>
              <w:right w:val="single" w:sz="4" w:space="0" w:color="auto"/>
            </w:tcBorders>
          </w:tcPr>
          <w:p w14:paraId="558B9350" w14:textId="77777777" w:rsidR="00DF2CF8" w:rsidRPr="00DF2CF8" w:rsidRDefault="00DF2CF8" w:rsidP="00DF2CF8">
            <w:pPr>
              <w:pStyle w:val="ECCTablenote"/>
            </w:pPr>
          </w:p>
        </w:tc>
        <w:tc>
          <w:tcPr>
            <w:tcW w:w="452" w:type="dxa"/>
            <w:tcBorders>
              <w:top w:val="single" w:sz="4" w:space="0" w:color="auto"/>
              <w:left w:val="single" w:sz="4" w:space="0" w:color="auto"/>
              <w:bottom w:val="single" w:sz="4" w:space="0" w:color="auto"/>
              <w:right w:val="single" w:sz="4" w:space="0" w:color="auto"/>
            </w:tcBorders>
          </w:tcPr>
          <w:p w14:paraId="669F4C10" w14:textId="77777777" w:rsidR="00DF2CF8" w:rsidRPr="00DF2CF8" w:rsidRDefault="00DF2CF8" w:rsidP="00DF2CF8">
            <w:pPr>
              <w:pStyle w:val="ECCTablenote"/>
            </w:pPr>
          </w:p>
        </w:tc>
        <w:tc>
          <w:tcPr>
            <w:tcW w:w="452" w:type="dxa"/>
            <w:tcBorders>
              <w:top w:val="single" w:sz="4" w:space="0" w:color="auto"/>
              <w:left w:val="single" w:sz="4" w:space="0" w:color="auto"/>
              <w:bottom w:val="single" w:sz="4" w:space="0" w:color="auto"/>
              <w:right w:val="single" w:sz="4" w:space="0" w:color="auto"/>
            </w:tcBorders>
          </w:tcPr>
          <w:p w14:paraId="0835E027" w14:textId="77777777" w:rsidR="00DF2CF8" w:rsidRPr="00DF2CF8" w:rsidRDefault="00DF2CF8" w:rsidP="00DF2CF8">
            <w:pPr>
              <w:pStyle w:val="ECCTablenote"/>
            </w:pPr>
          </w:p>
        </w:tc>
        <w:tc>
          <w:tcPr>
            <w:tcW w:w="452" w:type="dxa"/>
            <w:tcBorders>
              <w:top w:val="single" w:sz="4" w:space="0" w:color="auto"/>
              <w:left w:val="single" w:sz="4" w:space="0" w:color="auto"/>
              <w:bottom w:val="single" w:sz="4" w:space="0" w:color="auto"/>
              <w:right w:val="single" w:sz="4" w:space="0" w:color="auto"/>
            </w:tcBorders>
          </w:tcPr>
          <w:p w14:paraId="15E4DF95" w14:textId="77777777" w:rsidR="00DF2CF8" w:rsidRPr="00DF2CF8" w:rsidRDefault="00DF2CF8" w:rsidP="00DF2CF8">
            <w:pPr>
              <w:pStyle w:val="ECCTablenote"/>
            </w:pPr>
          </w:p>
        </w:tc>
        <w:tc>
          <w:tcPr>
            <w:tcW w:w="452" w:type="dxa"/>
            <w:tcBorders>
              <w:top w:val="single" w:sz="4" w:space="0" w:color="auto"/>
              <w:left w:val="single" w:sz="4" w:space="0" w:color="auto"/>
              <w:bottom w:val="single" w:sz="4" w:space="0" w:color="auto"/>
              <w:right w:val="single" w:sz="4" w:space="0" w:color="auto"/>
            </w:tcBorders>
          </w:tcPr>
          <w:p w14:paraId="08621F70" w14:textId="77777777" w:rsidR="00DF2CF8" w:rsidRPr="00DF2CF8" w:rsidRDefault="00DF2CF8" w:rsidP="00DF2CF8">
            <w:pPr>
              <w:pStyle w:val="ECCTablenote"/>
            </w:pPr>
          </w:p>
        </w:tc>
      </w:tr>
      <w:tr w:rsidR="00DF2CF8" w14:paraId="3FBB8351" w14:textId="77777777" w:rsidTr="00BA6A70">
        <w:trPr>
          <w:jc w:val="center"/>
        </w:trPr>
        <w:tc>
          <w:tcPr>
            <w:tcW w:w="369" w:type="dxa"/>
            <w:vMerge/>
            <w:tcBorders>
              <w:left w:val="single" w:sz="4" w:space="0" w:color="auto"/>
              <w:right w:val="single" w:sz="4" w:space="0" w:color="auto"/>
            </w:tcBorders>
          </w:tcPr>
          <w:p w14:paraId="7DBF4D2D" w14:textId="77777777" w:rsidR="00DF2CF8" w:rsidRPr="00DF2CF8" w:rsidRDefault="00DF2CF8" w:rsidP="00DF2CF8">
            <w:pPr>
              <w:pStyle w:val="ECCTablenote"/>
            </w:pPr>
          </w:p>
        </w:tc>
        <w:tc>
          <w:tcPr>
            <w:tcW w:w="834" w:type="dxa"/>
            <w:tcBorders>
              <w:top w:val="single" w:sz="4" w:space="0" w:color="auto"/>
              <w:left w:val="single" w:sz="4" w:space="0" w:color="auto"/>
              <w:bottom w:val="single" w:sz="4" w:space="0" w:color="auto"/>
              <w:right w:val="single" w:sz="4" w:space="0" w:color="auto"/>
            </w:tcBorders>
          </w:tcPr>
          <w:p w14:paraId="2F00A0FF" w14:textId="77777777" w:rsidR="00DF2CF8" w:rsidRPr="00DF2CF8" w:rsidRDefault="00DF2CF8" w:rsidP="00DF2CF8">
            <w:pPr>
              <w:pStyle w:val="ECCTablenote"/>
            </w:pPr>
            <w:r w:rsidRPr="00DF2CF8">
              <w:t>Spain</w:t>
            </w:r>
          </w:p>
        </w:tc>
        <w:tc>
          <w:tcPr>
            <w:tcW w:w="1179" w:type="dxa"/>
            <w:tcBorders>
              <w:top w:val="single" w:sz="4" w:space="0" w:color="auto"/>
              <w:left w:val="single" w:sz="4" w:space="0" w:color="auto"/>
              <w:bottom w:val="single" w:sz="4" w:space="0" w:color="auto"/>
              <w:right w:val="single" w:sz="4" w:space="0" w:color="auto"/>
            </w:tcBorders>
          </w:tcPr>
          <w:p w14:paraId="462D34F9" w14:textId="77777777" w:rsidR="00DF2CF8" w:rsidRPr="00DF2CF8" w:rsidRDefault="00DF2CF8" w:rsidP="00DF2CF8">
            <w:pPr>
              <w:pStyle w:val="ECCTablenote"/>
            </w:pPr>
            <w:r w:rsidRPr="00DF2CF8">
              <w:t>No.114-E</w:t>
            </w:r>
          </w:p>
        </w:tc>
        <w:tc>
          <w:tcPr>
            <w:tcW w:w="374" w:type="dxa"/>
            <w:tcBorders>
              <w:top w:val="single" w:sz="4" w:space="0" w:color="auto"/>
              <w:left w:val="single" w:sz="4" w:space="0" w:color="auto"/>
              <w:bottom w:val="single" w:sz="4" w:space="0" w:color="auto"/>
              <w:right w:val="single" w:sz="4" w:space="0" w:color="auto"/>
            </w:tcBorders>
          </w:tcPr>
          <w:p w14:paraId="4F56023B" w14:textId="77777777" w:rsidR="00DF2CF8" w:rsidRPr="00DF2CF8" w:rsidRDefault="00DF2CF8" w:rsidP="00DF2CF8">
            <w:pPr>
              <w:pStyle w:val="ECCTablenote"/>
              <w:rPr>
                <w:rStyle w:val="ECCHLgreen"/>
              </w:rPr>
            </w:pPr>
          </w:p>
        </w:tc>
        <w:tc>
          <w:tcPr>
            <w:tcW w:w="375" w:type="dxa"/>
            <w:tcBorders>
              <w:top w:val="single" w:sz="4" w:space="0" w:color="auto"/>
              <w:left w:val="single" w:sz="4" w:space="0" w:color="auto"/>
              <w:bottom w:val="single" w:sz="4" w:space="0" w:color="auto"/>
              <w:right w:val="single" w:sz="4" w:space="0" w:color="auto"/>
            </w:tcBorders>
          </w:tcPr>
          <w:p w14:paraId="31A0801B" w14:textId="77777777" w:rsidR="00DF2CF8" w:rsidRPr="00DF2CF8" w:rsidRDefault="00DF2CF8" w:rsidP="00DF2CF8">
            <w:pPr>
              <w:pStyle w:val="ECCTablenote"/>
              <w:rPr>
                <w:rStyle w:val="ECCHLgreen"/>
              </w:rPr>
            </w:pPr>
          </w:p>
        </w:tc>
        <w:tc>
          <w:tcPr>
            <w:tcW w:w="375" w:type="dxa"/>
            <w:tcBorders>
              <w:top w:val="single" w:sz="4" w:space="0" w:color="auto"/>
              <w:left w:val="single" w:sz="4" w:space="0" w:color="auto"/>
              <w:bottom w:val="single" w:sz="4" w:space="0" w:color="auto"/>
              <w:right w:val="single" w:sz="4" w:space="0" w:color="auto"/>
            </w:tcBorders>
          </w:tcPr>
          <w:p w14:paraId="755F4A25" w14:textId="77777777" w:rsidR="00DF2CF8" w:rsidRPr="00DF2CF8" w:rsidRDefault="00DF2CF8" w:rsidP="00DF2CF8">
            <w:pPr>
              <w:pStyle w:val="ECCTablenote"/>
              <w:rPr>
                <w:rStyle w:val="ECCHLgreen"/>
              </w:rPr>
            </w:pPr>
            <w:r w:rsidRPr="00DF2CF8">
              <w:rPr>
                <w:rStyle w:val="ECCHLgreen"/>
              </w:rPr>
              <w:t>X</w:t>
            </w:r>
          </w:p>
        </w:tc>
        <w:tc>
          <w:tcPr>
            <w:tcW w:w="375" w:type="dxa"/>
            <w:tcBorders>
              <w:top w:val="single" w:sz="4" w:space="0" w:color="auto"/>
              <w:left w:val="single" w:sz="4" w:space="0" w:color="auto"/>
              <w:bottom w:val="single" w:sz="4" w:space="0" w:color="auto"/>
              <w:right w:val="single" w:sz="4" w:space="0" w:color="auto"/>
            </w:tcBorders>
          </w:tcPr>
          <w:p w14:paraId="63AC7270" w14:textId="77777777" w:rsidR="00DF2CF8" w:rsidRPr="00DF2CF8" w:rsidRDefault="00DF2CF8" w:rsidP="00DF2CF8">
            <w:pPr>
              <w:pStyle w:val="ECCTablenote"/>
              <w:rPr>
                <w:rStyle w:val="ECCHLgreen"/>
              </w:rPr>
            </w:pPr>
          </w:p>
        </w:tc>
        <w:tc>
          <w:tcPr>
            <w:tcW w:w="375" w:type="dxa"/>
            <w:tcBorders>
              <w:top w:val="single" w:sz="4" w:space="0" w:color="auto"/>
              <w:left w:val="single" w:sz="4" w:space="0" w:color="auto"/>
              <w:bottom w:val="single" w:sz="4" w:space="0" w:color="auto"/>
              <w:right w:val="single" w:sz="4" w:space="0" w:color="auto"/>
            </w:tcBorders>
          </w:tcPr>
          <w:p w14:paraId="69AF1C69" w14:textId="77777777" w:rsidR="00DF2CF8" w:rsidRPr="00DF2CF8" w:rsidRDefault="00DF2CF8" w:rsidP="00DF2CF8">
            <w:pPr>
              <w:pStyle w:val="ECCTablenote"/>
              <w:rPr>
                <w:rStyle w:val="ECCHLgreen"/>
              </w:rPr>
            </w:pPr>
          </w:p>
        </w:tc>
        <w:tc>
          <w:tcPr>
            <w:tcW w:w="464" w:type="dxa"/>
            <w:tcBorders>
              <w:top w:val="single" w:sz="4" w:space="0" w:color="auto"/>
              <w:left w:val="single" w:sz="4" w:space="0" w:color="auto"/>
              <w:bottom w:val="single" w:sz="4" w:space="0" w:color="auto"/>
              <w:right w:val="single" w:sz="4" w:space="0" w:color="auto"/>
            </w:tcBorders>
          </w:tcPr>
          <w:p w14:paraId="7DE1CD4B" w14:textId="77777777" w:rsidR="00DF2CF8" w:rsidRPr="00DF2CF8" w:rsidRDefault="00DF2CF8" w:rsidP="00DF2CF8">
            <w:pPr>
              <w:pStyle w:val="ECCTablenote"/>
              <w:rPr>
                <w:rStyle w:val="ECCHLgreen"/>
              </w:rPr>
            </w:pPr>
          </w:p>
        </w:tc>
        <w:tc>
          <w:tcPr>
            <w:tcW w:w="452" w:type="dxa"/>
            <w:tcBorders>
              <w:top w:val="single" w:sz="4" w:space="0" w:color="auto"/>
              <w:left w:val="single" w:sz="4" w:space="0" w:color="auto"/>
              <w:bottom w:val="single" w:sz="4" w:space="0" w:color="auto"/>
              <w:right w:val="single" w:sz="4" w:space="0" w:color="auto"/>
            </w:tcBorders>
          </w:tcPr>
          <w:p w14:paraId="5A8DBEB0" w14:textId="77777777" w:rsidR="00DF2CF8" w:rsidRPr="00DF2CF8" w:rsidRDefault="00DF2CF8" w:rsidP="00DF2CF8">
            <w:pPr>
              <w:pStyle w:val="ECCTablenote"/>
              <w:rPr>
                <w:rStyle w:val="ECCHLgreen"/>
              </w:rPr>
            </w:pPr>
          </w:p>
        </w:tc>
        <w:tc>
          <w:tcPr>
            <w:tcW w:w="452" w:type="dxa"/>
            <w:tcBorders>
              <w:top w:val="single" w:sz="4" w:space="0" w:color="auto"/>
              <w:left w:val="single" w:sz="4" w:space="0" w:color="auto"/>
              <w:bottom w:val="single" w:sz="4" w:space="0" w:color="auto"/>
              <w:right w:val="single" w:sz="4" w:space="0" w:color="auto"/>
            </w:tcBorders>
          </w:tcPr>
          <w:p w14:paraId="0AD95D4D" w14:textId="77777777" w:rsidR="00DF2CF8" w:rsidRPr="00DF2CF8" w:rsidRDefault="00DF2CF8" w:rsidP="00DF2CF8">
            <w:pPr>
              <w:pStyle w:val="ECCTablenote"/>
              <w:rPr>
                <w:rStyle w:val="ECCHLgreen"/>
              </w:rPr>
            </w:pPr>
          </w:p>
        </w:tc>
        <w:tc>
          <w:tcPr>
            <w:tcW w:w="364" w:type="dxa"/>
            <w:tcBorders>
              <w:top w:val="single" w:sz="4" w:space="0" w:color="auto"/>
              <w:left w:val="single" w:sz="4" w:space="0" w:color="auto"/>
              <w:bottom w:val="single" w:sz="4" w:space="0" w:color="auto"/>
              <w:right w:val="single" w:sz="4" w:space="0" w:color="auto"/>
            </w:tcBorders>
          </w:tcPr>
          <w:p w14:paraId="4FDD1403" w14:textId="77777777" w:rsidR="00DF2CF8" w:rsidRPr="00DF2CF8" w:rsidRDefault="00DF2CF8" w:rsidP="00DF2CF8">
            <w:pPr>
              <w:pStyle w:val="ECCTablenote"/>
              <w:rPr>
                <w:rStyle w:val="ECCHLgreen"/>
              </w:rPr>
            </w:pPr>
          </w:p>
        </w:tc>
        <w:tc>
          <w:tcPr>
            <w:tcW w:w="452" w:type="dxa"/>
            <w:tcBorders>
              <w:top w:val="single" w:sz="4" w:space="0" w:color="auto"/>
              <w:left w:val="single" w:sz="4" w:space="0" w:color="auto"/>
              <w:bottom w:val="single" w:sz="4" w:space="0" w:color="auto"/>
              <w:right w:val="single" w:sz="4" w:space="0" w:color="auto"/>
            </w:tcBorders>
          </w:tcPr>
          <w:p w14:paraId="6F55840A" w14:textId="77777777" w:rsidR="00DF2CF8" w:rsidRPr="00DF2CF8" w:rsidRDefault="00DF2CF8" w:rsidP="00DF2CF8">
            <w:pPr>
              <w:pStyle w:val="ECCTablenote"/>
              <w:rPr>
                <w:rStyle w:val="ECCHLgreen"/>
              </w:rPr>
            </w:pPr>
          </w:p>
        </w:tc>
        <w:tc>
          <w:tcPr>
            <w:tcW w:w="452" w:type="dxa"/>
            <w:tcBorders>
              <w:top w:val="single" w:sz="4" w:space="0" w:color="auto"/>
              <w:left w:val="single" w:sz="4" w:space="0" w:color="auto"/>
              <w:bottom w:val="single" w:sz="4" w:space="0" w:color="auto"/>
              <w:right w:val="single" w:sz="4" w:space="0" w:color="auto"/>
            </w:tcBorders>
          </w:tcPr>
          <w:p w14:paraId="3EB76261" w14:textId="77777777" w:rsidR="00DF2CF8" w:rsidRPr="00DF2CF8" w:rsidRDefault="00DF2CF8" w:rsidP="00DF2CF8">
            <w:pPr>
              <w:pStyle w:val="ECCTablenote"/>
              <w:rPr>
                <w:rStyle w:val="ECCHLgreen"/>
              </w:rPr>
            </w:pPr>
          </w:p>
        </w:tc>
        <w:tc>
          <w:tcPr>
            <w:tcW w:w="452" w:type="dxa"/>
            <w:tcBorders>
              <w:top w:val="single" w:sz="4" w:space="0" w:color="auto"/>
              <w:left w:val="single" w:sz="4" w:space="0" w:color="auto"/>
              <w:bottom w:val="single" w:sz="4" w:space="0" w:color="auto"/>
              <w:right w:val="single" w:sz="4" w:space="0" w:color="auto"/>
            </w:tcBorders>
          </w:tcPr>
          <w:p w14:paraId="1C45E8B3" w14:textId="77777777" w:rsidR="00DF2CF8" w:rsidRPr="00DF2CF8" w:rsidRDefault="00DF2CF8" w:rsidP="00DF2CF8">
            <w:pPr>
              <w:pStyle w:val="ECCTablenote"/>
            </w:pPr>
          </w:p>
        </w:tc>
        <w:tc>
          <w:tcPr>
            <w:tcW w:w="452" w:type="dxa"/>
            <w:tcBorders>
              <w:top w:val="single" w:sz="4" w:space="0" w:color="auto"/>
              <w:left w:val="single" w:sz="4" w:space="0" w:color="auto"/>
              <w:bottom w:val="single" w:sz="4" w:space="0" w:color="auto"/>
              <w:right w:val="single" w:sz="4" w:space="0" w:color="auto"/>
            </w:tcBorders>
          </w:tcPr>
          <w:p w14:paraId="40FCDD1D" w14:textId="77777777" w:rsidR="00DF2CF8" w:rsidRPr="00DF2CF8" w:rsidRDefault="00DF2CF8" w:rsidP="00DF2CF8">
            <w:pPr>
              <w:pStyle w:val="ECCTablenote"/>
            </w:pPr>
          </w:p>
        </w:tc>
      </w:tr>
      <w:tr w:rsidR="00DF2CF8" w14:paraId="0D83BF64" w14:textId="77777777" w:rsidTr="00BA6A70">
        <w:trPr>
          <w:jc w:val="center"/>
        </w:trPr>
        <w:tc>
          <w:tcPr>
            <w:tcW w:w="369" w:type="dxa"/>
            <w:vMerge/>
            <w:tcBorders>
              <w:left w:val="single" w:sz="4" w:space="0" w:color="auto"/>
              <w:right w:val="single" w:sz="4" w:space="0" w:color="auto"/>
            </w:tcBorders>
          </w:tcPr>
          <w:p w14:paraId="17A995D7" w14:textId="77777777" w:rsidR="00DF2CF8" w:rsidRPr="00DF2CF8" w:rsidRDefault="00DF2CF8" w:rsidP="00DF2CF8">
            <w:pPr>
              <w:pStyle w:val="ECCTablenote"/>
            </w:pPr>
          </w:p>
        </w:tc>
        <w:tc>
          <w:tcPr>
            <w:tcW w:w="834" w:type="dxa"/>
            <w:tcBorders>
              <w:top w:val="single" w:sz="4" w:space="0" w:color="auto"/>
              <w:left w:val="single" w:sz="4" w:space="0" w:color="auto"/>
              <w:bottom w:val="single" w:sz="4" w:space="0" w:color="auto"/>
              <w:right w:val="single" w:sz="4" w:space="0" w:color="auto"/>
            </w:tcBorders>
          </w:tcPr>
          <w:p w14:paraId="5FE623A8" w14:textId="77777777" w:rsidR="00DF2CF8" w:rsidRPr="00DF2CF8" w:rsidRDefault="00DF2CF8" w:rsidP="00DF2CF8">
            <w:pPr>
              <w:pStyle w:val="ECCTablenote"/>
            </w:pPr>
            <w:r w:rsidRPr="00DF2CF8">
              <w:t>Italy</w:t>
            </w:r>
          </w:p>
        </w:tc>
        <w:tc>
          <w:tcPr>
            <w:tcW w:w="1179" w:type="dxa"/>
            <w:tcBorders>
              <w:top w:val="single" w:sz="4" w:space="0" w:color="auto"/>
              <w:left w:val="single" w:sz="4" w:space="0" w:color="auto"/>
              <w:bottom w:val="single" w:sz="4" w:space="0" w:color="auto"/>
              <w:right w:val="single" w:sz="4" w:space="0" w:color="auto"/>
            </w:tcBorders>
          </w:tcPr>
          <w:p w14:paraId="1AF2D9F9" w14:textId="77777777" w:rsidR="00DF2CF8" w:rsidRPr="00DF2CF8" w:rsidRDefault="00DF2CF8" w:rsidP="00DF2CF8">
            <w:pPr>
              <w:pStyle w:val="ECCTablenote"/>
            </w:pPr>
            <w:r w:rsidRPr="00DF2CF8">
              <w:t>No.135-E</w:t>
            </w:r>
          </w:p>
        </w:tc>
        <w:tc>
          <w:tcPr>
            <w:tcW w:w="374" w:type="dxa"/>
            <w:tcBorders>
              <w:top w:val="single" w:sz="4" w:space="0" w:color="auto"/>
              <w:left w:val="single" w:sz="4" w:space="0" w:color="auto"/>
              <w:bottom w:val="single" w:sz="4" w:space="0" w:color="auto"/>
              <w:right w:val="single" w:sz="4" w:space="0" w:color="auto"/>
            </w:tcBorders>
          </w:tcPr>
          <w:p w14:paraId="71A0D52F" w14:textId="77777777" w:rsidR="00DF2CF8" w:rsidRPr="00DF2CF8" w:rsidRDefault="00DF2CF8" w:rsidP="00DF2CF8">
            <w:pPr>
              <w:pStyle w:val="ECCTablenote"/>
              <w:rPr>
                <w:rStyle w:val="ECCHLgreen"/>
              </w:rPr>
            </w:pPr>
            <w:r w:rsidRPr="00DF2CF8">
              <w:rPr>
                <w:rStyle w:val="ECCHLgreen"/>
              </w:rPr>
              <w:t>X</w:t>
            </w:r>
          </w:p>
        </w:tc>
        <w:tc>
          <w:tcPr>
            <w:tcW w:w="375" w:type="dxa"/>
            <w:tcBorders>
              <w:top w:val="single" w:sz="4" w:space="0" w:color="auto"/>
              <w:left w:val="single" w:sz="4" w:space="0" w:color="auto"/>
              <w:bottom w:val="single" w:sz="4" w:space="0" w:color="auto"/>
              <w:right w:val="single" w:sz="4" w:space="0" w:color="auto"/>
            </w:tcBorders>
          </w:tcPr>
          <w:p w14:paraId="421F60F6" w14:textId="77777777" w:rsidR="00DF2CF8" w:rsidRPr="00DF2CF8" w:rsidRDefault="00DF2CF8" w:rsidP="00DF2CF8">
            <w:pPr>
              <w:pStyle w:val="ECCTablenote"/>
              <w:rPr>
                <w:rStyle w:val="ECCHLgreen"/>
              </w:rPr>
            </w:pPr>
          </w:p>
        </w:tc>
        <w:tc>
          <w:tcPr>
            <w:tcW w:w="375" w:type="dxa"/>
            <w:tcBorders>
              <w:top w:val="single" w:sz="4" w:space="0" w:color="auto"/>
              <w:left w:val="single" w:sz="4" w:space="0" w:color="auto"/>
              <w:bottom w:val="single" w:sz="4" w:space="0" w:color="auto"/>
              <w:right w:val="single" w:sz="4" w:space="0" w:color="auto"/>
            </w:tcBorders>
          </w:tcPr>
          <w:p w14:paraId="48D7A4FE" w14:textId="77777777" w:rsidR="00DF2CF8" w:rsidRPr="00DF2CF8" w:rsidRDefault="00DF2CF8" w:rsidP="00DF2CF8">
            <w:pPr>
              <w:pStyle w:val="ECCTablenote"/>
              <w:rPr>
                <w:rStyle w:val="ECCHLgreen"/>
              </w:rPr>
            </w:pPr>
            <w:r w:rsidRPr="00DF2CF8">
              <w:rPr>
                <w:rStyle w:val="ECCHLgreen"/>
              </w:rPr>
              <w:t>X</w:t>
            </w:r>
          </w:p>
        </w:tc>
        <w:tc>
          <w:tcPr>
            <w:tcW w:w="375" w:type="dxa"/>
            <w:tcBorders>
              <w:top w:val="single" w:sz="4" w:space="0" w:color="auto"/>
              <w:left w:val="single" w:sz="4" w:space="0" w:color="auto"/>
              <w:bottom w:val="single" w:sz="4" w:space="0" w:color="auto"/>
              <w:right w:val="single" w:sz="4" w:space="0" w:color="auto"/>
            </w:tcBorders>
          </w:tcPr>
          <w:p w14:paraId="13E18622" w14:textId="77777777" w:rsidR="00DF2CF8" w:rsidRPr="00DF2CF8" w:rsidRDefault="00DF2CF8" w:rsidP="00DF2CF8">
            <w:pPr>
              <w:pStyle w:val="ECCTablenote"/>
              <w:rPr>
                <w:rStyle w:val="ECCHLgreen"/>
              </w:rPr>
            </w:pPr>
          </w:p>
        </w:tc>
        <w:tc>
          <w:tcPr>
            <w:tcW w:w="375" w:type="dxa"/>
            <w:tcBorders>
              <w:top w:val="single" w:sz="4" w:space="0" w:color="auto"/>
              <w:left w:val="single" w:sz="4" w:space="0" w:color="auto"/>
              <w:bottom w:val="single" w:sz="4" w:space="0" w:color="auto"/>
              <w:right w:val="single" w:sz="4" w:space="0" w:color="auto"/>
            </w:tcBorders>
          </w:tcPr>
          <w:p w14:paraId="4DE3825E" w14:textId="77777777" w:rsidR="00DF2CF8" w:rsidRPr="00DF2CF8" w:rsidRDefault="00DF2CF8" w:rsidP="00DF2CF8">
            <w:pPr>
              <w:pStyle w:val="ECCTablenote"/>
              <w:rPr>
                <w:rStyle w:val="ECCHLgreen"/>
              </w:rPr>
            </w:pPr>
          </w:p>
        </w:tc>
        <w:tc>
          <w:tcPr>
            <w:tcW w:w="464" w:type="dxa"/>
            <w:tcBorders>
              <w:top w:val="single" w:sz="4" w:space="0" w:color="auto"/>
              <w:left w:val="single" w:sz="4" w:space="0" w:color="auto"/>
              <w:bottom w:val="single" w:sz="4" w:space="0" w:color="auto"/>
              <w:right w:val="single" w:sz="4" w:space="0" w:color="auto"/>
            </w:tcBorders>
          </w:tcPr>
          <w:p w14:paraId="2C0D3CF2"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12E7DFDE"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6483F3DB" w14:textId="77777777" w:rsidR="00DF2CF8" w:rsidRPr="00DF2CF8" w:rsidRDefault="00DF2CF8" w:rsidP="00DF2CF8">
            <w:pPr>
              <w:pStyle w:val="ECCTablenote"/>
              <w:rPr>
                <w:rStyle w:val="ECCHLgreen"/>
              </w:rPr>
            </w:pPr>
          </w:p>
        </w:tc>
        <w:tc>
          <w:tcPr>
            <w:tcW w:w="364" w:type="dxa"/>
            <w:tcBorders>
              <w:top w:val="single" w:sz="4" w:space="0" w:color="auto"/>
              <w:left w:val="single" w:sz="4" w:space="0" w:color="auto"/>
              <w:bottom w:val="single" w:sz="4" w:space="0" w:color="auto"/>
              <w:right w:val="single" w:sz="4" w:space="0" w:color="auto"/>
            </w:tcBorders>
          </w:tcPr>
          <w:p w14:paraId="352EF8D8" w14:textId="77777777" w:rsidR="00DF2CF8" w:rsidRPr="00DF2CF8" w:rsidRDefault="00DF2CF8" w:rsidP="00DF2CF8">
            <w:pPr>
              <w:pStyle w:val="ECCTablenote"/>
              <w:rPr>
                <w:rStyle w:val="ECCHLgreen"/>
              </w:rPr>
            </w:pPr>
          </w:p>
        </w:tc>
        <w:tc>
          <w:tcPr>
            <w:tcW w:w="452" w:type="dxa"/>
            <w:tcBorders>
              <w:top w:val="single" w:sz="4" w:space="0" w:color="auto"/>
              <w:left w:val="single" w:sz="4" w:space="0" w:color="auto"/>
              <w:bottom w:val="single" w:sz="4" w:space="0" w:color="auto"/>
              <w:right w:val="single" w:sz="4" w:space="0" w:color="auto"/>
            </w:tcBorders>
          </w:tcPr>
          <w:p w14:paraId="660D399A"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2467BF8F"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3B2C9908" w14:textId="77777777" w:rsidR="00DF2CF8" w:rsidRPr="00DF2CF8" w:rsidRDefault="00DF2CF8" w:rsidP="00DF2CF8">
            <w:pPr>
              <w:pStyle w:val="ECCTablenote"/>
            </w:pPr>
          </w:p>
        </w:tc>
        <w:tc>
          <w:tcPr>
            <w:tcW w:w="452" w:type="dxa"/>
            <w:tcBorders>
              <w:top w:val="single" w:sz="4" w:space="0" w:color="auto"/>
              <w:left w:val="single" w:sz="4" w:space="0" w:color="auto"/>
              <w:bottom w:val="single" w:sz="4" w:space="0" w:color="auto"/>
              <w:right w:val="single" w:sz="4" w:space="0" w:color="auto"/>
            </w:tcBorders>
          </w:tcPr>
          <w:p w14:paraId="38F797B5" w14:textId="77777777" w:rsidR="00DF2CF8" w:rsidRPr="00DF2CF8" w:rsidRDefault="00DF2CF8" w:rsidP="00DF2CF8">
            <w:pPr>
              <w:pStyle w:val="ECCTablenote"/>
            </w:pPr>
          </w:p>
        </w:tc>
      </w:tr>
      <w:tr w:rsidR="00DF2CF8" w14:paraId="77F54B71" w14:textId="77777777" w:rsidTr="002D729F">
        <w:trPr>
          <w:trHeight w:val="80"/>
          <w:jc w:val="center"/>
        </w:trPr>
        <w:tc>
          <w:tcPr>
            <w:tcW w:w="369" w:type="dxa"/>
            <w:vMerge/>
            <w:tcBorders>
              <w:left w:val="single" w:sz="4" w:space="0" w:color="auto"/>
              <w:bottom w:val="single" w:sz="4" w:space="0" w:color="auto"/>
              <w:right w:val="single" w:sz="4" w:space="0" w:color="auto"/>
            </w:tcBorders>
          </w:tcPr>
          <w:p w14:paraId="1252217E" w14:textId="77777777" w:rsidR="00DF2CF8" w:rsidRPr="00DF2CF8" w:rsidRDefault="00DF2CF8" w:rsidP="00DF2CF8">
            <w:pPr>
              <w:pStyle w:val="ECCTablenote"/>
            </w:pPr>
          </w:p>
        </w:tc>
        <w:tc>
          <w:tcPr>
            <w:tcW w:w="834" w:type="dxa"/>
            <w:tcBorders>
              <w:top w:val="single" w:sz="4" w:space="0" w:color="auto"/>
              <w:left w:val="single" w:sz="4" w:space="0" w:color="auto"/>
              <w:bottom w:val="single" w:sz="4" w:space="0" w:color="auto"/>
              <w:right w:val="single" w:sz="4" w:space="0" w:color="auto"/>
            </w:tcBorders>
          </w:tcPr>
          <w:p w14:paraId="73DBA128" w14:textId="77777777" w:rsidR="00DF2CF8" w:rsidRPr="00DF2CF8" w:rsidRDefault="00DF2CF8" w:rsidP="00DF2CF8">
            <w:pPr>
              <w:pStyle w:val="ECCTablenote"/>
            </w:pPr>
            <w:r w:rsidRPr="00DF2CF8">
              <w:t>Panama</w:t>
            </w:r>
          </w:p>
        </w:tc>
        <w:tc>
          <w:tcPr>
            <w:tcW w:w="1179" w:type="dxa"/>
            <w:tcBorders>
              <w:top w:val="single" w:sz="4" w:space="0" w:color="auto"/>
              <w:left w:val="single" w:sz="4" w:space="0" w:color="auto"/>
              <w:bottom w:val="single" w:sz="4" w:space="0" w:color="auto"/>
              <w:right w:val="single" w:sz="4" w:space="0" w:color="auto"/>
            </w:tcBorders>
          </w:tcPr>
          <w:p w14:paraId="4BC27930" w14:textId="77777777" w:rsidR="00DF2CF8" w:rsidRPr="00DF2CF8" w:rsidRDefault="00DF2CF8" w:rsidP="00DF2CF8">
            <w:pPr>
              <w:pStyle w:val="ECCTablenote"/>
            </w:pPr>
            <w:r w:rsidRPr="00DF2CF8">
              <w:t>No.150-E</w:t>
            </w:r>
          </w:p>
        </w:tc>
        <w:tc>
          <w:tcPr>
            <w:tcW w:w="374" w:type="dxa"/>
            <w:tcBorders>
              <w:top w:val="single" w:sz="4" w:space="0" w:color="auto"/>
              <w:left w:val="single" w:sz="4" w:space="0" w:color="auto"/>
              <w:bottom w:val="single" w:sz="4" w:space="0" w:color="auto"/>
              <w:right w:val="single" w:sz="4" w:space="0" w:color="auto"/>
            </w:tcBorders>
          </w:tcPr>
          <w:p w14:paraId="7EAFF170" w14:textId="77777777" w:rsidR="00DF2CF8" w:rsidRPr="00DF2CF8" w:rsidRDefault="00DF2CF8" w:rsidP="00DF2CF8">
            <w:pPr>
              <w:pStyle w:val="ECCTablenote"/>
              <w:rPr>
                <w:rStyle w:val="ECCHLgreen"/>
              </w:rPr>
            </w:pPr>
            <w:r w:rsidRPr="00DF2CF8">
              <w:rPr>
                <w:rStyle w:val="ECCHLgreen"/>
              </w:rPr>
              <w:t>X</w:t>
            </w:r>
          </w:p>
        </w:tc>
        <w:tc>
          <w:tcPr>
            <w:tcW w:w="375" w:type="dxa"/>
            <w:tcBorders>
              <w:top w:val="single" w:sz="4" w:space="0" w:color="auto"/>
              <w:left w:val="single" w:sz="4" w:space="0" w:color="auto"/>
              <w:bottom w:val="single" w:sz="4" w:space="0" w:color="auto"/>
              <w:right w:val="single" w:sz="4" w:space="0" w:color="auto"/>
            </w:tcBorders>
          </w:tcPr>
          <w:p w14:paraId="3ECE4F12" w14:textId="77777777" w:rsidR="00DF2CF8" w:rsidRPr="00DF2CF8" w:rsidRDefault="00DF2CF8" w:rsidP="00DF2CF8">
            <w:pPr>
              <w:pStyle w:val="ECCTablenote"/>
              <w:rPr>
                <w:rStyle w:val="ECCHLgreen"/>
              </w:rPr>
            </w:pPr>
          </w:p>
        </w:tc>
        <w:tc>
          <w:tcPr>
            <w:tcW w:w="375" w:type="dxa"/>
            <w:tcBorders>
              <w:top w:val="single" w:sz="4" w:space="0" w:color="auto"/>
              <w:left w:val="single" w:sz="4" w:space="0" w:color="auto"/>
              <w:bottom w:val="single" w:sz="4" w:space="0" w:color="auto"/>
              <w:right w:val="single" w:sz="4" w:space="0" w:color="auto"/>
            </w:tcBorders>
          </w:tcPr>
          <w:p w14:paraId="0BBC4946" w14:textId="77777777" w:rsidR="00DF2CF8" w:rsidRPr="00DF2CF8" w:rsidRDefault="00DF2CF8" w:rsidP="00DF2CF8">
            <w:pPr>
              <w:pStyle w:val="ECCTablenote"/>
              <w:rPr>
                <w:rStyle w:val="ECCHLgreen"/>
              </w:rPr>
            </w:pPr>
            <w:r w:rsidRPr="00DF2CF8">
              <w:rPr>
                <w:rStyle w:val="ECCHLgreen"/>
              </w:rPr>
              <w:t>X</w:t>
            </w:r>
          </w:p>
        </w:tc>
        <w:tc>
          <w:tcPr>
            <w:tcW w:w="375" w:type="dxa"/>
            <w:tcBorders>
              <w:top w:val="single" w:sz="4" w:space="0" w:color="auto"/>
              <w:left w:val="single" w:sz="4" w:space="0" w:color="auto"/>
              <w:bottom w:val="single" w:sz="4" w:space="0" w:color="auto"/>
              <w:right w:val="single" w:sz="4" w:space="0" w:color="auto"/>
            </w:tcBorders>
          </w:tcPr>
          <w:p w14:paraId="5153ACD7" w14:textId="77777777" w:rsidR="00DF2CF8" w:rsidRPr="00DF2CF8" w:rsidRDefault="00DF2CF8" w:rsidP="00DF2CF8">
            <w:pPr>
              <w:pStyle w:val="ECCTablenote"/>
              <w:rPr>
                <w:rStyle w:val="ECCHLgreen"/>
              </w:rPr>
            </w:pPr>
          </w:p>
        </w:tc>
        <w:tc>
          <w:tcPr>
            <w:tcW w:w="375" w:type="dxa"/>
            <w:tcBorders>
              <w:top w:val="single" w:sz="4" w:space="0" w:color="auto"/>
              <w:left w:val="single" w:sz="4" w:space="0" w:color="auto"/>
              <w:bottom w:val="single" w:sz="4" w:space="0" w:color="auto"/>
              <w:right w:val="single" w:sz="4" w:space="0" w:color="auto"/>
            </w:tcBorders>
          </w:tcPr>
          <w:p w14:paraId="121A869B" w14:textId="77777777" w:rsidR="00DF2CF8" w:rsidRPr="00DF2CF8" w:rsidRDefault="00DF2CF8" w:rsidP="00DF2CF8">
            <w:pPr>
              <w:pStyle w:val="ECCTablenote"/>
              <w:rPr>
                <w:rStyle w:val="ECCHLgreen"/>
              </w:rPr>
            </w:pPr>
          </w:p>
        </w:tc>
        <w:tc>
          <w:tcPr>
            <w:tcW w:w="464" w:type="dxa"/>
            <w:tcBorders>
              <w:top w:val="single" w:sz="4" w:space="0" w:color="auto"/>
              <w:left w:val="single" w:sz="4" w:space="0" w:color="auto"/>
              <w:bottom w:val="single" w:sz="4" w:space="0" w:color="auto"/>
              <w:right w:val="single" w:sz="4" w:space="0" w:color="auto"/>
            </w:tcBorders>
          </w:tcPr>
          <w:p w14:paraId="1EAA9B43"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1213209A" w14:textId="77777777" w:rsidR="00DF2CF8" w:rsidRPr="00DF2CF8" w:rsidRDefault="00DF2CF8" w:rsidP="00DF2CF8">
            <w:pPr>
              <w:pStyle w:val="ECCTablenote"/>
              <w:rPr>
                <w:rStyle w:val="ECCHLgreen"/>
              </w:rPr>
            </w:pPr>
          </w:p>
        </w:tc>
        <w:tc>
          <w:tcPr>
            <w:tcW w:w="452" w:type="dxa"/>
            <w:tcBorders>
              <w:top w:val="single" w:sz="4" w:space="0" w:color="auto"/>
              <w:left w:val="single" w:sz="4" w:space="0" w:color="auto"/>
              <w:bottom w:val="single" w:sz="4" w:space="0" w:color="auto"/>
              <w:right w:val="single" w:sz="4" w:space="0" w:color="auto"/>
            </w:tcBorders>
          </w:tcPr>
          <w:p w14:paraId="02D65D76" w14:textId="77777777" w:rsidR="00DF2CF8" w:rsidRPr="00DF2CF8" w:rsidRDefault="00DF2CF8" w:rsidP="00DF2CF8">
            <w:pPr>
              <w:pStyle w:val="ECCTablenote"/>
              <w:rPr>
                <w:rStyle w:val="ECCHLgreen"/>
              </w:rPr>
            </w:pPr>
          </w:p>
        </w:tc>
        <w:tc>
          <w:tcPr>
            <w:tcW w:w="364" w:type="dxa"/>
            <w:tcBorders>
              <w:top w:val="single" w:sz="4" w:space="0" w:color="auto"/>
              <w:left w:val="single" w:sz="4" w:space="0" w:color="auto"/>
              <w:bottom w:val="single" w:sz="4" w:space="0" w:color="auto"/>
              <w:right w:val="single" w:sz="4" w:space="0" w:color="auto"/>
            </w:tcBorders>
          </w:tcPr>
          <w:p w14:paraId="74CC1D1B" w14:textId="77777777" w:rsidR="00DF2CF8" w:rsidRPr="00DF2CF8" w:rsidRDefault="00DF2CF8" w:rsidP="00DF2CF8">
            <w:pPr>
              <w:pStyle w:val="ECCTablenote"/>
              <w:rPr>
                <w:rStyle w:val="ECCHLgreen"/>
              </w:rPr>
            </w:pPr>
          </w:p>
        </w:tc>
        <w:tc>
          <w:tcPr>
            <w:tcW w:w="452" w:type="dxa"/>
            <w:tcBorders>
              <w:top w:val="single" w:sz="4" w:space="0" w:color="auto"/>
              <w:left w:val="single" w:sz="4" w:space="0" w:color="auto"/>
              <w:bottom w:val="single" w:sz="4" w:space="0" w:color="auto"/>
              <w:right w:val="single" w:sz="4" w:space="0" w:color="auto"/>
            </w:tcBorders>
          </w:tcPr>
          <w:p w14:paraId="55857937"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7C880CD1" w14:textId="77777777" w:rsidR="00DF2CF8" w:rsidRPr="00DF2CF8" w:rsidRDefault="00DF2CF8" w:rsidP="00DF2CF8">
            <w:pPr>
              <w:pStyle w:val="ECCTablenote"/>
              <w:rPr>
                <w:rStyle w:val="ECCHLgreen"/>
              </w:rPr>
            </w:pPr>
            <w:r w:rsidRPr="00DF2CF8">
              <w:rPr>
                <w:rStyle w:val="ECCHLgreen"/>
              </w:rPr>
              <w:t>X</w:t>
            </w:r>
          </w:p>
        </w:tc>
        <w:tc>
          <w:tcPr>
            <w:tcW w:w="452" w:type="dxa"/>
            <w:tcBorders>
              <w:top w:val="single" w:sz="4" w:space="0" w:color="auto"/>
              <w:left w:val="single" w:sz="4" w:space="0" w:color="auto"/>
              <w:bottom w:val="single" w:sz="4" w:space="0" w:color="auto"/>
              <w:right w:val="single" w:sz="4" w:space="0" w:color="auto"/>
            </w:tcBorders>
          </w:tcPr>
          <w:p w14:paraId="0A60A5F7" w14:textId="77777777" w:rsidR="00DF2CF8" w:rsidRPr="00DF2CF8" w:rsidRDefault="00DF2CF8" w:rsidP="00DF2CF8">
            <w:pPr>
              <w:pStyle w:val="ECCTablenote"/>
            </w:pPr>
          </w:p>
        </w:tc>
        <w:tc>
          <w:tcPr>
            <w:tcW w:w="452" w:type="dxa"/>
            <w:tcBorders>
              <w:top w:val="single" w:sz="4" w:space="0" w:color="auto"/>
              <w:left w:val="single" w:sz="4" w:space="0" w:color="auto"/>
              <w:bottom w:val="single" w:sz="4" w:space="0" w:color="auto"/>
              <w:right w:val="single" w:sz="4" w:space="0" w:color="auto"/>
            </w:tcBorders>
          </w:tcPr>
          <w:p w14:paraId="38CBA7E8" w14:textId="77777777" w:rsidR="00DF2CF8" w:rsidRPr="00DF2CF8" w:rsidRDefault="00DF2CF8" w:rsidP="00DF2CF8">
            <w:pPr>
              <w:pStyle w:val="ECCTablenote"/>
            </w:pPr>
          </w:p>
        </w:tc>
      </w:tr>
      <w:tr w:rsidR="00571517" w14:paraId="031E3E17" w14:textId="77777777" w:rsidTr="002D729F">
        <w:trPr>
          <w:trHeight w:val="80"/>
          <w:jc w:val="center"/>
        </w:trPr>
        <w:tc>
          <w:tcPr>
            <w:tcW w:w="369" w:type="dxa"/>
            <w:tcBorders>
              <w:top w:val="single" w:sz="4" w:space="0" w:color="auto"/>
              <w:left w:val="single" w:sz="4" w:space="0" w:color="auto"/>
              <w:bottom w:val="single" w:sz="4" w:space="0" w:color="auto"/>
              <w:right w:val="single" w:sz="4" w:space="0" w:color="auto"/>
            </w:tcBorders>
          </w:tcPr>
          <w:p w14:paraId="0A99757F" w14:textId="77777777" w:rsidR="00571517" w:rsidRPr="00DF2CF8" w:rsidRDefault="00571517" w:rsidP="00DF2CF8">
            <w:pPr>
              <w:pStyle w:val="ECCTablenote"/>
            </w:pPr>
          </w:p>
        </w:tc>
        <w:tc>
          <w:tcPr>
            <w:tcW w:w="2013" w:type="dxa"/>
            <w:gridSpan w:val="2"/>
            <w:tcBorders>
              <w:top w:val="single" w:sz="4" w:space="0" w:color="auto"/>
              <w:left w:val="single" w:sz="4" w:space="0" w:color="auto"/>
              <w:bottom w:val="single" w:sz="4" w:space="0" w:color="auto"/>
              <w:right w:val="single" w:sz="4" w:space="0" w:color="auto"/>
            </w:tcBorders>
          </w:tcPr>
          <w:p w14:paraId="14C99F05" w14:textId="5FD110C3" w:rsidR="00571517" w:rsidRPr="00DF2CF8" w:rsidRDefault="00571517" w:rsidP="00DF2CF8">
            <w:pPr>
              <w:pStyle w:val="ECCTablenote"/>
            </w:pPr>
            <w:r>
              <w:t>Results</w:t>
            </w:r>
          </w:p>
        </w:tc>
        <w:tc>
          <w:tcPr>
            <w:tcW w:w="374" w:type="dxa"/>
            <w:tcBorders>
              <w:top w:val="single" w:sz="4" w:space="0" w:color="auto"/>
              <w:left w:val="single" w:sz="4" w:space="0" w:color="auto"/>
              <w:bottom w:val="single" w:sz="4" w:space="0" w:color="auto"/>
              <w:right w:val="single" w:sz="4" w:space="0" w:color="auto"/>
            </w:tcBorders>
          </w:tcPr>
          <w:p w14:paraId="15E64056" w14:textId="5D4964D9" w:rsidR="00571517" w:rsidRPr="00571517" w:rsidRDefault="00571517" w:rsidP="00DF2CF8">
            <w:pPr>
              <w:pStyle w:val="ECCTablenote"/>
              <w:rPr>
                <w:rStyle w:val="ECCHLcyan"/>
              </w:rPr>
            </w:pPr>
            <w:r w:rsidRPr="00571517">
              <w:rPr>
                <w:rStyle w:val="ECCHLcyan"/>
              </w:rPr>
              <w:t>X</w:t>
            </w:r>
          </w:p>
        </w:tc>
        <w:tc>
          <w:tcPr>
            <w:tcW w:w="375" w:type="dxa"/>
            <w:tcBorders>
              <w:top w:val="single" w:sz="4" w:space="0" w:color="auto"/>
              <w:left w:val="single" w:sz="4" w:space="0" w:color="auto"/>
              <w:bottom w:val="single" w:sz="4" w:space="0" w:color="auto"/>
              <w:right w:val="single" w:sz="4" w:space="0" w:color="auto"/>
            </w:tcBorders>
          </w:tcPr>
          <w:p w14:paraId="3D3EDB97" w14:textId="77777777" w:rsidR="00571517" w:rsidRPr="00DF2CF8" w:rsidRDefault="00571517" w:rsidP="00DF2CF8">
            <w:pPr>
              <w:pStyle w:val="ECCTablenote"/>
              <w:rPr>
                <w:rStyle w:val="ECCHLgreen"/>
              </w:rPr>
            </w:pPr>
          </w:p>
        </w:tc>
        <w:tc>
          <w:tcPr>
            <w:tcW w:w="375" w:type="dxa"/>
            <w:tcBorders>
              <w:top w:val="single" w:sz="4" w:space="0" w:color="auto"/>
              <w:left w:val="single" w:sz="4" w:space="0" w:color="auto"/>
              <w:bottom w:val="single" w:sz="4" w:space="0" w:color="auto"/>
              <w:right w:val="single" w:sz="4" w:space="0" w:color="auto"/>
            </w:tcBorders>
          </w:tcPr>
          <w:p w14:paraId="2F7AFA1C" w14:textId="0D1B11F0" w:rsidR="00571517" w:rsidRPr="00571517" w:rsidRDefault="00571517" w:rsidP="00DF2CF8">
            <w:pPr>
              <w:pStyle w:val="ECCTablenote"/>
              <w:rPr>
                <w:rStyle w:val="ECCHLcyan"/>
              </w:rPr>
            </w:pPr>
            <w:r w:rsidRPr="00571517">
              <w:rPr>
                <w:rStyle w:val="ECCHLcyan"/>
              </w:rPr>
              <w:t>X</w:t>
            </w:r>
          </w:p>
        </w:tc>
        <w:tc>
          <w:tcPr>
            <w:tcW w:w="375" w:type="dxa"/>
            <w:tcBorders>
              <w:top w:val="single" w:sz="4" w:space="0" w:color="auto"/>
              <w:left w:val="single" w:sz="4" w:space="0" w:color="auto"/>
              <w:bottom w:val="single" w:sz="4" w:space="0" w:color="auto"/>
              <w:right w:val="single" w:sz="4" w:space="0" w:color="auto"/>
            </w:tcBorders>
          </w:tcPr>
          <w:p w14:paraId="1BD9DE3D" w14:textId="67484DDC" w:rsidR="00571517" w:rsidRPr="00571517" w:rsidRDefault="00571517" w:rsidP="00DF2CF8">
            <w:pPr>
              <w:pStyle w:val="ECCTablenote"/>
              <w:rPr>
                <w:rStyle w:val="ECCHLorange"/>
              </w:rPr>
            </w:pPr>
            <w:r w:rsidRPr="00571517">
              <w:rPr>
                <w:rStyle w:val="ECCHLorange"/>
              </w:rPr>
              <w:t>X</w:t>
            </w:r>
          </w:p>
        </w:tc>
        <w:tc>
          <w:tcPr>
            <w:tcW w:w="375" w:type="dxa"/>
            <w:tcBorders>
              <w:top w:val="single" w:sz="4" w:space="0" w:color="auto"/>
              <w:left w:val="single" w:sz="4" w:space="0" w:color="auto"/>
              <w:bottom w:val="single" w:sz="4" w:space="0" w:color="auto"/>
              <w:right w:val="single" w:sz="4" w:space="0" w:color="auto"/>
            </w:tcBorders>
          </w:tcPr>
          <w:p w14:paraId="102F8A60" w14:textId="311B44D7" w:rsidR="00571517" w:rsidRPr="00571517" w:rsidRDefault="00571517" w:rsidP="00DF2CF8">
            <w:pPr>
              <w:pStyle w:val="ECCTablenote"/>
              <w:rPr>
                <w:rStyle w:val="ECCHLorange"/>
              </w:rPr>
            </w:pPr>
            <w:r w:rsidRPr="00571517">
              <w:rPr>
                <w:rStyle w:val="ECCHLorange"/>
              </w:rPr>
              <w:t>X</w:t>
            </w:r>
          </w:p>
        </w:tc>
        <w:tc>
          <w:tcPr>
            <w:tcW w:w="464" w:type="dxa"/>
            <w:tcBorders>
              <w:top w:val="single" w:sz="4" w:space="0" w:color="auto"/>
              <w:left w:val="single" w:sz="4" w:space="0" w:color="auto"/>
              <w:bottom w:val="single" w:sz="4" w:space="0" w:color="auto"/>
              <w:right w:val="single" w:sz="4" w:space="0" w:color="auto"/>
            </w:tcBorders>
          </w:tcPr>
          <w:p w14:paraId="0ADC51E8" w14:textId="70CFFD65" w:rsidR="00571517" w:rsidRPr="00571517" w:rsidRDefault="00571517" w:rsidP="00DF2CF8">
            <w:pPr>
              <w:pStyle w:val="ECCTablenote"/>
              <w:rPr>
                <w:rStyle w:val="ECCHLcyan"/>
              </w:rPr>
            </w:pPr>
            <w:r w:rsidRPr="00571517">
              <w:rPr>
                <w:rStyle w:val="ECCHLcyan"/>
              </w:rPr>
              <w:t>X</w:t>
            </w:r>
          </w:p>
        </w:tc>
        <w:tc>
          <w:tcPr>
            <w:tcW w:w="452" w:type="dxa"/>
            <w:tcBorders>
              <w:top w:val="single" w:sz="4" w:space="0" w:color="auto"/>
              <w:left w:val="single" w:sz="4" w:space="0" w:color="auto"/>
              <w:bottom w:val="single" w:sz="4" w:space="0" w:color="auto"/>
              <w:right w:val="single" w:sz="4" w:space="0" w:color="auto"/>
            </w:tcBorders>
          </w:tcPr>
          <w:p w14:paraId="413EDA44" w14:textId="51F5DF34" w:rsidR="00571517" w:rsidRPr="00571517" w:rsidRDefault="00571517" w:rsidP="00DF2CF8">
            <w:pPr>
              <w:pStyle w:val="ECCTablenote"/>
              <w:rPr>
                <w:rStyle w:val="ECCHLcyan"/>
              </w:rPr>
            </w:pPr>
            <w:r w:rsidRPr="00571517">
              <w:rPr>
                <w:rStyle w:val="ECCHLcyan"/>
              </w:rPr>
              <w:t>X</w:t>
            </w:r>
          </w:p>
        </w:tc>
        <w:tc>
          <w:tcPr>
            <w:tcW w:w="452" w:type="dxa"/>
            <w:tcBorders>
              <w:top w:val="single" w:sz="4" w:space="0" w:color="auto"/>
              <w:left w:val="single" w:sz="4" w:space="0" w:color="auto"/>
              <w:bottom w:val="single" w:sz="4" w:space="0" w:color="auto"/>
              <w:right w:val="single" w:sz="4" w:space="0" w:color="auto"/>
            </w:tcBorders>
          </w:tcPr>
          <w:p w14:paraId="23484A42" w14:textId="6F71F7AF" w:rsidR="00571517" w:rsidRPr="003B2D13" w:rsidRDefault="003B2D13" w:rsidP="00DF2CF8">
            <w:pPr>
              <w:pStyle w:val="ECCTablenote"/>
              <w:rPr>
                <w:rStyle w:val="ECCHLgrey"/>
              </w:rPr>
            </w:pPr>
            <w:r w:rsidRPr="003B2D13">
              <w:rPr>
                <w:rStyle w:val="ECCHLgrey"/>
              </w:rPr>
              <w:t>R2</w:t>
            </w:r>
          </w:p>
        </w:tc>
        <w:tc>
          <w:tcPr>
            <w:tcW w:w="364" w:type="dxa"/>
            <w:tcBorders>
              <w:top w:val="single" w:sz="4" w:space="0" w:color="auto"/>
              <w:left w:val="single" w:sz="4" w:space="0" w:color="auto"/>
              <w:bottom w:val="single" w:sz="4" w:space="0" w:color="auto"/>
              <w:right w:val="single" w:sz="4" w:space="0" w:color="auto"/>
            </w:tcBorders>
          </w:tcPr>
          <w:p w14:paraId="27557A81" w14:textId="4A617BCC" w:rsidR="00571517" w:rsidRPr="003B2D13" w:rsidRDefault="00BB3458" w:rsidP="00DF2CF8">
            <w:pPr>
              <w:pStyle w:val="ECCTablenote"/>
              <w:rPr>
                <w:rStyle w:val="ECCHLgrey"/>
              </w:rPr>
            </w:pPr>
            <w:r w:rsidRPr="003B2D13">
              <w:rPr>
                <w:rStyle w:val="ECCHLgrey"/>
              </w:rPr>
              <w:t>X</w:t>
            </w:r>
          </w:p>
        </w:tc>
        <w:tc>
          <w:tcPr>
            <w:tcW w:w="452" w:type="dxa"/>
            <w:tcBorders>
              <w:top w:val="single" w:sz="4" w:space="0" w:color="auto"/>
              <w:left w:val="single" w:sz="4" w:space="0" w:color="auto"/>
              <w:bottom w:val="single" w:sz="4" w:space="0" w:color="auto"/>
              <w:right w:val="single" w:sz="4" w:space="0" w:color="auto"/>
            </w:tcBorders>
          </w:tcPr>
          <w:p w14:paraId="15496701" w14:textId="36EBA02D" w:rsidR="00571517" w:rsidRPr="003B2D13" w:rsidRDefault="003B2D13" w:rsidP="00DF2CF8">
            <w:pPr>
              <w:pStyle w:val="ECCTablenote"/>
              <w:rPr>
                <w:rStyle w:val="ECCHLcyan"/>
              </w:rPr>
            </w:pPr>
            <w:r w:rsidRPr="003B2D13">
              <w:rPr>
                <w:rStyle w:val="ECCHLcyan"/>
              </w:rPr>
              <w:t>X</w:t>
            </w:r>
          </w:p>
        </w:tc>
        <w:tc>
          <w:tcPr>
            <w:tcW w:w="452" w:type="dxa"/>
            <w:tcBorders>
              <w:top w:val="single" w:sz="4" w:space="0" w:color="auto"/>
              <w:left w:val="single" w:sz="4" w:space="0" w:color="auto"/>
              <w:bottom w:val="single" w:sz="4" w:space="0" w:color="auto"/>
              <w:right w:val="single" w:sz="4" w:space="0" w:color="auto"/>
            </w:tcBorders>
          </w:tcPr>
          <w:p w14:paraId="3C01576C" w14:textId="782626C3" w:rsidR="00571517" w:rsidRPr="003B2D13" w:rsidRDefault="003B2D13" w:rsidP="00DF2CF8">
            <w:pPr>
              <w:pStyle w:val="ECCTablenote"/>
              <w:rPr>
                <w:rStyle w:val="ECCHLcyan"/>
              </w:rPr>
            </w:pPr>
            <w:r w:rsidRPr="003B2D13">
              <w:rPr>
                <w:rStyle w:val="ECCHLcyan"/>
              </w:rPr>
              <w:t>X</w:t>
            </w:r>
          </w:p>
        </w:tc>
        <w:tc>
          <w:tcPr>
            <w:tcW w:w="452" w:type="dxa"/>
            <w:tcBorders>
              <w:top w:val="single" w:sz="4" w:space="0" w:color="auto"/>
              <w:left w:val="single" w:sz="4" w:space="0" w:color="auto"/>
              <w:bottom w:val="single" w:sz="4" w:space="0" w:color="auto"/>
              <w:right w:val="single" w:sz="4" w:space="0" w:color="auto"/>
            </w:tcBorders>
          </w:tcPr>
          <w:p w14:paraId="1A839DB5" w14:textId="2C6333F6" w:rsidR="00571517" w:rsidRPr="003B2D13" w:rsidRDefault="003B2D13" w:rsidP="00DF2CF8">
            <w:pPr>
              <w:pStyle w:val="ECCTablenote"/>
              <w:rPr>
                <w:rStyle w:val="ECCHLgrey"/>
              </w:rPr>
            </w:pPr>
            <w:r w:rsidRPr="003B2D13">
              <w:rPr>
                <w:rStyle w:val="ECCHLgrey"/>
              </w:rPr>
              <w:t>X</w:t>
            </w:r>
          </w:p>
        </w:tc>
        <w:tc>
          <w:tcPr>
            <w:tcW w:w="452" w:type="dxa"/>
            <w:tcBorders>
              <w:top w:val="single" w:sz="4" w:space="0" w:color="auto"/>
              <w:left w:val="single" w:sz="4" w:space="0" w:color="auto"/>
              <w:bottom w:val="single" w:sz="4" w:space="0" w:color="auto"/>
              <w:right w:val="single" w:sz="4" w:space="0" w:color="auto"/>
            </w:tcBorders>
          </w:tcPr>
          <w:p w14:paraId="4645E991" w14:textId="36646A42" w:rsidR="00571517" w:rsidRPr="003B2D13" w:rsidRDefault="003B2D13" w:rsidP="00DF2CF8">
            <w:pPr>
              <w:pStyle w:val="ECCTablenote"/>
              <w:rPr>
                <w:rStyle w:val="ECCHLgrey"/>
              </w:rPr>
            </w:pPr>
            <w:r w:rsidRPr="003B2D13">
              <w:rPr>
                <w:rStyle w:val="ECCHLgrey"/>
              </w:rPr>
              <w:t>X</w:t>
            </w:r>
          </w:p>
        </w:tc>
      </w:tr>
      <w:tr w:rsidR="00BB3458" w14:paraId="2A6C9F59" w14:textId="77777777" w:rsidTr="00BB3458">
        <w:trPr>
          <w:trHeight w:val="378"/>
          <w:jc w:val="center"/>
        </w:trPr>
        <w:tc>
          <w:tcPr>
            <w:tcW w:w="369" w:type="dxa"/>
            <w:tcBorders>
              <w:top w:val="single" w:sz="4" w:space="0" w:color="auto"/>
              <w:left w:val="single" w:sz="4" w:space="0" w:color="auto"/>
              <w:bottom w:val="single" w:sz="4" w:space="0" w:color="auto"/>
              <w:right w:val="single" w:sz="4" w:space="0" w:color="auto"/>
            </w:tcBorders>
          </w:tcPr>
          <w:p w14:paraId="74FC6514" w14:textId="77777777" w:rsidR="00BB3458" w:rsidRPr="00DF2CF8" w:rsidRDefault="00BB3458" w:rsidP="00DF2CF8">
            <w:pPr>
              <w:pStyle w:val="ECCTablenote"/>
            </w:pPr>
          </w:p>
        </w:tc>
        <w:tc>
          <w:tcPr>
            <w:tcW w:w="7427" w:type="dxa"/>
            <w:gridSpan w:val="15"/>
            <w:tcBorders>
              <w:top w:val="single" w:sz="4" w:space="0" w:color="auto"/>
              <w:left w:val="single" w:sz="4" w:space="0" w:color="auto"/>
              <w:bottom w:val="single" w:sz="4" w:space="0" w:color="auto"/>
              <w:right w:val="single" w:sz="4" w:space="0" w:color="auto"/>
            </w:tcBorders>
          </w:tcPr>
          <w:p w14:paraId="7DF210D1" w14:textId="3E0427B9" w:rsidR="00BB3458" w:rsidRPr="00A33082" w:rsidRDefault="00BB3458" w:rsidP="00A33082">
            <w:pPr>
              <w:pStyle w:val="ECCTablenote"/>
              <w:rPr>
                <w:rStyle w:val="ECCParagraph"/>
                <w:sz w:val="16"/>
              </w:rPr>
            </w:pPr>
            <w:r w:rsidRPr="00A33082">
              <w:rPr>
                <w:rStyle w:val="ECCHLgreen"/>
              </w:rPr>
              <w:t>X</w:t>
            </w:r>
            <w:r w:rsidRPr="00A33082">
              <w:rPr>
                <w:rStyle w:val="Emphasis"/>
                <w:i w:val="0"/>
              </w:rPr>
              <w:t xml:space="preserve"> </w:t>
            </w:r>
            <w:r w:rsidR="00A33082" w:rsidRPr="00A33082">
              <w:rPr>
                <w:rStyle w:val="Emphasis"/>
                <w:i w:val="0"/>
              </w:rPr>
              <w:t>–</w:t>
            </w:r>
            <w:r w:rsidR="007D2534" w:rsidRPr="00A33082">
              <w:rPr>
                <w:rStyle w:val="Emphasis"/>
                <w:i w:val="0"/>
              </w:rPr>
              <w:t xml:space="preserve"> </w:t>
            </w:r>
            <w:r w:rsidR="00A33082" w:rsidRPr="00A33082">
              <w:rPr>
                <w:rStyle w:val="Emphasis"/>
                <w:i w:val="0"/>
              </w:rPr>
              <w:t>Support for introduction of passive EESS with prohibition of artificial emission</w:t>
            </w:r>
          </w:p>
          <w:p w14:paraId="2B779BE4" w14:textId="2DB347FC" w:rsidR="00BB3458" w:rsidRPr="00A96F4A" w:rsidRDefault="00BB3458" w:rsidP="00A96F4A">
            <w:pPr>
              <w:pStyle w:val="ECCTablenote"/>
              <w:rPr>
                <w:rStyle w:val="ECCParagraph"/>
                <w:sz w:val="16"/>
              </w:rPr>
            </w:pPr>
            <w:r w:rsidRPr="00A33082">
              <w:rPr>
                <w:rStyle w:val="ECCHLorange"/>
              </w:rPr>
              <w:t>X</w:t>
            </w:r>
            <w:r w:rsidRPr="00A33082">
              <w:rPr>
                <w:rStyle w:val="Emphasis"/>
                <w:i w:val="0"/>
              </w:rPr>
              <w:t xml:space="preserve"> </w:t>
            </w:r>
            <w:r w:rsidR="00A33082" w:rsidRPr="00A33082">
              <w:rPr>
                <w:rStyle w:val="Emphasis"/>
                <w:i w:val="0"/>
              </w:rPr>
              <w:t>–</w:t>
            </w:r>
            <w:r w:rsidR="00C57ED3" w:rsidRPr="00A33082">
              <w:rPr>
                <w:rStyle w:val="ECCParagraph"/>
                <w:sz w:val="16"/>
              </w:rPr>
              <w:t xml:space="preserve"> </w:t>
            </w:r>
            <w:r w:rsidR="00A33082" w:rsidRPr="00A96F4A">
              <w:rPr>
                <w:rStyle w:val="ECCParagraph"/>
                <w:sz w:val="16"/>
              </w:rPr>
              <w:t>Support/attribution</w:t>
            </w:r>
            <w:r w:rsidR="00A96F4A" w:rsidRPr="00A96F4A">
              <w:rPr>
                <w:rStyle w:val="ECCParagraph"/>
                <w:sz w:val="16"/>
              </w:rPr>
              <w:t xml:space="preserve"> as secondary/recognition</w:t>
            </w:r>
            <w:r w:rsidR="00A33082" w:rsidRPr="00A96F4A">
              <w:rPr>
                <w:rStyle w:val="ECCParagraph"/>
                <w:sz w:val="16"/>
              </w:rPr>
              <w:t xml:space="preserve"> of passive EESS </w:t>
            </w:r>
            <w:r w:rsidR="00A96F4A" w:rsidRPr="00A96F4A">
              <w:rPr>
                <w:rStyle w:val="ECCParagraph"/>
                <w:sz w:val="16"/>
              </w:rPr>
              <w:t>usage</w:t>
            </w:r>
          </w:p>
          <w:p w14:paraId="0212416E" w14:textId="0393482F" w:rsidR="00BB3458" w:rsidRPr="00A33082" w:rsidRDefault="00BB3458" w:rsidP="00A33082">
            <w:pPr>
              <w:pStyle w:val="ECCTablenote"/>
              <w:rPr>
                <w:rStyle w:val="ECCParagraph"/>
                <w:sz w:val="16"/>
              </w:rPr>
            </w:pPr>
            <w:r w:rsidRPr="00A33082">
              <w:rPr>
                <w:rStyle w:val="ECCHLcyan"/>
              </w:rPr>
              <w:t>X</w:t>
            </w:r>
            <w:r w:rsidRPr="00A33082">
              <w:rPr>
                <w:rStyle w:val="Emphasis"/>
                <w:i w:val="0"/>
              </w:rPr>
              <w:t xml:space="preserve"> </w:t>
            </w:r>
            <w:r w:rsidR="00A33082" w:rsidRPr="00A33082">
              <w:rPr>
                <w:rStyle w:val="Emphasis"/>
                <w:i w:val="0"/>
              </w:rPr>
              <w:t>–</w:t>
            </w:r>
            <w:r w:rsidRPr="00A33082">
              <w:rPr>
                <w:rStyle w:val="ECCParagraph"/>
                <w:sz w:val="16"/>
              </w:rPr>
              <w:t xml:space="preserve"> </w:t>
            </w:r>
            <w:r w:rsidR="00A33082" w:rsidRPr="00A33082">
              <w:rPr>
                <w:rStyle w:val="ECCParagraph"/>
                <w:sz w:val="16"/>
              </w:rPr>
              <w:t xml:space="preserve">Attribution </w:t>
            </w:r>
            <w:r w:rsidR="00A33082" w:rsidRPr="00A33082">
              <w:rPr>
                <w:rStyle w:val="Emphasis"/>
                <w:i w:val="0"/>
              </w:rPr>
              <w:t>of passive EESS with prohibition of artificial emission</w:t>
            </w:r>
          </w:p>
          <w:p w14:paraId="381C22B7" w14:textId="7FEC0C81" w:rsidR="00BB3458" w:rsidRPr="00A33082" w:rsidRDefault="00BB3458" w:rsidP="00A33082">
            <w:pPr>
              <w:pStyle w:val="ECCTablenote"/>
              <w:rPr>
                <w:rStyle w:val="ECCParagraph"/>
                <w:sz w:val="16"/>
              </w:rPr>
            </w:pPr>
            <w:r w:rsidRPr="003B2D13">
              <w:rPr>
                <w:rStyle w:val="ECCHLgrey"/>
              </w:rPr>
              <w:t>X</w:t>
            </w:r>
            <w:r w:rsidRPr="00BB3458">
              <w:rPr>
                <w:rStyle w:val="Emphasis"/>
              </w:rPr>
              <w:t xml:space="preserve"> </w:t>
            </w:r>
            <w:r w:rsidR="00A33082" w:rsidRPr="00A33082">
              <w:rPr>
                <w:rStyle w:val="Emphasis"/>
                <w:i w:val="0"/>
              </w:rPr>
              <w:t>– Attribution as primary</w:t>
            </w:r>
          </w:p>
        </w:tc>
      </w:tr>
    </w:tbl>
    <w:p w14:paraId="769F7326" w14:textId="79E36009" w:rsidR="002D729F" w:rsidRPr="002D729F" w:rsidRDefault="00AF4929" w:rsidP="002D729F">
      <w:pPr>
        <w:pStyle w:val="Heading1"/>
      </w:pPr>
      <w:r>
        <w:t>STUDY Performed during the Cycle 1978-1982</w:t>
      </w:r>
    </w:p>
    <w:p w14:paraId="2A77F7A3" w14:textId="308C244D" w:rsidR="00AF4929" w:rsidRPr="00AF4929" w:rsidRDefault="00AF4929" w:rsidP="00AF4929">
      <w:pPr>
        <w:pStyle w:val="Heading2"/>
      </w:pPr>
      <w:r>
        <w:t>Overview</w:t>
      </w:r>
    </w:p>
    <w:p w14:paraId="06995D09" w14:textId="77777777" w:rsidR="00AF4929" w:rsidRDefault="00AF4929" w:rsidP="00A24828">
      <w:pPr>
        <w:pStyle w:val="ECCBulletsLv1"/>
        <w:numPr>
          <w:ilvl w:val="0"/>
          <w:numId w:val="0"/>
        </w:numPr>
      </w:pPr>
    </w:p>
    <w:p w14:paraId="0D7ED278" w14:textId="68B86F79" w:rsidR="002D34C5" w:rsidRDefault="00C63C15" w:rsidP="00A24828">
      <w:pPr>
        <w:pStyle w:val="ECCBulletsLv1"/>
        <w:numPr>
          <w:ilvl w:val="0"/>
          <w:numId w:val="0"/>
        </w:numPr>
      </w:pPr>
      <w:r>
        <w:t>As depicted in the Table, at the end of the WARC-79</w:t>
      </w:r>
      <w:r w:rsidR="00634CBB">
        <w:t>, several band</w:t>
      </w:r>
      <w:r w:rsidR="002D34C5">
        <w:t xml:space="preserve">s were allocated to passive EESS in a primary basis (in grey) or exclusively (in blue with prohibition of artificial emission – in blue) </w:t>
      </w:r>
    </w:p>
    <w:p w14:paraId="3D78283A" w14:textId="7C0732FE" w:rsidR="002D34C5" w:rsidRDefault="002D34C5" w:rsidP="00A24828">
      <w:pPr>
        <w:pStyle w:val="ECCBulletsLv1"/>
        <w:numPr>
          <w:ilvl w:val="0"/>
          <w:numId w:val="0"/>
        </w:numPr>
      </w:pPr>
    </w:p>
    <w:p w14:paraId="3B3C4438" w14:textId="0A2C450E" w:rsidR="002D34C5" w:rsidRDefault="00AF4929" w:rsidP="00A24828">
      <w:pPr>
        <w:pStyle w:val="ECCBulletsLv1"/>
        <w:numPr>
          <w:ilvl w:val="0"/>
          <w:numId w:val="0"/>
        </w:numPr>
      </w:pPr>
      <w:r>
        <w:t>During the cycle 1978-1982</w:t>
      </w:r>
      <w:r w:rsidR="00BD6695">
        <w:t xml:space="preserve">, some </w:t>
      </w:r>
      <w:r>
        <w:t xml:space="preserve">works were made on </w:t>
      </w:r>
      <w:r w:rsidR="00BD6695">
        <w:t xml:space="preserve">recommendation and Report </w:t>
      </w:r>
      <w:r w:rsidR="00F13670">
        <w:t>(see document Recommendations and Reports of CCIR, 1982, volume II, Space Research and Radio astronomy)</w:t>
      </w:r>
      <w:r w:rsidR="00BD6695">
        <w:t>:</w:t>
      </w:r>
    </w:p>
    <w:p w14:paraId="07F7D5D7" w14:textId="77A88F0D" w:rsidR="00BD6695" w:rsidRDefault="00BD6695" w:rsidP="00BD6695">
      <w:pPr>
        <w:pStyle w:val="ECCBulletsLv1"/>
      </w:pPr>
      <w:r>
        <w:t>Recommendation 515 (1978), “</w:t>
      </w:r>
      <w:r w:rsidR="004322BC">
        <w:t>P</w:t>
      </w:r>
      <w:r>
        <w:t>referred frequencies for passive sensing measurements”. This document recommends unanimously to uses several bands for measuring the properties of the Earth’s land, oceans and atmosphere</w:t>
      </w:r>
    </w:p>
    <w:p w14:paraId="6C92600D" w14:textId="7AA8A8DE" w:rsidR="00BD6695" w:rsidRDefault="00BD6695" w:rsidP="00BD6695">
      <w:pPr>
        <w:pStyle w:val="ECCBulletsLv1"/>
      </w:pPr>
      <w:r>
        <w:t>Report 693-1 (1978-1982) “</w:t>
      </w:r>
      <w:r w:rsidR="004322BC">
        <w:t>T</w:t>
      </w:r>
      <w:r>
        <w:t>echnical and operational considerations for EESS”, defining the protection criteria for passive and active sensors (each system was studied – no generic values)</w:t>
      </w:r>
    </w:p>
    <w:p w14:paraId="650A5088" w14:textId="1F5B7EDA" w:rsidR="000D3548" w:rsidRDefault="007B2E5D" w:rsidP="00BD6695">
      <w:pPr>
        <w:pStyle w:val="ECCBulletsLv1"/>
      </w:pPr>
      <w:r>
        <w:t>Report 694-1 (1978-1982), “Sharing considerations and protection criteria relating to passive microwave sensors”</w:t>
      </w:r>
      <w:r w:rsidR="004322BC">
        <w:t xml:space="preserve">. Based on the bands described in Recommendation 515, </w:t>
      </w:r>
      <w:r w:rsidR="00C4051C">
        <w:t>some studies were performed in order to evaluate the impact of actual active services on the inclusion of passive EESS. The report stated that:</w:t>
      </w:r>
    </w:p>
    <w:p w14:paraId="3914F8CF" w14:textId="7C0D8EBC" w:rsidR="008D1097" w:rsidRDefault="00F13670" w:rsidP="00AF4929">
      <w:pPr>
        <w:pStyle w:val="ECCBulletsLv1"/>
        <w:numPr>
          <w:ilvl w:val="1"/>
          <w:numId w:val="28"/>
        </w:numPr>
      </w:pPr>
      <w:r>
        <w:t>For Fixed Service: “</w:t>
      </w:r>
      <w:r w:rsidR="00AF4929" w:rsidRPr="00AF4929">
        <w:t>Frequency sharing with the fixed and mobile services much below 10 GHz is generally not feasible. However, large areas of the Ear</w:t>
      </w:r>
      <w:r w:rsidR="00AF4929">
        <w:t>t</w:t>
      </w:r>
      <w:r w:rsidR="00AF4929" w:rsidRPr="00AF4929">
        <w:t>h ’s oceans will be interference-free for passive sensing in common frequency</w:t>
      </w:r>
      <w:r w:rsidR="00AF4929">
        <w:t xml:space="preserve"> </w:t>
      </w:r>
      <w:r w:rsidR="00AF4929" w:rsidRPr="00AF4929">
        <w:t>bands.</w:t>
      </w:r>
      <w:r w:rsidR="00AF4929">
        <w:t>”</w:t>
      </w:r>
    </w:p>
    <w:p w14:paraId="3877941B" w14:textId="77777777" w:rsidR="00F13670" w:rsidRDefault="00F13670" w:rsidP="00F13670">
      <w:pPr>
        <w:pStyle w:val="ECCBulletsLv1"/>
        <w:numPr>
          <w:ilvl w:val="1"/>
          <w:numId w:val="28"/>
        </w:numPr>
      </w:pPr>
      <w:r>
        <w:t xml:space="preserve">For </w:t>
      </w:r>
      <w:r w:rsidRPr="00F13670">
        <w:t xml:space="preserve">Fixed Service: </w:t>
      </w:r>
      <w:r>
        <w:t>“</w:t>
      </w:r>
      <w:r w:rsidR="008D1097" w:rsidRPr="008D1097">
        <w:t>Above 20 GHz frequency sharing between passive sensors and the fixed service appears feasible due to</w:t>
      </w:r>
      <w:r w:rsidR="008D1097">
        <w:t xml:space="preserve"> </w:t>
      </w:r>
      <w:r w:rsidR="008D1097" w:rsidRPr="008D1097">
        <w:t>increased atmospheric attenuation and assumptions as to the technical characteristics of the, as yet, undeveloped</w:t>
      </w:r>
      <w:r w:rsidR="008D1097">
        <w:t xml:space="preserve"> </w:t>
      </w:r>
      <w:r w:rsidR="008D1097" w:rsidRPr="008D1097">
        <w:t>fixed service, which is expected to use low power wideband modulation techniques</w:t>
      </w:r>
      <w:r>
        <w:t>”</w:t>
      </w:r>
      <w:r w:rsidR="008D1097" w:rsidRPr="008D1097">
        <w:t>.</w:t>
      </w:r>
    </w:p>
    <w:p w14:paraId="3FC28DA8" w14:textId="77777777" w:rsidR="00F13670" w:rsidRDefault="00F13670" w:rsidP="00F13670">
      <w:pPr>
        <w:pStyle w:val="ECCBulletsLv1"/>
        <w:numPr>
          <w:ilvl w:val="1"/>
          <w:numId w:val="28"/>
        </w:numPr>
      </w:pPr>
      <w:r>
        <w:lastRenderedPageBreak/>
        <w:t>For Mobile</w:t>
      </w:r>
      <w:r w:rsidRPr="00F13670">
        <w:t xml:space="preserve"> Service:</w:t>
      </w:r>
      <w:r>
        <w:t xml:space="preserve"> “</w:t>
      </w:r>
      <w:r w:rsidRPr="00F13670">
        <w:t>Sharing between passive sensors and the mobile service below 10 GHz is generally not feasible</w:t>
      </w:r>
      <w:r>
        <w:t>”</w:t>
      </w:r>
      <w:r w:rsidRPr="00F13670">
        <w:t xml:space="preserve"> </w:t>
      </w:r>
    </w:p>
    <w:p w14:paraId="64D6CA4E" w14:textId="77777777" w:rsidR="00AF4929" w:rsidRDefault="00F13670" w:rsidP="00F13670">
      <w:pPr>
        <w:pStyle w:val="ECCBulletsLv1"/>
        <w:numPr>
          <w:ilvl w:val="1"/>
          <w:numId w:val="28"/>
        </w:numPr>
      </w:pPr>
      <w:r>
        <w:t>For Mobile</w:t>
      </w:r>
      <w:r w:rsidRPr="00F13670">
        <w:t xml:space="preserve"> Service</w:t>
      </w:r>
      <w:r>
        <w:t>: “</w:t>
      </w:r>
      <w:r w:rsidRPr="00F13670">
        <w:t>Above 10 GHz sharing becomes progressively more feasible as frequency increases. However, in the</w:t>
      </w:r>
      <w:r>
        <w:t xml:space="preserve"> </w:t>
      </w:r>
      <w:r w:rsidRPr="00F13670">
        <w:t>10-20 G Hz range sharing criteria would be required if mobile systems were to operate in the fixed/mobile</w:t>
      </w:r>
      <w:r>
        <w:t xml:space="preserve"> </w:t>
      </w:r>
      <w:r w:rsidRPr="00F13670">
        <w:t>allocations jointly shared with passive sensors.</w:t>
      </w:r>
      <w:r>
        <w:t>”</w:t>
      </w:r>
    </w:p>
    <w:p w14:paraId="3E06A411" w14:textId="6D19FC18" w:rsidR="00AF4929" w:rsidRDefault="00F13670" w:rsidP="00BA6A70">
      <w:pPr>
        <w:pStyle w:val="ECCBulletsLv1"/>
        <w:numPr>
          <w:ilvl w:val="1"/>
          <w:numId w:val="28"/>
        </w:numPr>
      </w:pPr>
      <w:r>
        <w:t>For Airborne radio altimeter: “</w:t>
      </w:r>
      <w:r w:rsidRPr="00F13670">
        <w:t>Both CW and pulsed type altimeters operate in this band. The two systems have average e.i.r.p. levels o</w:t>
      </w:r>
      <w:r>
        <w:t xml:space="preserve">f </w:t>
      </w:r>
      <w:r w:rsidRPr="00F13670">
        <w:t>approximately —5 dBW. Estimates of future use of the band indicate that of the ord</w:t>
      </w:r>
      <w:r>
        <w:t xml:space="preserve">er </w:t>
      </w:r>
      <w:r w:rsidRPr="00F13670">
        <w:t>of 50 000 units may be in</w:t>
      </w:r>
      <w:r>
        <w:t xml:space="preserve"> </w:t>
      </w:r>
      <w:r w:rsidRPr="00F13670">
        <w:t>operation by the year 2000.</w:t>
      </w:r>
      <w:r>
        <w:t xml:space="preserve"> </w:t>
      </w:r>
      <w:r w:rsidRPr="00F13670">
        <w:t>The passive sensor interference threshold would not be exceeded unless more than 3000 aircraft were</w:t>
      </w:r>
      <w:r w:rsidR="00AF4929">
        <w:t xml:space="preserve"> </w:t>
      </w:r>
      <w:r w:rsidRPr="00F13670">
        <w:t xml:space="preserve">simultaneously in view </w:t>
      </w:r>
      <w:r w:rsidR="00AF4929" w:rsidRPr="00F13670">
        <w:t>of</w:t>
      </w:r>
      <w:r w:rsidRPr="00F13670">
        <w:t xml:space="preserve"> the sensor. This is well above the predicted numb</w:t>
      </w:r>
      <w:r w:rsidR="00AF4929">
        <w:t xml:space="preserve">er </w:t>
      </w:r>
      <w:r w:rsidRPr="00F13670">
        <w:t>in view over coastal and ocean</w:t>
      </w:r>
      <w:r w:rsidR="00AF4929">
        <w:t xml:space="preserve"> </w:t>
      </w:r>
      <w:r w:rsidRPr="00F13670">
        <w:t>areas.</w:t>
      </w:r>
      <w:r w:rsidR="00AF4929">
        <w:t xml:space="preserve"> </w:t>
      </w:r>
      <w:r w:rsidR="00AF4929" w:rsidRPr="00AF4929">
        <w:t>Simultaneous sharing with radio altimeters is therefore feasible. The criterion for sharing is th</w:t>
      </w:r>
      <w:r w:rsidR="00AF4929">
        <w:t>a</w:t>
      </w:r>
      <w:r w:rsidR="00AF4929" w:rsidRPr="00AF4929">
        <w:t>t transmitters</w:t>
      </w:r>
      <w:r w:rsidR="00AF4929">
        <w:t xml:space="preserve"> </w:t>
      </w:r>
      <w:r w:rsidR="00AF4929" w:rsidRPr="00AF4929">
        <w:t xml:space="preserve">in the Aeronautical Radionavigation Service employ average output powers of the order of </w:t>
      </w:r>
      <w:r w:rsidR="00AF4929">
        <w:t>-</w:t>
      </w:r>
      <w:r w:rsidR="00AF4929" w:rsidRPr="00AF4929">
        <w:t>5 dBW.</w:t>
      </w:r>
      <w:r w:rsidR="00AF4929">
        <w:t>”</w:t>
      </w:r>
    </w:p>
    <w:p w14:paraId="0FD19748" w14:textId="2D0FC8BE" w:rsidR="00AF4929" w:rsidRDefault="00AF4929" w:rsidP="00AF4929">
      <w:pPr>
        <w:pStyle w:val="Heading2"/>
      </w:pPr>
      <w:r>
        <w:t>Technical studies</w:t>
      </w:r>
    </w:p>
    <w:p w14:paraId="49645054" w14:textId="51C929E6" w:rsidR="00AF4929" w:rsidRDefault="00221C24" w:rsidP="00AF4929">
      <w:r>
        <w:t>The previous conclusions were made on some assumptions. the following section will provide and discuss the assumption taken by administrations in order to develop these conclusions.</w:t>
      </w:r>
    </w:p>
    <w:p w14:paraId="20F6EE31" w14:textId="35367CE5" w:rsidR="00E63968" w:rsidRDefault="00E63968" w:rsidP="00E63968">
      <w:pPr>
        <w:pStyle w:val="Heading3"/>
      </w:pPr>
      <w:r>
        <w:t>Sharing with fixed services</w:t>
      </w:r>
    </w:p>
    <w:p w14:paraId="21B8E602" w14:textId="4C418785" w:rsidR="006B7FE6" w:rsidRDefault="00E63968" w:rsidP="003B1F02">
      <w:r>
        <w:t xml:space="preserve">The Annex 1 of Report 694 provides the assumptions and methodology in order to </w:t>
      </w:r>
      <w:r w:rsidR="00E551D3">
        <w:t xml:space="preserve">study the impact of Fixed service on passive EESS. </w:t>
      </w:r>
      <w:r w:rsidR="006B7FE6">
        <w:t xml:space="preserve"> The studies are performed considering the following assumptions:</w:t>
      </w:r>
    </w:p>
    <w:p w14:paraId="6C68AA2F" w14:textId="331AFD7A" w:rsidR="006B7FE6" w:rsidRDefault="006B7FE6" w:rsidP="006B7FE6">
      <w:pPr>
        <w:pStyle w:val="ECCBulletsLv1"/>
      </w:pPr>
      <w:r>
        <w:t>10 000 equipments</w:t>
      </w:r>
    </w:p>
    <w:p w14:paraId="7C02F11A" w14:textId="3A03CD9B" w:rsidR="006B7FE6" w:rsidRDefault="006B7FE6" w:rsidP="006B7FE6">
      <w:pPr>
        <w:pStyle w:val="ECCBulletsLv1"/>
      </w:pPr>
      <w:r>
        <w:t>Satellite at 500 km</w:t>
      </w:r>
    </w:p>
    <w:p w14:paraId="3EF38BCD" w14:textId="7D7FD0A9" w:rsidR="00451DF3" w:rsidRDefault="00451DF3" w:rsidP="006B7FE6">
      <w:pPr>
        <w:pStyle w:val="ECCBulletsLv1"/>
      </w:pPr>
      <w:r>
        <w:t>Sensor visibility of 2</w:t>
      </w:r>
      <w:r w:rsidR="0005030E">
        <w:t>0 million of km²</w:t>
      </w:r>
    </w:p>
    <w:p w14:paraId="256AD612" w14:textId="0CDC6B7D" w:rsidR="006B7FE6" w:rsidRDefault="006B7FE6" w:rsidP="006B7FE6">
      <w:pPr>
        <w:pStyle w:val="ECCBulletsLv1"/>
      </w:pPr>
      <w:r>
        <w:t>Sensor Side lobe of around -15 dBi</w:t>
      </w:r>
    </w:p>
    <w:p w14:paraId="7F144FE8" w14:textId="6081A90F" w:rsidR="008D4BAE" w:rsidRDefault="008D4BAE" w:rsidP="006B7FE6">
      <w:pPr>
        <w:pStyle w:val="ECCBulletsLv1"/>
      </w:pPr>
      <w:r>
        <w:t>Fixed side lobe of -10 dBi</w:t>
      </w:r>
    </w:p>
    <w:p w14:paraId="6DFF2BDE" w14:textId="50F5EF9A" w:rsidR="00E551D3" w:rsidRDefault="003B1F02" w:rsidP="003B1F02">
      <w:r>
        <w:t>Based on direct (main beam) and undirect (side lobe) coupling between EESS and Fixed, the study of the reports stated that:</w:t>
      </w:r>
      <w:r w:rsidRPr="003B1F02">
        <w:t xml:space="preserve"> </w:t>
      </w:r>
      <w:r>
        <w:t>“</w:t>
      </w:r>
      <w:r w:rsidRPr="003B1F02">
        <w:t>Frequency sharing near 10 GHz between passive sensors and the fixed service is feasible provided the</w:t>
      </w:r>
      <w:r>
        <w:t xml:space="preserve"> </w:t>
      </w:r>
      <w:r w:rsidRPr="003B1F02">
        <w:t>fixed service is limited to a maximum e.i.r.p. o</w:t>
      </w:r>
      <w:r>
        <w:t>f</w:t>
      </w:r>
      <w:r w:rsidRPr="003B1F02">
        <w:t xml:space="preserve"> the order of 38 dBW, and a maximum transmitter output power</w:t>
      </w:r>
      <w:r>
        <w:t xml:space="preserve"> </w:t>
      </w:r>
      <w:r w:rsidRPr="003B1F02">
        <w:t>not exceeding — 1 dBW. Other sets of sharing criteria are also possible. For example, sharing is feasible for an</w:t>
      </w:r>
      <w:r>
        <w:t xml:space="preserve"> </w:t>
      </w:r>
      <w:r w:rsidRPr="003B1F02">
        <w:t xml:space="preserve">e.i.r.p. of 40 dBW and a maximum transmitter output power of </w:t>
      </w:r>
      <w:r>
        <w:t>-</w:t>
      </w:r>
      <w:r w:rsidRPr="003B1F02">
        <w:t>3 dBW</w:t>
      </w:r>
      <w:r>
        <w:t xml:space="preserve">. </w:t>
      </w:r>
      <w:r w:rsidRPr="003B1F02">
        <w:t>The above constraints appear compatible with characteristics of fixed equipment using the low power</w:t>
      </w:r>
      <w:r>
        <w:t xml:space="preserve"> </w:t>
      </w:r>
      <w:r w:rsidRPr="003B1F02">
        <w:t>wid</w:t>
      </w:r>
      <w:r>
        <w:t>e b</w:t>
      </w:r>
      <w:r w:rsidRPr="003B1F02">
        <w:t>and modulation techniques which the fixed service is expected to employ when frequency bands near</w:t>
      </w:r>
      <w:r>
        <w:t xml:space="preserve"> </w:t>
      </w:r>
      <w:r w:rsidRPr="003B1F02">
        <w:t>10 G</w:t>
      </w:r>
      <w:r>
        <w:t xml:space="preserve">Hz </w:t>
      </w:r>
      <w:r w:rsidRPr="003B1F02">
        <w:t>are developed.</w:t>
      </w:r>
      <w:r>
        <w:t>”</w:t>
      </w:r>
    </w:p>
    <w:p w14:paraId="0A215C87" w14:textId="072365B6" w:rsidR="005D4D02" w:rsidRPr="005D4D02" w:rsidRDefault="005D4D02" w:rsidP="00864405">
      <w:pPr>
        <w:rPr>
          <w:rStyle w:val="ECCHLunderlined"/>
        </w:rPr>
      </w:pPr>
      <w:r w:rsidRPr="005D4D02">
        <w:rPr>
          <w:rStyle w:val="ECCHLunderlined"/>
        </w:rPr>
        <w:t>Discussions</w:t>
      </w:r>
    </w:p>
    <w:p w14:paraId="2D687E35" w14:textId="10537F54" w:rsidR="00864405" w:rsidRDefault="008B2EFC" w:rsidP="00864405">
      <w:r>
        <w:t xml:space="preserve">The previous </w:t>
      </w:r>
      <w:r w:rsidR="005D4D02">
        <w:t>conclusions</w:t>
      </w:r>
      <w:r>
        <w:t xml:space="preserve"> </w:t>
      </w:r>
      <w:r w:rsidR="005D4D02">
        <w:t>are more or less</w:t>
      </w:r>
      <w:r>
        <w:t xml:space="preserve"> in line with the actual </w:t>
      </w:r>
      <w:r w:rsidR="005D4D02">
        <w:t>characteristics</w:t>
      </w:r>
      <w:r>
        <w:t xml:space="preserve"> of Fixed Service that usually </w:t>
      </w:r>
      <w:r w:rsidR="00864405">
        <w:t>try to minimize the power by increasing antenna gain in order to limit power consumption. The comparison of the number of fixed links used in study is difficult to compare to the actual situation near 10 GHz (6/7</w:t>
      </w:r>
      <w:r w:rsidR="005D4D02">
        <w:t xml:space="preserve">, 8 </w:t>
      </w:r>
      <w:r w:rsidR="00864405">
        <w:t>or 1</w:t>
      </w:r>
      <w:r w:rsidR="005D4D02">
        <w:t xml:space="preserve">0 </w:t>
      </w:r>
      <w:r w:rsidR="00864405">
        <w:t>GHz) because this number is linked to the bandwidth considered for the study. But the Report does not provide this information.</w:t>
      </w:r>
      <w:r w:rsidR="005D4D02">
        <w:t xml:space="preserve"> The requested band for EESS (based on Recommendation CCIR-515) is 100 MHz for band near 11 GHz and 400 MHz for band 6/7 GHz. </w:t>
      </w:r>
      <w:r w:rsidR="00CC6FBF">
        <w:t xml:space="preserve">The surface of CEPT </w:t>
      </w:r>
      <w:r w:rsidR="00070868">
        <w:t>is</w:t>
      </w:r>
      <w:r w:rsidR="00CC6FBF">
        <w:t xml:space="preserve"> around </w:t>
      </w:r>
      <w:r w:rsidR="00FC188B">
        <w:t xml:space="preserve">24 million km² (before 2022). </w:t>
      </w:r>
      <w:r w:rsidR="005D4D02">
        <w:t xml:space="preserve">The considered </w:t>
      </w:r>
      <w:r w:rsidR="0018767A">
        <w:t xml:space="preserve">area of 20 </w:t>
      </w:r>
      <w:r w:rsidR="00907523">
        <w:t>million</w:t>
      </w:r>
      <w:r w:rsidR="004D5782">
        <w:t xml:space="preserve"> </w:t>
      </w:r>
      <w:r w:rsidR="0018767A">
        <w:t xml:space="preserve">km² </w:t>
      </w:r>
      <w:r w:rsidR="00FC188B">
        <w:t>seems to be closed to the surface of CEPT.</w:t>
      </w:r>
      <w:r w:rsidR="00592DD0">
        <w:t xml:space="preserve"> The report ECC 173, provides the number of fixed </w:t>
      </w:r>
      <w:r w:rsidR="00513221">
        <w:t>links</w:t>
      </w:r>
      <w:r w:rsidR="00592DD0">
        <w:t xml:space="preserve"> for most of CEPT countr</w:t>
      </w:r>
      <w:r w:rsidR="005A60B7">
        <w:t>ies</w:t>
      </w:r>
      <w:r w:rsidR="00592DD0">
        <w:t xml:space="preserve"> deployed before 2010 and </w:t>
      </w:r>
      <w:r w:rsidR="00DC288D">
        <w:t>the following table provide the results for t</w:t>
      </w:r>
      <w:r w:rsidR="005A60B7">
        <w:t xml:space="preserve">hree </w:t>
      </w:r>
      <w:r w:rsidR="00DC288D">
        <w:t>bands of interest</w:t>
      </w:r>
      <w:r w:rsidR="005A60B7">
        <w:t xml:space="preserve">. It could be noted that the deployment of the band 6/7 exceed </w:t>
      </w:r>
      <w:r w:rsidR="00801659">
        <w:t xml:space="preserve">2 times, the </w:t>
      </w:r>
      <w:r w:rsidR="00032657">
        <w:t>assumptions of CCIR</w:t>
      </w:r>
      <w:r w:rsidR="005A60B7">
        <w:t>. However, the band considered is 2 times higher (5.9-7.1 GHz in regards of 6.4-7.1 GHz)</w:t>
      </w:r>
      <w:r w:rsidR="0013253D">
        <w:t>. The number of link</w:t>
      </w:r>
      <w:r w:rsidR="00192BB9">
        <w:t>s</w:t>
      </w:r>
      <w:r w:rsidR="0013253D">
        <w:t xml:space="preserve"> for the band around 11 GHz seems to be in relation with the assumption of CCIR-Report 694</w:t>
      </w:r>
      <w:r w:rsidR="00192BB9">
        <w:t>.</w:t>
      </w:r>
    </w:p>
    <w:p w14:paraId="6E4871EF" w14:textId="6C47D568" w:rsidR="00C73D8B" w:rsidRDefault="00C73D8B" w:rsidP="00864405"/>
    <w:p w14:paraId="7189E249" w14:textId="77777777" w:rsidR="00C73D8B" w:rsidRDefault="00C73D8B" w:rsidP="00864405"/>
    <w:p w14:paraId="7CBB7FC6" w14:textId="66DF8078" w:rsidR="00C73D8B" w:rsidRDefault="00C73D8B" w:rsidP="00C73D8B">
      <w:pPr>
        <w:pStyle w:val="ECCTableHeaderredfont"/>
      </w:pPr>
      <w:r>
        <w:lastRenderedPageBreak/>
        <w:t>Table 2: Number of FS links in CEPT around 6 and 11 GHz extracted from (ECC report 173)</w:t>
      </w:r>
    </w:p>
    <w:tbl>
      <w:tblPr>
        <w:tblW w:w="0" w:type="auto"/>
        <w:jc w:val="center"/>
        <w:tblLook w:val="04A0" w:firstRow="1" w:lastRow="0" w:firstColumn="1" w:lastColumn="0" w:noHBand="0" w:noVBand="1"/>
      </w:tblPr>
      <w:tblGrid>
        <w:gridCol w:w="2269"/>
        <w:gridCol w:w="1417"/>
        <w:gridCol w:w="1237"/>
        <w:gridCol w:w="1225"/>
        <w:gridCol w:w="992"/>
      </w:tblGrid>
      <w:tr w:rsidR="00513221" w14:paraId="1F6161EA" w14:textId="77777777" w:rsidTr="00513221">
        <w:trPr>
          <w:jc w:val="center"/>
        </w:trPr>
        <w:tc>
          <w:tcPr>
            <w:tcW w:w="2269" w:type="dxa"/>
            <w:tcBorders>
              <w:top w:val="single" w:sz="4" w:space="0" w:color="auto"/>
              <w:left w:val="single" w:sz="4" w:space="0" w:color="auto"/>
              <w:bottom w:val="single" w:sz="4" w:space="0" w:color="auto"/>
              <w:right w:val="single" w:sz="4" w:space="0" w:color="auto"/>
            </w:tcBorders>
          </w:tcPr>
          <w:p w14:paraId="0309EC8A" w14:textId="77777777" w:rsidR="00513221" w:rsidRPr="00513221" w:rsidRDefault="00513221" w:rsidP="00513221">
            <w:pPr>
              <w:pStyle w:val="ECCTablenote"/>
            </w:pPr>
          </w:p>
        </w:tc>
        <w:tc>
          <w:tcPr>
            <w:tcW w:w="1417" w:type="dxa"/>
            <w:tcBorders>
              <w:top w:val="single" w:sz="4" w:space="0" w:color="auto"/>
              <w:left w:val="single" w:sz="4" w:space="0" w:color="auto"/>
              <w:bottom w:val="single" w:sz="4" w:space="0" w:color="auto"/>
              <w:right w:val="single" w:sz="4" w:space="0" w:color="auto"/>
            </w:tcBorders>
          </w:tcPr>
          <w:p w14:paraId="2EC41B83" w14:textId="77777777" w:rsidR="00513221" w:rsidRPr="00513221" w:rsidRDefault="00513221" w:rsidP="00513221">
            <w:pPr>
              <w:pStyle w:val="ECCTablenote"/>
            </w:pPr>
            <w:r w:rsidRPr="00513221">
              <w:t>links (P-P)</w:t>
            </w:r>
          </w:p>
          <w:p w14:paraId="34603EF8" w14:textId="77777777" w:rsidR="00513221" w:rsidRPr="00513221" w:rsidRDefault="00513221" w:rsidP="00513221">
            <w:pPr>
              <w:pStyle w:val="ECCTablenote"/>
            </w:pPr>
            <w:r w:rsidRPr="00513221">
              <w:t>unidirectional</w:t>
            </w:r>
          </w:p>
        </w:tc>
        <w:tc>
          <w:tcPr>
            <w:tcW w:w="1237" w:type="dxa"/>
            <w:tcBorders>
              <w:top w:val="single" w:sz="4" w:space="0" w:color="auto"/>
              <w:left w:val="single" w:sz="4" w:space="0" w:color="auto"/>
              <w:bottom w:val="single" w:sz="4" w:space="0" w:color="auto"/>
              <w:right w:val="single" w:sz="4" w:space="0" w:color="auto"/>
            </w:tcBorders>
          </w:tcPr>
          <w:p w14:paraId="6B5C7A6C" w14:textId="77777777" w:rsidR="00513221" w:rsidRPr="00513221" w:rsidRDefault="00513221" w:rsidP="00513221">
            <w:pPr>
              <w:pStyle w:val="ECCTablenote"/>
            </w:pPr>
            <w:r w:rsidRPr="00513221">
              <w:t>links (P-P)</w:t>
            </w:r>
          </w:p>
          <w:p w14:paraId="55D16244" w14:textId="77777777" w:rsidR="00513221" w:rsidRPr="00513221" w:rsidRDefault="00513221" w:rsidP="00513221">
            <w:pPr>
              <w:pStyle w:val="ECCTablenote"/>
            </w:pPr>
            <w:r w:rsidRPr="00513221">
              <w:t>bidirectional</w:t>
            </w:r>
          </w:p>
        </w:tc>
        <w:tc>
          <w:tcPr>
            <w:tcW w:w="1225" w:type="dxa"/>
            <w:tcBorders>
              <w:top w:val="single" w:sz="4" w:space="0" w:color="auto"/>
              <w:left w:val="single" w:sz="4" w:space="0" w:color="auto"/>
              <w:bottom w:val="single" w:sz="4" w:space="0" w:color="auto"/>
              <w:right w:val="single" w:sz="4" w:space="0" w:color="auto"/>
            </w:tcBorders>
          </w:tcPr>
          <w:p w14:paraId="5CB3AD3B" w14:textId="77777777" w:rsidR="00513221" w:rsidRPr="00513221" w:rsidRDefault="00513221" w:rsidP="00513221">
            <w:pPr>
              <w:pStyle w:val="ECCTablenote"/>
            </w:pPr>
            <w:r w:rsidRPr="00513221">
              <w:t>link (MP-P)</w:t>
            </w:r>
          </w:p>
          <w:p w14:paraId="7409AB2A" w14:textId="77777777" w:rsidR="00513221" w:rsidRPr="00513221" w:rsidRDefault="00513221" w:rsidP="00513221">
            <w:pPr>
              <w:pStyle w:val="ECCTablenote"/>
            </w:pPr>
          </w:p>
        </w:tc>
        <w:tc>
          <w:tcPr>
            <w:tcW w:w="992" w:type="dxa"/>
            <w:tcBorders>
              <w:top w:val="single" w:sz="4" w:space="0" w:color="auto"/>
              <w:left w:val="single" w:sz="4" w:space="0" w:color="auto"/>
              <w:bottom w:val="single" w:sz="4" w:space="0" w:color="auto"/>
              <w:right w:val="single" w:sz="4" w:space="0" w:color="auto"/>
            </w:tcBorders>
          </w:tcPr>
          <w:p w14:paraId="31F85854" w14:textId="77777777" w:rsidR="00513221" w:rsidRPr="00513221" w:rsidRDefault="00513221" w:rsidP="00513221">
            <w:pPr>
              <w:pStyle w:val="ECCTablenote"/>
            </w:pPr>
            <w:r w:rsidRPr="00513221">
              <w:t>Total</w:t>
            </w:r>
          </w:p>
        </w:tc>
      </w:tr>
      <w:tr w:rsidR="00513221" w14:paraId="35015618" w14:textId="77777777" w:rsidTr="00513221">
        <w:trPr>
          <w:jc w:val="center"/>
        </w:trPr>
        <w:tc>
          <w:tcPr>
            <w:tcW w:w="2269" w:type="dxa"/>
            <w:tcBorders>
              <w:top w:val="single" w:sz="4" w:space="0" w:color="auto"/>
              <w:left w:val="single" w:sz="4" w:space="0" w:color="auto"/>
              <w:bottom w:val="single" w:sz="4" w:space="0" w:color="auto"/>
              <w:right w:val="single" w:sz="4" w:space="0" w:color="auto"/>
            </w:tcBorders>
          </w:tcPr>
          <w:p w14:paraId="75F607D9" w14:textId="77777777" w:rsidR="00513221" w:rsidRPr="00513221" w:rsidRDefault="00513221" w:rsidP="00513221">
            <w:pPr>
              <w:pStyle w:val="ECCTablenote"/>
            </w:pPr>
            <w:r w:rsidRPr="00513221">
              <w:t>Band 5.9-7.1 GHz</w:t>
            </w:r>
          </w:p>
        </w:tc>
        <w:tc>
          <w:tcPr>
            <w:tcW w:w="1417" w:type="dxa"/>
            <w:tcBorders>
              <w:top w:val="single" w:sz="4" w:space="0" w:color="auto"/>
              <w:left w:val="single" w:sz="4" w:space="0" w:color="auto"/>
              <w:bottom w:val="single" w:sz="4" w:space="0" w:color="auto"/>
              <w:right w:val="single" w:sz="4" w:space="0" w:color="auto"/>
            </w:tcBorders>
          </w:tcPr>
          <w:p w14:paraId="7A9818B9" w14:textId="77777777" w:rsidR="00513221" w:rsidRPr="00513221" w:rsidRDefault="00513221" w:rsidP="00513221">
            <w:pPr>
              <w:pStyle w:val="ECCTablenote"/>
            </w:pPr>
            <w:r w:rsidRPr="00513221">
              <w:t>4253</w:t>
            </w:r>
          </w:p>
        </w:tc>
        <w:tc>
          <w:tcPr>
            <w:tcW w:w="1237" w:type="dxa"/>
            <w:tcBorders>
              <w:top w:val="single" w:sz="4" w:space="0" w:color="auto"/>
              <w:left w:val="single" w:sz="4" w:space="0" w:color="auto"/>
              <w:bottom w:val="single" w:sz="4" w:space="0" w:color="auto"/>
              <w:right w:val="single" w:sz="4" w:space="0" w:color="auto"/>
            </w:tcBorders>
          </w:tcPr>
          <w:p w14:paraId="37F96C04" w14:textId="77777777" w:rsidR="00513221" w:rsidRPr="00513221" w:rsidRDefault="00513221" w:rsidP="00513221">
            <w:pPr>
              <w:pStyle w:val="ECCTablenote"/>
            </w:pPr>
            <w:r w:rsidRPr="00513221">
              <w:t>13410</w:t>
            </w:r>
          </w:p>
        </w:tc>
        <w:tc>
          <w:tcPr>
            <w:tcW w:w="1225" w:type="dxa"/>
            <w:tcBorders>
              <w:top w:val="single" w:sz="4" w:space="0" w:color="auto"/>
              <w:left w:val="single" w:sz="4" w:space="0" w:color="auto"/>
              <w:bottom w:val="single" w:sz="4" w:space="0" w:color="auto"/>
              <w:right w:val="single" w:sz="4" w:space="0" w:color="auto"/>
            </w:tcBorders>
          </w:tcPr>
          <w:p w14:paraId="76B1A433" w14:textId="77777777" w:rsidR="00513221" w:rsidRPr="00513221" w:rsidRDefault="00513221" w:rsidP="00513221">
            <w:pPr>
              <w:pStyle w:val="ECCTablenote"/>
            </w:pPr>
            <w:r w:rsidRPr="00513221">
              <w:t>1942</w:t>
            </w:r>
          </w:p>
        </w:tc>
        <w:tc>
          <w:tcPr>
            <w:tcW w:w="992" w:type="dxa"/>
            <w:tcBorders>
              <w:top w:val="single" w:sz="4" w:space="0" w:color="auto"/>
              <w:left w:val="single" w:sz="4" w:space="0" w:color="auto"/>
              <w:bottom w:val="single" w:sz="4" w:space="0" w:color="auto"/>
              <w:right w:val="single" w:sz="4" w:space="0" w:color="auto"/>
            </w:tcBorders>
          </w:tcPr>
          <w:p w14:paraId="17F53510" w14:textId="77777777" w:rsidR="00513221" w:rsidRPr="00513221" w:rsidRDefault="00513221" w:rsidP="00513221">
            <w:pPr>
              <w:pStyle w:val="ECCTablenote"/>
            </w:pPr>
            <w:r w:rsidRPr="00513221">
              <w:t>19 605</w:t>
            </w:r>
          </w:p>
        </w:tc>
      </w:tr>
      <w:tr w:rsidR="00513221" w14:paraId="6638F0D2" w14:textId="77777777" w:rsidTr="00513221">
        <w:trPr>
          <w:jc w:val="center"/>
        </w:trPr>
        <w:tc>
          <w:tcPr>
            <w:tcW w:w="2269" w:type="dxa"/>
            <w:tcBorders>
              <w:top w:val="single" w:sz="4" w:space="0" w:color="auto"/>
              <w:left w:val="single" w:sz="4" w:space="0" w:color="auto"/>
              <w:bottom w:val="single" w:sz="4" w:space="0" w:color="auto"/>
              <w:right w:val="single" w:sz="4" w:space="0" w:color="auto"/>
            </w:tcBorders>
          </w:tcPr>
          <w:p w14:paraId="0F50A1CD" w14:textId="77777777" w:rsidR="00513221" w:rsidRPr="00513221" w:rsidRDefault="00513221" w:rsidP="00513221">
            <w:pPr>
              <w:pStyle w:val="ECCTablenote"/>
            </w:pPr>
            <w:r w:rsidRPr="00513221">
              <w:t>Band 10.6-1.68 GHz</w:t>
            </w:r>
          </w:p>
        </w:tc>
        <w:tc>
          <w:tcPr>
            <w:tcW w:w="1417" w:type="dxa"/>
            <w:tcBorders>
              <w:top w:val="single" w:sz="4" w:space="0" w:color="auto"/>
              <w:left w:val="single" w:sz="4" w:space="0" w:color="auto"/>
              <w:bottom w:val="single" w:sz="4" w:space="0" w:color="auto"/>
              <w:right w:val="single" w:sz="4" w:space="0" w:color="auto"/>
            </w:tcBorders>
            <w:vAlign w:val="bottom"/>
          </w:tcPr>
          <w:p w14:paraId="235BE91A" w14:textId="77777777" w:rsidR="00513221" w:rsidRPr="00513221" w:rsidRDefault="00513221" w:rsidP="00513221">
            <w:pPr>
              <w:pStyle w:val="ECCTablenote"/>
            </w:pPr>
            <w:r w:rsidRPr="00513221">
              <w:t>2662</w:t>
            </w:r>
          </w:p>
        </w:tc>
        <w:tc>
          <w:tcPr>
            <w:tcW w:w="1237" w:type="dxa"/>
            <w:tcBorders>
              <w:top w:val="single" w:sz="4" w:space="0" w:color="auto"/>
              <w:left w:val="single" w:sz="4" w:space="0" w:color="auto"/>
              <w:bottom w:val="single" w:sz="4" w:space="0" w:color="auto"/>
              <w:right w:val="single" w:sz="4" w:space="0" w:color="auto"/>
            </w:tcBorders>
            <w:vAlign w:val="bottom"/>
          </w:tcPr>
          <w:p w14:paraId="180A43B1" w14:textId="77777777" w:rsidR="00513221" w:rsidRPr="00513221" w:rsidRDefault="00513221" w:rsidP="00513221">
            <w:pPr>
              <w:pStyle w:val="ECCTablenote"/>
            </w:pPr>
            <w:r w:rsidRPr="00513221">
              <w:t>1141</w:t>
            </w:r>
          </w:p>
        </w:tc>
        <w:tc>
          <w:tcPr>
            <w:tcW w:w="1225" w:type="dxa"/>
            <w:tcBorders>
              <w:top w:val="single" w:sz="4" w:space="0" w:color="auto"/>
              <w:left w:val="single" w:sz="4" w:space="0" w:color="auto"/>
              <w:bottom w:val="single" w:sz="4" w:space="0" w:color="auto"/>
              <w:right w:val="single" w:sz="4" w:space="0" w:color="auto"/>
            </w:tcBorders>
            <w:vAlign w:val="bottom"/>
          </w:tcPr>
          <w:p w14:paraId="5CD3AE72" w14:textId="77777777" w:rsidR="00513221" w:rsidRPr="00513221" w:rsidRDefault="00513221" w:rsidP="00513221">
            <w:pPr>
              <w:pStyle w:val="ECCTablenote"/>
            </w:pPr>
            <w:r w:rsidRPr="00513221">
              <w:t>1760</w:t>
            </w:r>
          </w:p>
        </w:tc>
        <w:tc>
          <w:tcPr>
            <w:tcW w:w="992" w:type="dxa"/>
            <w:tcBorders>
              <w:top w:val="single" w:sz="4" w:space="0" w:color="auto"/>
              <w:left w:val="single" w:sz="4" w:space="0" w:color="auto"/>
              <w:bottom w:val="single" w:sz="4" w:space="0" w:color="auto"/>
              <w:right w:val="single" w:sz="4" w:space="0" w:color="auto"/>
            </w:tcBorders>
          </w:tcPr>
          <w:p w14:paraId="3FD840C1" w14:textId="77777777" w:rsidR="00513221" w:rsidRPr="00513221" w:rsidRDefault="00513221" w:rsidP="00513221">
            <w:pPr>
              <w:pStyle w:val="ECCTablenote"/>
            </w:pPr>
            <w:r w:rsidRPr="00513221">
              <w:t>5563</w:t>
            </w:r>
          </w:p>
        </w:tc>
      </w:tr>
      <w:tr w:rsidR="00513221" w14:paraId="4BB0054C" w14:textId="77777777" w:rsidTr="00513221">
        <w:trPr>
          <w:jc w:val="center"/>
        </w:trPr>
        <w:tc>
          <w:tcPr>
            <w:tcW w:w="2269" w:type="dxa"/>
            <w:tcBorders>
              <w:top w:val="single" w:sz="4" w:space="0" w:color="auto"/>
              <w:left w:val="single" w:sz="4" w:space="0" w:color="auto"/>
              <w:bottom w:val="single" w:sz="4" w:space="0" w:color="auto"/>
              <w:right w:val="single" w:sz="4" w:space="0" w:color="auto"/>
            </w:tcBorders>
          </w:tcPr>
          <w:p w14:paraId="317B97C9" w14:textId="77777777" w:rsidR="00513221" w:rsidRPr="00513221" w:rsidRDefault="00513221" w:rsidP="00513221">
            <w:pPr>
              <w:pStyle w:val="ECCTablenote"/>
            </w:pPr>
            <w:r w:rsidRPr="00513221">
              <w:t>Band 10.7-12.7 GHz</w:t>
            </w:r>
          </w:p>
        </w:tc>
        <w:tc>
          <w:tcPr>
            <w:tcW w:w="1417" w:type="dxa"/>
            <w:tcBorders>
              <w:top w:val="single" w:sz="4" w:space="0" w:color="auto"/>
              <w:left w:val="single" w:sz="4" w:space="0" w:color="auto"/>
              <w:bottom w:val="single" w:sz="4" w:space="0" w:color="auto"/>
              <w:right w:val="single" w:sz="4" w:space="0" w:color="auto"/>
            </w:tcBorders>
            <w:vAlign w:val="bottom"/>
          </w:tcPr>
          <w:p w14:paraId="6D7AB848" w14:textId="77777777" w:rsidR="00513221" w:rsidRPr="00513221" w:rsidRDefault="00513221" w:rsidP="00513221">
            <w:pPr>
              <w:pStyle w:val="ECCTablenote"/>
            </w:pPr>
            <w:r w:rsidRPr="00513221">
              <w:t>209</w:t>
            </w:r>
          </w:p>
        </w:tc>
        <w:tc>
          <w:tcPr>
            <w:tcW w:w="1237" w:type="dxa"/>
            <w:tcBorders>
              <w:top w:val="single" w:sz="4" w:space="0" w:color="auto"/>
              <w:left w:val="single" w:sz="4" w:space="0" w:color="auto"/>
              <w:bottom w:val="single" w:sz="4" w:space="0" w:color="auto"/>
              <w:right w:val="single" w:sz="4" w:space="0" w:color="auto"/>
            </w:tcBorders>
            <w:vAlign w:val="bottom"/>
          </w:tcPr>
          <w:p w14:paraId="17FCA030" w14:textId="77777777" w:rsidR="00513221" w:rsidRPr="00513221" w:rsidRDefault="00513221" w:rsidP="00513221">
            <w:pPr>
              <w:pStyle w:val="ECCTablenote"/>
            </w:pPr>
            <w:r w:rsidRPr="00513221">
              <w:t>7153</w:t>
            </w:r>
          </w:p>
        </w:tc>
        <w:tc>
          <w:tcPr>
            <w:tcW w:w="1225" w:type="dxa"/>
            <w:tcBorders>
              <w:top w:val="single" w:sz="4" w:space="0" w:color="auto"/>
              <w:left w:val="single" w:sz="4" w:space="0" w:color="auto"/>
              <w:bottom w:val="single" w:sz="4" w:space="0" w:color="auto"/>
              <w:right w:val="single" w:sz="4" w:space="0" w:color="auto"/>
            </w:tcBorders>
            <w:vAlign w:val="bottom"/>
          </w:tcPr>
          <w:p w14:paraId="519A18FE" w14:textId="77777777" w:rsidR="00513221" w:rsidRPr="00513221" w:rsidRDefault="00513221" w:rsidP="00513221">
            <w:pPr>
              <w:pStyle w:val="ECCTablenote"/>
            </w:pPr>
            <w:r w:rsidRPr="00513221">
              <w:t>2041</w:t>
            </w:r>
          </w:p>
        </w:tc>
        <w:tc>
          <w:tcPr>
            <w:tcW w:w="992" w:type="dxa"/>
            <w:tcBorders>
              <w:top w:val="single" w:sz="4" w:space="0" w:color="auto"/>
              <w:left w:val="single" w:sz="4" w:space="0" w:color="auto"/>
              <w:bottom w:val="single" w:sz="4" w:space="0" w:color="auto"/>
              <w:right w:val="single" w:sz="4" w:space="0" w:color="auto"/>
            </w:tcBorders>
          </w:tcPr>
          <w:p w14:paraId="1FBDB406" w14:textId="77777777" w:rsidR="00513221" w:rsidRPr="00513221" w:rsidRDefault="00513221" w:rsidP="00513221">
            <w:pPr>
              <w:pStyle w:val="ECCTablenote"/>
            </w:pPr>
            <w:r w:rsidRPr="00513221">
              <w:t>9403</w:t>
            </w:r>
          </w:p>
        </w:tc>
      </w:tr>
    </w:tbl>
    <w:p w14:paraId="673C3FAD" w14:textId="77777777" w:rsidR="00513221" w:rsidRDefault="00513221" w:rsidP="00864405"/>
    <w:p w14:paraId="50A6260C" w14:textId="29EDB26A" w:rsidR="0013253D" w:rsidRDefault="0013253D" w:rsidP="0013253D">
      <w:pPr>
        <w:pStyle w:val="Heading3"/>
      </w:pPr>
      <w:r>
        <w:t>Sharing with mobile</w:t>
      </w:r>
    </w:p>
    <w:p w14:paraId="025D0A0B" w14:textId="30767A60" w:rsidR="0013253D" w:rsidRDefault="0013253D" w:rsidP="0013253D">
      <w:r>
        <w:t>The Annex 2 of Report 694 provides the assumptions and methodology in order to study the impact of Mobile service on passive EESS.  The studies are performed considering the following assumptions:</w:t>
      </w:r>
    </w:p>
    <w:p w14:paraId="3379B04B" w14:textId="36820491" w:rsidR="0013253D" w:rsidRDefault="0013253D" w:rsidP="0013253D">
      <w:pPr>
        <w:pStyle w:val="ECCBulletsLv1"/>
      </w:pPr>
      <w:r>
        <w:t xml:space="preserve">100 or 10 000 equipments in the side lobe </w:t>
      </w:r>
    </w:p>
    <w:p w14:paraId="5E6CFB18" w14:textId="77777777" w:rsidR="0013253D" w:rsidRDefault="0013253D" w:rsidP="0013253D">
      <w:pPr>
        <w:pStyle w:val="ECCBulletsLv1"/>
      </w:pPr>
      <w:r>
        <w:t>Satellite at 500 km</w:t>
      </w:r>
    </w:p>
    <w:p w14:paraId="15E9BD5C" w14:textId="77777777" w:rsidR="0013253D" w:rsidRDefault="0013253D" w:rsidP="0013253D">
      <w:pPr>
        <w:pStyle w:val="ECCBulletsLv1"/>
      </w:pPr>
      <w:r>
        <w:t>Sensor visibility of 20 million of km²</w:t>
      </w:r>
    </w:p>
    <w:p w14:paraId="0E277D2C" w14:textId="0123731D" w:rsidR="00E551D3" w:rsidRDefault="0013253D" w:rsidP="00AF4929">
      <w:pPr>
        <w:pStyle w:val="ECCBulletsLv1"/>
      </w:pPr>
      <w:r>
        <w:t>Mobile service with 0 dBi of antenna gain (Bs and UE)</w:t>
      </w:r>
    </w:p>
    <w:p w14:paraId="4803DA81" w14:textId="7D3F4E3A" w:rsidR="005514E8" w:rsidRDefault="005514E8" w:rsidP="00AF4929">
      <w:pPr>
        <w:pStyle w:val="ECCBulletsLv1"/>
      </w:pPr>
      <w:r>
        <w:t>Maximum allowable e.i.r.p: 3 dBW for one equipment, -37</w:t>
      </w:r>
      <w:r w:rsidRPr="005514E8">
        <w:t xml:space="preserve"> </w:t>
      </w:r>
      <w:r>
        <w:t>dBW for 10000, -27</w:t>
      </w:r>
      <w:r w:rsidRPr="005514E8">
        <w:t xml:space="preserve"> </w:t>
      </w:r>
      <w:r>
        <w:t>dBW for 1000</w:t>
      </w:r>
      <w:r w:rsidR="00550C50">
        <w:t>.</w:t>
      </w:r>
    </w:p>
    <w:p w14:paraId="640C3205" w14:textId="2252F03D" w:rsidR="005514E8" w:rsidRDefault="005514E8" w:rsidP="005514E8">
      <w:r>
        <w:t xml:space="preserve">the </w:t>
      </w:r>
      <w:r w:rsidRPr="005514E8">
        <w:t>study of the reports stated that</w:t>
      </w:r>
      <w:r>
        <w:t>:”</w:t>
      </w:r>
      <w:r w:rsidRPr="005514E8">
        <w:t xml:space="preserve"> Thus, it is expected that realistic mobile systems, if they were in use in the preferred passive sensor bands,</w:t>
      </w:r>
      <w:r>
        <w:t xml:space="preserve"> </w:t>
      </w:r>
      <w:r w:rsidRPr="005514E8">
        <w:t>would produce unacceptable levels of interference whenever the sensors were near or over land. Thus, sharing</w:t>
      </w:r>
      <w:r>
        <w:t xml:space="preserve"> </w:t>
      </w:r>
      <w:r w:rsidRPr="005514E8">
        <w:t>with mobile systems below 10 GHz is not considered generally feasible.</w:t>
      </w:r>
      <w:r>
        <w:t>”</w:t>
      </w:r>
    </w:p>
    <w:p w14:paraId="2394AFD8" w14:textId="77777777" w:rsidR="005514E8" w:rsidRPr="005D4D02" w:rsidRDefault="005514E8" w:rsidP="005514E8">
      <w:pPr>
        <w:rPr>
          <w:rStyle w:val="ECCHLunderlined"/>
        </w:rPr>
      </w:pPr>
      <w:r w:rsidRPr="005D4D02">
        <w:rPr>
          <w:rStyle w:val="ECCHLunderlined"/>
        </w:rPr>
        <w:t>Discussions</w:t>
      </w:r>
    </w:p>
    <w:p w14:paraId="33DE0F51" w14:textId="484734CF" w:rsidR="00232180" w:rsidRDefault="005514E8" w:rsidP="005514E8">
      <w:r>
        <w:t xml:space="preserve">It is really, by looking the assumptions taken in the CCIR Report 694, that assumption taken during the cycle 1979-1982 is </w:t>
      </w:r>
      <w:r w:rsidR="00C127B9">
        <w:t>not really in line with</w:t>
      </w:r>
      <w:r>
        <w:t xml:space="preserve"> the actual </w:t>
      </w:r>
      <w:r w:rsidR="00C127B9">
        <w:t>characteristics of IMT</w:t>
      </w:r>
      <w:r>
        <w:t xml:space="preserve"> (around 40 years later). The IMT</w:t>
      </w:r>
      <w:r w:rsidR="006212CF">
        <w:t xml:space="preserve"> deployment</w:t>
      </w:r>
      <w:r>
        <w:t xml:space="preserve"> was not planned and maybe not envisaged.</w:t>
      </w:r>
      <w:r w:rsidR="009C2C65">
        <w:t xml:space="preserve"> Based on the most recent, element provided in WP5D, the power of a UE</w:t>
      </w:r>
      <w:r w:rsidR="00BA6A70">
        <w:t xml:space="preserve"> is around -11 dBW (23 dBm and -</w:t>
      </w:r>
      <w:r w:rsidR="002A2FA7">
        <w:t xml:space="preserve"> </w:t>
      </w:r>
      <w:r w:rsidR="00BA6A70">
        <w:t>4dBi of gain – see parameter from 5D for UE in the band 6/8 GHz</w:t>
      </w:r>
      <w:r w:rsidR="007908C4">
        <w:t xml:space="preserve"> or 10 GHz), that means 25 times lower (in linear) that the assumptions of the Report. </w:t>
      </w:r>
      <w:r w:rsidR="00241980">
        <w:t>The density in the band 6 GHz is</w:t>
      </w:r>
      <w:r w:rsidR="00BF519C">
        <w:t xml:space="preserve"> at least</w:t>
      </w:r>
      <w:r w:rsidR="00241980">
        <w:t xml:space="preserve"> 10 times higher (around 100 000 BS </w:t>
      </w:r>
      <w:r w:rsidR="0095391F">
        <w:t xml:space="preserve">in </w:t>
      </w:r>
      <w:r w:rsidR="00241980">
        <w:t>the West of CEPT)</w:t>
      </w:r>
      <w:r w:rsidR="00F06C27">
        <w:t xml:space="preserve"> and of course the average gain of AAS is far away from 0dBi</w:t>
      </w:r>
      <w:r w:rsidR="007A436D">
        <w:t xml:space="preserve"> as, for sure the power of BS (around 40 dBW)</w:t>
      </w:r>
    </w:p>
    <w:p w14:paraId="3672DA16" w14:textId="3DE47042" w:rsidR="00EA0332" w:rsidRDefault="00EA0332" w:rsidP="00EA0332">
      <w:pPr>
        <w:pStyle w:val="Heading3"/>
      </w:pPr>
      <w:r>
        <w:t xml:space="preserve">Sharing with radioaltimeters </w:t>
      </w:r>
      <w:r w:rsidR="00DA1DE7">
        <w:t>4.2-4.4 GHz</w:t>
      </w:r>
    </w:p>
    <w:p w14:paraId="2ACBFE07" w14:textId="7CBA97F4" w:rsidR="00F06C27" w:rsidRDefault="00F06C27" w:rsidP="00F06C27">
      <w:r>
        <w:t>The Annex 4 of Report 694 provides the assumptions and methodology in order to study the impact of Aeronautical Radionavigation Service on passive EESS.  The studies are performed considering the following assumptions:</w:t>
      </w:r>
    </w:p>
    <w:p w14:paraId="460E2E0A" w14:textId="5C4F8B92" w:rsidR="0048693A" w:rsidRDefault="0048693A" w:rsidP="0048693A">
      <w:pPr>
        <w:pStyle w:val="ECCBulletsLv1"/>
      </w:pPr>
      <w:r>
        <w:t>Transmitter power CW -6dBW / antenna gain 11 dBi</w:t>
      </w:r>
    </w:p>
    <w:p w14:paraId="22F671F6" w14:textId="38BE0BCA" w:rsidR="0048693A" w:rsidRDefault="0048693A" w:rsidP="0048693A">
      <w:pPr>
        <w:pStyle w:val="ECCBulletsLv1"/>
      </w:pPr>
      <w:r>
        <w:t>Transmitter power pulsed system 23 dBW / antenna gain 11 dBi/ pulse duration 0.05µs / average power -7 dBW / e.i.r.p = 4 dBW</w:t>
      </w:r>
    </w:p>
    <w:p w14:paraId="3FAAFD80" w14:textId="64B6327C" w:rsidR="000548B5" w:rsidRDefault="000548B5" w:rsidP="00F06C27">
      <w:pPr>
        <w:pStyle w:val="ECCBulletsLv1"/>
      </w:pPr>
      <w:r>
        <w:t>Radio altimeter back lobe =- 5dBi</w:t>
      </w:r>
    </w:p>
    <w:p w14:paraId="08F8AD59" w14:textId="0E3C7040" w:rsidR="00F06C27" w:rsidRDefault="00F06C27" w:rsidP="00F06C27">
      <w:pPr>
        <w:pStyle w:val="ECCBulletsLv1"/>
      </w:pPr>
      <w:r>
        <w:t>Sensor visibility of 20 million of km²</w:t>
      </w:r>
    </w:p>
    <w:p w14:paraId="471EEE1F" w14:textId="77777777" w:rsidR="00F06C27" w:rsidRDefault="00F06C27" w:rsidP="00F06C27">
      <w:pPr>
        <w:pStyle w:val="ECCBulletsLv1"/>
      </w:pPr>
      <w:r>
        <w:t>Sensor Side lobe of around -15 dBi</w:t>
      </w:r>
    </w:p>
    <w:p w14:paraId="08A1FD59" w14:textId="3CBB9EF5" w:rsidR="00F06C27" w:rsidRDefault="00F06C27" w:rsidP="00F06C27">
      <w:pPr>
        <w:pStyle w:val="ECCBulletsLv1"/>
      </w:pPr>
      <w:r>
        <w:t>Fixed side lobe of -10 dBi</w:t>
      </w:r>
    </w:p>
    <w:p w14:paraId="04CDE3AA" w14:textId="7FC0CBB5" w:rsidR="000548B5" w:rsidRDefault="000548B5" w:rsidP="00F06C27">
      <w:pPr>
        <w:pStyle w:val="ECCBulletsLv1"/>
      </w:pPr>
      <w:r>
        <w:t>Number of aircraft to interfere passive EESS: around 3000</w:t>
      </w:r>
    </w:p>
    <w:p w14:paraId="74F8FF2F" w14:textId="77777777" w:rsidR="00E97A3B" w:rsidRPr="005D4D02" w:rsidRDefault="00E97A3B" w:rsidP="00E97A3B">
      <w:pPr>
        <w:rPr>
          <w:rStyle w:val="ECCHLunderlined"/>
        </w:rPr>
      </w:pPr>
      <w:r w:rsidRPr="005D4D02">
        <w:rPr>
          <w:rStyle w:val="ECCHLunderlined"/>
        </w:rPr>
        <w:t>Discussions</w:t>
      </w:r>
    </w:p>
    <w:p w14:paraId="7D0A1E0D" w14:textId="43C1C659" w:rsidR="00231A31" w:rsidRDefault="00E97A3B" w:rsidP="00E97A3B">
      <w:pPr>
        <w:pStyle w:val="ECCTabletext"/>
      </w:pPr>
      <w:r>
        <w:t xml:space="preserve">This calculation took only the direct emission from radio altimeter in the direction of passive EESS and did not consider the refection of emission from radio altimeter at the surface of the Earth. </w:t>
      </w:r>
    </w:p>
    <w:p w14:paraId="7BE326A2" w14:textId="77777777" w:rsidR="002F5F21" w:rsidRDefault="002F5F21" w:rsidP="00E97A3B">
      <w:pPr>
        <w:pStyle w:val="ECCTabletext"/>
      </w:pPr>
    </w:p>
    <w:p w14:paraId="39247D16" w14:textId="456EF411" w:rsidR="003E2198" w:rsidRDefault="003E2198" w:rsidP="003E2198">
      <w:pPr>
        <w:pStyle w:val="Heading1"/>
      </w:pPr>
      <w:r>
        <w:lastRenderedPageBreak/>
        <w:t xml:space="preserve">CONCLUSION </w:t>
      </w:r>
    </w:p>
    <w:p w14:paraId="77661386" w14:textId="63D09363" w:rsidR="002F5F21" w:rsidRDefault="002F5F21" w:rsidP="003E2198">
      <w:r>
        <w:t>This document shows that:</w:t>
      </w:r>
    </w:p>
    <w:p w14:paraId="53B33560" w14:textId="192AC25A" w:rsidR="00F52309" w:rsidRDefault="00F52309" w:rsidP="00F52309">
      <w:pPr>
        <w:pStyle w:val="ECCBulletsLv1"/>
      </w:pPr>
      <w:r>
        <w:t xml:space="preserve">The recognition and protection of passive EESS were made 43 years ago </w:t>
      </w:r>
    </w:p>
    <w:p w14:paraId="65E9AE48" w14:textId="77777777" w:rsidR="00F52309" w:rsidRDefault="003E2198" w:rsidP="00C91A62">
      <w:pPr>
        <w:pStyle w:val="ECCBulletsLv1"/>
      </w:pPr>
      <w:r>
        <w:t>The introduction of EESS passive</w:t>
      </w:r>
      <w:r w:rsidR="002F5F21">
        <w:t xml:space="preserve"> </w:t>
      </w:r>
      <w:r w:rsidR="00F52309">
        <w:t xml:space="preserve">(in bands under RR No 5.340) </w:t>
      </w:r>
      <w:r>
        <w:t>were made in band</w:t>
      </w:r>
      <w:r w:rsidR="002F5F21">
        <w:t>s</w:t>
      </w:r>
      <w:r>
        <w:t xml:space="preserve"> where RAS already existed due to the nature of emission in these specific bands</w:t>
      </w:r>
      <w:r w:rsidR="00F52309">
        <w:t xml:space="preserve"> (spectral line or continuum)</w:t>
      </w:r>
      <w:r>
        <w:t xml:space="preserve">. </w:t>
      </w:r>
      <w:r w:rsidR="002F5F21">
        <w:t xml:space="preserve">For these bands, administrations performed </w:t>
      </w:r>
      <w:r w:rsidR="00F52309">
        <w:t xml:space="preserve">during WARC-79, </w:t>
      </w:r>
      <w:r w:rsidR="002F5F21">
        <w:t xml:space="preserve">a total protection by prohibiting artificial emission. </w:t>
      </w:r>
    </w:p>
    <w:p w14:paraId="37253E18" w14:textId="47C8188A" w:rsidR="00F06C27" w:rsidRPr="00F52309" w:rsidRDefault="00F52309" w:rsidP="004728AA">
      <w:pPr>
        <w:pStyle w:val="ECCBulletsLv1"/>
        <w:rPr>
          <w:lang w:val="da-DK"/>
        </w:rPr>
      </w:pPr>
      <w:r>
        <w:t xml:space="preserve">The introduction of EESS passive (as primary) were made in </w:t>
      </w:r>
      <w:r w:rsidR="002F5F21">
        <w:t xml:space="preserve">the Radio Regulation </w:t>
      </w:r>
      <w:r>
        <w:t>based on the knowledge of the characteristics of Services during this period and this information remain crucial:</w:t>
      </w:r>
    </w:p>
    <w:p w14:paraId="4298FAFB" w14:textId="4839FB8C" w:rsidR="00F52309" w:rsidRPr="00F52309" w:rsidRDefault="00106A04" w:rsidP="00F52309">
      <w:pPr>
        <w:pStyle w:val="ECCBulletsLv1"/>
        <w:numPr>
          <w:ilvl w:val="1"/>
          <w:numId w:val="28"/>
        </w:numPr>
        <w:rPr>
          <w:lang w:val="da-DK"/>
        </w:rPr>
      </w:pPr>
      <w:r>
        <w:t>It appears that the characteristics</w:t>
      </w:r>
      <w:r w:rsidRPr="00106A04">
        <w:t xml:space="preserve"> and deployment </w:t>
      </w:r>
      <w:r>
        <w:t xml:space="preserve">of </w:t>
      </w:r>
      <w:r w:rsidR="00F52309">
        <w:t xml:space="preserve">Fixed Services does not really change, </w:t>
      </w:r>
      <w:r>
        <w:t>during the</w:t>
      </w:r>
      <w:r w:rsidR="00F52309">
        <w:t xml:space="preserve"> last 43 years</w:t>
      </w:r>
      <w:r>
        <w:t xml:space="preserve">. </w:t>
      </w:r>
      <w:r w:rsidR="002A6A49">
        <w:t>Moreover</w:t>
      </w:r>
      <w:r>
        <w:t>, the evolution, due to the climate change and the resulting necessity of power consumption reduction, forced the fixed links to present today less conducted power and more gain to present equivalent e.i.r.p. This fact enabling to improve the coexistence between Fixed and EESS Services. For Fixed Service, the evolution seems to be in adequation with an improvement of the protection of passive EESS.</w:t>
      </w:r>
    </w:p>
    <w:p w14:paraId="78F1743D" w14:textId="58C0BC54" w:rsidR="00F52309" w:rsidRPr="00D47D67" w:rsidRDefault="007A436D" w:rsidP="00F52309">
      <w:pPr>
        <w:pStyle w:val="ECCBulletsLv1"/>
        <w:numPr>
          <w:ilvl w:val="1"/>
          <w:numId w:val="28"/>
        </w:numPr>
        <w:rPr>
          <w:lang w:val="da-DK"/>
        </w:rPr>
      </w:pPr>
      <w:r>
        <w:t>However, t</w:t>
      </w:r>
      <w:r w:rsidR="00106A04">
        <w:t xml:space="preserve">he same </w:t>
      </w:r>
      <w:r>
        <w:t>r</w:t>
      </w:r>
      <w:r w:rsidR="00106A04">
        <w:t>eport cannot be made for Mobile Service. The evolution</w:t>
      </w:r>
      <w:r>
        <w:t xml:space="preserve"> during the last 43 years</w:t>
      </w:r>
      <w:r w:rsidR="00106A04">
        <w:t xml:space="preserve"> of Mobile Service</w:t>
      </w:r>
      <w:r w:rsidR="00D47D67">
        <w:t xml:space="preserve"> was impressive by</w:t>
      </w:r>
      <w:r w:rsidR="002A6A49">
        <w:t xml:space="preserve"> the</w:t>
      </w:r>
      <w:r w:rsidR="00D47D67">
        <w:t xml:space="preserve"> introduction of WiFi and</w:t>
      </w:r>
      <w:r w:rsidR="002A6A49">
        <w:t>,</w:t>
      </w:r>
      <w:r w:rsidR="00D47D67">
        <w:t xml:space="preserve"> of course</w:t>
      </w:r>
      <w:r w:rsidR="002A6A49">
        <w:t xml:space="preserve">, of the </w:t>
      </w:r>
      <w:r w:rsidR="00D47D67">
        <w:t>IMT. These two types of equipment and related deployment have totally changed the sharing conditions in the last 43 years between Mobile Service and Other Services in the Radio Regulation.</w:t>
      </w:r>
    </w:p>
    <w:p w14:paraId="23D5172D" w14:textId="35448635" w:rsidR="00F52309" w:rsidRPr="00A8317F" w:rsidRDefault="00D47D67" w:rsidP="002A6A49">
      <w:pPr>
        <w:pStyle w:val="ECCBulletsLv1"/>
        <w:numPr>
          <w:ilvl w:val="1"/>
          <w:numId w:val="28"/>
        </w:numPr>
        <w:rPr>
          <w:lang w:val="da-DK"/>
        </w:rPr>
      </w:pPr>
      <w:r>
        <w:t xml:space="preserve">Based in the last two points it appears clearly that, the </w:t>
      </w:r>
      <w:r w:rsidR="002A6A49">
        <w:t>usage</w:t>
      </w:r>
      <w:r>
        <w:t xml:space="preserve"> of passive EESS activities above ocean</w:t>
      </w:r>
      <w:r w:rsidR="005C2011">
        <w:t>, with moderate interference closed to the coast</w:t>
      </w:r>
      <w:r>
        <w:t xml:space="preserve"> in the band 6425-7250 MHz</w:t>
      </w:r>
      <w:r w:rsidR="005C2011">
        <w:t>, seemed to be</w:t>
      </w:r>
      <w:r w:rsidR="002A6A49">
        <w:t xml:space="preserve"> reachable</w:t>
      </w:r>
      <w:r w:rsidR="005C2011">
        <w:t xml:space="preserve"> 43 years ago</w:t>
      </w:r>
      <w:r w:rsidR="002A6A49">
        <w:t xml:space="preserve"> and particularly due to the fact that no equipment in this band was deployment in the Mobile Service. </w:t>
      </w:r>
    </w:p>
    <w:p w14:paraId="7DF4A85E" w14:textId="77777777" w:rsidR="00A8317F" w:rsidRPr="00A8317F" w:rsidRDefault="00A8317F" w:rsidP="00CD49C4">
      <w:pPr>
        <w:pStyle w:val="ECCBulletsLv1"/>
        <w:numPr>
          <w:ilvl w:val="1"/>
          <w:numId w:val="28"/>
        </w:numPr>
        <w:rPr>
          <w:lang w:val="da-DK"/>
        </w:rPr>
      </w:pPr>
      <w:r>
        <w:t xml:space="preserve">Whatever the WRC-23 decision </w:t>
      </w:r>
      <w:r w:rsidRPr="00A8317F">
        <w:t xml:space="preserve">(identification of IMT or no identification and usage of existing Mobile allocation by WiFi) due to the above situation the continued usage of passive EESS in the band 6/7 GHz will not allow the continuous measurement of SST </w:t>
      </w:r>
    </w:p>
    <w:p w14:paraId="2DEC2A44" w14:textId="1DB5DDBA" w:rsidR="00A8317F" w:rsidRPr="00A8317F" w:rsidRDefault="00A8317F" w:rsidP="00CD49C4">
      <w:pPr>
        <w:pStyle w:val="ECCBulletsLv1"/>
        <w:numPr>
          <w:ilvl w:val="1"/>
          <w:numId w:val="28"/>
        </w:numPr>
      </w:pPr>
      <w:r>
        <w:t>WR</w:t>
      </w:r>
      <w:r w:rsidRPr="00A8317F">
        <w:t>C-23 should offer the opportunity to avoid this situation by deciding new allocations of passive EESS between 4-9 GHz</w:t>
      </w:r>
      <w:r w:rsidR="001F78D2">
        <w:t xml:space="preserve"> (i.e. 4.2-4.4 GHz and 8.4-8.5 GHz – See CPG 22 Doc XXX)</w:t>
      </w:r>
    </w:p>
    <w:p w14:paraId="769FFC05" w14:textId="77777777" w:rsidR="00F52309" w:rsidRPr="00A8317F" w:rsidRDefault="00F52309" w:rsidP="00F52309">
      <w:pPr>
        <w:pStyle w:val="ECCBulletsLv1"/>
        <w:numPr>
          <w:ilvl w:val="0"/>
          <w:numId w:val="0"/>
        </w:numPr>
        <w:ind w:left="360" w:hanging="360"/>
        <w:rPr>
          <w:rPrChange w:id="0" w:author="CAILLET Thibaut" w:date="2022-11-29T14:38:00Z">
            <w:rPr>
              <w:lang w:val="da-DK"/>
            </w:rPr>
          </w:rPrChange>
        </w:rPr>
      </w:pPr>
    </w:p>
    <w:sectPr w:rsidR="00F52309" w:rsidRPr="00A8317F" w:rsidSect="003771D5">
      <w:headerReference w:type="even" r:id="rId12"/>
      <w:headerReference w:type="default" r:id="rId13"/>
      <w:footerReference w:type="even" r:id="rId14"/>
      <w:footerReference w:type="default" r:id="rId15"/>
      <w:headerReference w:type="first" r:id="rId16"/>
      <w:footerReference w:type="first" r:id="rId17"/>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A449F" w14:textId="77777777" w:rsidR="006217D0" w:rsidRDefault="006217D0" w:rsidP="00D0121B">
      <w:r>
        <w:separator/>
      </w:r>
    </w:p>
    <w:p w14:paraId="14A7728A" w14:textId="77777777" w:rsidR="006217D0" w:rsidRDefault="006217D0"/>
    <w:p w14:paraId="76E1C563" w14:textId="77777777" w:rsidR="006217D0" w:rsidRDefault="006217D0"/>
  </w:endnote>
  <w:endnote w:type="continuationSeparator" w:id="0">
    <w:p w14:paraId="14FF4183" w14:textId="77777777" w:rsidR="006217D0" w:rsidRDefault="006217D0" w:rsidP="00D0121B">
      <w:r>
        <w:continuationSeparator/>
      </w:r>
    </w:p>
    <w:p w14:paraId="1F80F4B1" w14:textId="77777777" w:rsidR="006217D0" w:rsidRDefault="006217D0"/>
    <w:p w14:paraId="3137E353" w14:textId="77777777" w:rsidR="006217D0" w:rsidRDefault="00621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EFD95" w14:textId="77777777" w:rsidR="00BA6A70" w:rsidRDefault="00BA6A70">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57625" w14:textId="77777777" w:rsidR="00BA6A70" w:rsidRDefault="00BA6A70">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F341E" w14:textId="77777777" w:rsidR="00BA6A70" w:rsidRDefault="00BA6A70">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7E7D9" w14:textId="77777777" w:rsidR="006217D0" w:rsidRPr="00C77ABB" w:rsidRDefault="006217D0" w:rsidP="00C77ABB">
      <w:pPr>
        <w:pStyle w:val="FootnoteText"/>
      </w:pPr>
      <w:r w:rsidRPr="00C77ABB">
        <w:separator/>
      </w:r>
    </w:p>
  </w:footnote>
  <w:footnote w:type="continuationSeparator" w:id="0">
    <w:p w14:paraId="17477640" w14:textId="77777777" w:rsidR="006217D0" w:rsidRPr="00C77ABB" w:rsidRDefault="006217D0" w:rsidP="00C77ABB">
      <w:pPr>
        <w:pStyle w:val="FootnoteText"/>
      </w:pPr>
      <w:r w:rsidRPr="00C77A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98568" w14:textId="77777777" w:rsidR="00BA6A70" w:rsidRDefault="00BA6A70">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2F73B" w14:textId="7BE7B6DA" w:rsidR="00BA6A70" w:rsidRPr="00CF2EC7" w:rsidRDefault="00BA6A70" w:rsidP="003A68D5">
    <w:pPr>
      <w:pStyle w:val="ECCpageHeader"/>
      <w:rPr>
        <w:lang w:val="en-US"/>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AE56" w14:textId="5A330409" w:rsidR="00BA6A70" w:rsidRDefault="00BA6A70" w:rsidP="003A68D5">
    <w:pPr>
      <w:pStyle w:val="ECCpageHeader"/>
    </w:pPr>
    <w:r>
      <w:tab/>
    </w:r>
    <w:r>
      <w:tab/>
    </w:r>
  </w:p>
  <w:p w14:paraId="166DE6A5" w14:textId="77777777" w:rsidR="00BA6A70" w:rsidRPr="005611D0" w:rsidRDefault="00BA6A70" w:rsidP="003771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F665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DC41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B400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49D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9670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6A18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348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34F5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250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7A80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C4830BF"/>
    <w:multiLevelType w:val="hybridMultilevel"/>
    <w:tmpl w:val="ACB41ACC"/>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2" w15:restartNumberingAfterBreak="0">
    <w:nsid w:val="20A87A02"/>
    <w:multiLevelType w:val="hybridMultilevel"/>
    <w:tmpl w:val="248209E6"/>
    <w:lvl w:ilvl="0" w:tplc="048CDB92">
      <w:start w:val="1"/>
      <w:numFmt w:val="bullet"/>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3"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2B127B9"/>
    <w:multiLevelType w:val="hybridMultilevel"/>
    <w:tmpl w:val="B9C41C96"/>
    <w:lvl w:ilvl="0" w:tplc="7264E0AC">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31D2CAF"/>
    <w:multiLevelType w:val="multilevel"/>
    <w:tmpl w:val="ACC48140"/>
    <w:lvl w:ilvl="0">
      <w:start w:val="1"/>
      <w:numFmt w:val="decimal"/>
      <w:pStyle w:val="ECCNumberedList"/>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7"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13667D7"/>
    <w:multiLevelType w:val="hybridMultilevel"/>
    <w:tmpl w:val="DEC4C676"/>
    <w:lvl w:ilvl="0" w:tplc="7264E0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38F7719"/>
    <w:multiLevelType w:val="hybridMultilevel"/>
    <w:tmpl w:val="8AC6513E"/>
    <w:lvl w:ilvl="0" w:tplc="7264E0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2" w15:restartNumberingAfterBreak="0">
    <w:nsid w:val="55DC3216"/>
    <w:multiLevelType w:val="hybridMultilevel"/>
    <w:tmpl w:val="AC5E40CE"/>
    <w:lvl w:ilvl="0" w:tplc="1122AF32">
      <w:numFmt w:val="bullet"/>
      <w:lvlText w:val="-"/>
      <w:lvlJc w:val="left"/>
      <w:pPr>
        <w:ind w:left="927" w:hanging="360"/>
      </w:pPr>
      <w:rPr>
        <w:rFonts w:ascii="Arial" w:eastAsia="Calibri" w:hAnsi="Aria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3" w15:restartNumberingAfterBreak="0">
    <w:nsid w:val="76282B24"/>
    <w:multiLevelType w:val="hybridMultilevel"/>
    <w:tmpl w:val="954C2AB8"/>
    <w:lvl w:ilvl="0" w:tplc="35DA5378">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2"/>
  </w:num>
  <w:num w:numId="4">
    <w:abstractNumId w:val="21"/>
  </w:num>
  <w:num w:numId="5">
    <w:abstractNumId w:val="16"/>
  </w:num>
  <w:num w:numId="6">
    <w:abstractNumId w:val="20"/>
  </w:num>
  <w:num w:numId="7">
    <w:abstractNumId w:val="17"/>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5"/>
  </w:num>
  <w:num w:numId="20">
    <w:abstractNumId w:val="15"/>
  </w:num>
  <w:num w:numId="21">
    <w:abstractNumId w:val="10"/>
  </w:num>
  <w:num w:numId="22">
    <w:abstractNumId w:val="13"/>
  </w:num>
  <w:num w:numId="23">
    <w:abstractNumId w:val="13"/>
  </w:num>
  <w:num w:numId="24">
    <w:abstractNumId w:val="13"/>
  </w:num>
  <w:num w:numId="25">
    <w:abstractNumId w:val="13"/>
  </w:num>
  <w:num w:numId="26">
    <w:abstractNumId w:val="10"/>
  </w:num>
  <w:num w:numId="27">
    <w:abstractNumId w:val="10"/>
  </w:num>
  <w:num w:numId="28">
    <w:abstractNumId w:val="10"/>
  </w:num>
  <w:num w:numId="29">
    <w:abstractNumId w:val="15"/>
  </w:num>
  <w:num w:numId="30">
    <w:abstractNumId w:val="17"/>
  </w:num>
  <w:num w:numId="31">
    <w:abstractNumId w:val="21"/>
  </w:num>
  <w:num w:numId="32">
    <w:abstractNumId w:val="16"/>
  </w:num>
  <w:num w:numId="33">
    <w:abstractNumId w:val="20"/>
  </w:num>
  <w:num w:numId="34">
    <w:abstractNumId w:val="17"/>
  </w:num>
  <w:num w:numId="35">
    <w:abstractNumId w:val="17"/>
  </w:num>
  <w:num w:numId="36">
    <w:abstractNumId w:val="17"/>
  </w:num>
  <w:num w:numId="37">
    <w:abstractNumId w:val="23"/>
  </w:num>
  <w:num w:numId="38">
    <w:abstractNumId w:val="22"/>
  </w:num>
  <w:num w:numId="39">
    <w:abstractNumId w:val="10"/>
  </w:num>
  <w:num w:numId="40">
    <w:abstractNumId w:val="10"/>
  </w:num>
  <w:num w:numId="41">
    <w:abstractNumId w:val="14"/>
  </w:num>
  <w:num w:numId="42">
    <w:abstractNumId w:val="18"/>
  </w:num>
  <w:num w:numId="43">
    <w:abstractNumId w:val="19"/>
  </w:num>
  <w:num w:numId="44">
    <w:abstractNumId w:val="1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ILLET Thibaut">
    <w15:presenceInfo w15:providerId="AD" w15:userId="S-1-5-21-1764711199-903226069-623647154-564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1" w:spinCount="100000" w:hashValue="MxDKYrcvCcRRtxM++SRYdFy04G8=" w:saltValue="iQlWysrBR5ptaipk1xq7cQ==" w:algorithmName="SHA-1"/>
  <w:autoFormatOverride/>
  <w:styleLockTheme/>
  <w:styleLockQFSet/>
  <w:defaultTabStop w:val="567"/>
  <w:hyphenationZone w:val="425"/>
  <w:evenAndOddHeaders/>
  <w:characterSpacingControl w:val="doNotCompress"/>
  <w:hdrShapeDefaults>
    <o:shapedefaults v:ext="edit" spidmax="4097">
      <o:colormru v:ext="edit" colors="#7b6c58,#887e6e,#b0a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2E"/>
    <w:rsid w:val="00004588"/>
    <w:rsid w:val="00025CE3"/>
    <w:rsid w:val="00032657"/>
    <w:rsid w:val="00034393"/>
    <w:rsid w:val="00041A18"/>
    <w:rsid w:val="00044F6F"/>
    <w:rsid w:val="0005030E"/>
    <w:rsid w:val="00052CAE"/>
    <w:rsid w:val="000548B5"/>
    <w:rsid w:val="000611F2"/>
    <w:rsid w:val="00061762"/>
    <w:rsid w:val="00062CB1"/>
    <w:rsid w:val="000630C6"/>
    <w:rsid w:val="000660F5"/>
    <w:rsid w:val="00067793"/>
    <w:rsid w:val="000701A5"/>
    <w:rsid w:val="00070868"/>
    <w:rsid w:val="00080461"/>
    <w:rsid w:val="00080D4D"/>
    <w:rsid w:val="00082DD7"/>
    <w:rsid w:val="0008755B"/>
    <w:rsid w:val="00095620"/>
    <w:rsid w:val="00095941"/>
    <w:rsid w:val="00097D7A"/>
    <w:rsid w:val="000A29BC"/>
    <w:rsid w:val="000A3940"/>
    <w:rsid w:val="000A6285"/>
    <w:rsid w:val="000B2156"/>
    <w:rsid w:val="000B5026"/>
    <w:rsid w:val="000C028F"/>
    <w:rsid w:val="000C22C9"/>
    <w:rsid w:val="000C5CB6"/>
    <w:rsid w:val="000C7DF1"/>
    <w:rsid w:val="000D1710"/>
    <w:rsid w:val="000D3548"/>
    <w:rsid w:val="000D7A37"/>
    <w:rsid w:val="000E42F5"/>
    <w:rsid w:val="000E4820"/>
    <w:rsid w:val="000E7096"/>
    <w:rsid w:val="000F0594"/>
    <w:rsid w:val="000F1620"/>
    <w:rsid w:val="000F24F5"/>
    <w:rsid w:val="000F3F0B"/>
    <w:rsid w:val="001000B0"/>
    <w:rsid w:val="001006CA"/>
    <w:rsid w:val="00100A99"/>
    <w:rsid w:val="00100F8B"/>
    <w:rsid w:val="00106A04"/>
    <w:rsid w:val="00106DC7"/>
    <w:rsid w:val="0013253D"/>
    <w:rsid w:val="00133B31"/>
    <w:rsid w:val="00145181"/>
    <w:rsid w:val="00157996"/>
    <w:rsid w:val="0016072C"/>
    <w:rsid w:val="0017358D"/>
    <w:rsid w:val="0017456E"/>
    <w:rsid w:val="00183FE0"/>
    <w:rsid w:val="0018553F"/>
    <w:rsid w:val="0018767A"/>
    <w:rsid w:val="001879C4"/>
    <w:rsid w:val="00192BB9"/>
    <w:rsid w:val="00197124"/>
    <w:rsid w:val="001A02D4"/>
    <w:rsid w:val="001A05D1"/>
    <w:rsid w:val="001B733F"/>
    <w:rsid w:val="001C5724"/>
    <w:rsid w:val="001D15AA"/>
    <w:rsid w:val="001D334F"/>
    <w:rsid w:val="001D4247"/>
    <w:rsid w:val="001D76CB"/>
    <w:rsid w:val="001F78D2"/>
    <w:rsid w:val="0020079A"/>
    <w:rsid w:val="0020250F"/>
    <w:rsid w:val="00220194"/>
    <w:rsid w:val="00221755"/>
    <w:rsid w:val="00221C24"/>
    <w:rsid w:val="00226070"/>
    <w:rsid w:val="00231A31"/>
    <w:rsid w:val="00232180"/>
    <w:rsid w:val="00235592"/>
    <w:rsid w:val="00236978"/>
    <w:rsid w:val="00241980"/>
    <w:rsid w:val="002470B5"/>
    <w:rsid w:val="0025384E"/>
    <w:rsid w:val="00257D84"/>
    <w:rsid w:val="002620A2"/>
    <w:rsid w:val="0027241D"/>
    <w:rsid w:val="00273354"/>
    <w:rsid w:val="00274F84"/>
    <w:rsid w:val="0028060B"/>
    <w:rsid w:val="00280AF7"/>
    <w:rsid w:val="0028120C"/>
    <w:rsid w:val="00293920"/>
    <w:rsid w:val="00295827"/>
    <w:rsid w:val="00295F16"/>
    <w:rsid w:val="002A141F"/>
    <w:rsid w:val="002A2FA7"/>
    <w:rsid w:val="002A3F7A"/>
    <w:rsid w:val="002A6A49"/>
    <w:rsid w:val="002B23C1"/>
    <w:rsid w:val="002B24FB"/>
    <w:rsid w:val="002C2B55"/>
    <w:rsid w:val="002C5C63"/>
    <w:rsid w:val="002D1FA9"/>
    <w:rsid w:val="002D34C5"/>
    <w:rsid w:val="002D50A3"/>
    <w:rsid w:val="002D6680"/>
    <w:rsid w:val="002D7161"/>
    <w:rsid w:val="002D729F"/>
    <w:rsid w:val="002E786C"/>
    <w:rsid w:val="002F1005"/>
    <w:rsid w:val="002F1E6A"/>
    <w:rsid w:val="002F549E"/>
    <w:rsid w:val="002F5F21"/>
    <w:rsid w:val="002F691D"/>
    <w:rsid w:val="003031DA"/>
    <w:rsid w:val="00307A79"/>
    <w:rsid w:val="00322E6A"/>
    <w:rsid w:val="003245FE"/>
    <w:rsid w:val="00324873"/>
    <w:rsid w:val="003314A0"/>
    <w:rsid w:val="003356A0"/>
    <w:rsid w:val="003419EF"/>
    <w:rsid w:val="00350A23"/>
    <w:rsid w:val="00361E54"/>
    <w:rsid w:val="00362F4F"/>
    <w:rsid w:val="003630AE"/>
    <w:rsid w:val="00370A0C"/>
    <w:rsid w:val="0037394B"/>
    <w:rsid w:val="003771D5"/>
    <w:rsid w:val="003829E1"/>
    <w:rsid w:val="0038358E"/>
    <w:rsid w:val="003842D8"/>
    <w:rsid w:val="00391A01"/>
    <w:rsid w:val="003A5711"/>
    <w:rsid w:val="003A68D5"/>
    <w:rsid w:val="003B1F02"/>
    <w:rsid w:val="003B2D13"/>
    <w:rsid w:val="003B5CE1"/>
    <w:rsid w:val="003B7070"/>
    <w:rsid w:val="003C0FE8"/>
    <w:rsid w:val="003C64D9"/>
    <w:rsid w:val="003D0D8F"/>
    <w:rsid w:val="003D1F4F"/>
    <w:rsid w:val="003D2005"/>
    <w:rsid w:val="003D2894"/>
    <w:rsid w:val="003D331C"/>
    <w:rsid w:val="003D4D2B"/>
    <w:rsid w:val="003E05A7"/>
    <w:rsid w:val="003E2198"/>
    <w:rsid w:val="003E70E0"/>
    <w:rsid w:val="00403CE6"/>
    <w:rsid w:val="004074CC"/>
    <w:rsid w:val="004110CA"/>
    <w:rsid w:val="004177A2"/>
    <w:rsid w:val="0042509E"/>
    <w:rsid w:val="004322BC"/>
    <w:rsid w:val="0044344A"/>
    <w:rsid w:val="00443482"/>
    <w:rsid w:val="0044356E"/>
    <w:rsid w:val="00443912"/>
    <w:rsid w:val="004466C3"/>
    <w:rsid w:val="00446E3E"/>
    <w:rsid w:val="00447088"/>
    <w:rsid w:val="00450308"/>
    <w:rsid w:val="0045057D"/>
    <w:rsid w:val="00451DF3"/>
    <w:rsid w:val="00457AD1"/>
    <w:rsid w:val="0046427F"/>
    <w:rsid w:val="00470D4B"/>
    <w:rsid w:val="00473712"/>
    <w:rsid w:val="00474DC4"/>
    <w:rsid w:val="00485307"/>
    <w:rsid w:val="0048693A"/>
    <w:rsid w:val="00491977"/>
    <w:rsid w:val="0049491B"/>
    <w:rsid w:val="0049708F"/>
    <w:rsid w:val="004A1329"/>
    <w:rsid w:val="004A28E9"/>
    <w:rsid w:val="004A511D"/>
    <w:rsid w:val="004B54D1"/>
    <w:rsid w:val="004C4A2E"/>
    <w:rsid w:val="004C5D39"/>
    <w:rsid w:val="004D27AC"/>
    <w:rsid w:val="004D5782"/>
    <w:rsid w:val="004D5EA3"/>
    <w:rsid w:val="004E371A"/>
    <w:rsid w:val="004E44C8"/>
    <w:rsid w:val="004E53BE"/>
    <w:rsid w:val="004E5961"/>
    <w:rsid w:val="004F16F4"/>
    <w:rsid w:val="004F3F81"/>
    <w:rsid w:val="004F6CA7"/>
    <w:rsid w:val="005028D4"/>
    <w:rsid w:val="0050340A"/>
    <w:rsid w:val="00513221"/>
    <w:rsid w:val="00521CE2"/>
    <w:rsid w:val="005227AE"/>
    <w:rsid w:val="00535050"/>
    <w:rsid w:val="005353CC"/>
    <w:rsid w:val="00536F3C"/>
    <w:rsid w:val="0054260E"/>
    <w:rsid w:val="00546FB4"/>
    <w:rsid w:val="00550C50"/>
    <w:rsid w:val="00550D79"/>
    <w:rsid w:val="005514E8"/>
    <w:rsid w:val="00552ADE"/>
    <w:rsid w:val="005559AC"/>
    <w:rsid w:val="00556453"/>
    <w:rsid w:val="00557B5A"/>
    <w:rsid w:val="005611D0"/>
    <w:rsid w:val="00562719"/>
    <w:rsid w:val="00562AA4"/>
    <w:rsid w:val="00571517"/>
    <w:rsid w:val="00571A40"/>
    <w:rsid w:val="005736B2"/>
    <w:rsid w:val="005738B1"/>
    <w:rsid w:val="0057797A"/>
    <w:rsid w:val="0058079B"/>
    <w:rsid w:val="00580970"/>
    <w:rsid w:val="005817E4"/>
    <w:rsid w:val="00581A28"/>
    <w:rsid w:val="0058532B"/>
    <w:rsid w:val="0058628F"/>
    <w:rsid w:val="00592DD0"/>
    <w:rsid w:val="00594186"/>
    <w:rsid w:val="0059745F"/>
    <w:rsid w:val="005A53B8"/>
    <w:rsid w:val="005A60B7"/>
    <w:rsid w:val="005A7AF7"/>
    <w:rsid w:val="005B12CB"/>
    <w:rsid w:val="005B44F5"/>
    <w:rsid w:val="005B7804"/>
    <w:rsid w:val="005C04BF"/>
    <w:rsid w:val="005C10EB"/>
    <w:rsid w:val="005C2011"/>
    <w:rsid w:val="005D371D"/>
    <w:rsid w:val="005D4D02"/>
    <w:rsid w:val="005D55DF"/>
    <w:rsid w:val="005D5A6C"/>
    <w:rsid w:val="005D5C60"/>
    <w:rsid w:val="005E7495"/>
    <w:rsid w:val="005F3AC7"/>
    <w:rsid w:val="006105CA"/>
    <w:rsid w:val="006107A2"/>
    <w:rsid w:val="006212CF"/>
    <w:rsid w:val="006217D0"/>
    <w:rsid w:val="00621C12"/>
    <w:rsid w:val="006248B1"/>
    <w:rsid w:val="00634CBB"/>
    <w:rsid w:val="00635850"/>
    <w:rsid w:val="00635A22"/>
    <w:rsid w:val="006403FF"/>
    <w:rsid w:val="00642083"/>
    <w:rsid w:val="00643B5B"/>
    <w:rsid w:val="0065550D"/>
    <w:rsid w:val="00657AD4"/>
    <w:rsid w:val="00665364"/>
    <w:rsid w:val="0068085F"/>
    <w:rsid w:val="00686891"/>
    <w:rsid w:val="006876A8"/>
    <w:rsid w:val="00687B43"/>
    <w:rsid w:val="00692D32"/>
    <w:rsid w:val="006A49E3"/>
    <w:rsid w:val="006B1EFD"/>
    <w:rsid w:val="006B7FE6"/>
    <w:rsid w:val="006C454C"/>
    <w:rsid w:val="006C5C1C"/>
    <w:rsid w:val="006E4888"/>
    <w:rsid w:val="006F0442"/>
    <w:rsid w:val="006F1E96"/>
    <w:rsid w:val="007023A3"/>
    <w:rsid w:val="00702905"/>
    <w:rsid w:val="00703FC0"/>
    <w:rsid w:val="00710B75"/>
    <w:rsid w:val="00713021"/>
    <w:rsid w:val="007150D6"/>
    <w:rsid w:val="007160BE"/>
    <w:rsid w:val="00716225"/>
    <w:rsid w:val="00716328"/>
    <w:rsid w:val="00721539"/>
    <w:rsid w:val="007227A5"/>
    <w:rsid w:val="00722F65"/>
    <w:rsid w:val="00726836"/>
    <w:rsid w:val="00726950"/>
    <w:rsid w:val="00726E92"/>
    <w:rsid w:val="00732056"/>
    <w:rsid w:val="00733310"/>
    <w:rsid w:val="00734A4F"/>
    <w:rsid w:val="0073788B"/>
    <w:rsid w:val="007479F1"/>
    <w:rsid w:val="0075272B"/>
    <w:rsid w:val="00762BCC"/>
    <w:rsid w:val="00763A0F"/>
    <w:rsid w:val="00763BA3"/>
    <w:rsid w:val="00765260"/>
    <w:rsid w:val="00765B66"/>
    <w:rsid w:val="00767BB2"/>
    <w:rsid w:val="00771060"/>
    <w:rsid w:val="00777279"/>
    <w:rsid w:val="00780376"/>
    <w:rsid w:val="007908C4"/>
    <w:rsid w:val="00791AAC"/>
    <w:rsid w:val="0079410C"/>
    <w:rsid w:val="00797D4C"/>
    <w:rsid w:val="007A0900"/>
    <w:rsid w:val="007A436D"/>
    <w:rsid w:val="007B2E5D"/>
    <w:rsid w:val="007B52C8"/>
    <w:rsid w:val="007C0E7E"/>
    <w:rsid w:val="007C405A"/>
    <w:rsid w:val="007C542E"/>
    <w:rsid w:val="007C5A3B"/>
    <w:rsid w:val="007C7DA7"/>
    <w:rsid w:val="007D17C5"/>
    <w:rsid w:val="007D2534"/>
    <w:rsid w:val="007D52EC"/>
    <w:rsid w:val="007F1CEE"/>
    <w:rsid w:val="007F1E19"/>
    <w:rsid w:val="00801659"/>
    <w:rsid w:val="008062AC"/>
    <w:rsid w:val="00811EC1"/>
    <w:rsid w:val="00811FA1"/>
    <w:rsid w:val="0081429D"/>
    <w:rsid w:val="0081543C"/>
    <w:rsid w:val="00815AEA"/>
    <w:rsid w:val="00817826"/>
    <w:rsid w:val="00821CDD"/>
    <w:rsid w:val="00836A95"/>
    <w:rsid w:val="00837537"/>
    <w:rsid w:val="0086094D"/>
    <w:rsid w:val="00864405"/>
    <w:rsid w:val="00865BE4"/>
    <w:rsid w:val="00872382"/>
    <w:rsid w:val="008742E3"/>
    <w:rsid w:val="00882DA0"/>
    <w:rsid w:val="00885921"/>
    <w:rsid w:val="008907A8"/>
    <w:rsid w:val="008973DB"/>
    <w:rsid w:val="008A1315"/>
    <w:rsid w:val="008A13E3"/>
    <w:rsid w:val="008A38A9"/>
    <w:rsid w:val="008A54FC"/>
    <w:rsid w:val="008B2EFC"/>
    <w:rsid w:val="008B70CD"/>
    <w:rsid w:val="008B7CE5"/>
    <w:rsid w:val="008C404F"/>
    <w:rsid w:val="008C6790"/>
    <w:rsid w:val="008C7EF6"/>
    <w:rsid w:val="008D1097"/>
    <w:rsid w:val="008D2737"/>
    <w:rsid w:val="008D4BAE"/>
    <w:rsid w:val="008E1D73"/>
    <w:rsid w:val="008E6109"/>
    <w:rsid w:val="008E759C"/>
    <w:rsid w:val="00901A1D"/>
    <w:rsid w:val="00907523"/>
    <w:rsid w:val="00911F20"/>
    <w:rsid w:val="00914259"/>
    <w:rsid w:val="009170EA"/>
    <w:rsid w:val="00917D1C"/>
    <w:rsid w:val="0092076F"/>
    <w:rsid w:val="00921071"/>
    <w:rsid w:val="0092681C"/>
    <w:rsid w:val="00927833"/>
    <w:rsid w:val="00930439"/>
    <w:rsid w:val="00930BDF"/>
    <w:rsid w:val="0093268F"/>
    <w:rsid w:val="009368FF"/>
    <w:rsid w:val="00937FE5"/>
    <w:rsid w:val="009434C3"/>
    <w:rsid w:val="00943D8E"/>
    <w:rsid w:val="00947A5A"/>
    <w:rsid w:val="0095391F"/>
    <w:rsid w:val="009730B3"/>
    <w:rsid w:val="009770CA"/>
    <w:rsid w:val="00981B7C"/>
    <w:rsid w:val="00986677"/>
    <w:rsid w:val="0099421C"/>
    <w:rsid w:val="009A0B8F"/>
    <w:rsid w:val="009A2590"/>
    <w:rsid w:val="009B0A78"/>
    <w:rsid w:val="009C2C65"/>
    <w:rsid w:val="009D3496"/>
    <w:rsid w:val="009D4BA1"/>
    <w:rsid w:val="009D4CFE"/>
    <w:rsid w:val="009D7D5A"/>
    <w:rsid w:val="009E387D"/>
    <w:rsid w:val="009E47EB"/>
    <w:rsid w:val="009E6DC3"/>
    <w:rsid w:val="009F0B56"/>
    <w:rsid w:val="009F2989"/>
    <w:rsid w:val="009F3A37"/>
    <w:rsid w:val="00A02090"/>
    <w:rsid w:val="00A076B5"/>
    <w:rsid w:val="00A23870"/>
    <w:rsid w:val="00A24828"/>
    <w:rsid w:val="00A31525"/>
    <w:rsid w:val="00A316CD"/>
    <w:rsid w:val="00A33082"/>
    <w:rsid w:val="00A43BD3"/>
    <w:rsid w:val="00A4743C"/>
    <w:rsid w:val="00A55582"/>
    <w:rsid w:val="00A56103"/>
    <w:rsid w:val="00A631DA"/>
    <w:rsid w:val="00A64321"/>
    <w:rsid w:val="00A65216"/>
    <w:rsid w:val="00A73298"/>
    <w:rsid w:val="00A74AFD"/>
    <w:rsid w:val="00A8317F"/>
    <w:rsid w:val="00A95407"/>
    <w:rsid w:val="00A95ACB"/>
    <w:rsid w:val="00A95DD6"/>
    <w:rsid w:val="00A96F4A"/>
    <w:rsid w:val="00A97942"/>
    <w:rsid w:val="00AA079B"/>
    <w:rsid w:val="00AA086A"/>
    <w:rsid w:val="00AB1C16"/>
    <w:rsid w:val="00AB1C95"/>
    <w:rsid w:val="00AB2EA8"/>
    <w:rsid w:val="00AB3C46"/>
    <w:rsid w:val="00AB40EE"/>
    <w:rsid w:val="00AC57C0"/>
    <w:rsid w:val="00AD04E8"/>
    <w:rsid w:val="00AD7257"/>
    <w:rsid w:val="00AE372A"/>
    <w:rsid w:val="00AE4EF6"/>
    <w:rsid w:val="00AF2D0C"/>
    <w:rsid w:val="00AF4929"/>
    <w:rsid w:val="00B01C48"/>
    <w:rsid w:val="00B10B3B"/>
    <w:rsid w:val="00B11A65"/>
    <w:rsid w:val="00B15072"/>
    <w:rsid w:val="00B2563E"/>
    <w:rsid w:val="00B26F59"/>
    <w:rsid w:val="00B3042F"/>
    <w:rsid w:val="00B30D3B"/>
    <w:rsid w:val="00B3169C"/>
    <w:rsid w:val="00B36856"/>
    <w:rsid w:val="00B432D4"/>
    <w:rsid w:val="00B453ED"/>
    <w:rsid w:val="00B460E4"/>
    <w:rsid w:val="00B55869"/>
    <w:rsid w:val="00B576D7"/>
    <w:rsid w:val="00B64701"/>
    <w:rsid w:val="00B73445"/>
    <w:rsid w:val="00B80892"/>
    <w:rsid w:val="00B82735"/>
    <w:rsid w:val="00B92861"/>
    <w:rsid w:val="00B936CF"/>
    <w:rsid w:val="00B96512"/>
    <w:rsid w:val="00BA2E30"/>
    <w:rsid w:val="00BA524C"/>
    <w:rsid w:val="00BA655F"/>
    <w:rsid w:val="00BA6A70"/>
    <w:rsid w:val="00BA7A69"/>
    <w:rsid w:val="00BB3458"/>
    <w:rsid w:val="00BC3CA5"/>
    <w:rsid w:val="00BD28DF"/>
    <w:rsid w:val="00BD3901"/>
    <w:rsid w:val="00BD4E12"/>
    <w:rsid w:val="00BD6695"/>
    <w:rsid w:val="00BD7669"/>
    <w:rsid w:val="00BE0630"/>
    <w:rsid w:val="00BE2864"/>
    <w:rsid w:val="00BE7FD9"/>
    <w:rsid w:val="00BF18B1"/>
    <w:rsid w:val="00BF3831"/>
    <w:rsid w:val="00BF519C"/>
    <w:rsid w:val="00C0561A"/>
    <w:rsid w:val="00C076BF"/>
    <w:rsid w:val="00C10C10"/>
    <w:rsid w:val="00C127B9"/>
    <w:rsid w:val="00C27F02"/>
    <w:rsid w:val="00C33A7C"/>
    <w:rsid w:val="00C4051C"/>
    <w:rsid w:val="00C441FC"/>
    <w:rsid w:val="00C44519"/>
    <w:rsid w:val="00C504F4"/>
    <w:rsid w:val="00C53BE4"/>
    <w:rsid w:val="00C56A55"/>
    <w:rsid w:val="00C57E85"/>
    <w:rsid w:val="00C57ED3"/>
    <w:rsid w:val="00C63C15"/>
    <w:rsid w:val="00C65BB4"/>
    <w:rsid w:val="00C70AB7"/>
    <w:rsid w:val="00C73D8B"/>
    <w:rsid w:val="00C77392"/>
    <w:rsid w:val="00C77ABB"/>
    <w:rsid w:val="00C8071C"/>
    <w:rsid w:val="00C816CB"/>
    <w:rsid w:val="00C82461"/>
    <w:rsid w:val="00C95DE5"/>
    <w:rsid w:val="00CA07CC"/>
    <w:rsid w:val="00CA4FCE"/>
    <w:rsid w:val="00CA5F8F"/>
    <w:rsid w:val="00CC5A6F"/>
    <w:rsid w:val="00CC62C3"/>
    <w:rsid w:val="00CC6FBF"/>
    <w:rsid w:val="00CD49C4"/>
    <w:rsid w:val="00CD77B0"/>
    <w:rsid w:val="00CE0184"/>
    <w:rsid w:val="00CE0334"/>
    <w:rsid w:val="00CE271A"/>
    <w:rsid w:val="00CE6FF5"/>
    <w:rsid w:val="00CF2EC7"/>
    <w:rsid w:val="00CF5245"/>
    <w:rsid w:val="00CF52CF"/>
    <w:rsid w:val="00CF624D"/>
    <w:rsid w:val="00CF7C70"/>
    <w:rsid w:val="00D0121B"/>
    <w:rsid w:val="00D04BA8"/>
    <w:rsid w:val="00D05534"/>
    <w:rsid w:val="00D0629A"/>
    <w:rsid w:val="00D06479"/>
    <w:rsid w:val="00D06CA9"/>
    <w:rsid w:val="00D076EE"/>
    <w:rsid w:val="00D07B1A"/>
    <w:rsid w:val="00D24CD0"/>
    <w:rsid w:val="00D263A3"/>
    <w:rsid w:val="00D26DDF"/>
    <w:rsid w:val="00D30E46"/>
    <w:rsid w:val="00D34EED"/>
    <w:rsid w:val="00D408D3"/>
    <w:rsid w:val="00D418B0"/>
    <w:rsid w:val="00D47D67"/>
    <w:rsid w:val="00D50AC8"/>
    <w:rsid w:val="00D511B6"/>
    <w:rsid w:val="00D53738"/>
    <w:rsid w:val="00D53EEF"/>
    <w:rsid w:val="00D602C4"/>
    <w:rsid w:val="00D6053A"/>
    <w:rsid w:val="00D64B90"/>
    <w:rsid w:val="00D728D1"/>
    <w:rsid w:val="00D8702D"/>
    <w:rsid w:val="00D904D5"/>
    <w:rsid w:val="00DA0026"/>
    <w:rsid w:val="00DA1DE7"/>
    <w:rsid w:val="00DA444C"/>
    <w:rsid w:val="00DB63AD"/>
    <w:rsid w:val="00DC00F4"/>
    <w:rsid w:val="00DC1756"/>
    <w:rsid w:val="00DC288D"/>
    <w:rsid w:val="00DD119A"/>
    <w:rsid w:val="00DD4C89"/>
    <w:rsid w:val="00DD6CE9"/>
    <w:rsid w:val="00DE69F8"/>
    <w:rsid w:val="00DF1E2E"/>
    <w:rsid w:val="00DF2C67"/>
    <w:rsid w:val="00DF2CF8"/>
    <w:rsid w:val="00DF3AE2"/>
    <w:rsid w:val="00DF3B3B"/>
    <w:rsid w:val="00DF5DE5"/>
    <w:rsid w:val="00DF7D21"/>
    <w:rsid w:val="00E01000"/>
    <w:rsid w:val="00E059C5"/>
    <w:rsid w:val="00E05D8D"/>
    <w:rsid w:val="00E06B29"/>
    <w:rsid w:val="00E06C22"/>
    <w:rsid w:val="00E10DF8"/>
    <w:rsid w:val="00E112CF"/>
    <w:rsid w:val="00E20647"/>
    <w:rsid w:val="00E26BAC"/>
    <w:rsid w:val="00E30435"/>
    <w:rsid w:val="00E34980"/>
    <w:rsid w:val="00E35E23"/>
    <w:rsid w:val="00E41631"/>
    <w:rsid w:val="00E441F8"/>
    <w:rsid w:val="00E4781B"/>
    <w:rsid w:val="00E47F69"/>
    <w:rsid w:val="00E51F8B"/>
    <w:rsid w:val="00E551D3"/>
    <w:rsid w:val="00E5604B"/>
    <w:rsid w:val="00E60351"/>
    <w:rsid w:val="00E617F4"/>
    <w:rsid w:val="00E63968"/>
    <w:rsid w:val="00E703DF"/>
    <w:rsid w:val="00E71AE7"/>
    <w:rsid w:val="00E752E6"/>
    <w:rsid w:val="00E76E92"/>
    <w:rsid w:val="00E81C86"/>
    <w:rsid w:val="00E83F73"/>
    <w:rsid w:val="00E8769E"/>
    <w:rsid w:val="00E92839"/>
    <w:rsid w:val="00E97060"/>
    <w:rsid w:val="00E97A3B"/>
    <w:rsid w:val="00EA0332"/>
    <w:rsid w:val="00EA0A0A"/>
    <w:rsid w:val="00EA5A10"/>
    <w:rsid w:val="00EA6088"/>
    <w:rsid w:val="00EB5A67"/>
    <w:rsid w:val="00EC1A2C"/>
    <w:rsid w:val="00EC7811"/>
    <w:rsid w:val="00ED489D"/>
    <w:rsid w:val="00ED4B56"/>
    <w:rsid w:val="00EE014F"/>
    <w:rsid w:val="00EE278E"/>
    <w:rsid w:val="00EF52FA"/>
    <w:rsid w:val="00F033B9"/>
    <w:rsid w:val="00F06C27"/>
    <w:rsid w:val="00F10E1F"/>
    <w:rsid w:val="00F13670"/>
    <w:rsid w:val="00F212EB"/>
    <w:rsid w:val="00F26511"/>
    <w:rsid w:val="00F268C0"/>
    <w:rsid w:val="00F41285"/>
    <w:rsid w:val="00F45843"/>
    <w:rsid w:val="00F465D3"/>
    <w:rsid w:val="00F52309"/>
    <w:rsid w:val="00F569C9"/>
    <w:rsid w:val="00F56F06"/>
    <w:rsid w:val="00F73815"/>
    <w:rsid w:val="00F746DA"/>
    <w:rsid w:val="00F7770D"/>
    <w:rsid w:val="00F82777"/>
    <w:rsid w:val="00F85984"/>
    <w:rsid w:val="00F868C9"/>
    <w:rsid w:val="00F902FE"/>
    <w:rsid w:val="00F93115"/>
    <w:rsid w:val="00F969E1"/>
    <w:rsid w:val="00F97DAD"/>
    <w:rsid w:val="00FA4C57"/>
    <w:rsid w:val="00FA5792"/>
    <w:rsid w:val="00FA5B5D"/>
    <w:rsid w:val="00FA63DC"/>
    <w:rsid w:val="00FA77D6"/>
    <w:rsid w:val="00FB200D"/>
    <w:rsid w:val="00FB5411"/>
    <w:rsid w:val="00FC188B"/>
    <w:rsid w:val="00FD67FC"/>
    <w:rsid w:val="00FE538A"/>
    <w:rsid w:val="00FE7EE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7b6c58,#887e6e,#b0a696"/>
    </o:shapedefaults>
    <o:shapelayout v:ext="edit">
      <o:idmap v:ext="edit" data="1"/>
    </o:shapelayout>
  </w:shapeDefaults>
  <w:decimalSymbol w:val="."/>
  <w:listSeparator w:val=","/>
  <w14:docId w14:val="5CF186A2"/>
  <w15:docId w15:val="{957FEC9F-E289-4E39-BF33-EB4530FE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semiHidden/>
    <w:qFormat/>
    <w:rsid w:val="00571A40"/>
    <w:rPr>
      <w:rFonts w:eastAsia="Calibri"/>
      <w:szCs w:val="22"/>
      <w:lang w:val="en-GB"/>
    </w:rPr>
  </w:style>
  <w:style w:type="paragraph" w:styleId="Heading1">
    <w:name w:val="heading 1"/>
    <w:aliases w:val="ECC Heading 1"/>
    <w:next w:val="Normal"/>
    <w:qFormat/>
    <w:rsid w:val="009F0B56"/>
    <w:pPr>
      <w:keepNext/>
      <w:numPr>
        <w:numId w:val="36"/>
      </w:numPr>
      <w:spacing w:before="600"/>
      <w:jc w:val="left"/>
      <w:outlineLvl w:val="0"/>
    </w:pPr>
    <w:rPr>
      <w:rFonts w:eastAsia="Calibri" w:cs="Arial"/>
      <w:b/>
      <w:bCs/>
      <w:caps/>
      <w:color w:val="D2232A"/>
      <w:kern w:val="32"/>
      <w:szCs w:val="32"/>
    </w:rPr>
  </w:style>
  <w:style w:type="paragraph" w:styleId="Heading2">
    <w:name w:val="heading 2"/>
    <w:aliases w:val="ECC Heading 2"/>
    <w:next w:val="Normal"/>
    <w:qFormat/>
    <w:rsid w:val="009F0B56"/>
    <w:pPr>
      <w:keepNext/>
      <w:numPr>
        <w:ilvl w:val="1"/>
        <w:numId w:val="36"/>
      </w:numPr>
      <w:spacing w:before="480"/>
      <w:jc w:val="left"/>
      <w:outlineLvl w:val="1"/>
    </w:pPr>
    <w:rPr>
      <w:rFonts w:eastAsia="Calibri" w:cs="Arial"/>
      <w:b/>
      <w:bCs/>
      <w:iCs/>
      <w:caps/>
      <w:szCs w:val="28"/>
    </w:rPr>
  </w:style>
  <w:style w:type="paragraph" w:styleId="Heading3">
    <w:name w:val="heading 3"/>
    <w:aliases w:val="ECC Heading 3"/>
    <w:next w:val="Normal"/>
    <w:qFormat/>
    <w:rsid w:val="009F0B56"/>
    <w:pPr>
      <w:keepNext/>
      <w:numPr>
        <w:ilvl w:val="2"/>
        <w:numId w:val="36"/>
      </w:numPr>
      <w:spacing w:before="360"/>
      <w:jc w:val="left"/>
      <w:outlineLvl w:val="2"/>
    </w:pPr>
    <w:rPr>
      <w:rFonts w:eastAsia="Calibri" w:cs="Arial"/>
      <w:b/>
      <w:bCs/>
      <w:szCs w:val="26"/>
    </w:rPr>
  </w:style>
  <w:style w:type="paragraph" w:styleId="Heading4">
    <w:name w:val="heading 4"/>
    <w:aliases w:val="ECC Heading 4"/>
    <w:next w:val="Normal"/>
    <w:qFormat/>
    <w:rsid w:val="009F0B56"/>
    <w:pPr>
      <w:numPr>
        <w:ilvl w:val="3"/>
        <w:numId w:val="36"/>
      </w:numPr>
      <w:spacing w:before="360"/>
      <w:jc w:val="left"/>
      <w:outlineLvl w:val="3"/>
    </w:pPr>
    <w:rPr>
      <w:rFonts w:eastAsia="Calibri" w:cs="Arial"/>
      <w:bCs/>
      <w:i/>
      <w:color w:val="D2232A"/>
      <w:szCs w:val="26"/>
    </w:rPr>
  </w:style>
  <w:style w:type="paragraph" w:styleId="Heading5">
    <w:name w:val="heading 5"/>
    <w:basedOn w:val="Normal"/>
    <w:next w:val="Normal"/>
    <w:semiHidden/>
    <w:qFormat/>
    <w:locked/>
    <w:rsid w:val="009E47EB"/>
    <w:pPr>
      <w:numPr>
        <w:ilvl w:val="4"/>
        <w:numId w:val="36"/>
      </w:numPr>
      <w:outlineLvl w:val="4"/>
    </w:pPr>
    <w:rPr>
      <w:b/>
      <w:bCs/>
      <w:i/>
      <w:iCs/>
      <w:sz w:val="26"/>
      <w:szCs w:val="26"/>
    </w:rPr>
  </w:style>
  <w:style w:type="paragraph" w:styleId="Heading6">
    <w:name w:val="heading 6"/>
    <w:basedOn w:val="Normal"/>
    <w:next w:val="Normal"/>
    <w:semiHidden/>
    <w:qFormat/>
    <w:locked/>
    <w:rsid w:val="009E47EB"/>
    <w:pPr>
      <w:numPr>
        <w:ilvl w:val="5"/>
        <w:numId w:val="36"/>
      </w:numPr>
      <w:outlineLvl w:val="5"/>
    </w:pPr>
    <w:rPr>
      <w:b/>
      <w:bCs/>
      <w:sz w:val="22"/>
    </w:rPr>
  </w:style>
  <w:style w:type="paragraph" w:styleId="Heading7">
    <w:name w:val="heading 7"/>
    <w:basedOn w:val="Normal"/>
    <w:next w:val="Normal"/>
    <w:semiHidden/>
    <w:qFormat/>
    <w:locked/>
    <w:rsid w:val="009E47EB"/>
    <w:pPr>
      <w:numPr>
        <w:ilvl w:val="6"/>
        <w:numId w:val="36"/>
      </w:numPr>
      <w:outlineLvl w:val="6"/>
    </w:pPr>
    <w:rPr>
      <w:sz w:val="24"/>
    </w:rPr>
  </w:style>
  <w:style w:type="paragraph" w:styleId="Heading8">
    <w:name w:val="heading 8"/>
    <w:basedOn w:val="Normal"/>
    <w:next w:val="Normal"/>
    <w:semiHidden/>
    <w:qFormat/>
    <w:locked/>
    <w:rsid w:val="009E47EB"/>
    <w:pPr>
      <w:numPr>
        <w:ilvl w:val="7"/>
        <w:numId w:val="36"/>
      </w:numPr>
      <w:outlineLvl w:val="7"/>
    </w:pPr>
    <w:rPr>
      <w:i/>
      <w:iCs/>
      <w:sz w:val="24"/>
    </w:rPr>
  </w:style>
  <w:style w:type="paragraph" w:styleId="Heading9">
    <w:name w:val="heading 9"/>
    <w:basedOn w:val="Normal"/>
    <w:next w:val="Normal"/>
    <w:semiHidden/>
    <w:qFormat/>
    <w:locked/>
    <w:rsid w:val="009E47EB"/>
    <w:pPr>
      <w:numPr>
        <w:ilvl w:val="8"/>
        <w:numId w:val="3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9F0B56"/>
    <w:pPr>
      <w:numPr>
        <w:numId w:val="28"/>
      </w:numPr>
      <w:tabs>
        <w:tab w:val="left" w:pos="340"/>
      </w:tabs>
      <w:spacing w:before="60" w:after="0"/>
    </w:pPr>
  </w:style>
  <w:style w:type="paragraph" w:customStyle="1" w:styleId="ECCHeadingnonumbering">
    <w:name w:val="ECC Heading no numbering"/>
    <w:basedOn w:val="Heading1"/>
    <w:rsid w:val="009F0B56"/>
    <w:pPr>
      <w:numPr>
        <w:numId w:val="0"/>
      </w:numPr>
      <w:tabs>
        <w:tab w:val="left" w:pos="0"/>
        <w:tab w:val="center" w:pos="4820"/>
        <w:tab w:val="right" w:pos="9639"/>
      </w:tabs>
    </w:pPr>
  </w:style>
  <w:style w:type="paragraph" w:styleId="BalloonText">
    <w:name w:val="Balloon Text"/>
    <w:basedOn w:val="Normal"/>
    <w:link w:val="BalloonTextChar"/>
    <w:uiPriority w:val="99"/>
    <w:semiHidden/>
    <w:unhideWhenUsed/>
    <w:locked/>
    <w:rsid w:val="003A68D5"/>
    <w:pPr>
      <w:spacing w:before="0" w:after="0"/>
    </w:pPr>
    <w:rPr>
      <w:rFonts w:ascii="Tahoma" w:hAnsi="Tahoma" w:cs="Tahoma"/>
      <w:sz w:val="16"/>
      <w:szCs w:val="16"/>
    </w:rPr>
  </w:style>
  <w:style w:type="paragraph" w:customStyle="1" w:styleId="ECCAnnexheading1">
    <w:name w:val="ECC Annex heading1"/>
    <w:next w:val="Normal"/>
    <w:rsid w:val="009F0B56"/>
    <w:pPr>
      <w:keepNext/>
      <w:pageBreakBefore/>
      <w:numPr>
        <w:numId w:val="25"/>
      </w:numPr>
      <w:jc w:val="left"/>
    </w:pPr>
    <w:rPr>
      <w:rFonts w:eastAsia="Calibri"/>
      <w:b/>
      <w:caps/>
      <w:color w:val="D2232A"/>
    </w:rPr>
  </w:style>
  <w:style w:type="paragraph" w:styleId="TOC1">
    <w:name w:val="toc 1"/>
    <w:aliases w:val="ECC Index 1"/>
    <w:basedOn w:val="Normal"/>
    <w:link w:val="TOC1Char"/>
    <w:uiPriority w:val="39"/>
    <w:semiHidden/>
    <w:qFormat/>
    <w:locked/>
    <w:rsid w:val="009F0B56"/>
    <w:pPr>
      <w:tabs>
        <w:tab w:val="left" w:pos="425"/>
        <w:tab w:val="right" w:leader="dot" w:pos="9639"/>
      </w:tabs>
      <w:spacing w:after="0"/>
      <w:ind w:left="425" w:hanging="425"/>
    </w:pPr>
    <w:rPr>
      <w:b/>
      <w:noProof/>
      <w:szCs w:val="20"/>
      <w:lang w:val="da-DK"/>
    </w:rPr>
  </w:style>
  <w:style w:type="paragraph" w:styleId="FootnoteText">
    <w:name w:val="footnote text"/>
    <w:aliases w:val="ECC Footnote"/>
    <w:basedOn w:val="Normal"/>
    <w:link w:val="FootnoteTextChar"/>
    <w:rsid w:val="009F0B56"/>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semiHidden/>
    <w:qFormat/>
    <w:locked/>
    <w:rsid w:val="009F0B56"/>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locked/>
    <w:rsid w:val="009F0B56"/>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locked/>
    <w:rsid w:val="009F0B56"/>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9F0B56"/>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9F0B56"/>
    <w:rPr>
      <w:rFonts w:eastAsia="Calibri"/>
      <w:sz w:val="16"/>
      <w:szCs w:val="16"/>
      <w14:cntxtAlts/>
    </w:rPr>
  </w:style>
  <w:style w:type="character" w:styleId="FootnoteReference">
    <w:name w:val="footnote reference"/>
    <w:aliases w:val="ECC Footnote number"/>
    <w:basedOn w:val="DefaultParagraphFont"/>
    <w:rsid w:val="009F0B56"/>
    <w:rPr>
      <w:rFonts w:ascii="Arial" w:hAnsi="Arial"/>
      <w:sz w:val="20"/>
      <w:vertAlign w:val="superscript"/>
    </w:rPr>
  </w:style>
  <w:style w:type="paragraph" w:customStyle="1" w:styleId="ECCTablenote">
    <w:name w:val="ECC Table note"/>
    <w:qFormat/>
    <w:rsid w:val="009F0B56"/>
    <w:pPr>
      <w:spacing w:before="0" w:after="0"/>
      <w:ind w:left="284" w:hanging="284"/>
    </w:pPr>
    <w:rPr>
      <w:rFonts w:eastAsia="Calibri"/>
      <w:sz w:val="16"/>
      <w:szCs w:val="16"/>
      <w:lang w:val="en-GB"/>
    </w:rPr>
  </w:style>
  <w:style w:type="paragraph" w:customStyle="1" w:styleId="ECCBulletsLv2">
    <w:name w:val="ECC Bullets Lv2"/>
    <w:basedOn w:val="ECCBulletsLv1"/>
    <w:rsid w:val="009F0B56"/>
    <w:pPr>
      <w:ind w:left="680" w:hanging="340"/>
    </w:pPr>
  </w:style>
  <w:style w:type="paragraph" w:customStyle="1" w:styleId="ECCAnnexheading2">
    <w:name w:val="ECC Annex heading2"/>
    <w:next w:val="Normal"/>
    <w:rsid w:val="009F0B56"/>
    <w:pPr>
      <w:numPr>
        <w:ilvl w:val="1"/>
        <w:numId w:val="25"/>
      </w:numPr>
      <w:overflowPunct w:val="0"/>
      <w:autoSpaceDE w:val="0"/>
      <w:autoSpaceDN w:val="0"/>
      <w:adjustRightInd w:val="0"/>
      <w:spacing w:before="480" w:after="240"/>
      <w:jc w:val="left"/>
      <w:textAlignment w:val="baseline"/>
    </w:pPr>
    <w:rPr>
      <w:rFonts w:eastAsia="Calibri"/>
      <w:b/>
      <w:caps/>
    </w:rPr>
  </w:style>
  <w:style w:type="paragraph" w:customStyle="1" w:styleId="ECCAnnexheading3">
    <w:name w:val="ECC Annex heading3"/>
    <w:next w:val="Normal"/>
    <w:rsid w:val="009F0B56"/>
    <w:pPr>
      <w:numPr>
        <w:ilvl w:val="2"/>
        <w:numId w:val="25"/>
      </w:numPr>
      <w:overflowPunct w:val="0"/>
      <w:autoSpaceDE w:val="0"/>
      <w:autoSpaceDN w:val="0"/>
      <w:adjustRightInd w:val="0"/>
      <w:spacing w:before="360"/>
      <w:jc w:val="left"/>
      <w:textAlignment w:val="baseline"/>
    </w:pPr>
    <w:rPr>
      <w:rFonts w:eastAsia="Calibri"/>
      <w:b/>
    </w:rPr>
  </w:style>
  <w:style w:type="paragraph" w:customStyle="1" w:styleId="ECCAnnexheading4">
    <w:name w:val="ECC Annex heading4"/>
    <w:next w:val="Normal"/>
    <w:rsid w:val="009F0B56"/>
    <w:pPr>
      <w:numPr>
        <w:ilvl w:val="3"/>
        <w:numId w:val="25"/>
      </w:numPr>
      <w:overflowPunct w:val="0"/>
      <w:autoSpaceDE w:val="0"/>
      <w:autoSpaceDN w:val="0"/>
      <w:adjustRightInd w:val="0"/>
      <w:spacing w:before="360"/>
      <w:jc w:val="left"/>
      <w:textAlignment w:val="baseline"/>
    </w:pPr>
    <w:rPr>
      <w:rFonts w:eastAsia="Calibri"/>
      <w:i/>
      <w:color w:val="D2232A"/>
    </w:rPr>
  </w:style>
  <w:style w:type="paragraph" w:customStyle="1" w:styleId="ECCBulletsLv3">
    <w:name w:val="ECC Bullets Lv3"/>
    <w:basedOn w:val="ECCBulletsLv1"/>
    <w:rsid w:val="009F0B56"/>
    <w:pPr>
      <w:tabs>
        <w:tab w:val="clear" w:pos="340"/>
        <w:tab w:val="left" w:pos="680"/>
      </w:tabs>
      <w:ind w:left="1020" w:hanging="340"/>
    </w:pPr>
  </w:style>
  <w:style w:type="table" w:customStyle="1" w:styleId="ECCTable-clean">
    <w:name w:val="ECC Table - clean"/>
    <w:uiPriority w:val="99"/>
    <w:rsid w:val="009F0B56"/>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paragraph" w:customStyle="1" w:styleId="ECCLetteredList">
    <w:name w:val="ECC Lettered List"/>
    <w:rsid w:val="009F0B56"/>
    <w:pPr>
      <w:numPr>
        <w:ilvl w:val="1"/>
        <w:numId w:val="31"/>
      </w:numPr>
      <w:spacing w:after="0"/>
      <w:jc w:val="left"/>
    </w:pPr>
    <w:rPr>
      <w:rFonts w:eastAsia="Calibri"/>
    </w:rPr>
  </w:style>
  <w:style w:type="paragraph" w:customStyle="1" w:styleId="ECCNumberedList">
    <w:name w:val="ECC Numbered List"/>
    <w:basedOn w:val="Normal"/>
    <w:rsid w:val="009F0B56"/>
    <w:pPr>
      <w:numPr>
        <w:numId w:val="32"/>
      </w:numPr>
      <w:spacing w:after="0"/>
    </w:pPr>
    <w:rPr>
      <w:szCs w:val="20"/>
    </w:rPr>
  </w:style>
  <w:style w:type="paragraph" w:customStyle="1" w:styleId="ECCReference">
    <w:name w:val="ECC Reference"/>
    <w:basedOn w:val="Normal"/>
    <w:rsid w:val="009F0B56"/>
    <w:pPr>
      <w:numPr>
        <w:numId w:val="33"/>
      </w:numPr>
      <w:spacing w:before="0" w:after="0"/>
    </w:pPr>
    <w:rPr>
      <w:lang w:eastAsia="ja-JP"/>
    </w:rPr>
  </w:style>
  <w:style w:type="character" w:customStyle="1" w:styleId="BalloonTextChar">
    <w:name w:val="Balloon Text Char"/>
    <w:basedOn w:val="DefaultParagraphFont"/>
    <w:link w:val="BalloonText"/>
    <w:uiPriority w:val="99"/>
    <w:semiHidden/>
    <w:rsid w:val="003A68D5"/>
    <w:rPr>
      <w:rFonts w:ascii="Tahoma" w:eastAsia="Calibri" w:hAnsi="Tahoma" w:cs="Tahoma"/>
      <w:sz w:val="16"/>
      <w:szCs w:val="16"/>
      <w:shd w:val="clear" w:color="FFFFFF" w:themeColor="background1" w:fill="auto"/>
      <w:lang w:val="en-GB"/>
    </w:rPr>
  </w:style>
  <w:style w:type="table" w:customStyle="1" w:styleId="ECCTable-redheader">
    <w:name w:val="ECC Table - red header"/>
    <w:basedOn w:val="ECCTable-clean"/>
    <w:uiPriority w:val="99"/>
    <w:rsid w:val="009F0B56"/>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paragraph" w:customStyle="1" w:styleId="ECCEditorsNote">
    <w:name w:val="ECC Editor's Note"/>
    <w:next w:val="Normal"/>
    <w:qFormat/>
    <w:rsid w:val="009F0B56"/>
    <w:pPr>
      <w:numPr>
        <w:numId w:val="29"/>
      </w:numPr>
      <w:shd w:val="solid" w:color="FFFF00" w:fill="auto"/>
      <w:spacing w:before="120"/>
    </w:pPr>
    <w:rPr>
      <w:rFonts w:eastAsia="Calibri"/>
      <w:szCs w:val="22"/>
      <w:lang w:eastAsia="de-DE"/>
    </w:rPr>
  </w:style>
  <w:style w:type="paragraph" w:customStyle="1" w:styleId="ECCFigure">
    <w:name w:val="ECC Figure"/>
    <w:next w:val="Normal"/>
    <w:rsid w:val="00E4781B"/>
    <w:pPr>
      <w:spacing w:after="240"/>
      <w:jc w:val="center"/>
    </w:pPr>
    <w:rPr>
      <w14:cntxtAlts/>
    </w:rPr>
  </w:style>
  <w:style w:type="table" w:customStyle="1" w:styleId="ECCTable-whiteheader">
    <w:name w:val="ECC Table - white header"/>
    <w:basedOn w:val="ECCTable-clean"/>
    <w:uiPriority w:val="99"/>
    <w:rsid w:val="009F0B56"/>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val="0"/>
        <w:color w:val="D22A23"/>
        <w:sz w:val="20"/>
      </w:rPr>
      <w:tblPr/>
      <w:trPr>
        <w:tblHeader/>
      </w:trPr>
      <w:tcPr>
        <w:shd w:val="clear" w:color="auto" w:fill="FFFFFF" w:themeFill="background1"/>
      </w:tcPr>
    </w:tblStylePr>
    <w:tblStylePr w:type="lastRow">
      <w:rPr>
        <w:b w:val="0"/>
      </w:rPr>
    </w:tblStylePr>
  </w:style>
  <w:style w:type="paragraph" w:customStyle="1" w:styleId="ECCLetterHead">
    <w:name w:val="ECC Letter Head"/>
    <w:basedOn w:val="Normal"/>
    <w:link w:val="ECCLetterHeadZchn"/>
    <w:qFormat/>
    <w:rsid w:val="009F0B56"/>
    <w:pPr>
      <w:tabs>
        <w:tab w:val="right" w:pos="4750"/>
      </w:tabs>
      <w:spacing w:before="60"/>
    </w:pPr>
    <w:rPr>
      <w:b/>
      <w:sz w:val="22"/>
      <w:szCs w:val="20"/>
    </w:rPr>
  </w:style>
  <w:style w:type="character" w:customStyle="1" w:styleId="ECCHLyellow">
    <w:name w:val="ECC HL yellow"/>
    <w:basedOn w:val="DefaultParagraphFont"/>
    <w:uiPriority w:val="1"/>
    <w:qFormat/>
    <w:rsid w:val="009F0B56"/>
    <w:rPr>
      <w:rFonts w:eastAsia="Calibri"/>
      <w:i w:val="0"/>
      <w:szCs w:val="22"/>
      <w:bdr w:val="none" w:sz="0" w:space="0" w:color="auto"/>
      <w:shd w:val="solid" w:color="FFFF00" w:fill="auto"/>
      <w:lang w:val="en-GB"/>
    </w:rPr>
  </w:style>
  <w:style w:type="character" w:customStyle="1" w:styleId="ECCHLbold">
    <w:name w:val="ECC HL bold"/>
    <w:basedOn w:val="DefaultParagraphFont"/>
    <w:uiPriority w:val="1"/>
    <w:qFormat/>
    <w:rsid w:val="009F0B56"/>
    <w:rPr>
      <w:b/>
      <w:bCs/>
    </w:rPr>
  </w:style>
  <w:style w:type="paragraph" w:customStyle="1" w:styleId="ECCTabletext">
    <w:name w:val="ECC Table text"/>
    <w:basedOn w:val="Normal"/>
    <w:qFormat/>
    <w:rsid w:val="009F0B56"/>
    <w:pPr>
      <w:spacing w:before="0"/>
    </w:pPr>
  </w:style>
  <w:style w:type="paragraph" w:styleId="Signature">
    <w:name w:val="Signature"/>
    <w:basedOn w:val="Normal"/>
    <w:link w:val="SignatureChar"/>
    <w:uiPriority w:val="99"/>
    <w:semiHidden/>
    <w:unhideWhenUsed/>
    <w:locked/>
    <w:rsid w:val="007D52EC"/>
    <w:pPr>
      <w:spacing w:before="0" w:after="0"/>
      <w:ind w:left="4252"/>
    </w:pPr>
  </w:style>
  <w:style w:type="character" w:customStyle="1" w:styleId="SignatureChar">
    <w:name w:val="Signature Char"/>
    <w:basedOn w:val="DefaultParagraphFont"/>
    <w:link w:val="Signature"/>
    <w:uiPriority w:val="99"/>
    <w:semiHidden/>
    <w:rsid w:val="007D52EC"/>
  </w:style>
  <w:style w:type="character" w:styleId="Emphasis">
    <w:name w:val="Emphasis"/>
    <w:aliases w:val="ECC HL italics"/>
    <w:uiPriority w:val="1"/>
    <w:qFormat/>
    <w:rsid w:val="009F0B56"/>
    <w:rPr>
      <w:i/>
    </w:rPr>
  </w:style>
  <w:style w:type="character" w:customStyle="1" w:styleId="ECCHLunderlined">
    <w:name w:val="ECC HL underlined"/>
    <w:uiPriority w:val="1"/>
    <w:qFormat/>
    <w:rsid w:val="009F0B56"/>
    <w:rPr>
      <w:u w:val="single"/>
    </w:rPr>
  </w:style>
  <w:style w:type="character" w:customStyle="1" w:styleId="TOC1Char">
    <w:name w:val="TOC 1 Char"/>
    <w:aliases w:val="ECC Index 1 Char"/>
    <w:basedOn w:val="DefaultParagraphFont"/>
    <w:link w:val="TOC1"/>
    <w:uiPriority w:val="39"/>
    <w:semiHidden/>
    <w:rsid w:val="000E4820"/>
    <w:rPr>
      <w:rFonts w:eastAsia="Calibri"/>
      <w:b/>
      <w:noProof/>
    </w:rPr>
  </w:style>
  <w:style w:type="character" w:customStyle="1" w:styleId="ECCHLcyan">
    <w:name w:val="ECC HL cyan"/>
    <w:basedOn w:val="DefaultParagraphFont"/>
    <w:uiPriority w:val="1"/>
    <w:qFormat/>
    <w:rsid w:val="009F0B56"/>
    <w:rPr>
      <w:iCs w:val="0"/>
      <w:bdr w:val="none" w:sz="0" w:space="0" w:color="auto"/>
      <w:shd w:val="solid" w:color="00FFFF" w:fill="auto"/>
      <w:lang w:val="en-GB"/>
    </w:rPr>
  </w:style>
  <w:style w:type="character" w:customStyle="1" w:styleId="ECCHLorange">
    <w:name w:val="ECC HL orange"/>
    <w:basedOn w:val="DefaultParagraphFont"/>
    <w:uiPriority w:val="1"/>
    <w:qFormat/>
    <w:rsid w:val="009F0B56"/>
    <w:rPr>
      <w:bdr w:val="none" w:sz="0" w:space="0" w:color="auto"/>
      <w:shd w:val="solid" w:color="FFC000" w:fill="auto"/>
    </w:rPr>
  </w:style>
  <w:style w:type="character" w:customStyle="1" w:styleId="ECCHLblue">
    <w:name w:val="ECC HL blue"/>
    <w:basedOn w:val="DefaultParagraphFont"/>
    <w:uiPriority w:val="1"/>
    <w:qFormat/>
    <w:rsid w:val="009F0B56"/>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9F0B56"/>
    <w:rPr>
      <w:iCs w:val="0"/>
      <w:color w:val="FFFFFF" w:themeColor="background1"/>
      <w:bdr w:val="none" w:sz="0" w:space="0" w:color="auto"/>
      <w:shd w:val="solid" w:color="008080" w:fill="auto"/>
    </w:rPr>
  </w:style>
  <w:style w:type="character" w:customStyle="1" w:styleId="ECCParagraph">
    <w:name w:val="ECC Paragraph"/>
    <w:basedOn w:val="DefaultParagraphFont"/>
    <w:uiPriority w:val="1"/>
    <w:qFormat/>
    <w:rsid w:val="009F0B56"/>
    <w:rPr>
      <w:rFonts w:ascii="Arial" w:hAnsi="Arial"/>
      <w:noProof w:val="0"/>
      <w:sz w:val="20"/>
      <w:bdr w:val="none" w:sz="0" w:space="0" w:color="auto"/>
      <w:lang w:val="en-GB"/>
    </w:rPr>
  </w:style>
  <w:style w:type="character" w:customStyle="1" w:styleId="ECCLetterHeadZchn">
    <w:name w:val="ECC Letter Head Zchn"/>
    <w:basedOn w:val="DefaultParagraphFont"/>
    <w:link w:val="ECCLetterHead"/>
    <w:rsid w:val="009F0B56"/>
    <w:rPr>
      <w:rFonts w:eastAsia="Calibri"/>
      <w:b/>
      <w:sz w:val="22"/>
      <w:lang w:val="en-GB"/>
    </w:rPr>
  </w:style>
  <w:style w:type="character" w:customStyle="1" w:styleId="ECCHLmagenta">
    <w:name w:val="ECC HL magenta"/>
    <w:basedOn w:val="DefaultParagraphFont"/>
    <w:uiPriority w:val="1"/>
    <w:qFormat/>
    <w:rsid w:val="009F0B56"/>
    <w:rPr>
      <w:color w:val="auto"/>
      <w:bdr w:val="none" w:sz="0" w:space="0" w:color="auto"/>
      <w:shd w:val="solid" w:color="FF3399" w:fill="auto"/>
      <w:lang w:val="en-GB"/>
    </w:rPr>
  </w:style>
  <w:style w:type="character" w:customStyle="1" w:styleId="ECCHLbrown">
    <w:name w:val="ECC HL brown"/>
    <w:basedOn w:val="DefaultParagraphFont"/>
    <w:uiPriority w:val="1"/>
    <w:qFormat/>
    <w:rsid w:val="009F0B56"/>
    <w:rPr>
      <w:color w:val="D9D9D9" w:themeColor="background1" w:themeShade="D9"/>
      <w:bdr w:val="none" w:sz="0" w:space="0" w:color="auto"/>
      <w:shd w:val="solid" w:color="B95807" w:fill="auto"/>
    </w:rPr>
  </w:style>
  <w:style w:type="paragraph" w:customStyle="1" w:styleId="ECCBreak">
    <w:name w:val="ECC Break"/>
    <w:next w:val="Normal"/>
    <w:link w:val="ECCBreakZchn"/>
    <w:rsid w:val="009F0B56"/>
    <w:pPr>
      <w:spacing w:before="360"/>
      <w:jc w:val="left"/>
    </w:pPr>
    <w:rPr>
      <w:b/>
      <w:bCs/>
      <w:iCs/>
      <w:szCs w:val="28"/>
    </w:rPr>
  </w:style>
  <w:style w:type="character" w:customStyle="1" w:styleId="ECCBreakZchn">
    <w:name w:val="ECC Break Zchn"/>
    <w:basedOn w:val="DefaultParagraphFont"/>
    <w:link w:val="ECCBreak"/>
    <w:rsid w:val="009F0B56"/>
    <w:rPr>
      <w:b/>
      <w:bCs/>
      <w:iCs/>
      <w:szCs w:val="28"/>
    </w:rPr>
  </w:style>
  <w:style w:type="character" w:styleId="Hyperlink">
    <w:name w:val="Hyperlink"/>
    <w:aliases w:val="ECC Hyperlink"/>
    <w:basedOn w:val="DefaultParagraphFont"/>
    <w:uiPriority w:val="99"/>
    <w:rsid w:val="009F0B56"/>
    <w:rPr>
      <w:color w:val="0000FF" w:themeColor="hyperlink"/>
      <w:u w:val="single"/>
    </w:rPr>
  </w:style>
  <w:style w:type="paragraph" w:styleId="Caption">
    <w:name w:val="caption"/>
    <w:aliases w:val="ECC Caption"/>
    <w:next w:val="Normal"/>
    <w:qFormat/>
    <w:rsid w:val="009F0B56"/>
    <w:pPr>
      <w:keepLines/>
      <w:tabs>
        <w:tab w:val="left" w:pos="0"/>
        <w:tab w:val="center" w:pos="4820"/>
        <w:tab w:val="right" w:pos="9639"/>
      </w:tabs>
      <w:spacing w:after="240"/>
      <w:contextualSpacing/>
      <w:jc w:val="center"/>
    </w:pPr>
    <w:rPr>
      <w:rFonts w:eastAsia="Calibri"/>
      <w:b/>
      <w:bCs/>
      <w:color w:val="D2232A"/>
    </w:rPr>
  </w:style>
  <w:style w:type="paragraph" w:customStyle="1" w:styleId="ECCTableHeaderredfont">
    <w:name w:val="ECC Table Header red font"/>
    <w:qFormat/>
    <w:rsid w:val="009F0B56"/>
    <w:pPr>
      <w:spacing w:before="120" w:after="120"/>
      <w:jc w:val="left"/>
    </w:pPr>
    <w:rPr>
      <w:rFonts w:eastAsia="Calibri"/>
      <w:bCs/>
      <w:color w:val="D2232A"/>
      <w:lang w:val="en-GB" w:eastAsia="de-DE"/>
    </w:rPr>
  </w:style>
  <w:style w:type="paragraph" w:customStyle="1" w:styleId="ECCpageFooter">
    <w:name w:val="ECC page Footer"/>
    <w:rsid w:val="009F0B56"/>
    <w:pPr>
      <w:tabs>
        <w:tab w:val="left" w:pos="0"/>
        <w:tab w:val="center" w:pos="4820"/>
        <w:tab w:val="right" w:pos="9639"/>
      </w:tabs>
      <w:spacing w:before="0" w:after="0"/>
    </w:pPr>
    <w:rPr>
      <w:rFonts w:eastAsia="Calibri"/>
      <w:b/>
      <w:sz w:val="16"/>
      <w:szCs w:val="22"/>
      <w:lang w:val="de-DE" w:eastAsia="de-DE"/>
    </w:rPr>
  </w:style>
  <w:style w:type="paragraph" w:customStyle="1" w:styleId="ECCpageHeader">
    <w:name w:val="ECC page Header"/>
    <w:rsid w:val="009F0B56"/>
    <w:pPr>
      <w:tabs>
        <w:tab w:val="left" w:pos="0"/>
        <w:tab w:val="center" w:pos="4820"/>
        <w:tab w:val="right" w:pos="9639"/>
      </w:tabs>
      <w:spacing w:before="0" w:after="0"/>
      <w:jc w:val="left"/>
    </w:pPr>
    <w:rPr>
      <w:b/>
      <w:sz w:val="16"/>
    </w:rPr>
  </w:style>
  <w:style w:type="character" w:styleId="PlaceholderText">
    <w:name w:val="Placeholder Text"/>
    <w:basedOn w:val="DefaultParagraphFont"/>
    <w:uiPriority w:val="99"/>
    <w:semiHidden/>
    <w:locked/>
    <w:rsid w:val="00FE538A"/>
    <w:rPr>
      <w:color w:val="808080"/>
    </w:rPr>
  </w:style>
  <w:style w:type="character" w:customStyle="1" w:styleId="ECCHLgrey">
    <w:name w:val="ECC HL grey"/>
    <w:uiPriority w:val="1"/>
    <w:qFormat/>
    <w:rsid w:val="009F0B56"/>
    <w:rPr>
      <w:bdr w:val="none" w:sz="0" w:space="0" w:color="auto"/>
      <w:shd w:val="solid" w:color="BFBFBF" w:themeColor="background1" w:themeShade="BF" w:fill="auto"/>
    </w:rPr>
  </w:style>
  <w:style w:type="character" w:customStyle="1" w:styleId="ECCHLsubscript">
    <w:name w:val="ECC HL subscript"/>
    <w:uiPriority w:val="1"/>
    <w:rsid w:val="009F0B56"/>
    <w:rPr>
      <w:vertAlign w:val="subscript"/>
    </w:rPr>
  </w:style>
  <w:style w:type="character" w:customStyle="1" w:styleId="ECCHLsuperscript">
    <w:name w:val="ECC HL superscript"/>
    <w:uiPriority w:val="1"/>
    <w:rsid w:val="009F0B56"/>
    <w:rPr>
      <w:vertAlign w:val="superscript"/>
    </w:rPr>
  </w:style>
  <w:style w:type="paragraph" w:customStyle="1" w:styleId="ECCTableHeaderwhitefont">
    <w:name w:val="ECC Table Header white font"/>
    <w:qFormat/>
    <w:rsid w:val="009F0B56"/>
    <w:pPr>
      <w:jc w:val="center"/>
    </w:pPr>
    <w:rPr>
      <w:rFonts w:eastAsia="Calibri"/>
      <w:bCs/>
      <w:color w:val="FFFFFF" w:themeColor="background1"/>
      <w:lang w:val="en-GB" w:eastAsia="de-DE"/>
    </w:rPr>
  </w:style>
  <w:style w:type="table" w:styleId="TableGrid">
    <w:name w:val="Table Grid"/>
    <w:basedOn w:val="TableNormal"/>
    <w:locked/>
    <w:rsid w:val="006C5C1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ECCReport">
    <w:name w:val="cover page 'ECC Report'"/>
    <w:link w:val="coverpageECCReportZchn"/>
    <w:semiHidden/>
    <w:rsid w:val="009F0B56"/>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9F0B56"/>
    <w:rPr>
      <w:rFonts w:eastAsia="Calibri"/>
      <w:color w:val="FFFFFF" w:themeColor="background1"/>
      <w:sz w:val="68"/>
      <w:szCs w:val="68"/>
      <w:shd w:val="clear" w:color="FFFFFF" w:themeColor="background1" w:fill="auto"/>
      <w:lang w:val="en-GB"/>
    </w:rPr>
  </w:style>
  <w:style w:type="character" w:customStyle="1" w:styleId="ECCEquation">
    <w:name w:val="ECC Equation"/>
    <w:basedOn w:val="ECCParagraph"/>
    <w:rsid w:val="005B12CB"/>
    <w:rPr>
      <w:rFonts w:ascii="Arial" w:hAnsi="Arial"/>
      <w:noProof w:val="0"/>
      <w:sz w:val="20"/>
      <w:bdr w:val="none" w:sz="0" w:space="0" w:color="auto"/>
      <w:lang w:val="en-GB"/>
    </w:rPr>
  </w:style>
  <w:style w:type="paragraph" w:customStyle="1" w:styleId="ECCFiguregraphcentered">
    <w:name w:val="ECC Figure/graph centered"/>
    <w:next w:val="Normal"/>
    <w:rsid w:val="009F0B56"/>
    <w:pPr>
      <w:spacing w:after="240"/>
      <w:jc w:val="center"/>
    </w:pPr>
    <w:rPr>
      <w:rFonts w:eastAsia="Calibri"/>
      <w:noProof/>
      <w:lang w:val="de-DE" w:eastAsia="de-DE"/>
      <w14:cntxtAlts/>
    </w:rPr>
  </w:style>
  <w:style w:type="character" w:styleId="CommentReference">
    <w:name w:val="annotation reference"/>
    <w:basedOn w:val="DefaultParagraphFont"/>
    <w:uiPriority w:val="99"/>
    <w:semiHidden/>
    <w:unhideWhenUsed/>
    <w:locked/>
    <w:rsid w:val="003630AE"/>
    <w:rPr>
      <w:sz w:val="16"/>
      <w:szCs w:val="16"/>
    </w:rPr>
  </w:style>
  <w:style w:type="paragraph" w:styleId="CommentText">
    <w:name w:val="annotation text"/>
    <w:basedOn w:val="Normal"/>
    <w:link w:val="CommentTextChar"/>
    <w:uiPriority w:val="99"/>
    <w:semiHidden/>
    <w:unhideWhenUsed/>
    <w:locked/>
    <w:rsid w:val="003630AE"/>
    <w:rPr>
      <w:szCs w:val="20"/>
    </w:rPr>
  </w:style>
  <w:style w:type="character" w:customStyle="1" w:styleId="CommentTextChar">
    <w:name w:val="Comment Text Char"/>
    <w:basedOn w:val="DefaultParagraphFont"/>
    <w:link w:val="CommentText"/>
    <w:uiPriority w:val="99"/>
    <w:semiHidden/>
    <w:rsid w:val="003630AE"/>
    <w:rPr>
      <w:rFonts w:eastAsia="Calibri"/>
      <w:lang w:val="en-GB"/>
    </w:rPr>
  </w:style>
  <w:style w:type="paragraph" w:styleId="CommentSubject">
    <w:name w:val="annotation subject"/>
    <w:basedOn w:val="CommentText"/>
    <w:next w:val="CommentText"/>
    <w:link w:val="CommentSubjectChar"/>
    <w:uiPriority w:val="99"/>
    <w:semiHidden/>
    <w:unhideWhenUsed/>
    <w:locked/>
    <w:rsid w:val="003630AE"/>
    <w:rPr>
      <w:b/>
      <w:bCs/>
    </w:rPr>
  </w:style>
  <w:style w:type="character" w:customStyle="1" w:styleId="CommentSubjectChar">
    <w:name w:val="Comment Subject Char"/>
    <w:basedOn w:val="CommentTextChar"/>
    <w:link w:val="CommentSubject"/>
    <w:uiPriority w:val="99"/>
    <w:semiHidden/>
    <w:rsid w:val="003630AE"/>
    <w:rPr>
      <w:rFonts w:eastAsia="Calibri"/>
      <w:b/>
      <w:bCs/>
      <w:lang w:val="en-GB"/>
    </w:rPr>
  </w:style>
  <w:style w:type="paragraph" w:styleId="Footer">
    <w:name w:val="footer"/>
    <w:basedOn w:val="Normal"/>
    <w:link w:val="FooterChar"/>
    <w:uiPriority w:val="99"/>
    <w:semiHidden/>
    <w:unhideWhenUsed/>
    <w:locked/>
    <w:rsid w:val="00080461"/>
    <w:pPr>
      <w:tabs>
        <w:tab w:val="center" w:pos="4536"/>
        <w:tab w:val="right" w:pos="9072"/>
      </w:tabs>
      <w:spacing w:before="0" w:after="0"/>
    </w:pPr>
  </w:style>
  <w:style w:type="character" w:customStyle="1" w:styleId="FooterChar">
    <w:name w:val="Footer Char"/>
    <w:basedOn w:val="DefaultParagraphFont"/>
    <w:link w:val="Footer"/>
    <w:uiPriority w:val="99"/>
    <w:semiHidden/>
    <w:rsid w:val="00080461"/>
    <w:rPr>
      <w:rFonts w:eastAsia="Calibri"/>
      <w:szCs w:val="22"/>
      <w:lang w:val="en-GB"/>
    </w:rPr>
  </w:style>
  <w:style w:type="paragraph" w:styleId="ListParagraph">
    <w:name w:val="List Paragraph"/>
    <w:basedOn w:val="Normal"/>
    <w:uiPriority w:val="34"/>
    <w:qFormat/>
    <w:locked/>
    <w:rsid w:val="00811FA1"/>
    <w:pPr>
      <w:ind w:left="720"/>
      <w:contextualSpacing/>
    </w:pPr>
  </w:style>
  <w:style w:type="character" w:styleId="SubtleEmphasis">
    <w:name w:val="Subtle Emphasis"/>
    <w:basedOn w:val="DefaultParagraphFont"/>
    <w:uiPriority w:val="19"/>
    <w:qFormat/>
    <w:rsid w:val="00914259"/>
    <w:rPr>
      <w:i/>
      <w:iCs/>
      <w:color w:val="808080" w:themeColor="text1" w:themeTint="7F"/>
    </w:rPr>
  </w:style>
  <w:style w:type="paragraph" w:styleId="BodyText">
    <w:name w:val="Body Text"/>
    <w:basedOn w:val="Normal"/>
    <w:link w:val="BodyTextChar"/>
    <w:uiPriority w:val="99"/>
    <w:semiHidden/>
    <w:unhideWhenUsed/>
    <w:locked/>
    <w:rsid w:val="007C405A"/>
    <w:pPr>
      <w:spacing w:after="120"/>
    </w:pPr>
  </w:style>
  <w:style w:type="character" w:customStyle="1" w:styleId="BodyTextChar">
    <w:name w:val="Body Text Char"/>
    <w:basedOn w:val="DefaultParagraphFont"/>
    <w:link w:val="BodyText"/>
    <w:uiPriority w:val="99"/>
    <w:semiHidden/>
    <w:rsid w:val="007C405A"/>
    <w:rPr>
      <w:rFonts w:eastAsia="Calibri"/>
      <w:szCs w:val="22"/>
      <w:lang w:val="en-GB"/>
    </w:rPr>
  </w:style>
  <w:style w:type="paragraph" w:styleId="HTMLPreformatted">
    <w:name w:val="HTML Preformatted"/>
    <w:basedOn w:val="Normal"/>
    <w:link w:val="HTMLPreformattedChar"/>
    <w:uiPriority w:val="99"/>
    <w:semiHidden/>
    <w:unhideWhenUsed/>
    <w:locked/>
    <w:rsid w:val="009A2590"/>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9A2590"/>
    <w:rPr>
      <w:rFonts w:ascii="Consolas" w:eastAsia="Calibri" w:hAnsi="Consolas"/>
      <w:lang w:val="en-GB"/>
    </w:rPr>
  </w:style>
  <w:style w:type="paragraph" w:styleId="Header">
    <w:name w:val="header"/>
    <w:basedOn w:val="Normal"/>
    <w:link w:val="HeaderChar"/>
    <w:uiPriority w:val="99"/>
    <w:semiHidden/>
    <w:unhideWhenUsed/>
    <w:locked/>
    <w:rsid w:val="009368FF"/>
    <w:pPr>
      <w:tabs>
        <w:tab w:val="center" w:pos="4536"/>
        <w:tab w:val="right" w:pos="9072"/>
      </w:tabs>
      <w:spacing w:before="0" w:after="0"/>
    </w:pPr>
  </w:style>
  <w:style w:type="character" w:customStyle="1" w:styleId="HeaderChar">
    <w:name w:val="Header Char"/>
    <w:basedOn w:val="DefaultParagraphFont"/>
    <w:link w:val="Header"/>
    <w:uiPriority w:val="99"/>
    <w:semiHidden/>
    <w:rsid w:val="009368FF"/>
    <w:rPr>
      <w:rFonts w:eastAsia="Calibri"/>
      <w:szCs w:val="22"/>
      <w:lang w:val="en-GB"/>
    </w:rPr>
  </w:style>
  <w:style w:type="paragraph" w:styleId="Revision">
    <w:name w:val="Revision"/>
    <w:hidden/>
    <w:uiPriority w:val="99"/>
    <w:semiHidden/>
    <w:rsid w:val="00E30435"/>
    <w:pPr>
      <w:spacing w:before="0" w:after="0"/>
      <w:jc w:val="left"/>
    </w:pPr>
    <w:rPr>
      <w:rFonts w:eastAsia="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47040">
      <w:bodyDiv w:val="1"/>
      <w:marLeft w:val="0"/>
      <w:marRight w:val="0"/>
      <w:marTop w:val="0"/>
      <w:marBottom w:val="0"/>
      <w:divBdr>
        <w:top w:val="none" w:sz="0" w:space="0" w:color="auto"/>
        <w:left w:val="none" w:sz="0" w:space="0" w:color="auto"/>
        <w:bottom w:val="none" w:sz="0" w:space="0" w:color="auto"/>
        <w:right w:val="none" w:sz="0" w:space="0" w:color="auto"/>
      </w:divBdr>
    </w:div>
    <w:div w:id="108746038">
      <w:bodyDiv w:val="1"/>
      <w:marLeft w:val="0"/>
      <w:marRight w:val="0"/>
      <w:marTop w:val="0"/>
      <w:marBottom w:val="0"/>
      <w:divBdr>
        <w:top w:val="none" w:sz="0" w:space="0" w:color="auto"/>
        <w:left w:val="none" w:sz="0" w:space="0" w:color="auto"/>
        <w:bottom w:val="none" w:sz="0" w:space="0" w:color="auto"/>
        <w:right w:val="none" w:sz="0" w:space="0" w:color="auto"/>
      </w:divBdr>
    </w:div>
    <w:div w:id="112092849">
      <w:bodyDiv w:val="1"/>
      <w:marLeft w:val="0"/>
      <w:marRight w:val="0"/>
      <w:marTop w:val="0"/>
      <w:marBottom w:val="0"/>
      <w:divBdr>
        <w:top w:val="none" w:sz="0" w:space="0" w:color="auto"/>
        <w:left w:val="none" w:sz="0" w:space="0" w:color="auto"/>
        <w:bottom w:val="none" w:sz="0" w:space="0" w:color="auto"/>
        <w:right w:val="none" w:sz="0" w:space="0" w:color="auto"/>
      </w:divBdr>
    </w:div>
    <w:div w:id="207763260">
      <w:bodyDiv w:val="1"/>
      <w:marLeft w:val="0"/>
      <w:marRight w:val="0"/>
      <w:marTop w:val="0"/>
      <w:marBottom w:val="0"/>
      <w:divBdr>
        <w:top w:val="none" w:sz="0" w:space="0" w:color="auto"/>
        <w:left w:val="none" w:sz="0" w:space="0" w:color="auto"/>
        <w:bottom w:val="none" w:sz="0" w:space="0" w:color="auto"/>
        <w:right w:val="none" w:sz="0" w:space="0" w:color="auto"/>
      </w:divBdr>
    </w:div>
    <w:div w:id="292445526">
      <w:bodyDiv w:val="1"/>
      <w:marLeft w:val="0"/>
      <w:marRight w:val="0"/>
      <w:marTop w:val="0"/>
      <w:marBottom w:val="0"/>
      <w:divBdr>
        <w:top w:val="none" w:sz="0" w:space="0" w:color="auto"/>
        <w:left w:val="none" w:sz="0" w:space="0" w:color="auto"/>
        <w:bottom w:val="none" w:sz="0" w:space="0" w:color="auto"/>
        <w:right w:val="none" w:sz="0" w:space="0" w:color="auto"/>
      </w:divBdr>
    </w:div>
    <w:div w:id="391277846">
      <w:bodyDiv w:val="1"/>
      <w:marLeft w:val="0"/>
      <w:marRight w:val="0"/>
      <w:marTop w:val="0"/>
      <w:marBottom w:val="0"/>
      <w:divBdr>
        <w:top w:val="none" w:sz="0" w:space="0" w:color="auto"/>
        <w:left w:val="none" w:sz="0" w:space="0" w:color="auto"/>
        <w:bottom w:val="none" w:sz="0" w:space="0" w:color="auto"/>
        <w:right w:val="none" w:sz="0" w:space="0" w:color="auto"/>
      </w:divBdr>
    </w:div>
    <w:div w:id="536771330">
      <w:bodyDiv w:val="1"/>
      <w:marLeft w:val="0"/>
      <w:marRight w:val="0"/>
      <w:marTop w:val="0"/>
      <w:marBottom w:val="0"/>
      <w:divBdr>
        <w:top w:val="none" w:sz="0" w:space="0" w:color="auto"/>
        <w:left w:val="none" w:sz="0" w:space="0" w:color="auto"/>
        <w:bottom w:val="none" w:sz="0" w:space="0" w:color="auto"/>
        <w:right w:val="none" w:sz="0" w:space="0" w:color="auto"/>
      </w:divBdr>
    </w:div>
    <w:div w:id="590966676">
      <w:bodyDiv w:val="1"/>
      <w:marLeft w:val="0"/>
      <w:marRight w:val="0"/>
      <w:marTop w:val="0"/>
      <w:marBottom w:val="0"/>
      <w:divBdr>
        <w:top w:val="none" w:sz="0" w:space="0" w:color="auto"/>
        <w:left w:val="none" w:sz="0" w:space="0" w:color="auto"/>
        <w:bottom w:val="none" w:sz="0" w:space="0" w:color="auto"/>
        <w:right w:val="none" w:sz="0" w:space="0" w:color="auto"/>
      </w:divBdr>
    </w:div>
    <w:div w:id="696780313">
      <w:bodyDiv w:val="1"/>
      <w:marLeft w:val="0"/>
      <w:marRight w:val="0"/>
      <w:marTop w:val="0"/>
      <w:marBottom w:val="0"/>
      <w:divBdr>
        <w:top w:val="none" w:sz="0" w:space="0" w:color="auto"/>
        <w:left w:val="none" w:sz="0" w:space="0" w:color="auto"/>
        <w:bottom w:val="none" w:sz="0" w:space="0" w:color="auto"/>
        <w:right w:val="none" w:sz="0" w:space="0" w:color="auto"/>
      </w:divBdr>
    </w:div>
    <w:div w:id="794830505">
      <w:bodyDiv w:val="1"/>
      <w:marLeft w:val="0"/>
      <w:marRight w:val="0"/>
      <w:marTop w:val="0"/>
      <w:marBottom w:val="0"/>
      <w:divBdr>
        <w:top w:val="none" w:sz="0" w:space="0" w:color="auto"/>
        <w:left w:val="none" w:sz="0" w:space="0" w:color="auto"/>
        <w:bottom w:val="none" w:sz="0" w:space="0" w:color="auto"/>
        <w:right w:val="none" w:sz="0" w:space="0" w:color="auto"/>
      </w:divBdr>
    </w:div>
    <w:div w:id="856045852">
      <w:bodyDiv w:val="1"/>
      <w:marLeft w:val="0"/>
      <w:marRight w:val="0"/>
      <w:marTop w:val="0"/>
      <w:marBottom w:val="0"/>
      <w:divBdr>
        <w:top w:val="none" w:sz="0" w:space="0" w:color="auto"/>
        <w:left w:val="none" w:sz="0" w:space="0" w:color="auto"/>
        <w:bottom w:val="none" w:sz="0" w:space="0" w:color="auto"/>
        <w:right w:val="none" w:sz="0" w:space="0" w:color="auto"/>
      </w:divBdr>
    </w:div>
    <w:div w:id="970013478">
      <w:bodyDiv w:val="1"/>
      <w:marLeft w:val="0"/>
      <w:marRight w:val="0"/>
      <w:marTop w:val="0"/>
      <w:marBottom w:val="0"/>
      <w:divBdr>
        <w:top w:val="none" w:sz="0" w:space="0" w:color="auto"/>
        <w:left w:val="none" w:sz="0" w:space="0" w:color="auto"/>
        <w:bottom w:val="none" w:sz="0" w:space="0" w:color="auto"/>
        <w:right w:val="none" w:sz="0" w:space="0" w:color="auto"/>
      </w:divBdr>
    </w:div>
    <w:div w:id="1002200430">
      <w:bodyDiv w:val="1"/>
      <w:marLeft w:val="0"/>
      <w:marRight w:val="0"/>
      <w:marTop w:val="0"/>
      <w:marBottom w:val="0"/>
      <w:divBdr>
        <w:top w:val="none" w:sz="0" w:space="0" w:color="auto"/>
        <w:left w:val="none" w:sz="0" w:space="0" w:color="auto"/>
        <w:bottom w:val="none" w:sz="0" w:space="0" w:color="auto"/>
        <w:right w:val="none" w:sz="0" w:space="0" w:color="auto"/>
      </w:divBdr>
    </w:div>
    <w:div w:id="1018191114">
      <w:bodyDiv w:val="1"/>
      <w:marLeft w:val="0"/>
      <w:marRight w:val="0"/>
      <w:marTop w:val="0"/>
      <w:marBottom w:val="0"/>
      <w:divBdr>
        <w:top w:val="none" w:sz="0" w:space="0" w:color="auto"/>
        <w:left w:val="none" w:sz="0" w:space="0" w:color="auto"/>
        <w:bottom w:val="none" w:sz="0" w:space="0" w:color="auto"/>
        <w:right w:val="none" w:sz="0" w:space="0" w:color="auto"/>
      </w:divBdr>
    </w:div>
    <w:div w:id="1180390733">
      <w:bodyDiv w:val="1"/>
      <w:marLeft w:val="0"/>
      <w:marRight w:val="0"/>
      <w:marTop w:val="0"/>
      <w:marBottom w:val="0"/>
      <w:divBdr>
        <w:top w:val="none" w:sz="0" w:space="0" w:color="auto"/>
        <w:left w:val="none" w:sz="0" w:space="0" w:color="auto"/>
        <w:bottom w:val="none" w:sz="0" w:space="0" w:color="auto"/>
        <w:right w:val="none" w:sz="0" w:space="0" w:color="auto"/>
      </w:divBdr>
    </w:div>
    <w:div w:id="1278752854">
      <w:bodyDiv w:val="1"/>
      <w:marLeft w:val="0"/>
      <w:marRight w:val="0"/>
      <w:marTop w:val="0"/>
      <w:marBottom w:val="0"/>
      <w:divBdr>
        <w:top w:val="none" w:sz="0" w:space="0" w:color="auto"/>
        <w:left w:val="none" w:sz="0" w:space="0" w:color="auto"/>
        <w:bottom w:val="none" w:sz="0" w:space="0" w:color="auto"/>
        <w:right w:val="none" w:sz="0" w:space="0" w:color="auto"/>
      </w:divBdr>
    </w:div>
    <w:div w:id="1346715012">
      <w:bodyDiv w:val="1"/>
      <w:marLeft w:val="0"/>
      <w:marRight w:val="0"/>
      <w:marTop w:val="0"/>
      <w:marBottom w:val="0"/>
      <w:divBdr>
        <w:top w:val="none" w:sz="0" w:space="0" w:color="auto"/>
        <w:left w:val="none" w:sz="0" w:space="0" w:color="auto"/>
        <w:bottom w:val="none" w:sz="0" w:space="0" w:color="auto"/>
        <w:right w:val="none" w:sz="0" w:space="0" w:color="auto"/>
      </w:divBdr>
    </w:div>
    <w:div w:id="1407653816">
      <w:bodyDiv w:val="1"/>
      <w:marLeft w:val="0"/>
      <w:marRight w:val="0"/>
      <w:marTop w:val="0"/>
      <w:marBottom w:val="0"/>
      <w:divBdr>
        <w:top w:val="none" w:sz="0" w:space="0" w:color="auto"/>
        <w:left w:val="none" w:sz="0" w:space="0" w:color="auto"/>
        <w:bottom w:val="none" w:sz="0" w:space="0" w:color="auto"/>
        <w:right w:val="none" w:sz="0" w:space="0" w:color="auto"/>
      </w:divBdr>
    </w:div>
    <w:div w:id="1481649006">
      <w:bodyDiv w:val="1"/>
      <w:marLeft w:val="0"/>
      <w:marRight w:val="0"/>
      <w:marTop w:val="0"/>
      <w:marBottom w:val="0"/>
      <w:divBdr>
        <w:top w:val="none" w:sz="0" w:space="0" w:color="auto"/>
        <w:left w:val="none" w:sz="0" w:space="0" w:color="auto"/>
        <w:bottom w:val="none" w:sz="0" w:space="0" w:color="auto"/>
        <w:right w:val="none" w:sz="0" w:space="0" w:color="auto"/>
      </w:divBdr>
    </w:div>
    <w:div w:id="1507673844">
      <w:bodyDiv w:val="1"/>
      <w:marLeft w:val="0"/>
      <w:marRight w:val="0"/>
      <w:marTop w:val="0"/>
      <w:marBottom w:val="0"/>
      <w:divBdr>
        <w:top w:val="none" w:sz="0" w:space="0" w:color="auto"/>
        <w:left w:val="none" w:sz="0" w:space="0" w:color="auto"/>
        <w:bottom w:val="none" w:sz="0" w:space="0" w:color="auto"/>
        <w:right w:val="none" w:sz="0" w:space="0" w:color="auto"/>
      </w:divBdr>
    </w:div>
    <w:div w:id="1671986516">
      <w:bodyDiv w:val="1"/>
      <w:marLeft w:val="0"/>
      <w:marRight w:val="0"/>
      <w:marTop w:val="0"/>
      <w:marBottom w:val="0"/>
      <w:divBdr>
        <w:top w:val="none" w:sz="0" w:space="0" w:color="auto"/>
        <w:left w:val="none" w:sz="0" w:space="0" w:color="auto"/>
        <w:bottom w:val="none" w:sz="0" w:space="0" w:color="auto"/>
        <w:right w:val="none" w:sz="0" w:space="0" w:color="auto"/>
      </w:divBdr>
    </w:div>
    <w:div w:id="1702854102">
      <w:bodyDiv w:val="1"/>
      <w:marLeft w:val="0"/>
      <w:marRight w:val="0"/>
      <w:marTop w:val="0"/>
      <w:marBottom w:val="0"/>
      <w:divBdr>
        <w:top w:val="none" w:sz="0" w:space="0" w:color="auto"/>
        <w:left w:val="none" w:sz="0" w:space="0" w:color="auto"/>
        <w:bottom w:val="none" w:sz="0" w:space="0" w:color="auto"/>
        <w:right w:val="none" w:sz="0" w:space="0" w:color="auto"/>
      </w:divBdr>
    </w:div>
    <w:div w:id="2023390763">
      <w:bodyDiv w:val="1"/>
      <w:marLeft w:val="0"/>
      <w:marRight w:val="0"/>
      <w:marTop w:val="0"/>
      <w:marBottom w:val="0"/>
      <w:divBdr>
        <w:top w:val="none" w:sz="0" w:space="0" w:color="auto"/>
        <w:left w:val="none" w:sz="0" w:space="0" w:color="auto"/>
        <w:bottom w:val="none" w:sz="0" w:space="0" w:color="auto"/>
        <w:right w:val="none" w:sz="0" w:space="0" w:color="auto"/>
      </w:divBdr>
    </w:div>
    <w:div w:id="204394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Design ECC">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o xmlns="c5f543e3-8063-4253-bd42-47ca496057f8" xsi:nil="true"/>
    <Attach_x0020_count xmlns="c5f543e3-8063-4253-bd42-47ca496057f8" xsi:nil="true"/>
    <TaxCatchAll xmlns="c5f543e3-8063-4253-bd42-47ca496057f8" xsi:nil="true"/>
    <Organisation xmlns="c5f543e3-8063-4253-bd42-47ca496057f8" xsi:nil="true"/>
    <Classification xmlns="c5f543e3-8063-4253-bd42-47ca496057f8">PROTECTED</Classification>
    <SentOn xmlns="c5f543e3-8063-4253-bd42-47ca496057f8" xsi:nil="true"/>
    <ReceivedTime xmlns="c5f543e3-8063-4253-bd42-47ca496057f8" xsi:nil="true"/>
    <mvFrom xmlns="c5f543e3-8063-4253-bd42-47ca496057f8" xsi:nil="true"/>
    <lcf76f155ced4ddcb4097134ff3c332f xmlns="ba712082-ff81-49c1-a241-94c9f69f8d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takeholder" ma:contentTypeID="0x010100CAA12C5105342047A1E5FE66CBFB41077D0077CF2320134F6146BF6CC804A6E36883" ma:contentTypeVersion="19" ma:contentTypeDescription="stakeholder communications relating to team or project&#10;" ma:contentTypeScope="" ma:versionID="476d7de9eb59fe6b3ebdc8fbff798a36">
  <xsd:schema xmlns:xsd="http://www.w3.org/2001/XMLSchema" xmlns:xs="http://www.w3.org/2001/XMLSchema" xmlns:p="http://schemas.microsoft.com/office/2006/metadata/properties" xmlns:ns3="c5f543e3-8063-4253-bd42-47ca496057f8" xmlns:ns4="ba712082-ff81-49c1-a241-94c9f69f8dde" targetNamespace="http://schemas.microsoft.com/office/2006/metadata/properties" ma:root="true" ma:fieldsID="dd1c88a9e81757b736988aa1a66de432" ns3:_="" ns4:_="">
    <xsd:import namespace="c5f543e3-8063-4253-bd42-47ca496057f8"/>
    <xsd:import namespace="ba712082-ff81-49c1-a241-94c9f69f8dde"/>
    <xsd:element name="properties">
      <xsd:complexType>
        <xsd:sequence>
          <xsd:element name="documentManagement">
            <xsd:complexType>
              <xsd:all>
                <xsd:element ref="ns3:Classification" minOccurs="0"/>
                <xsd:element ref="ns3:Attach_x0020_count" minOccurs="0"/>
                <xsd:element ref="ns3:Organisation" minOccurs="0"/>
                <xsd:element ref="ns3:ReceivedTime" minOccurs="0"/>
                <xsd:element ref="ns3:SentOn" minOccurs="0"/>
                <xsd:element ref="ns3:To" minOccurs="0"/>
                <xsd:element ref="ns3:mvFrom"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3:TaxCatchAll"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543e3-8063-4253-bd42-47ca496057f8" elementFormDefault="qualified">
    <xsd:import namespace="http://schemas.microsoft.com/office/2006/documentManagement/types"/>
    <xsd:import namespace="http://schemas.microsoft.com/office/infopath/2007/PartnerControls"/>
    <xsd:element name="Classification" ma:index="9" nillable="true" ma:displayName="Information classification" ma:default="PROTECTED" ma:format="Dropdown" ma:internalName="Classification">
      <xsd:simpleType>
        <xsd:restriction base="dms:Choice">
          <xsd:enumeration value="PROTECTED"/>
          <xsd:enumeration value="CONFIDENTIAL"/>
          <xsd:enumeration value="HIGHLY SENSITIVE"/>
        </xsd:restriction>
      </xsd:simpleType>
    </xsd:element>
    <xsd:element name="Attach_x0020_count" ma:index="10" nillable="true" ma:displayName="Attach count" ma:decimals="0" ma:description="Auto-populated by saved email" ma:internalName="Attach_x0020_count">
      <xsd:simpleType>
        <xsd:restriction base="dms:Number"/>
      </xsd:simpleType>
    </xsd:element>
    <xsd:element name="Organisation" ma:index="11" nillable="true" ma:displayName="Organisation" ma:internalName="Organisation">
      <xsd:simpleType>
        <xsd:restriction base="dms:Text">
          <xsd:maxLength value="255"/>
        </xsd:restriction>
      </xsd:simpleType>
    </xsd:element>
    <xsd:element name="ReceivedTime" ma:index="12" nillable="true" ma:displayName="ReceivedTime" ma:description="Auto-populated by saved email" ma:format="DateTime" ma:internalName="ReceivedTime">
      <xsd:simpleType>
        <xsd:restriction base="dms:DateTime"/>
      </xsd:simpleType>
    </xsd:element>
    <xsd:element name="SentOn" ma:index="13" nillable="true" ma:displayName="SentOn" ma:description="Auto-populated by saved email" ma:format="DateTime" ma:internalName="SentOn">
      <xsd:simpleType>
        <xsd:restriction base="dms:DateTime"/>
      </xsd:simpleType>
    </xsd:element>
    <xsd:element name="To" ma:index="14" nillable="true" ma:displayName="To" ma:description="Auto-populated by saved email" ma:internalName="To">
      <xsd:simpleType>
        <xsd:restriction base="dms:Text">
          <xsd:maxLength value="255"/>
        </xsd:restriction>
      </xsd:simpleType>
    </xsd:element>
    <xsd:element name="mvFrom" ma:index="15" nillable="true" ma:displayName="From" ma:description="Auto-populated by saved email" ma:internalName="mvFrom">
      <xsd:simpleType>
        <xsd:restriction base="dms:Text">
          <xsd:maxLength value="255"/>
        </xsd:restriction>
      </xsd:simpleType>
    </xsd:element>
    <xsd:element name="TaxCatchAll" ma:index="26" nillable="true" ma:displayName="Taxonomy Catch All Column" ma:hidden="true" ma:list="{d18027b6-3a67-4944-b8bc-eee15205d084}" ma:internalName="TaxCatchAll" ma:showField="CatchAllData" ma:web="3941dbea-0bfa-4292-92e1-a3e0956064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712082-ff81-49c1-a241-94c9f69f8dde"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069ab6e-cbb1-4306-ad7e-01a48c91ef8b"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069ab6e-cbb1-4306-ad7e-01a48c91ef8b" ContentTypeId="0x010100CAA12C5105342047A1E5FE66CBFB41077D" PreviousValue="false"/>
</file>

<file path=customXml/itemProps1.xml><?xml version="1.0" encoding="utf-8"?>
<ds:datastoreItem xmlns:ds="http://schemas.openxmlformats.org/officeDocument/2006/customXml" ds:itemID="{791732F3-935E-4634-AD1C-66E93452FC2A}">
  <ds:schemaRefs>
    <ds:schemaRef ds:uri="http://schemas.openxmlformats.org/officeDocument/2006/bibliography"/>
  </ds:schemaRefs>
</ds:datastoreItem>
</file>

<file path=customXml/itemProps2.xml><?xml version="1.0" encoding="utf-8"?>
<ds:datastoreItem xmlns:ds="http://schemas.openxmlformats.org/officeDocument/2006/customXml" ds:itemID="{D7A1B3C4-8D66-4A1E-AFB7-7C4CBBD3ECD0}">
  <ds:schemaRefs>
    <ds:schemaRef ds:uri="dfce8ae1-1b37-48c2-896a-379da2c03a9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e1c5d49-d677-4461-a517-29476d1a2811"/>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71C50CC-C7AA-41B7-AC8D-72B2BDF2DEE3}">
  <ds:schemaRefs>
    <ds:schemaRef ds:uri="http://schemas.microsoft.com/sharepoint/v3/contenttype/forms"/>
  </ds:schemaRefs>
</ds:datastoreItem>
</file>

<file path=customXml/itemProps4.xml><?xml version="1.0" encoding="utf-8"?>
<ds:datastoreItem xmlns:ds="http://schemas.openxmlformats.org/officeDocument/2006/customXml" ds:itemID="{6182BBA0-76AB-4CF1-BE4B-F16CECBE76F8}"/>
</file>

<file path=customXml/itemProps5.xml><?xml version="1.0" encoding="utf-8"?>
<ds:datastoreItem xmlns:ds="http://schemas.openxmlformats.org/officeDocument/2006/customXml" ds:itemID="{EC2EE3EB-6378-42A8-8AD8-E4D175A8E412}"/>
</file>

<file path=docProps/app.xml><?xml version="1.0" encoding="utf-8"?>
<Properties xmlns="http://schemas.openxmlformats.org/officeDocument/2006/extended-properties" xmlns:vt="http://schemas.openxmlformats.org/officeDocument/2006/docPropsVTypes">
  <Template>Normal.dotm</Template>
  <TotalTime>0</TotalTime>
  <Pages>6</Pages>
  <Words>2514</Words>
  <Characters>14332</Characters>
  <Application>Microsoft Office Word</Application>
  <DocSecurity>4</DocSecurity>
  <Lines>119</Lines>
  <Paragraphs>33</Paragraphs>
  <ScaleCrop>false</ScaleCrop>
  <HeadingPairs>
    <vt:vector size="8" baseType="variant">
      <vt:variant>
        <vt:lpstr>Title</vt:lpstr>
      </vt:variant>
      <vt:variant>
        <vt:i4>1</vt:i4>
      </vt:variant>
      <vt:variant>
        <vt:lpstr>Titre</vt:lpstr>
      </vt:variant>
      <vt:variant>
        <vt:i4>1</vt:i4>
      </vt:variant>
      <vt:variant>
        <vt:lpstr>Titel</vt:lpstr>
      </vt:variant>
      <vt:variant>
        <vt:i4>1</vt:i4>
      </vt:variant>
      <vt:variant>
        <vt:lpstr>Название</vt:lpstr>
      </vt:variant>
      <vt:variant>
        <vt:i4>1</vt:i4>
      </vt:variant>
    </vt:vector>
  </HeadingPairs>
  <TitlesOfParts>
    <vt:vector size="4" baseType="lpstr">
      <vt:lpstr>Draft CEPT Brief on AI XX</vt:lpstr>
      <vt:lpstr>Draft CEPT Brief on AI XX</vt:lpstr>
      <vt:lpstr>Draft CEPT Brief on AI XX</vt:lpstr>
      <vt:lpstr>Draft CEPT Brief on AI XX</vt:lpstr>
    </vt:vector>
  </TitlesOfParts>
  <Manager>stella.lyubchenko@eco.cept.org</Manager>
  <Company>ECO</Company>
  <LinksUpToDate>false</LinksUpToDate>
  <CharactersWithSpaces>16813</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CEPT Brief on AI XX</dc:title>
  <dc:creator>eco</dc:creator>
  <cp:keywords>CEPT Brief</cp:keywords>
  <cp:lastModifiedBy>United Kingdom</cp:lastModifiedBy>
  <cp:revision>2</cp:revision>
  <cp:lastPrinted>1901-01-01T00:00:00Z</cp:lastPrinted>
  <dcterms:created xsi:type="dcterms:W3CDTF">2023-01-10T17:07:00Z</dcterms:created>
  <dcterms:modified xsi:type="dcterms:W3CDTF">2023-01-10T17:07:00Z</dcterms:modified>
  <cp:category>protected templates</cp:category>
  <cp:contentStatus>Revision 11 Aug 2016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0x010100CAA12C5105342047A1E5FE66CBFB41077D0077CF2320134F6146BF6CC804A6E36883</vt:lpwstr>
  </property>
  <property fmtid="{D5CDD505-2E9C-101B-9397-08002B2CF9AE}" pid="3" name="MSIP_Label_5a50d26f-5c2c-4137-8396-1b24eb24286c_Enabled">
    <vt:lpwstr>true</vt:lpwstr>
  </property>
  <property fmtid="{D5CDD505-2E9C-101B-9397-08002B2CF9AE}" pid="4" name="MSIP_Label_5a50d26f-5c2c-4137-8396-1b24eb24286c_SetDate">
    <vt:lpwstr>2021-03-24T14:49:22Z</vt:lpwstr>
  </property>
  <property fmtid="{D5CDD505-2E9C-101B-9397-08002B2CF9AE}" pid="5" name="MSIP_Label_5a50d26f-5c2c-4137-8396-1b24eb24286c_Method">
    <vt:lpwstr>Privileged</vt:lpwstr>
  </property>
  <property fmtid="{D5CDD505-2E9C-101B-9397-08002B2CF9AE}" pid="6" name="MSIP_Label_5a50d26f-5c2c-4137-8396-1b24eb24286c_Name">
    <vt:lpwstr>5a50d26f-5c2c-4137-8396-1b24eb24286c</vt:lpwstr>
  </property>
  <property fmtid="{D5CDD505-2E9C-101B-9397-08002B2CF9AE}" pid="7" name="MSIP_Label_5a50d26f-5c2c-4137-8396-1b24eb24286c_SiteId">
    <vt:lpwstr>0af648de-310c-4068-8ae4-f9418bae24cc</vt:lpwstr>
  </property>
  <property fmtid="{D5CDD505-2E9C-101B-9397-08002B2CF9AE}" pid="8" name="MSIP_Label_5a50d26f-5c2c-4137-8396-1b24eb24286c_ActionId">
    <vt:lpwstr>668027ae-81fb-4778-b52a-619d172625e8</vt:lpwstr>
  </property>
  <property fmtid="{D5CDD505-2E9C-101B-9397-08002B2CF9AE}" pid="9" name="MSIP_Label_5a50d26f-5c2c-4137-8396-1b24eb24286c_ContentBits">
    <vt:lpwstr>0</vt:lpwstr>
  </property>
</Properties>
</file>