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142" w:type="dxa"/>
        <w:tblLayout w:type="fixed"/>
        <w:tblCellMar>
          <w:left w:w="70" w:type="dxa"/>
          <w:right w:w="70" w:type="dxa"/>
        </w:tblCellMar>
        <w:tblLook w:val="0000" w:firstRow="0" w:lastRow="0" w:firstColumn="0" w:lastColumn="0" w:noHBand="0" w:noVBand="0"/>
      </w:tblPr>
      <w:tblGrid>
        <w:gridCol w:w="1605"/>
        <w:gridCol w:w="3001"/>
        <w:gridCol w:w="4961"/>
      </w:tblGrid>
      <w:tr w:rsidR="00265F50" w:rsidRPr="00BB2AE7" w14:paraId="2085C641" w14:textId="77777777" w:rsidTr="0027736E">
        <w:trPr>
          <w:cantSplit/>
          <w:trHeight w:val="1560"/>
        </w:trPr>
        <w:tc>
          <w:tcPr>
            <w:tcW w:w="4606" w:type="dxa"/>
            <w:gridSpan w:val="2"/>
            <w:tcBorders>
              <w:top w:val="nil"/>
              <w:left w:val="nil"/>
              <w:bottom w:val="nil"/>
              <w:right w:val="nil"/>
            </w:tcBorders>
            <w:vAlign w:val="center"/>
          </w:tcPr>
          <w:p w14:paraId="12E7937E" w14:textId="6063D28C" w:rsidR="00265F50" w:rsidRPr="00265F50" w:rsidRDefault="00675C17" w:rsidP="00DD5136">
            <w:pPr>
              <w:pStyle w:val="ECCLetterHead"/>
            </w:pPr>
            <w:r w:rsidRPr="00265F50">
              <w:rPr>
                <w:noProof/>
                <w:lang w:eastAsia="en-GB"/>
              </w:rPr>
              <w:drawing>
                <wp:inline distT="0" distB="0" distL="0" distR="0" wp14:anchorId="01FFAC81" wp14:editId="48897EA5">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7056CA">
              <w:t>CPG</w:t>
            </w:r>
            <w:r w:rsidR="00240517">
              <w:t xml:space="preserve"> PT</w:t>
            </w:r>
            <w:r w:rsidR="001F16C6">
              <w:t>A</w:t>
            </w:r>
          </w:p>
        </w:tc>
        <w:tc>
          <w:tcPr>
            <w:tcW w:w="4961" w:type="dxa"/>
            <w:tcBorders>
              <w:top w:val="nil"/>
              <w:left w:val="nil"/>
              <w:bottom w:val="nil"/>
              <w:right w:val="nil"/>
            </w:tcBorders>
          </w:tcPr>
          <w:p w14:paraId="5911F235" w14:textId="2E46F71A" w:rsidR="00265F50" w:rsidRPr="00BB2AE7" w:rsidRDefault="00265F50" w:rsidP="00DD5136">
            <w:pPr>
              <w:pStyle w:val="ECCLetterHead"/>
            </w:pPr>
            <w:r w:rsidRPr="00BB2AE7">
              <w:tab/>
            </w:r>
            <w:r w:rsidR="001F16C6" w:rsidRPr="00047A62">
              <w:t>PTA</w:t>
            </w:r>
            <w:r w:rsidR="00F11542" w:rsidRPr="00047A62">
              <w:t>(</w:t>
            </w:r>
            <w:r w:rsidR="00BE0B23" w:rsidRPr="00C778A7">
              <w:t>2</w:t>
            </w:r>
            <w:r w:rsidR="00B8509B">
              <w:t>3</w:t>
            </w:r>
            <w:r w:rsidRPr="00C778A7">
              <w:t>)</w:t>
            </w:r>
            <w:r w:rsidR="008F2EA0" w:rsidRPr="00153D07">
              <w:t>0</w:t>
            </w:r>
            <w:r w:rsidR="00927D48" w:rsidRPr="00153D07">
              <w:t>4</w:t>
            </w:r>
            <w:r w:rsidR="00AE5D79" w:rsidRPr="00153D07">
              <w:t>7</w:t>
            </w:r>
          </w:p>
        </w:tc>
      </w:tr>
      <w:tr w:rsidR="00F11542" w:rsidRPr="00A3755D" w14:paraId="4F672DAE" w14:textId="77777777" w:rsidTr="0027736E">
        <w:tblPrEx>
          <w:tblCellMar>
            <w:left w:w="108" w:type="dxa"/>
            <w:right w:w="108" w:type="dxa"/>
          </w:tblCellMar>
        </w:tblPrEx>
        <w:trPr>
          <w:cantSplit/>
          <w:trHeight w:val="405"/>
        </w:trPr>
        <w:tc>
          <w:tcPr>
            <w:tcW w:w="9567" w:type="dxa"/>
            <w:gridSpan w:val="3"/>
            <w:tcBorders>
              <w:top w:val="nil"/>
              <w:left w:val="nil"/>
              <w:bottom w:val="nil"/>
              <w:right w:val="nil"/>
            </w:tcBorders>
            <w:vAlign w:val="center"/>
          </w:tcPr>
          <w:p w14:paraId="47136DC6" w14:textId="35F60A3F" w:rsidR="00F11542" w:rsidRPr="0011705C" w:rsidRDefault="007056CA" w:rsidP="00DD5136">
            <w:pPr>
              <w:pStyle w:val="ECCLetterHead"/>
            </w:pPr>
            <w:r>
              <w:t>CPG</w:t>
            </w:r>
            <w:r w:rsidR="001F16C6">
              <w:t xml:space="preserve"> PTA #</w:t>
            </w:r>
            <w:r w:rsidR="008208D5">
              <w:t>8</w:t>
            </w:r>
          </w:p>
        </w:tc>
      </w:tr>
      <w:tr w:rsidR="00F11542" w:rsidRPr="00A3755D" w14:paraId="563A76CA" w14:textId="77777777" w:rsidTr="0027736E">
        <w:tblPrEx>
          <w:tblCellMar>
            <w:left w:w="108" w:type="dxa"/>
            <w:right w:w="108" w:type="dxa"/>
          </w:tblCellMar>
        </w:tblPrEx>
        <w:trPr>
          <w:cantSplit/>
          <w:trHeight w:val="405"/>
        </w:trPr>
        <w:tc>
          <w:tcPr>
            <w:tcW w:w="9567" w:type="dxa"/>
            <w:gridSpan w:val="3"/>
            <w:tcBorders>
              <w:top w:val="nil"/>
              <w:left w:val="nil"/>
              <w:bottom w:val="nil"/>
              <w:right w:val="nil"/>
            </w:tcBorders>
            <w:vAlign w:val="center"/>
          </w:tcPr>
          <w:p w14:paraId="44504381" w14:textId="148868F7" w:rsidR="00F11542" w:rsidRPr="0011705C" w:rsidRDefault="00240517" w:rsidP="00240517">
            <w:pPr>
              <w:pStyle w:val="ECCLetterHead"/>
            </w:pPr>
            <w:r w:rsidRPr="00B33ADF">
              <w:t>Hybri</w:t>
            </w:r>
            <w:r w:rsidR="001F16C6">
              <w:t xml:space="preserve">d: </w:t>
            </w:r>
            <w:r w:rsidR="00C230A9">
              <w:t>Brussels</w:t>
            </w:r>
            <w:r w:rsidR="001F16C6">
              <w:t xml:space="preserve">, </w:t>
            </w:r>
            <w:r w:rsidR="00C230A9">
              <w:t>2-5 May</w:t>
            </w:r>
            <w:r w:rsidRPr="00B33ADF">
              <w:t xml:space="preserve"> 202</w:t>
            </w:r>
            <w:r w:rsidR="00C230A9">
              <w:t>3</w:t>
            </w:r>
          </w:p>
        </w:tc>
      </w:tr>
      <w:tr w:rsidR="00F11542" w:rsidRPr="00A3755D" w14:paraId="4B0D1AF6" w14:textId="77777777" w:rsidTr="0027736E">
        <w:tblPrEx>
          <w:tblCellMar>
            <w:left w:w="108" w:type="dxa"/>
            <w:right w:w="108" w:type="dxa"/>
          </w:tblCellMar>
        </w:tblPrEx>
        <w:trPr>
          <w:cantSplit/>
          <w:trHeight w:hRule="exact" w:val="79"/>
        </w:trPr>
        <w:tc>
          <w:tcPr>
            <w:tcW w:w="9567" w:type="dxa"/>
            <w:gridSpan w:val="3"/>
            <w:tcBorders>
              <w:top w:val="nil"/>
              <w:left w:val="nil"/>
              <w:bottom w:val="nil"/>
              <w:right w:val="nil"/>
            </w:tcBorders>
            <w:vAlign w:val="center"/>
          </w:tcPr>
          <w:p w14:paraId="1BEC15CD" w14:textId="77777777" w:rsidR="00F11542" w:rsidRPr="00A3755D" w:rsidRDefault="00F11542" w:rsidP="00263FFB">
            <w:pPr>
              <w:pStyle w:val="ECCLetterHead"/>
            </w:pPr>
          </w:p>
        </w:tc>
      </w:tr>
      <w:tr w:rsidR="00263FFB" w:rsidRPr="00A3755D" w14:paraId="7893EA43" w14:textId="77777777" w:rsidTr="0027736E">
        <w:tblPrEx>
          <w:tblCellMar>
            <w:left w:w="108" w:type="dxa"/>
            <w:right w:w="108" w:type="dxa"/>
          </w:tblCellMar>
        </w:tblPrEx>
        <w:trPr>
          <w:cantSplit/>
          <w:trHeight w:val="405"/>
        </w:trPr>
        <w:tc>
          <w:tcPr>
            <w:tcW w:w="1605" w:type="dxa"/>
            <w:tcBorders>
              <w:top w:val="nil"/>
              <w:left w:val="nil"/>
              <w:bottom w:val="nil"/>
              <w:right w:val="nil"/>
            </w:tcBorders>
            <w:vAlign w:val="center"/>
          </w:tcPr>
          <w:p w14:paraId="50D01FC4"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5B5F7838" w14:textId="777A1FEE" w:rsidR="00263FFB" w:rsidRPr="000F5C4A" w:rsidRDefault="00C230A9" w:rsidP="00263FFB">
            <w:pPr>
              <w:pStyle w:val="ECCLetterHead"/>
            </w:pPr>
            <w:r>
              <w:t>2</w:t>
            </w:r>
            <w:r w:rsidR="00FB7FE4">
              <w:t>5 April</w:t>
            </w:r>
            <w:r w:rsidR="00240517" w:rsidRPr="000F5C4A">
              <w:t xml:space="preserve"> 202</w:t>
            </w:r>
            <w:r w:rsidR="00754635">
              <w:t>3</w:t>
            </w:r>
          </w:p>
        </w:tc>
      </w:tr>
      <w:tr w:rsidR="00263FFB" w:rsidRPr="00877025" w14:paraId="610BD899" w14:textId="77777777" w:rsidTr="0027736E">
        <w:tblPrEx>
          <w:tblCellMar>
            <w:left w:w="108" w:type="dxa"/>
            <w:right w:w="108" w:type="dxa"/>
          </w:tblCellMar>
        </w:tblPrEx>
        <w:trPr>
          <w:cantSplit/>
          <w:trHeight w:val="405"/>
        </w:trPr>
        <w:tc>
          <w:tcPr>
            <w:tcW w:w="1605" w:type="dxa"/>
            <w:tcBorders>
              <w:top w:val="nil"/>
              <w:left w:val="nil"/>
              <w:bottom w:val="nil"/>
              <w:right w:val="nil"/>
            </w:tcBorders>
            <w:vAlign w:val="center"/>
          </w:tcPr>
          <w:p w14:paraId="5D8EF816"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0D045A0" w14:textId="5C7638C6" w:rsidR="00263FFB" w:rsidRPr="00787CCA" w:rsidRDefault="00FB7FE4" w:rsidP="00095F5A">
            <w:pPr>
              <w:pStyle w:val="ECCLetterHead"/>
              <w:rPr>
                <w:lang w:val="en-US"/>
              </w:rPr>
            </w:pPr>
            <w:r w:rsidRPr="004E1C8F">
              <w:rPr>
                <w:lang w:val="en-US"/>
              </w:rPr>
              <w:t>Huawei Technologies Sweden AB,</w:t>
            </w:r>
            <w:r w:rsidRPr="00FB7FE4">
              <w:rPr>
                <w:lang w:val="en-US"/>
              </w:rPr>
              <w:t xml:space="preserve"> LM Ericsson, Nokia Corporation, </w:t>
            </w:r>
            <w:r w:rsidRPr="00303484">
              <w:rPr>
                <w:lang w:val="en-US"/>
              </w:rPr>
              <w:t>Qualcomm, ZTE</w:t>
            </w:r>
            <w:r w:rsidR="00D35E71">
              <w:rPr>
                <w:lang w:val="en-US"/>
              </w:rPr>
              <w:t xml:space="preserve"> France SASU</w:t>
            </w:r>
          </w:p>
        </w:tc>
      </w:tr>
      <w:tr w:rsidR="00263FFB" w:rsidRPr="00A3755D" w14:paraId="31AEFAF8" w14:textId="77777777" w:rsidTr="0027736E">
        <w:tblPrEx>
          <w:tblCellMar>
            <w:left w:w="108" w:type="dxa"/>
            <w:right w:w="108" w:type="dxa"/>
          </w:tblCellMar>
        </w:tblPrEx>
        <w:trPr>
          <w:cantSplit/>
          <w:trHeight w:val="405"/>
        </w:trPr>
        <w:tc>
          <w:tcPr>
            <w:tcW w:w="1605" w:type="dxa"/>
            <w:tcBorders>
              <w:top w:val="nil"/>
              <w:left w:val="nil"/>
              <w:bottom w:val="nil"/>
              <w:right w:val="nil"/>
            </w:tcBorders>
            <w:vAlign w:val="center"/>
          </w:tcPr>
          <w:p w14:paraId="1E815EBE"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41C6DD9" w14:textId="54924A3D" w:rsidR="00263FFB" w:rsidRPr="00C7798D" w:rsidRDefault="00EB0FE4" w:rsidP="00263FFB">
            <w:pPr>
              <w:pStyle w:val="ECCLetterHead"/>
            </w:pPr>
            <w:r w:rsidRPr="003E0E1D">
              <w:t>IMT-2030 (6G)</w:t>
            </w:r>
            <w:r w:rsidR="000E1D82">
              <w:t xml:space="preserve"> Spectrum needs and candidate bands</w:t>
            </w:r>
          </w:p>
        </w:tc>
      </w:tr>
      <w:tr w:rsidR="00263FFB" w:rsidRPr="00A3755D" w14:paraId="1E7D321D" w14:textId="77777777" w:rsidTr="0027736E">
        <w:tblPrEx>
          <w:tblCellMar>
            <w:left w:w="108" w:type="dxa"/>
            <w:right w:w="108" w:type="dxa"/>
          </w:tblCellMar>
        </w:tblPrEx>
        <w:trPr>
          <w:cantSplit/>
          <w:trHeight w:val="1040"/>
        </w:trPr>
        <w:tc>
          <w:tcPr>
            <w:tcW w:w="9567" w:type="dxa"/>
            <w:gridSpan w:val="3"/>
            <w:tcBorders>
              <w:top w:val="nil"/>
              <w:left w:val="nil"/>
              <w:bottom w:val="nil"/>
              <w:right w:val="nil"/>
            </w:tcBorders>
            <w:vAlign w:val="center"/>
          </w:tcPr>
          <w:p w14:paraId="20DECD78" w14:textId="77777777" w:rsidR="00263FFB" w:rsidRPr="00263FFB" w:rsidRDefault="00263FFB" w:rsidP="00263FFB">
            <w:pPr>
              <w:pStyle w:val="ECCTabletext"/>
            </w:pPr>
            <w:r w:rsidRPr="00263FFB">
              <w:rPr>
                <w:noProof/>
                <w:lang w:eastAsia="en-GB"/>
              </w:rPr>
              <mc:AlternateContent>
                <mc:Choice Requires="wps">
                  <w:drawing>
                    <wp:anchor distT="0" distB="0" distL="114300" distR="114300" simplePos="0" relativeHeight="251658240"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4EB50F1F" w14:textId="77777777" w:rsidTr="0027736E">
        <w:tblPrEx>
          <w:tblCellMar>
            <w:left w:w="108" w:type="dxa"/>
            <w:right w:w="108" w:type="dxa"/>
          </w:tblCellMar>
        </w:tblPrEx>
        <w:trPr>
          <w:cantSplit/>
          <w:trHeight w:hRule="exact" w:val="74"/>
        </w:trPr>
        <w:tc>
          <w:tcPr>
            <w:tcW w:w="9567" w:type="dxa"/>
            <w:gridSpan w:val="3"/>
            <w:tcBorders>
              <w:top w:val="nil"/>
              <w:left w:val="nil"/>
              <w:bottom w:val="nil"/>
              <w:right w:val="nil"/>
            </w:tcBorders>
            <w:vAlign w:val="center"/>
          </w:tcPr>
          <w:p w14:paraId="43F83AE2" w14:textId="77777777" w:rsidR="00263FFB" w:rsidRPr="00F32DEC" w:rsidRDefault="00263FFB" w:rsidP="00263FFB">
            <w:pPr>
              <w:rPr>
                <w:rStyle w:val="ECCParagraph"/>
              </w:rPr>
            </w:pPr>
          </w:p>
          <w:p w14:paraId="24F7BA5C" w14:textId="77777777" w:rsidR="00263FFB" w:rsidRPr="00A3755D" w:rsidRDefault="00263FFB" w:rsidP="00263FFB"/>
        </w:tc>
      </w:tr>
      <w:tr w:rsidR="00263FFB" w:rsidRPr="00A3755D" w14:paraId="346A4B22" w14:textId="77777777" w:rsidTr="00277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567"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263FFB" w:rsidRDefault="00263FFB" w:rsidP="00263FFB">
            <w:pPr>
              <w:pStyle w:val="ECCLetterHead"/>
            </w:pPr>
            <w:r w:rsidRPr="00A3755D">
              <w:t xml:space="preserve">Summary: </w:t>
            </w:r>
          </w:p>
        </w:tc>
      </w:tr>
      <w:tr w:rsidR="00263FFB" w:rsidRPr="00A3755D" w14:paraId="6E5E5CE9" w14:textId="77777777" w:rsidTr="00277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2"/>
        </w:trPr>
        <w:tc>
          <w:tcPr>
            <w:tcW w:w="9567" w:type="dxa"/>
            <w:gridSpan w:val="3"/>
            <w:tcBorders>
              <w:top w:val="nil"/>
              <w:left w:val="single" w:sz="6" w:space="0" w:color="C00000"/>
              <w:bottom w:val="single" w:sz="6" w:space="0" w:color="C00000"/>
              <w:right w:val="single" w:sz="6" w:space="0" w:color="C00000"/>
            </w:tcBorders>
          </w:tcPr>
          <w:p w14:paraId="107FD191" w14:textId="52040B56" w:rsidR="00EB5286" w:rsidRDefault="009A6D8F" w:rsidP="009A6D8F">
            <w:r>
              <w:t>IMT-2030</w:t>
            </w:r>
            <w:r w:rsidR="00581C87">
              <w:t>/6G</w:t>
            </w:r>
            <w:r w:rsidRPr="009F0E84">
              <w:t xml:space="preserve"> is expected to become the primary mobile technology in the 2030s and will offer an enhanced user experience compared to previous generations. 6G promises ultra-fast data rates with lower latency, significant energy efficiency, and greater reliability besides sensing connectivity, immersive communications</w:t>
            </w:r>
            <w:r>
              <w:t xml:space="preserve"> and </w:t>
            </w:r>
            <w:r w:rsidR="00EB5286">
              <w:t>communications</w:t>
            </w:r>
            <w:r>
              <w:t xml:space="preserve"> empowered by artificial </w:t>
            </w:r>
            <w:r w:rsidR="0056665D">
              <w:t>intelligence</w:t>
            </w:r>
            <w:r w:rsidRPr="009F0E84">
              <w:t>.</w:t>
            </w:r>
          </w:p>
          <w:p w14:paraId="3B2465DB" w14:textId="1B7CE35B" w:rsidR="00D20009" w:rsidRDefault="00D20009" w:rsidP="00D20009">
            <w:pPr>
              <w:tabs>
                <w:tab w:val="left" w:pos="1134"/>
                <w:tab w:val="left" w:pos="1871"/>
                <w:tab w:val="left" w:pos="2268"/>
              </w:tabs>
              <w:overflowPunct w:val="0"/>
              <w:autoSpaceDE w:val="0"/>
              <w:autoSpaceDN w:val="0"/>
              <w:adjustRightInd w:val="0"/>
              <w:spacing w:before="120"/>
              <w:rPr>
                <w:lang w:val="en-AU" w:eastAsia="ko-KR"/>
              </w:rPr>
            </w:pPr>
            <w:r>
              <w:rPr>
                <w:lang w:val="en-AU" w:eastAsia="ko-KR"/>
              </w:rPr>
              <w:t xml:space="preserve">ITU-R </w:t>
            </w:r>
            <w:r w:rsidRPr="00095DF5">
              <w:rPr>
                <w:lang w:val="en-AU" w:eastAsia="ko-KR"/>
              </w:rPr>
              <w:t>W</w:t>
            </w:r>
            <w:r>
              <w:rPr>
                <w:lang w:val="en-AU" w:eastAsia="ko-KR"/>
              </w:rPr>
              <w:t xml:space="preserve">orking </w:t>
            </w:r>
            <w:r w:rsidRPr="00095DF5">
              <w:rPr>
                <w:lang w:val="en-AU" w:eastAsia="ko-KR"/>
              </w:rPr>
              <w:t>P</w:t>
            </w:r>
            <w:r>
              <w:rPr>
                <w:lang w:val="en-AU" w:eastAsia="ko-KR"/>
              </w:rPr>
              <w:t>arty</w:t>
            </w:r>
            <w:r w:rsidRPr="00095DF5">
              <w:rPr>
                <w:lang w:val="en-AU" w:eastAsia="ko-KR"/>
              </w:rPr>
              <w:t> 5D has developed a work plan, timeline, process and all the required deliverables for the future development of IMT that are necessary to be provided by the 2030 timeframe. The expected ITU-R outcome of this evolved IMT has now been agreed to be named “IMT-2030</w:t>
            </w:r>
            <w:r w:rsidR="00E23B87">
              <w:rPr>
                <w:lang w:val="en-AU" w:eastAsia="ko-KR"/>
              </w:rPr>
              <w:t>”</w:t>
            </w:r>
            <w:r w:rsidR="0037019B">
              <w:rPr>
                <w:lang w:val="en-AU" w:eastAsia="ko-KR"/>
              </w:rPr>
              <w:t xml:space="preserve"> by the responsible ITU-R WP 5D</w:t>
            </w:r>
            <w:r w:rsidR="00E23B87">
              <w:rPr>
                <w:lang w:val="en-AU" w:eastAsia="ko-KR"/>
              </w:rPr>
              <w:t>.</w:t>
            </w:r>
          </w:p>
          <w:p w14:paraId="1265BB06" w14:textId="5E420C9B" w:rsidR="00D20009" w:rsidRPr="00803434" w:rsidRDefault="00D20009" w:rsidP="009A6D8F">
            <w:pPr>
              <w:rPr>
                <w:lang w:val="en-AU"/>
              </w:rPr>
            </w:pPr>
            <w:r>
              <w:rPr>
                <w:lang w:val="en-AU"/>
              </w:rPr>
              <w:t>Moreover</w:t>
            </w:r>
            <w:r w:rsidR="009378DB">
              <w:t>,</w:t>
            </w:r>
            <w:r w:rsidR="00FC05A7">
              <w:t xml:space="preserve"> i</w:t>
            </w:r>
            <w:r w:rsidR="0048271D">
              <w:t xml:space="preserve">n the recent CPM-23-2 </w:t>
            </w:r>
            <w:r w:rsidR="00043478">
              <w:t>discussions,</w:t>
            </w:r>
            <w:r w:rsidR="0048271D">
              <w:t xml:space="preserve"> </w:t>
            </w:r>
            <w:r w:rsidR="0048271D" w:rsidRPr="003E5D2C">
              <w:t>suggestions for</w:t>
            </w:r>
            <w:r w:rsidR="0048271D">
              <w:t xml:space="preserve"> an </w:t>
            </w:r>
            <w:r w:rsidR="002427DA">
              <w:t xml:space="preserve">IMT </w:t>
            </w:r>
            <w:r w:rsidR="002427DA" w:rsidRPr="003E5D2C">
              <w:t>agenda</w:t>
            </w:r>
            <w:r w:rsidR="0048271D" w:rsidRPr="003E5D2C">
              <w:t xml:space="preserve"> item</w:t>
            </w:r>
            <w:r w:rsidR="002B7174">
              <w:t xml:space="preserve">, </w:t>
            </w:r>
            <w:r w:rsidR="00141E9C">
              <w:t xml:space="preserve">to cater for IMT-2030/6G spectrum </w:t>
            </w:r>
            <w:r w:rsidR="003357F2">
              <w:t>need and use</w:t>
            </w:r>
            <w:r w:rsidR="002B7174">
              <w:t xml:space="preserve">, are </w:t>
            </w:r>
            <w:r w:rsidR="0048271D" w:rsidRPr="003E5D2C">
              <w:t>currently under consideration for inclusion on the agenda for WRC-27</w:t>
            </w:r>
            <w:r w:rsidR="0048271D">
              <w:t xml:space="preserve"> </w:t>
            </w:r>
            <w:r w:rsidR="002B7174">
              <w:t xml:space="preserve">and </w:t>
            </w:r>
            <w:r w:rsidR="009C0F4C">
              <w:t>were</w:t>
            </w:r>
            <w:r w:rsidR="0048271D">
              <w:t xml:space="preserve"> </w:t>
            </w:r>
            <w:r w:rsidR="002B7174">
              <w:t xml:space="preserve">contributed </w:t>
            </w:r>
            <w:r w:rsidR="00D12011">
              <w:t>to</w:t>
            </w:r>
            <w:r w:rsidR="002B7174">
              <w:t xml:space="preserve"> the doc </w:t>
            </w:r>
            <w:r w:rsidR="002B7174" w:rsidRPr="00913461">
              <w:t>CPM23-2/2</w:t>
            </w:r>
            <w:r w:rsidR="002B7174">
              <w:t>21 and referenced in the summary</w:t>
            </w:r>
            <w:r w:rsidR="0048271D">
              <w:t xml:space="preserve"> </w:t>
            </w:r>
            <w:r w:rsidR="009C0F4C">
              <w:t>d</w:t>
            </w:r>
            <w:r w:rsidR="0048271D" w:rsidRPr="00913461">
              <w:t>ocument CPM23-2/247</w:t>
            </w:r>
            <w:r w:rsidR="002B7174">
              <w:t>r1</w:t>
            </w:r>
            <w:r w:rsidR="00B94106">
              <w:t>.</w:t>
            </w:r>
            <w:r w:rsidR="0048271D">
              <w:t xml:space="preserve">  </w:t>
            </w:r>
          </w:p>
          <w:p w14:paraId="6CC933F0" w14:textId="575362F1" w:rsidR="002F70E6" w:rsidRDefault="00374C5B" w:rsidP="00D76EBE">
            <w:pPr>
              <w:rPr>
                <w:shd w:val="clear" w:color="auto" w:fill="FFFFFF" w:themeFill="background1"/>
              </w:rPr>
            </w:pPr>
            <w:r>
              <w:t xml:space="preserve">Noting the </w:t>
            </w:r>
            <w:r w:rsidR="00C06806">
              <w:t>development</w:t>
            </w:r>
            <w:r>
              <w:t xml:space="preserve"> and discussion</w:t>
            </w:r>
            <w:r w:rsidR="00C06806">
              <w:t>s</w:t>
            </w:r>
            <w:r>
              <w:t xml:space="preserve"> </w:t>
            </w:r>
            <w:r w:rsidR="00C06806">
              <w:t xml:space="preserve">in </w:t>
            </w:r>
            <w:r w:rsidR="00BB2B24">
              <w:t xml:space="preserve">ECC </w:t>
            </w:r>
            <w:r w:rsidR="00C230A9">
              <w:t>CPG PTA meetings</w:t>
            </w:r>
            <w:r w:rsidR="00C06806">
              <w:t xml:space="preserve"> with respect to proposal</w:t>
            </w:r>
            <w:r w:rsidR="00CB1855">
              <w:t>s</w:t>
            </w:r>
            <w:r w:rsidR="00C06806">
              <w:t xml:space="preserve"> </w:t>
            </w:r>
            <w:r w:rsidR="00344E1F">
              <w:t>on AI10</w:t>
            </w:r>
            <w:r w:rsidR="007379DD">
              <w:t>,</w:t>
            </w:r>
            <w:r w:rsidR="00A4518D">
              <w:t xml:space="preserve"> </w:t>
            </w:r>
            <w:r w:rsidR="00D44CD2">
              <w:t xml:space="preserve">there is a need to explore additional spectrum bands </w:t>
            </w:r>
            <w:r w:rsidR="00CB1855">
              <w:t xml:space="preserve">for IMT </w:t>
            </w:r>
            <w:r w:rsidR="000B2271">
              <w:t>and</w:t>
            </w:r>
            <w:r w:rsidR="00514421">
              <w:t xml:space="preserve"> for</w:t>
            </w:r>
            <w:r w:rsidR="002B4FCB">
              <w:t xml:space="preserve"> the mobile industry</w:t>
            </w:r>
            <w:r w:rsidR="0072714E">
              <w:t xml:space="preserve"> stakeholders</w:t>
            </w:r>
            <w:r w:rsidR="002B4FCB">
              <w:t xml:space="preserve"> to provide a list of </w:t>
            </w:r>
            <w:r w:rsidR="00E41BE5">
              <w:t xml:space="preserve">additional </w:t>
            </w:r>
            <w:r w:rsidR="002B4FCB">
              <w:t>frequency bands</w:t>
            </w:r>
            <w:r w:rsidR="00626D43">
              <w:t xml:space="preserve"> to be studied</w:t>
            </w:r>
            <w:r w:rsidR="002B4FCB">
              <w:t xml:space="preserve"> </w:t>
            </w:r>
            <w:r w:rsidR="00D44CD2">
              <w:t>for the development and reali</w:t>
            </w:r>
            <w:r w:rsidR="005C0334">
              <w:t>s</w:t>
            </w:r>
            <w:r w:rsidR="00D44CD2">
              <w:t>ation of IMT-2030</w:t>
            </w:r>
            <w:r w:rsidR="00A24203">
              <w:t>/6G</w:t>
            </w:r>
            <w:r w:rsidR="00D44CD2">
              <w:t xml:space="preserve">. </w:t>
            </w:r>
            <w:r w:rsidR="00D44CD2" w:rsidRPr="00B34FE0">
              <w:rPr>
                <w:shd w:val="clear" w:color="auto" w:fill="FFFFFF" w:themeFill="background1"/>
              </w:rPr>
              <w:t>This contribution</w:t>
            </w:r>
            <w:r w:rsidR="00451C4D" w:rsidRPr="00B34FE0">
              <w:rPr>
                <w:shd w:val="clear" w:color="auto" w:fill="FFFFFF" w:themeFill="background1"/>
              </w:rPr>
              <w:t xml:space="preserve"> </w:t>
            </w:r>
            <w:r w:rsidR="00FA03D5" w:rsidRPr="00B34FE0">
              <w:rPr>
                <w:shd w:val="clear" w:color="auto" w:fill="FFFFFF" w:themeFill="background1"/>
              </w:rPr>
              <w:t>proposes specific frequency sub-bands from within 7.125-15.35 GHz</w:t>
            </w:r>
            <w:r w:rsidR="008C6F49" w:rsidRPr="00B34FE0">
              <w:rPr>
                <w:shd w:val="clear" w:color="auto" w:fill="FFFFFF" w:themeFill="background1"/>
              </w:rPr>
              <w:t xml:space="preserve">, noting </w:t>
            </w:r>
            <w:r w:rsidR="00007060" w:rsidRPr="00B34FE0">
              <w:rPr>
                <w:shd w:val="clear" w:color="auto" w:fill="FFFFFF" w:themeFill="background1"/>
              </w:rPr>
              <w:t xml:space="preserve">the current status of some </w:t>
            </w:r>
            <w:r w:rsidR="00A84DEE">
              <w:rPr>
                <w:shd w:val="clear" w:color="auto" w:fill="FFFFFF" w:themeFill="background1"/>
              </w:rPr>
              <w:t>C</w:t>
            </w:r>
            <w:r w:rsidR="00D26C8A">
              <w:rPr>
                <w:shd w:val="clear" w:color="auto" w:fill="FFFFFF" w:themeFill="background1"/>
              </w:rPr>
              <w:t xml:space="preserve">ommon </w:t>
            </w:r>
            <w:r w:rsidR="00A84DEE">
              <w:rPr>
                <w:shd w:val="clear" w:color="auto" w:fill="FFFFFF" w:themeFill="background1"/>
              </w:rPr>
              <w:t>S</w:t>
            </w:r>
            <w:r w:rsidR="00D26C8A">
              <w:rPr>
                <w:shd w:val="clear" w:color="auto" w:fill="FFFFFF" w:themeFill="background1"/>
              </w:rPr>
              <w:t xml:space="preserve">ecurity and </w:t>
            </w:r>
            <w:r w:rsidR="00A84DEE">
              <w:rPr>
                <w:shd w:val="clear" w:color="auto" w:fill="FFFFFF" w:themeFill="background1"/>
              </w:rPr>
              <w:t>D</w:t>
            </w:r>
            <w:r w:rsidR="00D26C8A">
              <w:rPr>
                <w:shd w:val="clear" w:color="auto" w:fill="FFFFFF" w:themeFill="background1"/>
              </w:rPr>
              <w:t xml:space="preserve">efence </w:t>
            </w:r>
            <w:r w:rsidR="00A84DEE">
              <w:rPr>
                <w:shd w:val="clear" w:color="auto" w:fill="FFFFFF" w:themeFill="background1"/>
              </w:rPr>
              <w:t>P</w:t>
            </w:r>
            <w:r w:rsidR="00D26C8A">
              <w:rPr>
                <w:shd w:val="clear" w:color="auto" w:fill="FFFFFF" w:themeFill="background1"/>
              </w:rPr>
              <w:t>olicy</w:t>
            </w:r>
            <w:r w:rsidR="00A84DEE">
              <w:rPr>
                <w:shd w:val="clear" w:color="auto" w:fill="FFFFFF" w:themeFill="background1"/>
              </w:rPr>
              <w:t xml:space="preserve"> (CSDP)</w:t>
            </w:r>
            <w:r w:rsidR="00D26C8A" w:rsidRPr="00B34FE0">
              <w:rPr>
                <w:shd w:val="clear" w:color="auto" w:fill="FFFFFF" w:themeFill="background1"/>
              </w:rPr>
              <w:t xml:space="preserve"> </w:t>
            </w:r>
            <w:r w:rsidR="00007060" w:rsidRPr="00B34FE0">
              <w:rPr>
                <w:shd w:val="clear" w:color="auto" w:fill="FFFFFF" w:themeFill="background1"/>
              </w:rPr>
              <w:t xml:space="preserve">bands </w:t>
            </w:r>
            <w:r w:rsidR="00815821" w:rsidRPr="00B34FE0">
              <w:rPr>
                <w:shd w:val="clear" w:color="auto" w:fill="FFFFFF" w:themeFill="background1"/>
              </w:rPr>
              <w:t xml:space="preserve">in this range in Europe and the need to consider </w:t>
            </w:r>
            <w:r w:rsidR="00E43913" w:rsidRPr="00B34FE0">
              <w:rPr>
                <w:shd w:val="clear" w:color="auto" w:fill="FFFFFF" w:themeFill="background1"/>
              </w:rPr>
              <w:t>coexistence with co-primary services</w:t>
            </w:r>
            <w:r w:rsidR="00AB0499" w:rsidRPr="00B34FE0">
              <w:rPr>
                <w:shd w:val="clear" w:color="auto" w:fill="FFFFFF" w:themeFill="background1"/>
              </w:rPr>
              <w:t>.</w:t>
            </w:r>
          </w:p>
          <w:p w14:paraId="117270CF" w14:textId="4EE80D85" w:rsidR="00743B44" w:rsidRPr="0027736E" w:rsidRDefault="004B0610" w:rsidP="00D76EBE">
            <w:r>
              <w:rPr>
                <w:shd w:val="clear" w:color="auto" w:fill="FFFFFF" w:themeFill="background1"/>
              </w:rPr>
              <w:t xml:space="preserve">Nevertheless, ECC CPG PTA is invited to consider </w:t>
            </w:r>
            <w:r w:rsidR="00D15653">
              <w:rPr>
                <w:shd w:val="clear" w:color="auto" w:fill="FFFFFF" w:themeFill="background1"/>
              </w:rPr>
              <w:t xml:space="preserve">what studies/measures </w:t>
            </w:r>
            <w:r w:rsidR="00610B28">
              <w:rPr>
                <w:shd w:val="clear" w:color="auto" w:fill="FFFFFF" w:themeFill="background1"/>
              </w:rPr>
              <w:t xml:space="preserve">that need to be taken into account in order for the proposal not to jeopardise usages relevant to the </w:t>
            </w:r>
            <w:r w:rsidR="00EA3635">
              <w:rPr>
                <w:shd w:val="clear" w:color="auto" w:fill="FFFFFF" w:themeFill="background1"/>
              </w:rPr>
              <w:t xml:space="preserve">CSDP or to the </w:t>
            </w:r>
            <w:r w:rsidR="002B7174">
              <w:rPr>
                <w:shd w:val="clear" w:color="auto" w:fill="FFFFFF" w:themeFill="background1"/>
              </w:rPr>
              <w:t xml:space="preserve">European </w:t>
            </w:r>
            <w:r w:rsidR="00EA3635">
              <w:rPr>
                <w:shd w:val="clear" w:color="auto" w:fill="FFFFFF" w:themeFill="background1"/>
              </w:rPr>
              <w:t xml:space="preserve">space policy. This may as well lead to the exclusion of some of the proposed </w:t>
            </w:r>
            <w:r w:rsidR="007F6937">
              <w:rPr>
                <w:shd w:val="clear" w:color="auto" w:fill="FFFFFF" w:themeFill="background1"/>
              </w:rPr>
              <w:t>bands</w:t>
            </w:r>
            <w:r w:rsidR="00C80116">
              <w:rPr>
                <w:shd w:val="clear" w:color="auto" w:fill="FFFFFF" w:themeFill="background1"/>
              </w:rPr>
              <w:t xml:space="preserve"> in CEPT</w:t>
            </w:r>
            <w:r w:rsidR="00780919">
              <w:rPr>
                <w:shd w:val="clear" w:color="auto" w:fill="FFFFFF" w:themeFill="background1"/>
              </w:rPr>
              <w:t xml:space="preserve">, </w:t>
            </w:r>
            <w:r w:rsidR="004C6F12">
              <w:rPr>
                <w:shd w:val="clear" w:color="auto" w:fill="FFFFFF" w:themeFill="background1"/>
              </w:rPr>
              <w:t xml:space="preserve">while still being </w:t>
            </w:r>
            <w:r w:rsidR="00F308FA">
              <w:rPr>
                <w:shd w:val="clear" w:color="auto" w:fill="FFFFFF" w:themeFill="background1"/>
              </w:rPr>
              <w:t xml:space="preserve">relevant/important in other Regions (similar to </w:t>
            </w:r>
            <w:r w:rsidR="00595A36">
              <w:rPr>
                <w:shd w:val="clear" w:color="auto" w:fill="FFFFFF" w:themeFill="background1"/>
              </w:rPr>
              <w:t xml:space="preserve">the approach taken </w:t>
            </w:r>
            <w:r w:rsidR="00D96B28">
              <w:rPr>
                <w:shd w:val="clear" w:color="auto" w:fill="FFFFFF" w:themeFill="background1"/>
              </w:rPr>
              <w:t>for the 37-43.5 GHz band</w:t>
            </w:r>
            <w:r w:rsidR="00D86D74">
              <w:rPr>
                <w:shd w:val="clear" w:color="auto" w:fill="FFFFFF" w:themeFill="background1"/>
              </w:rPr>
              <w:t xml:space="preserve">; while the band was </w:t>
            </w:r>
            <w:r w:rsidR="00705903">
              <w:rPr>
                <w:shd w:val="clear" w:color="auto" w:fill="FFFFFF" w:themeFill="background1"/>
              </w:rPr>
              <w:t>harmonised for IMT at WRC-19</w:t>
            </w:r>
            <w:r w:rsidR="00196B12">
              <w:rPr>
                <w:shd w:val="clear" w:color="auto" w:fill="FFFFFF" w:themeFill="background1"/>
              </w:rPr>
              <w:t xml:space="preserve">, </w:t>
            </w:r>
            <w:r w:rsidR="006A6779">
              <w:rPr>
                <w:shd w:val="clear" w:color="auto" w:fill="FFFFFF" w:themeFill="background1"/>
              </w:rPr>
              <w:t>the scope for Region 1 was limited to 40.5-43.5 GHz)</w:t>
            </w:r>
            <w:r w:rsidR="00E42D03">
              <w:rPr>
                <w:shd w:val="clear" w:color="auto" w:fill="FFFFFF" w:themeFill="background1"/>
              </w:rPr>
              <w:t>.</w:t>
            </w:r>
          </w:p>
        </w:tc>
      </w:tr>
      <w:tr w:rsidR="00263FFB" w:rsidRPr="00A3755D" w14:paraId="0A2084F3" w14:textId="77777777" w:rsidTr="00277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567" w:type="dxa"/>
            <w:gridSpan w:val="3"/>
            <w:tcBorders>
              <w:top w:val="single" w:sz="6" w:space="0" w:color="C00000"/>
              <w:left w:val="single" w:sz="6" w:space="0" w:color="C00000"/>
              <w:bottom w:val="nil"/>
              <w:right w:val="single" w:sz="6" w:space="0" w:color="C00000"/>
            </w:tcBorders>
            <w:vAlign w:val="center"/>
          </w:tcPr>
          <w:p w14:paraId="351F3AD3" w14:textId="77777777" w:rsidR="00263FFB" w:rsidRPr="0027736E" w:rsidRDefault="00263FFB" w:rsidP="00263FFB">
            <w:pPr>
              <w:pStyle w:val="ECCLetterHead"/>
            </w:pPr>
            <w:r w:rsidRPr="0027736E">
              <w:t>Proposal:</w:t>
            </w:r>
          </w:p>
        </w:tc>
      </w:tr>
      <w:tr w:rsidR="00263FFB" w:rsidRPr="00A3755D" w14:paraId="55455C93" w14:textId="77777777" w:rsidTr="00277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567" w:type="dxa"/>
            <w:gridSpan w:val="3"/>
            <w:tcBorders>
              <w:top w:val="nil"/>
              <w:left w:val="single" w:sz="6" w:space="0" w:color="C00000"/>
              <w:bottom w:val="single" w:sz="6" w:space="0" w:color="C00000"/>
              <w:right w:val="single" w:sz="6" w:space="0" w:color="C00000"/>
            </w:tcBorders>
          </w:tcPr>
          <w:p w14:paraId="5EEB5560" w14:textId="1BD7D33A" w:rsidR="00095F5A" w:rsidRPr="0027736E" w:rsidRDefault="00140070" w:rsidP="00095F5A">
            <w:pPr>
              <w:pStyle w:val="ECCTabletext"/>
            </w:pPr>
            <w:r w:rsidRPr="0027736E">
              <w:t>ECC PT</w:t>
            </w:r>
            <w:r w:rsidR="001F16C6" w:rsidRPr="0027736E">
              <w:t>A</w:t>
            </w:r>
            <w:r w:rsidRPr="0027736E">
              <w:t xml:space="preserve"> is invited to</w:t>
            </w:r>
            <w:r w:rsidR="005F13BE">
              <w:t>:</w:t>
            </w:r>
          </w:p>
          <w:p w14:paraId="7E4EC727" w14:textId="7F7AE258" w:rsidR="00153704" w:rsidRDefault="00513023" w:rsidP="00B27215">
            <w:pPr>
              <w:pStyle w:val="ECCTabletext"/>
              <w:numPr>
                <w:ilvl w:val="0"/>
                <w:numId w:val="12"/>
              </w:numPr>
            </w:pPr>
            <w:r w:rsidRPr="0027736E">
              <w:t>c</w:t>
            </w:r>
            <w:r w:rsidR="00257BE0" w:rsidRPr="0027736E">
              <w:t xml:space="preserve">onsider </w:t>
            </w:r>
            <w:r w:rsidRPr="0027736E">
              <w:t>th</w:t>
            </w:r>
            <w:r w:rsidR="00785037" w:rsidRPr="0027736E">
              <w:t>is contribution</w:t>
            </w:r>
            <w:r w:rsidR="001F16C6" w:rsidRPr="0027736E">
              <w:t xml:space="preserve"> in relation to</w:t>
            </w:r>
            <w:r w:rsidR="00257BE0" w:rsidRPr="0027736E">
              <w:t xml:space="preserve"> addressing</w:t>
            </w:r>
            <w:r w:rsidRPr="0027736E">
              <w:t xml:space="preserve"> </w:t>
            </w:r>
            <w:r w:rsidR="005B027F">
              <w:t xml:space="preserve">a </w:t>
            </w:r>
            <w:r w:rsidR="00E43CE9" w:rsidRPr="0027736E">
              <w:t xml:space="preserve">WRC-27 </w:t>
            </w:r>
            <w:r w:rsidR="005B027F">
              <w:t xml:space="preserve">agenda item </w:t>
            </w:r>
            <w:r w:rsidR="00A54DC6">
              <w:t>for possible IMT identification of fre</w:t>
            </w:r>
            <w:r w:rsidR="00B959EB">
              <w:t xml:space="preserve">quency bands </w:t>
            </w:r>
            <w:r w:rsidR="0010418F" w:rsidRPr="007001F4">
              <w:rPr>
                <w:rFonts w:eastAsia="Microsoft YaHei" w:cs="Arial"/>
              </w:rPr>
              <w:t>from within the frequency range 7</w:t>
            </w:r>
            <w:r w:rsidR="000B174B">
              <w:rPr>
                <w:rFonts w:eastAsia="Microsoft YaHei" w:cs="Arial"/>
              </w:rPr>
              <w:t>.125</w:t>
            </w:r>
            <w:r w:rsidR="0010418F" w:rsidRPr="007001F4">
              <w:rPr>
                <w:rFonts w:eastAsia="Microsoft YaHei" w:cs="Arial"/>
              </w:rPr>
              <w:t>-15</w:t>
            </w:r>
            <w:r w:rsidR="000B174B">
              <w:rPr>
                <w:rFonts w:eastAsia="Microsoft YaHei" w:cs="Arial"/>
              </w:rPr>
              <w:t>.35</w:t>
            </w:r>
            <w:r w:rsidR="0010418F" w:rsidRPr="007001F4">
              <w:rPr>
                <w:rFonts w:eastAsia="Microsoft YaHei" w:cs="Arial"/>
              </w:rPr>
              <w:t xml:space="preserve"> GHz</w:t>
            </w:r>
            <w:r w:rsidR="00855061">
              <w:rPr>
                <w:rFonts w:ascii="Microsoft YaHei" w:eastAsia="Microsoft YaHei" w:hAnsi="Microsoft YaHei" w:cs="Microsoft YaHei"/>
              </w:rPr>
              <w:t xml:space="preserve"> </w:t>
            </w:r>
            <w:r w:rsidR="00942743" w:rsidRPr="0027736E">
              <w:t>and</w:t>
            </w:r>
            <w:r w:rsidR="00942743">
              <w:t>,</w:t>
            </w:r>
            <w:r w:rsidR="00942743" w:rsidRPr="0027736E">
              <w:t xml:space="preserve"> if necessary, to allocate</w:t>
            </w:r>
            <w:r w:rsidR="00942743">
              <w:t xml:space="preserve"> frequency range(s)</w:t>
            </w:r>
            <w:r w:rsidR="00942743" w:rsidRPr="0027736E">
              <w:t xml:space="preserve"> to </w:t>
            </w:r>
            <w:r w:rsidR="00942743">
              <w:t xml:space="preserve">the </w:t>
            </w:r>
            <w:r w:rsidR="00CC1B8E">
              <w:t>M</w:t>
            </w:r>
            <w:r w:rsidR="00942743" w:rsidRPr="0027736E">
              <w:t>obile</w:t>
            </w:r>
            <w:r w:rsidR="00942743">
              <w:t xml:space="preserve"> </w:t>
            </w:r>
            <w:r w:rsidR="00CC1B8E">
              <w:t>S</w:t>
            </w:r>
            <w:r w:rsidR="00942743">
              <w:t>ervice on a primary basis</w:t>
            </w:r>
            <w:r w:rsidR="00BF3F73">
              <w:t>.</w:t>
            </w:r>
          </w:p>
          <w:p w14:paraId="70DFD042" w14:textId="2F3B27A4" w:rsidR="002F70E6" w:rsidRPr="0027736E" w:rsidRDefault="00095F5A" w:rsidP="00922F22">
            <w:pPr>
              <w:pStyle w:val="ECCTabletext"/>
            </w:pPr>
            <w:r w:rsidRPr="0027736E">
              <w:t xml:space="preserve"> </w:t>
            </w:r>
          </w:p>
        </w:tc>
      </w:tr>
    </w:tbl>
    <w:p w14:paraId="7C013FDE" w14:textId="69BF42B9" w:rsidR="00291A3A" w:rsidRDefault="00291A3A">
      <w:pPr>
        <w:rPr>
          <w:rStyle w:val="ECCParagraph"/>
          <w:rFonts w:eastAsia="Times New Roman" w:cs="Arial"/>
          <w:b/>
          <w:bCs/>
          <w:caps/>
          <w:color w:val="D2232A"/>
          <w:kern w:val="32"/>
          <w:szCs w:val="32"/>
        </w:rPr>
      </w:pPr>
    </w:p>
    <w:p w14:paraId="637F709A" w14:textId="3F261ADA" w:rsidR="001B0583" w:rsidRDefault="00C438D1" w:rsidP="004C47DE">
      <w:pPr>
        <w:pStyle w:val="Heading1"/>
        <w:rPr>
          <w:rStyle w:val="ECCParagraph"/>
        </w:rPr>
      </w:pPr>
      <w:r>
        <w:rPr>
          <w:rStyle w:val="ECCParagraph"/>
        </w:rPr>
        <w:t>introduction</w:t>
      </w:r>
    </w:p>
    <w:p w14:paraId="4CBE1413" w14:textId="0F33C0BE" w:rsidR="00980A14" w:rsidRDefault="00980A14" w:rsidP="00EB2D4B">
      <w:r>
        <w:t xml:space="preserve">6G will serve a wide range of use cases. Clearly, mobile broadband </w:t>
      </w:r>
      <w:r w:rsidR="0085452A">
        <w:t xml:space="preserve">use cases </w:t>
      </w:r>
      <w:r>
        <w:t xml:space="preserve">will continue to be important. The November 2022 issue of the Ericsson Mobility Report </w:t>
      </w:r>
      <w:r w:rsidR="00DE6060">
        <w:fldChar w:fldCharType="begin"/>
      </w:r>
      <w:r w:rsidR="00DE6060">
        <w:instrText xml:space="preserve"> REF _Ref132811652 \h </w:instrText>
      </w:r>
      <w:r w:rsidR="00DE6060">
        <w:fldChar w:fldCharType="separate"/>
      </w:r>
      <w:r w:rsidR="00DE6060">
        <w:rPr>
          <w:lang w:eastAsia="zh-CN"/>
        </w:rPr>
        <w:t>[</w:t>
      </w:r>
      <w:r w:rsidR="00DE6060">
        <w:rPr>
          <w:noProof/>
          <w:lang w:eastAsia="zh-CN"/>
        </w:rPr>
        <w:t>1</w:t>
      </w:r>
      <w:r w:rsidR="00DE6060">
        <w:fldChar w:fldCharType="end"/>
      </w:r>
      <w:r w:rsidR="00DE6060">
        <w:t>]</w:t>
      </w:r>
      <w:r>
        <w:t xml:space="preserve"> indicated that mobile network data traffic doubled in the preceding two years. Traffic is expected to </w:t>
      </w:r>
      <w:r w:rsidR="00C516E3">
        <w:t xml:space="preserve">significantly </w:t>
      </w:r>
      <w:r>
        <w:t>grow for many years to come, and cost-efficient support of this traffic increase is therefore of uttermost importance for 6G networks, translating into the need for additional spectrum even without considering new</w:t>
      </w:r>
      <w:r w:rsidR="008B3792">
        <w:t xml:space="preserve"> 6G</w:t>
      </w:r>
      <w:r>
        <w:t xml:space="preserve"> use cases.</w:t>
      </w:r>
      <w:r w:rsidR="00AF72AB">
        <w:t xml:space="preserve"> </w:t>
      </w:r>
    </w:p>
    <w:p w14:paraId="41075C91" w14:textId="17817146" w:rsidR="00D75EAC" w:rsidRPr="00883958" w:rsidRDefault="00D75EAC" w:rsidP="00EB2D4B">
      <w:pPr>
        <w:rPr>
          <w:rFonts w:eastAsia="Dotum" w:cs="Arial"/>
          <w:szCs w:val="24"/>
        </w:rPr>
      </w:pPr>
      <w:r>
        <w:t xml:space="preserve">When it comes to new </w:t>
      </w:r>
      <w:r w:rsidR="00100168">
        <w:t>IMT-2030/</w:t>
      </w:r>
      <w:r w:rsidR="00C34713">
        <w:t xml:space="preserve">6G </w:t>
      </w:r>
      <w:r>
        <w:t xml:space="preserve">use cases, </w:t>
      </w:r>
      <w:r w:rsidR="00450027">
        <w:t xml:space="preserve">a previous </w:t>
      </w:r>
      <w:r w:rsidR="00450027" w:rsidRPr="00883958">
        <w:rPr>
          <w:rFonts w:cs="Arial"/>
        </w:rPr>
        <w:t xml:space="preserve">GSA contribution </w:t>
      </w:r>
      <w:r w:rsidR="00B2452F" w:rsidRPr="00883958">
        <w:rPr>
          <w:rFonts w:cs="Arial"/>
        </w:rPr>
        <w:t xml:space="preserve">“CPG PTA(22)064” </w:t>
      </w:r>
      <w:r w:rsidR="00450027" w:rsidRPr="00883958">
        <w:rPr>
          <w:rFonts w:eastAsia="Dotum" w:cs="Arial"/>
          <w:szCs w:val="24"/>
        </w:rPr>
        <w:t>provide</w:t>
      </w:r>
      <w:r w:rsidR="00C34713">
        <w:rPr>
          <w:rFonts w:eastAsia="Dotum" w:cs="Arial"/>
          <w:szCs w:val="24"/>
        </w:rPr>
        <w:t>d</w:t>
      </w:r>
      <w:r w:rsidR="00450027" w:rsidRPr="00883958">
        <w:rPr>
          <w:rFonts w:eastAsia="Dotum" w:cs="Arial"/>
          <w:szCs w:val="24"/>
        </w:rPr>
        <w:t xml:space="preserve"> details on specific </w:t>
      </w:r>
      <w:r w:rsidR="00B2452F" w:rsidRPr="00883958">
        <w:rPr>
          <w:rFonts w:eastAsia="Dotum" w:cs="Arial"/>
          <w:szCs w:val="24"/>
        </w:rPr>
        <w:t>6G use cases</w:t>
      </w:r>
      <w:r w:rsidR="00450027" w:rsidRPr="00883958">
        <w:rPr>
          <w:rFonts w:eastAsia="Dotum" w:cs="Arial"/>
          <w:szCs w:val="24"/>
        </w:rPr>
        <w:t xml:space="preserve"> which are expected to drive the spectrum needs</w:t>
      </w:r>
      <w:r w:rsidR="00F9465B">
        <w:rPr>
          <w:rFonts w:eastAsia="Dotum" w:cs="Arial"/>
          <w:szCs w:val="24"/>
        </w:rPr>
        <w:t xml:space="preserve"> in the 6G era</w:t>
      </w:r>
      <w:r w:rsidR="00450027" w:rsidRPr="00883958">
        <w:rPr>
          <w:rFonts w:eastAsia="Dotum" w:cs="Arial"/>
          <w:szCs w:val="24"/>
        </w:rPr>
        <w:t>. Th</w:t>
      </w:r>
      <w:r w:rsidR="00E56F1F" w:rsidRPr="00883958">
        <w:rPr>
          <w:rFonts w:eastAsia="Dotum" w:cs="Arial"/>
          <w:szCs w:val="24"/>
        </w:rPr>
        <w:t>e</w:t>
      </w:r>
      <w:r w:rsidR="00450027" w:rsidRPr="00883958">
        <w:rPr>
          <w:rFonts w:eastAsia="Dotum" w:cs="Arial"/>
          <w:szCs w:val="24"/>
        </w:rPr>
        <w:t xml:space="preserve"> set of use cases </w:t>
      </w:r>
      <w:r w:rsidR="00E56F1F" w:rsidRPr="00883958">
        <w:rPr>
          <w:rFonts w:eastAsia="Dotum" w:cs="Arial"/>
          <w:szCs w:val="24"/>
        </w:rPr>
        <w:t>wa</w:t>
      </w:r>
      <w:r w:rsidR="00450027" w:rsidRPr="00883958">
        <w:rPr>
          <w:rFonts w:eastAsia="Dotum" w:cs="Arial"/>
          <w:szCs w:val="24"/>
        </w:rPr>
        <w:t>s obviously not exhaustive but provide</w:t>
      </w:r>
      <w:r w:rsidR="00C34713">
        <w:rPr>
          <w:rFonts w:eastAsia="Dotum" w:cs="Arial"/>
          <w:szCs w:val="24"/>
        </w:rPr>
        <w:t>d</w:t>
      </w:r>
      <w:r w:rsidR="00450027" w:rsidRPr="00883958">
        <w:rPr>
          <w:rFonts w:eastAsia="Dotum" w:cs="Arial"/>
          <w:szCs w:val="24"/>
        </w:rPr>
        <w:t xml:space="preserve"> some insight into the future development of IMT</w:t>
      </w:r>
      <w:r w:rsidR="00E56F1F" w:rsidRPr="00883958">
        <w:rPr>
          <w:rFonts w:eastAsia="Dotum" w:cs="Arial"/>
          <w:szCs w:val="24"/>
        </w:rPr>
        <w:t>.</w:t>
      </w:r>
    </w:p>
    <w:p w14:paraId="689CF8EA" w14:textId="5826B7C4" w:rsidR="00BB2A53" w:rsidRDefault="006F745D" w:rsidP="00E90503">
      <w:pPr>
        <w:spacing w:before="120"/>
        <w:rPr>
          <w:color w:val="000000" w:themeColor="text1"/>
        </w:rPr>
      </w:pPr>
      <w:r w:rsidRPr="00883958">
        <w:rPr>
          <w:rFonts w:cs="Arial"/>
          <w:lang w:eastAsia="ja-JP"/>
        </w:rPr>
        <w:t>In another GSA document</w:t>
      </w:r>
      <w:r w:rsidR="00D67A13">
        <w:rPr>
          <w:rFonts w:cs="Arial"/>
          <w:lang w:eastAsia="ja-JP"/>
        </w:rPr>
        <w:t xml:space="preserve"> on IMT-2030 (6</w:t>
      </w:r>
      <w:r w:rsidR="00C724B5">
        <w:rPr>
          <w:rFonts w:cs="Arial"/>
          <w:lang w:eastAsia="ja-JP"/>
        </w:rPr>
        <w:t>G</w:t>
      </w:r>
      <w:r w:rsidR="00D67A13">
        <w:rPr>
          <w:rFonts w:cs="Arial"/>
          <w:lang w:eastAsia="ja-JP"/>
        </w:rPr>
        <w:t>) spectrum needs analysis</w:t>
      </w:r>
      <w:r w:rsidR="00640C32" w:rsidRPr="00883958">
        <w:rPr>
          <w:rFonts w:cs="Arial"/>
          <w:lang w:eastAsia="ja-JP"/>
        </w:rPr>
        <w:t xml:space="preserve">, submitted </w:t>
      </w:r>
      <w:r w:rsidR="005D3B52">
        <w:rPr>
          <w:rFonts w:cs="Arial"/>
          <w:lang w:eastAsia="ja-JP"/>
        </w:rPr>
        <w:t xml:space="preserve">as </w:t>
      </w:r>
      <w:r w:rsidR="005D3B52" w:rsidRPr="00AF01BC">
        <w:rPr>
          <w:rFonts w:cs="Arial"/>
          <w:lang w:eastAsia="ja-JP"/>
        </w:rPr>
        <w:t>APG23-5/INF-26</w:t>
      </w:r>
      <w:r w:rsidR="005D3B52">
        <w:rPr>
          <w:rFonts w:cs="Arial"/>
          <w:lang w:eastAsia="ja-JP"/>
        </w:rPr>
        <w:t xml:space="preserve"> </w:t>
      </w:r>
      <w:r w:rsidR="00640C32" w:rsidRPr="00883958">
        <w:rPr>
          <w:rFonts w:cs="Arial"/>
          <w:lang w:eastAsia="ja-JP"/>
        </w:rPr>
        <w:t xml:space="preserve">in February 2023 to </w:t>
      </w:r>
      <w:r w:rsidR="00883958">
        <w:rPr>
          <w:rFonts w:cs="Arial"/>
        </w:rPr>
        <w:t>t</w:t>
      </w:r>
      <w:r w:rsidR="00883958" w:rsidRPr="00883958">
        <w:rPr>
          <w:rFonts w:cs="Arial"/>
        </w:rPr>
        <w:t>he 5th Meeting of the APT Conference Preparatory</w:t>
      </w:r>
      <w:r w:rsidR="00D67A13">
        <w:rPr>
          <w:rFonts w:cs="Arial"/>
        </w:rPr>
        <w:t xml:space="preserve"> (see </w:t>
      </w:r>
      <w:r w:rsidR="005E1F94">
        <w:rPr>
          <w:rFonts w:cs="Arial"/>
        </w:rPr>
        <w:fldChar w:fldCharType="begin"/>
      </w:r>
      <w:r w:rsidR="005E1F94">
        <w:rPr>
          <w:rFonts w:cs="Arial"/>
        </w:rPr>
        <w:instrText xml:space="preserve"> REF _Ref132811900 \h </w:instrText>
      </w:r>
      <w:r w:rsidR="005E1F94">
        <w:rPr>
          <w:rFonts w:cs="Arial"/>
        </w:rPr>
      </w:r>
      <w:r w:rsidR="005E1F94">
        <w:rPr>
          <w:rFonts w:cs="Arial"/>
        </w:rPr>
        <w:fldChar w:fldCharType="separate"/>
      </w:r>
      <w:r w:rsidR="005E1F94">
        <w:rPr>
          <w:lang w:eastAsia="zh-CN"/>
        </w:rPr>
        <w:t>Annex 1</w:t>
      </w:r>
      <w:r w:rsidR="005E1F94">
        <w:rPr>
          <w:rFonts w:cs="Arial"/>
        </w:rPr>
        <w:fldChar w:fldCharType="end"/>
      </w:r>
      <w:r w:rsidR="005E1F94">
        <w:rPr>
          <w:rFonts w:cs="Arial"/>
        </w:rPr>
        <w:t xml:space="preserve"> </w:t>
      </w:r>
      <w:r w:rsidR="00D67A13">
        <w:rPr>
          <w:rFonts w:cs="Arial"/>
        </w:rPr>
        <w:t>for an extract), use cases such as XR, holographic communications</w:t>
      </w:r>
      <w:r w:rsidR="00354319">
        <w:rPr>
          <w:rFonts w:cs="Arial"/>
        </w:rPr>
        <w:t xml:space="preserve"> and</w:t>
      </w:r>
      <w:r w:rsidR="00D67A13">
        <w:rPr>
          <w:rFonts w:cs="Arial"/>
        </w:rPr>
        <w:t xml:space="preserve"> Joint communication</w:t>
      </w:r>
      <w:r w:rsidR="00354319">
        <w:rPr>
          <w:rFonts w:cs="Arial"/>
        </w:rPr>
        <w:t xml:space="preserve"> and sensing were highlighted as drivers for </w:t>
      </w:r>
      <w:r w:rsidR="00C724B5">
        <w:rPr>
          <w:rFonts w:cs="Arial"/>
        </w:rPr>
        <w:t>additional wide-area spectrum in the 6G timeframe.</w:t>
      </w:r>
      <w:r w:rsidR="00B310DD">
        <w:rPr>
          <w:color w:val="000000" w:themeColor="text1"/>
        </w:rPr>
        <w:t xml:space="preserve"> The analysis is</w:t>
      </w:r>
      <w:r w:rsidR="00B310DD" w:rsidRPr="006F214C">
        <w:rPr>
          <w:color w:val="000000" w:themeColor="text1"/>
        </w:rPr>
        <w:t xml:space="preserve"> based on assessment methods that are straight-forward, and not over-complicated technically and creates a link between </w:t>
      </w:r>
      <w:r w:rsidR="00E90503">
        <w:rPr>
          <w:color w:val="000000" w:themeColor="text1"/>
        </w:rPr>
        <w:t xml:space="preserve">the </w:t>
      </w:r>
      <w:r w:rsidR="00B310DD" w:rsidRPr="006F214C">
        <w:rPr>
          <w:color w:val="000000" w:themeColor="text1"/>
        </w:rPr>
        <w:t xml:space="preserve">most relevant use cases and their spectrum implications/needs. </w:t>
      </w:r>
      <w:r w:rsidR="00E90503">
        <w:rPr>
          <w:color w:val="000000" w:themeColor="text1"/>
        </w:rPr>
        <w:t>According to the analysis, t</w:t>
      </w:r>
      <w:r w:rsidR="00B310DD" w:rsidRPr="006F214C">
        <w:rPr>
          <w:color w:val="000000" w:themeColor="text1"/>
        </w:rPr>
        <w:t xml:space="preserve">he estimated additional </w:t>
      </w:r>
      <w:r w:rsidR="00B310DD">
        <w:rPr>
          <w:color w:val="000000" w:themeColor="text1"/>
        </w:rPr>
        <w:t xml:space="preserve">wide-area </w:t>
      </w:r>
      <w:r w:rsidR="00B310DD" w:rsidRPr="006F214C">
        <w:rPr>
          <w:color w:val="000000" w:themeColor="text1"/>
        </w:rPr>
        <w:t xml:space="preserve">spectrum need per network </w:t>
      </w:r>
      <w:r w:rsidR="009D0AC7">
        <w:rPr>
          <w:color w:val="000000" w:themeColor="text1"/>
        </w:rPr>
        <w:t>would be</w:t>
      </w:r>
      <w:r w:rsidR="00B310DD" w:rsidRPr="006F214C">
        <w:rPr>
          <w:color w:val="000000" w:themeColor="text1"/>
        </w:rPr>
        <w:t xml:space="preserve"> ~500 to ~750 MHz depending on the existing mid bands spectrum available for IMT and on the number of networks in a specific country. </w:t>
      </w:r>
    </w:p>
    <w:p w14:paraId="0DC0778D" w14:textId="3F52DABC" w:rsidR="00A91C13" w:rsidRPr="00BB2A53" w:rsidRDefault="008E22B3" w:rsidP="00E90503">
      <w:pPr>
        <w:spacing w:before="120"/>
        <w:rPr>
          <w:color w:val="000000" w:themeColor="text1"/>
        </w:rPr>
      </w:pPr>
      <w:r w:rsidRPr="00C3355F">
        <w:rPr>
          <w:color w:val="000000" w:themeColor="text1"/>
        </w:rPr>
        <w:t>In another study, part of a</w:t>
      </w:r>
      <w:r w:rsidR="005D1248" w:rsidRPr="00C3355F">
        <w:rPr>
          <w:color w:val="000000" w:themeColor="text1"/>
        </w:rPr>
        <w:t xml:space="preserve"> recent </w:t>
      </w:r>
      <w:r w:rsidR="002450AC">
        <w:rPr>
          <w:color w:val="000000" w:themeColor="text1"/>
        </w:rPr>
        <w:t>6G</w:t>
      </w:r>
      <w:r w:rsidRPr="00C3355F">
        <w:rPr>
          <w:color w:val="000000" w:themeColor="text1"/>
        </w:rPr>
        <w:t xml:space="preserve"> white paper</w:t>
      </w:r>
      <w:r w:rsidR="00576A27" w:rsidRPr="00C3355F">
        <w:rPr>
          <w:color w:val="000000" w:themeColor="text1"/>
        </w:rPr>
        <w:t xml:space="preserve"> </w:t>
      </w:r>
      <w:r w:rsidR="0038051C" w:rsidRPr="00C3355F">
        <w:rPr>
          <w:color w:val="000000" w:themeColor="text1"/>
        </w:rPr>
        <w:fldChar w:fldCharType="begin"/>
      </w:r>
      <w:r w:rsidR="0038051C" w:rsidRPr="00C3355F">
        <w:rPr>
          <w:color w:val="000000" w:themeColor="text1"/>
        </w:rPr>
        <w:instrText xml:space="preserve"> REF _Ref132812180 \h </w:instrText>
      </w:r>
      <w:r w:rsidR="00AC2F80">
        <w:rPr>
          <w:strike/>
          <w:color w:val="000000" w:themeColor="text1"/>
        </w:rPr>
        <w:instrText xml:space="preserve"> \* MERGEFORMAT </w:instrText>
      </w:r>
      <w:r w:rsidR="0038051C" w:rsidRPr="00C3355F">
        <w:rPr>
          <w:color w:val="000000" w:themeColor="text1"/>
        </w:rPr>
      </w:r>
      <w:r w:rsidR="0038051C" w:rsidRPr="00C3355F">
        <w:rPr>
          <w:color w:val="000000" w:themeColor="text1"/>
        </w:rPr>
        <w:fldChar w:fldCharType="separate"/>
      </w:r>
      <w:r w:rsidR="0038051C" w:rsidRPr="00C3355F">
        <w:rPr>
          <w:lang w:eastAsia="zh-CN"/>
        </w:rPr>
        <w:t>[</w:t>
      </w:r>
      <w:r w:rsidR="0038051C" w:rsidRPr="00C3355F">
        <w:rPr>
          <w:noProof/>
          <w:lang w:eastAsia="zh-CN"/>
        </w:rPr>
        <w:t>2</w:t>
      </w:r>
      <w:r w:rsidR="0038051C" w:rsidRPr="00C3355F">
        <w:rPr>
          <w:color w:val="000000" w:themeColor="text1"/>
        </w:rPr>
        <w:fldChar w:fldCharType="end"/>
      </w:r>
      <w:r w:rsidR="0038051C" w:rsidRPr="00C3355F">
        <w:rPr>
          <w:color w:val="000000" w:themeColor="text1"/>
        </w:rPr>
        <w:t>]</w:t>
      </w:r>
      <w:r w:rsidRPr="00C3355F">
        <w:rPr>
          <w:color w:val="000000" w:themeColor="text1"/>
        </w:rPr>
        <w:t xml:space="preserve">, </w:t>
      </w:r>
      <w:r w:rsidR="005D1248" w:rsidRPr="00C3355F">
        <w:rPr>
          <w:color w:val="000000" w:themeColor="text1"/>
        </w:rPr>
        <w:t>qu</w:t>
      </w:r>
      <w:r w:rsidR="00275920" w:rsidRPr="00C3355F">
        <w:rPr>
          <w:color w:val="000000" w:themeColor="text1"/>
        </w:rPr>
        <w:t xml:space="preserve">ite </w:t>
      </w:r>
      <w:r w:rsidRPr="00C3355F">
        <w:rPr>
          <w:color w:val="000000" w:themeColor="text1"/>
        </w:rPr>
        <w:t>similar spectrum needs results were</w:t>
      </w:r>
      <w:r w:rsidR="00EA24C9" w:rsidRPr="00C3355F">
        <w:rPr>
          <w:color w:val="000000" w:themeColor="text1"/>
        </w:rPr>
        <w:t xml:space="preserve"> found</w:t>
      </w:r>
      <w:r w:rsidR="0020410A">
        <w:rPr>
          <w:color w:val="000000" w:themeColor="text1"/>
        </w:rPr>
        <w:t xml:space="preserve">. </w:t>
      </w:r>
      <w:r w:rsidR="000E3B4C">
        <w:t xml:space="preserve">The amount and exact spectrum available in each </w:t>
      </w:r>
      <w:r w:rsidR="0078571C">
        <w:t>country</w:t>
      </w:r>
      <w:r w:rsidR="000E3B4C">
        <w:t xml:space="preserve"> that allows for the best balance between coverage and capacity differs largely across the world, but even when considering </w:t>
      </w:r>
      <w:r w:rsidR="00A23B3D">
        <w:t>the most optimistic assumptions in terms of spectrum availability by 2030</w:t>
      </w:r>
      <w:r w:rsidR="000E3B4C">
        <w:t xml:space="preserve"> in the mid-band range</w:t>
      </w:r>
      <w:r w:rsidR="00C027DE">
        <w:t xml:space="preserve"> (including the </w:t>
      </w:r>
      <w:r w:rsidR="00653EEE">
        <w:t xml:space="preserve">availability </w:t>
      </w:r>
      <w:r w:rsidR="00BD5683">
        <w:t xml:space="preserve">of the </w:t>
      </w:r>
      <w:r w:rsidR="00C027DE">
        <w:t>upper 6 GHz band</w:t>
      </w:r>
      <w:r w:rsidR="00BD5683">
        <w:t xml:space="preserve"> for IMT</w:t>
      </w:r>
      <w:r w:rsidR="00675204">
        <w:t>)</w:t>
      </w:r>
      <w:r w:rsidR="000E3B4C">
        <w:t xml:space="preserve">, </w:t>
      </w:r>
      <w:r w:rsidR="00585DBE">
        <w:t xml:space="preserve">a total </w:t>
      </w:r>
      <w:r w:rsidR="000E3B4C">
        <w:t xml:space="preserve">spectrum shortfall </w:t>
      </w:r>
      <w:r w:rsidR="0056169B">
        <w:t>of ~1.5</w:t>
      </w:r>
      <w:r w:rsidR="00030499">
        <w:t xml:space="preserve"> to </w:t>
      </w:r>
      <w:r w:rsidR="0056169B">
        <w:t xml:space="preserve">2.2 GHz </w:t>
      </w:r>
      <w:r w:rsidR="000E3B4C">
        <w:t>is found</w:t>
      </w:r>
      <w:r w:rsidR="0052448E">
        <w:t>.</w:t>
      </w:r>
      <w:r w:rsidR="008707E6">
        <w:t xml:space="preserve"> </w:t>
      </w:r>
    </w:p>
    <w:p w14:paraId="3FF0BD79" w14:textId="73DC6278" w:rsidR="00DF5DEB" w:rsidRDefault="00DF5DEB" w:rsidP="00E90503">
      <w:pPr>
        <w:spacing w:before="120"/>
      </w:pPr>
      <w:r>
        <w:t xml:space="preserve">In order to </w:t>
      </w:r>
      <w:r w:rsidR="00380B3A">
        <w:t>close this gap/shortfall</w:t>
      </w:r>
      <w:r w:rsidR="00A47018">
        <w:t>, suitable spectrum</w:t>
      </w:r>
      <w:r w:rsidR="00380B3A">
        <w:t xml:space="preserve"> </w:t>
      </w:r>
      <w:r>
        <w:t>must be considered in the closest proximity to mid-bands</w:t>
      </w:r>
      <w:r w:rsidR="00A47018">
        <w:t>.</w:t>
      </w:r>
      <w:r>
        <w:t xml:space="preserve"> </w:t>
      </w:r>
      <w:r w:rsidR="00A47018">
        <w:t>T</w:t>
      </w:r>
      <w:r w:rsidR="00380B3A">
        <w:t>his is whe</w:t>
      </w:r>
      <w:r w:rsidR="004B59DB">
        <w:t>re</w:t>
      </w:r>
      <w:r w:rsidR="0018000D">
        <w:t xml:space="preserve"> </w:t>
      </w:r>
      <w:r>
        <w:t>the 7</w:t>
      </w:r>
      <w:r w:rsidR="0018000D">
        <w:t>.125</w:t>
      </w:r>
      <w:r>
        <w:t>–15</w:t>
      </w:r>
      <w:r w:rsidR="0018000D">
        <w:t>.35</w:t>
      </w:r>
      <w:r>
        <w:t xml:space="preserve"> GHz</w:t>
      </w:r>
      <w:r w:rsidR="0018000D">
        <w:t xml:space="preserve"> range </w:t>
      </w:r>
      <w:r w:rsidR="0041003B">
        <w:t>enters</w:t>
      </w:r>
      <w:r w:rsidR="0018000D">
        <w:t xml:space="preserve"> the picture</w:t>
      </w:r>
      <w:r>
        <w:t xml:space="preserve">, noting that there are propagation differences within this range, the closer to the mid-band range (below 7 GHz), the </w:t>
      </w:r>
      <w:r w:rsidR="008846C8">
        <w:t>greater the possibility</w:t>
      </w:r>
      <w:r>
        <w:t xml:space="preserve"> of</w:t>
      </w:r>
      <w:r w:rsidR="008846C8">
        <w:t xml:space="preserve"> reusing</w:t>
      </w:r>
      <w:r>
        <w:t xml:space="preserve"> the existing </w:t>
      </w:r>
      <w:r w:rsidR="0067466B">
        <w:t xml:space="preserve">base station </w:t>
      </w:r>
      <w:r>
        <w:t>grid</w:t>
      </w:r>
      <w:r w:rsidR="00E00403">
        <w:t>s</w:t>
      </w:r>
      <w:r>
        <w:t xml:space="preserve"> and t</w:t>
      </w:r>
      <w:r w:rsidR="006C230F">
        <w:t xml:space="preserve">he </w:t>
      </w:r>
      <w:r w:rsidR="00E00403">
        <w:t xml:space="preserve">lower the number </w:t>
      </w:r>
      <w:r>
        <w:t xml:space="preserve">of </w:t>
      </w:r>
      <w:r w:rsidR="00E00403">
        <w:t>required</w:t>
      </w:r>
      <w:r>
        <w:t xml:space="preserve"> new sites, costs, and power consumption</w:t>
      </w:r>
      <w:r w:rsidR="00612199">
        <w:t xml:space="preserve"> for the delivery of services</w:t>
      </w:r>
      <w:r>
        <w:t>.</w:t>
      </w:r>
    </w:p>
    <w:p w14:paraId="176702F0" w14:textId="1B87E508" w:rsidR="004D31E9" w:rsidRDefault="007C075B" w:rsidP="00E90503">
      <w:pPr>
        <w:spacing w:before="120"/>
        <w:rPr>
          <w:rFonts w:cs="Arial"/>
        </w:rPr>
      </w:pPr>
      <w:r>
        <w:t xml:space="preserve">As previously </w:t>
      </w:r>
      <w:r w:rsidRPr="00AB37DA">
        <w:rPr>
          <w:rFonts w:cs="Arial"/>
        </w:rPr>
        <w:t>mentioned, the additional spectrum from within the 7</w:t>
      </w:r>
      <w:r w:rsidR="00AD4E22" w:rsidRPr="00AB37DA">
        <w:rPr>
          <w:rFonts w:cs="Arial"/>
        </w:rPr>
        <w:t>.125</w:t>
      </w:r>
      <w:r w:rsidRPr="00AB37DA">
        <w:rPr>
          <w:rFonts w:cs="Arial"/>
        </w:rPr>
        <w:t>–15</w:t>
      </w:r>
      <w:r w:rsidR="00AD4E22" w:rsidRPr="00AB37DA">
        <w:rPr>
          <w:rFonts w:cs="Arial"/>
        </w:rPr>
        <w:t>.35</w:t>
      </w:r>
      <w:r w:rsidRPr="00AB37DA">
        <w:rPr>
          <w:rFonts w:cs="Arial"/>
        </w:rPr>
        <w:t xml:space="preserve"> GHz range is necessary to realize the capacity-demanding use cases in future 6G networks and is key to enabling mobility for many of these use cases</w:t>
      </w:r>
      <w:r w:rsidR="00AB37DA" w:rsidRPr="00AB37DA">
        <w:rPr>
          <w:rFonts w:cs="Arial"/>
          <w:color w:val="242424"/>
          <w:shd w:val="clear" w:color="auto" w:fill="FFFFFF"/>
        </w:rPr>
        <w:t xml:space="preserve">. </w:t>
      </w:r>
      <w:r w:rsidR="00522921">
        <w:rPr>
          <w:rFonts w:cs="Arial"/>
          <w:color w:val="242424"/>
          <w:shd w:val="clear" w:color="auto" w:fill="FFFFFF"/>
        </w:rPr>
        <w:t>Any</w:t>
      </w:r>
      <w:r w:rsidRPr="00AB37DA">
        <w:rPr>
          <w:rFonts w:cs="Arial"/>
        </w:rPr>
        <w:t xml:space="preserve"> mobility and coverage restrictions would deprive such use cases of their full potential and value to society.</w:t>
      </w:r>
    </w:p>
    <w:p w14:paraId="142DBC9F" w14:textId="30C04DB1" w:rsidR="005C2D40" w:rsidRPr="00AB37DA" w:rsidRDefault="005C2D40" w:rsidP="001703B0">
      <w:pPr>
        <w:pStyle w:val="ECCTabletext"/>
        <w:rPr>
          <w:rFonts w:cs="Arial"/>
        </w:rPr>
      </w:pPr>
      <w:r>
        <w:t xml:space="preserve">Considering the ongoing IMT-2030 and 6G research and flagship initiatives, there are several 6G-activities in various countries around Europe and worldwide. Also, in the EC funded Hexa-X and Hexa-X-II research projects, various industry players and several universities are participating from </w:t>
      </w:r>
      <w:r w:rsidR="00912B8E">
        <w:t xml:space="preserve">the </w:t>
      </w:r>
      <w:r>
        <w:t xml:space="preserve">following European counties: Finland, France, Germany, Greece, Hungary, Italy, Spain, Sweden, </w:t>
      </w:r>
      <w:r>
        <w:rPr>
          <w:rStyle w:val="hgkelc"/>
          <w:lang w:val="en"/>
        </w:rPr>
        <w:t>Türkiye</w:t>
      </w:r>
      <w:r>
        <w:t xml:space="preserve"> (see more from </w:t>
      </w:r>
      <w:hyperlink r:id="rId13" w:history="1">
        <w:r w:rsidRPr="005C2D40">
          <w:rPr>
            <w:rStyle w:val="Hyperlink"/>
          </w:rPr>
          <w:t>https://hexa-x.eu/members/</w:t>
        </w:r>
      </w:hyperlink>
      <w:r>
        <w:t xml:space="preserve">). </w:t>
      </w:r>
      <w:r w:rsidR="00B14516">
        <w:t>S</w:t>
      </w:r>
      <w:r w:rsidR="00C20881">
        <w:t xml:space="preserve">pectrum </w:t>
      </w:r>
      <w:r w:rsidR="00FC6BCA">
        <w:t>remain</w:t>
      </w:r>
      <w:r w:rsidR="00C20881">
        <w:t>s a critical enabler</w:t>
      </w:r>
      <w:r w:rsidR="00FC6BCA">
        <w:t>, hence</w:t>
      </w:r>
      <w:r w:rsidR="00C20881">
        <w:t xml:space="preserve"> </w:t>
      </w:r>
      <w:r w:rsidR="00FC6BCA">
        <w:t>i</w:t>
      </w:r>
      <w:r>
        <w:t xml:space="preserve">t is </w:t>
      </w:r>
      <w:r w:rsidRPr="005C2D40">
        <w:t>important for th</w:t>
      </w:r>
      <w:r w:rsidR="003E37C2">
        <w:t>e</w:t>
      </w:r>
      <w:r w:rsidRPr="005C2D40">
        <w:t xml:space="preserve"> ongoing European wide research initiatives that CEPT support</w:t>
      </w:r>
      <w:r w:rsidR="00C43C74">
        <w:t>s</w:t>
      </w:r>
      <w:r w:rsidRPr="005C2D40">
        <w:t xml:space="preserve"> </w:t>
      </w:r>
      <w:r w:rsidRPr="001703B0">
        <w:t xml:space="preserve">studies for </w:t>
      </w:r>
      <w:r w:rsidR="00C43C74">
        <w:t>IMT-2030/</w:t>
      </w:r>
      <w:r w:rsidRPr="001703B0">
        <w:t xml:space="preserve">6G spectrum </w:t>
      </w:r>
      <w:r w:rsidRPr="00AB37DA">
        <w:rPr>
          <w:rFonts w:cs="Arial"/>
        </w:rPr>
        <w:t>within the 7.125–15.35 GHz range</w:t>
      </w:r>
      <w:r w:rsidRPr="001703B0">
        <w:t>.</w:t>
      </w:r>
    </w:p>
    <w:p w14:paraId="578C5557" w14:textId="07529F52" w:rsidR="00686BCB" w:rsidRDefault="00686BCB" w:rsidP="00686BCB">
      <w:pPr>
        <w:rPr>
          <w:rStyle w:val="ECCParagraph"/>
        </w:rPr>
      </w:pPr>
      <w:r>
        <w:t xml:space="preserve">To realize the future network vision enabled by 6G and to deliver its full potential, there is a need to secure timely spectrum availability. </w:t>
      </w:r>
      <w:r w:rsidRPr="00F43D42">
        <w:rPr>
          <w:lang w:val="en-AU" w:eastAsia="ko-KR"/>
        </w:rPr>
        <w:t xml:space="preserve">Given the time it takes to secure additional spectrum through regulatory deliberations in ITU </w:t>
      </w:r>
      <w:r w:rsidR="00B366CF">
        <w:rPr>
          <w:lang w:val="en-AU" w:eastAsia="ko-KR"/>
        </w:rPr>
        <w:t>and/</w:t>
      </w:r>
      <w:r w:rsidRPr="00F43D42">
        <w:rPr>
          <w:lang w:val="en-AU" w:eastAsia="ko-KR"/>
        </w:rPr>
        <w:t>or regional groups and to avoid delaying initial IMT-2030</w:t>
      </w:r>
      <w:r>
        <w:rPr>
          <w:lang w:val="en-AU" w:eastAsia="ko-KR"/>
        </w:rPr>
        <w:t>/6G</w:t>
      </w:r>
      <w:r w:rsidRPr="00F43D42">
        <w:rPr>
          <w:lang w:val="en-AU" w:eastAsia="ko-KR"/>
        </w:rPr>
        <w:t xml:space="preserve"> commercial deployments starting around 2030, it is now the time to start the process to ensure timely availability of IMT-2030</w:t>
      </w:r>
      <w:r>
        <w:rPr>
          <w:lang w:val="en-AU" w:eastAsia="ko-KR"/>
        </w:rPr>
        <w:t>/6G</w:t>
      </w:r>
      <w:r w:rsidRPr="00F43D42">
        <w:rPr>
          <w:lang w:val="en-AU" w:eastAsia="ko-KR"/>
        </w:rPr>
        <w:t xml:space="preserve"> spectrum. </w:t>
      </w:r>
      <w:r>
        <w:rPr>
          <w:color w:val="000000" w:themeColor="text1"/>
        </w:rPr>
        <w:t>PTA</w:t>
      </w:r>
      <w:r w:rsidRPr="006F214C">
        <w:rPr>
          <w:color w:val="000000" w:themeColor="text1"/>
        </w:rPr>
        <w:t xml:space="preserve"> is invited to consider the need for a WRC-27 agenda item to address the additional spectrum needs of IMT-2030/6G.</w:t>
      </w:r>
    </w:p>
    <w:p w14:paraId="2F0EFD9C" w14:textId="5794623D" w:rsidR="006F745D" w:rsidRDefault="00B310DD" w:rsidP="00E90503">
      <w:pPr>
        <w:spacing w:before="120"/>
        <w:rPr>
          <w:lang w:eastAsia="ja-JP"/>
        </w:rPr>
      </w:pPr>
      <w:r>
        <w:t xml:space="preserve">Specific frequency sub-bands </w:t>
      </w:r>
      <w:r w:rsidR="00A25577">
        <w:t xml:space="preserve">from within the 7.125-15.35 GHz </w:t>
      </w:r>
      <w:r>
        <w:t xml:space="preserve">are proposed in this </w:t>
      </w:r>
      <w:r w:rsidRPr="00480D62">
        <w:rPr>
          <w:rFonts w:cs="Arial"/>
        </w:rPr>
        <w:t>contribution</w:t>
      </w:r>
      <w:r>
        <w:rPr>
          <w:rFonts w:cs="Arial"/>
        </w:rPr>
        <w:t xml:space="preserve"> </w:t>
      </w:r>
      <w:r w:rsidRPr="00480D62">
        <w:rPr>
          <w:rFonts w:eastAsiaTheme="minorEastAsia" w:cs="Arial"/>
          <w:color w:val="000000" w:themeColor="text1"/>
          <w:kern w:val="24"/>
          <w:lang w:eastAsia="en-GB"/>
        </w:rPr>
        <w:t xml:space="preserve">in order to initiate a discussion on potential bands to be studied for WRC-27. </w:t>
      </w:r>
    </w:p>
    <w:p w14:paraId="58B501D8" w14:textId="116C6C61" w:rsidR="00BD1CA7" w:rsidRDefault="00BD1CA7" w:rsidP="00BD1CA7">
      <w:pPr>
        <w:pStyle w:val="Heading1"/>
        <w:rPr>
          <w:rStyle w:val="ECCParagraph"/>
        </w:rPr>
      </w:pPr>
      <w:r>
        <w:rPr>
          <w:rStyle w:val="ECCParagraph"/>
        </w:rPr>
        <w:lastRenderedPageBreak/>
        <w:t>Candidate bands</w:t>
      </w:r>
      <w:r w:rsidR="001C0996">
        <w:rPr>
          <w:rStyle w:val="ECCParagraph"/>
        </w:rPr>
        <w:t xml:space="preserve"> for studies</w:t>
      </w:r>
    </w:p>
    <w:p w14:paraId="60A25BA1" w14:textId="1230F3A6" w:rsidR="00AE0C46" w:rsidRDefault="00802DFD" w:rsidP="00BD1CA7">
      <w:pPr>
        <w:kinsoku w:val="0"/>
        <w:overflowPunct w:val="0"/>
        <w:spacing w:before="0" w:after="0"/>
        <w:jc w:val="left"/>
        <w:textAlignment w:val="baseline"/>
        <w:rPr>
          <w:rFonts w:eastAsiaTheme="minorEastAsia" w:cs="Arial"/>
          <w:color w:val="000000" w:themeColor="text1"/>
          <w:kern w:val="24"/>
          <w:szCs w:val="24"/>
        </w:rPr>
      </w:pPr>
      <w:r>
        <w:rPr>
          <w:rStyle w:val="BRNormal"/>
        </w:rPr>
        <w:t>It is to be noted</w:t>
      </w:r>
      <w:r w:rsidR="00C01F6A">
        <w:rPr>
          <w:rStyle w:val="BRNormal"/>
        </w:rPr>
        <w:t xml:space="preserve"> that h</w:t>
      </w:r>
      <w:r w:rsidR="00646BFA" w:rsidRPr="00CF0280">
        <w:rPr>
          <w:rStyle w:val="BRNormal"/>
        </w:rPr>
        <w:t>arm</w:t>
      </w:r>
      <w:r w:rsidR="00646BFA">
        <w:rPr>
          <w:rStyle w:val="BRNormal"/>
        </w:rPr>
        <w:t xml:space="preserve">onized </w:t>
      </w:r>
      <w:r w:rsidR="009F4F79">
        <w:rPr>
          <w:rStyle w:val="BRNormal"/>
        </w:rPr>
        <w:t>global</w:t>
      </w:r>
      <w:r w:rsidR="00646BFA">
        <w:rPr>
          <w:rStyle w:val="BRNormal"/>
        </w:rPr>
        <w:t xml:space="preserve"> bands for IMT </w:t>
      </w:r>
      <w:r w:rsidR="00646BFA" w:rsidRPr="00CF0280">
        <w:rPr>
          <w:rStyle w:val="BRNormal"/>
        </w:rPr>
        <w:t>are highly desirable in order to achieve the benefits of economies of scale</w:t>
      </w:r>
      <w:r w:rsidR="009F7E10">
        <w:rPr>
          <w:rStyle w:val="BRNormal"/>
        </w:rPr>
        <w:t xml:space="preserve"> and facilitate </w:t>
      </w:r>
      <w:r w:rsidR="009F7E10" w:rsidRPr="00CF0280">
        <w:rPr>
          <w:rStyle w:val="BRNormal"/>
          <w:rFonts w:eastAsia="Malgun Gothic"/>
        </w:rPr>
        <w:t>global roaming</w:t>
      </w:r>
      <w:r w:rsidR="00F93779">
        <w:rPr>
          <w:rStyle w:val="BRNormal"/>
        </w:rPr>
        <w:t xml:space="preserve">. </w:t>
      </w:r>
      <w:r w:rsidR="00F93779">
        <w:t xml:space="preserve">While not all these bands may become globally harmonized, harmonization of spectrum bands and technical conditions remains at the core of a healthy product ecosystem. </w:t>
      </w:r>
      <w:r w:rsidR="00592B02">
        <w:rPr>
          <w:rFonts w:eastAsiaTheme="minorEastAsia" w:cs="Arial"/>
          <w:color w:val="000000" w:themeColor="text1"/>
          <w:kern w:val="24"/>
          <w:szCs w:val="24"/>
        </w:rPr>
        <w:t xml:space="preserve">We </w:t>
      </w:r>
      <w:r w:rsidR="0022057E">
        <w:rPr>
          <w:rFonts w:eastAsiaTheme="minorEastAsia" w:cs="Arial"/>
          <w:color w:val="000000" w:themeColor="text1"/>
          <w:kern w:val="24"/>
          <w:szCs w:val="24"/>
        </w:rPr>
        <w:t xml:space="preserve">invite PTA to consider </w:t>
      </w:r>
      <w:r w:rsidR="00AB4480">
        <w:rPr>
          <w:rFonts w:eastAsiaTheme="minorEastAsia" w:cs="Arial"/>
          <w:color w:val="000000" w:themeColor="text1"/>
          <w:kern w:val="24"/>
          <w:szCs w:val="24"/>
        </w:rPr>
        <w:t xml:space="preserve">supporting </w:t>
      </w:r>
      <w:r w:rsidR="00404E44">
        <w:rPr>
          <w:rFonts w:eastAsiaTheme="minorEastAsia" w:cs="Arial"/>
          <w:color w:val="000000" w:themeColor="text1"/>
          <w:kern w:val="24"/>
          <w:szCs w:val="24"/>
        </w:rPr>
        <w:t xml:space="preserve">studies for </w:t>
      </w:r>
      <w:r w:rsidR="00D12A84">
        <w:rPr>
          <w:rFonts w:eastAsiaTheme="minorEastAsia" w:cs="Arial"/>
          <w:color w:val="000000" w:themeColor="text1"/>
          <w:kern w:val="24"/>
          <w:szCs w:val="24"/>
        </w:rPr>
        <w:t>the following frequency bands as part of</w:t>
      </w:r>
      <w:r w:rsidR="00592B02">
        <w:rPr>
          <w:rFonts w:eastAsiaTheme="minorEastAsia" w:cs="Arial"/>
          <w:color w:val="000000" w:themeColor="text1"/>
          <w:kern w:val="24"/>
          <w:szCs w:val="24"/>
        </w:rPr>
        <w:t xml:space="preserve"> </w:t>
      </w:r>
      <w:r w:rsidR="00BD1CA7" w:rsidRPr="00BD1CA7">
        <w:rPr>
          <w:rFonts w:eastAsiaTheme="minorEastAsia" w:cs="Arial"/>
          <w:color w:val="000000" w:themeColor="text1"/>
          <w:kern w:val="24"/>
          <w:szCs w:val="24"/>
        </w:rPr>
        <w:t>a new agenda item for IMT at WRC-27</w:t>
      </w:r>
      <w:r w:rsidR="00AE0C46">
        <w:rPr>
          <w:rFonts w:eastAsiaTheme="minorEastAsia" w:cs="Arial"/>
          <w:color w:val="000000" w:themeColor="text1"/>
          <w:kern w:val="24"/>
          <w:szCs w:val="24"/>
        </w:rPr>
        <w:t>:</w:t>
      </w:r>
    </w:p>
    <w:p w14:paraId="75E1D5EA" w14:textId="2F5B679A" w:rsidR="00BD1CA7" w:rsidRPr="00BD1CA7" w:rsidRDefault="00BD1CA7" w:rsidP="00BD1CA7">
      <w:pPr>
        <w:kinsoku w:val="0"/>
        <w:overflowPunct w:val="0"/>
        <w:spacing w:before="0" w:after="0"/>
        <w:jc w:val="left"/>
        <w:textAlignment w:val="baseline"/>
        <w:rPr>
          <w:rFonts w:eastAsia="Times New Roman" w:cs="Arial"/>
          <w:color w:val="000000" w:themeColor="text1"/>
          <w:szCs w:val="24"/>
        </w:rPr>
      </w:pPr>
      <w:r w:rsidRPr="00BD1CA7">
        <w:rPr>
          <w:rFonts w:eastAsiaTheme="minorEastAsia" w:cs="Arial"/>
          <w:color w:val="000000" w:themeColor="text1"/>
          <w:kern w:val="24"/>
          <w:szCs w:val="24"/>
        </w:rPr>
        <w:t xml:space="preserve"> </w:t>
      </w:r>
    </w:p>
    <w:p w14:paraId="73D86E3C" w14:textId="2E259768" w:rsidR="00BD1CA7" w:rsidRPr="00BD1CA7" w:rsidRDefault="00BD1CA7" w:rsidP="00327308">
      <w:pPr>
        <w:pStyle w:val="ListParagraph"/>
        <w:numPr>
          <w:ilvl w:val="0"/>
          <w:numId w:val="32"/>
        </w:numPr>
        <w:kinsoku w:val="0"/>
        <w:overflowPunct w:val="0"/>
        <w:spacing w:before="0" w:after="0"/>
        <w:jc w:val="left"/>
        <w:textAlignment w:val="baseline"/>
        <w:rPr>
          <w:rFonts w:cs="Arial"/>
          <w:color w:val="000000" w:themeColor="text1"/>
          <w:szCs w:val="24"/>
        </w:rPr>
      </w:pPr>
      <w:r w:rsidRPr="00BD1CA7">
        <w:rPr>
          <w:rFonts w:eastAsiaTheme="minorEastAsia" w:cs="Arial"/>
          <w:color w:val="000000" w:themeColor="text1"/>
          <w:kern w:val="24"/>
          <w:szCs w:val="24"/>
        </w:rPr>
        <w:t>7.125-8.5 GHz</w:t>
      </w:r>
    </w:p>
    <w:p w14:paraId="5109FA4B" w14:textId="012EE3C8" w:rsidR="00BD1CA7" w:rsidRPr="00BD1CA7" w:rsidRDefault="00BD1CA7" w:rsidP="00327308">
      <w:pPr>
        <w:pStyle w:val="ListParagraph"/>
        <w:numPr>
          <w:ilvl w:val="0"/>
          <w:numId w:val="32"/>
        </w:numPr>
        <w:kinsoku w:val="0"/>
        <w:overflowPunct w:val="0"/>
        <w:spacing w:before="0" w:after="0"/>
        <w:jc w:val="left"/>
        <w:textAlignment w:val="baseline"/>
        <w:rPr>
          <w:rFonts w:cs="Arial"/>
          <w:color w:val="000000" w:themeColor="text1"/>
          <w:szCs w:val="24"/>
        </w:rPr>
      </w:pPr>
      <w:r w:rsidRPr="00BD1CA7">
        <w:rPr>
          <w:rFonts w:eastAsiaTheme="minorEastAsia" w:cs="Arial"/>
          <w:color w:val="000000" w:themeColor="text1"/>
          <w:kern w:val="24"/>
          <w:szCs w:val="24"/>
        </w:rPr>
        <w:t xml:space="preserve">10.7-11.7 </w:t>
      </w:r>
      <w:r w:rsidR="00B668AD">
        <w:rPr>
          <w:rFonts w:eastAsiaTheme="minorEastAsia" w:cs="Arial"/>
          <w:color w:val="000000" w:themeColor="text1"/>
          <w:kern w:val="24"/>
          <w:szCs w:val="24"/>
        </w:rPr>
        <w:t>GHz</w:t>
      </w:r>
    </w:p>
    <w:p w14:paraId="06D3EAE3" w14:textId="7E0977A0" w:rsidR="00BD1CA7" w:rsidRPr="00BD1CA7" w:rsidRDefault="00BD1CA7" w:rsidP="00327308">
      <w:pPr>
        <w:pStyle w:val="ListParagraph"/>
        <w:numPr>
          <w:ilvl w:val="0"/>
          <w:numId w:val="32"/>
        </w:numPr>
        <w:kinsoku w:val="0"/>
        <w:overflowPunct w:val="0"/>
        <w:spacing w:before="0" w:after="0"/>
        <w:jc w:val="left"/>
        <w:textAlignment w:val="baseline"/>
        <w:rPr>
          <w:rFonts w:cs="Arial"/>
          <w:color w:val="000000" w:themeColor="text1"/>
          <w:szCs w:val="24"/>
        </w:rPr>
      </w:pPr>
      <w:r w:rsidRPr="00BD1CA7">
        <w:rPr>
          <w:rFonts w:eastAsiaTheme="minorEastAsia" w:cs="Arial"/>
          <w:color w:val="000000" w:themeColor="text1"/>
          <w:kern w:val="24"/>
          <w:szCs w:val="24"/>
        </w:rPr>
        <w:t xml:space="preserve">11.7-12.75 </w:t>
      </w:r>
      <w:r w:rsidR="00B668AD">
        <w:rPr>
          <w:rFonts w:eastAsiaTheme="minorEastAsia" w:cs="Arial"/>
          <w:color w:val="000000" w:themeColor="text1"/>
          <w:kern w:val="24"/>
          <w:szCs w:val="24"/>
        </w:rPr>
        <w:t>GHz</w:t>
      </w:r>
    </w:p>
    <w:p w14:paraId="0AE6BF90" w14:textId="719FE950" w:rsidR="00BD1CA7" w:rsidRPr="00BD1CA7" w:rsidRDefault="00BD1CA7" w:rsidP="00327308">
      <w:pPr>
        <w:pStyle w:val="ListParagraph"/>
        <w:numPr>
          <w:ilvl w:val="0"/>
          <w:numId w:val="32"/>
        </w:numPr>
        <w:kinsoku w:val="0"/>
        <w:overflowPunct w:val="0"/>
        <w:spacing w:before="0" w:after="0"/>
        <w:jc w:val="left"/>
        <w:textAlignment w:val="baseline"/>
        <w:rPr>
          <w:rFonts w:cs="Arial"/>
          <w:color w:val="000000" w:themeColor="text1"/>
          <w:szCs w:val="24"/>
        </w:rPr>
      </w:pPr>
      <w:r w:rsidRPr="00BD1CA7">
        <w:rPr>
          <w:rFonts w:eastAsiaTheme="minorEastAsia" w:cs="Arial"/>
          <w:color w:val="000000" w:themeColor="text1"/>
          <w:kern w:val="24"/>
          <w:szCs w:val="24"/>
        </w:rPr>
        <w:t xml:space="preserve">12.75-13.25 </w:t>
      </w:r>
      <w:r w:rsidR="00B668AD">
        <w:rPr>
          <w:rFonts w:eastAsiaTheme="minorEastAsia" w:cs="Arial"/>
          <w:color w:val="000000" w:themeColor="text1"/>
          <w:kern w:val="24"/>
          <w:szCs w:val="24"/>
        </w:rPr>
        <w:t>GHz</w:t>
      </w:r>
    </w:p>
    <w:p w14:paraId="514FBA86" w14:textId="4FD7D78D" w:rsidR="00BD1CA7" w:rsidRPr="00BD1CA7" w:rsidRDefault="00BD1CA7" w:rsidP="00327308">
      <w:pPr>
        <w:pStyle w:val="ListParagraph"/>
        <w:numPr>
          <w:ilvl w:val="0"/>
          <w:numId w:val="32"/>
        </w:numPr>
        <w:kinsoku w:val="0"/>
        <w:overflowPunct w:val="0"/>
        <w:spacing w:before="0" w:after="0"/>
        <w:jc w:val="left"/>
        <w:textAlignment w:val="baseline"/>
        <w:rPr>
          <w:rFonts w:cs="Arial"/>
          <w:color w:val="000000" w:themeColor="text1"/>
          <w:szCs w:val="24"/>
        </w:rPr>
      </w:pPr>
      <w:r w:rsidRPr="00BD1CA7">
        <w:rPr>
          <w:rFonts w:eastAsiaTheme="minorEastAsia" w:cs="Arial"/>
          <w:color w:val="000000" w:themeColor="text1"/>
          <w:kern w:val="24"/>
          <w:szCs w:val="24"/>
        </w:rPr>
        <w:t>14-14.</w:t>
      </w:r>
      <w:r w:rsidR="005842BC">
        <w:rPr>
          <w:rFonts w:eastAsiaTheme="minorEastAsia" w:cs="Arial"/>
          <w:color w:val="000000" w:themeColor="text1"/>
          <w:kern w:val="24"/>
          <w:szCs w:val="24"/>
        </w:rPr>
        <w:t>5</w:t>
      </w:r>
      <w:r w:rsidRPr="00BD1CA7">
        <w:rPr>
          <w:rFonts w:eastAsiaTheme="minorEastAsia" w:cs="Arial"/>
          <w:color w:val="000000" w:themeColor="text1"/>
          <w:kern w:val="24"/>
          <w:szCs w:val="24"/>
        </w:rPr>
        <w:t xml:space="preserve"> </w:t>
      </w:r>
      <w:r w:rsidR="00B668AD">
        <w:rPr>
          <w:rFonts w:eastAsiaTheme="minorEastAsia" w:cs="Arial"/>
          <w:color w:val="000000" w:themeColor="text1"/>
          <w:kern w:val="24"/>
          <w:szCs w:val="24"/>
        </w:rPr>
        <w:t>GHz</w:t>
      </w:r>
    </w:p>
    <w:p w14:paraId="5577FF1D" w14:textId="789C4A49" w:rsidR="00933780" w:rsidRPr="005842BC" w:rsidRDefault="00BD1CA7" w:rsidP="00327308">
      <w:pPr>
        <w:pStyle w:val="ListParagraph"/>
        <w:numPr>
          <w:ilvl w:val="0"/>
          <w:numId w:val="32"/>
        </w:numPr>
        <w:kinsoku w:val="0"/>
        <w:overflowPunct w:val="0"/>
        <w:spacing w:before="0" w:after="0"/>
        <w:jc w:val="left"/>
        <w:textAlignment w:val="baseline"/>
        <w:rPr>
          <w:rFonts w:cs="Arial"/>
          <w:color w:val="000000" w:themeColor="text1"/>
          <w:szCs w:val="24"/>
        </w:rPr>
      </w:pPr>
      <w:r w:rsidRPr="00BD1CA7">
        <w:rPr>
          <w:rFonts w:eastAsiaTheme="minorEastAsia" w:cs="Arial"/>
          <w:color w:val="000000" w:themeColor="text1"/>
          <w:kern w:val="24"/>
          <w:szCs w:val="24"/>
        </w:rPr>
        <w:t>14.</w:t>
      </w:r>
      <w:r w:rsidR="005842BC">
        <w:rPr>
          <w:rFonts w:eastAsiaTheme="minorEastAsia" w:cs="Arial"/>
          <w:color w:val="000000" w:themeColor="text1"/>
          <w:kern w:val="24"/>
          <w:szCs w:val="24"/>
        </w:rPr>
        <w:t>5</w:t>
      </w:r>
      <w:r w:rsidRPr="00BD1CA7">
        <w:rPr>
          <w:rFonts w:eastAsiaTheme="minorEastAsia" w:cs="Arial"/>
          <w:color w:val="000000" w:themeColor="text1"/>
          <w:kern w:val="24"/>
          <w:szCs w:val="24"/>
        </w:rPr>
        <w:t>-15.35</w:t>
      </w:r>
      <w:r w:rsidR="00B668AD">
        <w:rPr>
          <w:rFonts w:eastAsiaTheme="minorEastAsia" w:cs="Arial"/>
          <w:color w:val="000000" w:themeColor="text1"/>
          <w:kern w:val="24"/>
          <w:szCs w:val="24"/>
        </w:rPr>
        <w:t xml:space="preserve"> GHz</w:t>
      </w:r>
    </w:p>
    <w:p w14:paraId="4C73CDB6" w14:textId="77777777" w:rsidR="005842BC" w:rsidRDefault="005842BC" w:rsidP="005842BC">
      <w:pPr>
        <w:kinsoku w:val="0"/>
        <w:overflowPunct w:val="0"/>
        <w:spacing w:before="0" w:after="0"/>
        <w:jc w:val="left"/>
        <w:textAlignment w:val="baseline"/>
        <w:rPr>
          <w:rFonts w:cs="Arial"/>
          <w:color w:val="000000" w:themeColor="text1"/>
          <w:szCs w:val="24"/>
        </w:rPr>
      </w:pPr>
    </w:p>
    <w:p w14:paraId="27F177A0" w14:textId="6C382A02" w:rsidR="005525A6" w:rsidRDefault="005525A6" w:rsidP="003B160C">
      <w:pPr>
        <w:spacing w:before="120"/>
        <w:rPr>
          <w:rFonts w:eastAsiaTheme="minorEastAsia" w:cs="Arial"/>
          <w:color w:val="000000" w:themeColor="text1"/>
          <w:kern w:val="24"/>
          <w:lang w:eastAsia="en-GB"/>
        </w:rPr>
      </w:pPr>
      <w:r>
        <w:rPr>
          <w:rFonts w:eastAsiaTheme="minorEastAsia" w:cs="Arial"/>
          <w:color w:val="000000" w:themeColor="text1"/>
          <w:kern w:val="24"/>
          <w:lang w:eastAsia="en-GB"/>
        </w:rPr>
        <w:t>We recognize that Administrations</w:t>
      </w:r>
      <w:r w:rsidRPr="00480D62">
        <w:rPr>
          <w:rFonts w:eastAsiaTheme="minorEastAsia" w:cs="Arial"/>
          <w:color w:val="000000" w:themeColor="text1"/>
          <w:kern w:val="24"/>
          <w:lang w:eastAsia="en-GB"/>
        </w:rPr>
        <w:t xml:space="preserve"> may propose other bands to be studied</w:t>
      </w:r>
      <w:r>
        <w:rPr>
          <w:rFonts w:eastAsiaTheme="minorEastAsia" w:cs="Arial"/>
          <w:color w:val="000000" w:themeColor="text1"/>
          <w:kern w:val="24"/>
          <w:lang w:eastAsia="en-GB"/>
        </w:rPr>
        <w:t xml:space="preserve"> and that s</w:t>
      </w:r>
      <w:r w:rsidRPr="00480D62">
        <w:rPr>
          <w:rFonts w:eastAsiaTheme="minorEastAsia" w:cs="Arial"/>
          <w:color w:val="000000" w:themeColor="text1"/>
          <w:kern w:val="24"/>
          <w:lang w:eastAsia="en-GB"/>
        </w:rPr>
        <w:t xml:space="preserve">ome (or parts) of the proposed sub-bands may not be considered to be studied for IMT in </w:t>
      </w:r>
      <w:r w:rsidRPr="003651C8">
        <w:rPr>
          <w:rFonts w:eastAsiaTheme="minorEastAsia" w:cs="Arial"/>
          <w:color w:val="000000" w:themeColor="text1"/>
          <w:kern w:val="24"/>
          <w:lang w:eastAsia="en-GB"/>
        </w:rPr>
        <w:t xml:space="preserve">some countries and regions. For instance, we are aware of the </w:t>
      </w:r>
      <w:r w:rsidR="004849CD" w:rsidRPr="003651C8">
        <w:rPr>
          <w:rFonts w:eastAsiaTheme="minorEastAsia" w:cs="Arial"/>
          <w:color w:val="000000" w:themeColor="text1"/>
          <w:kern w:val="24"/>
          <w:lang w:eastAsia="en-GB"/>
        </w:rPr>
        <w:t>current</w:t>
      </w:r>
      <w:r w:rsidRPr="003651C8">
        <w:rPr>
          <w:rFonts w:eastAsiaTheme="minorEastAsia" w:cs="Arial"/>
          <w:color w:val="000000" w:themeColor="text1"/>
          <w:kern w:val="24"/>
          <w:lang w:eastAsia="en-GB"/>
        </w:rPr>
        <w:t xml:space="preserve"> status of some </w:t>
      </w:r>
      <w:r w:rsidR="009D76C4" w:rsidRPr="003651C8">
        <w:rPr>
          <w:rFonts w:eastAsiaTheme="minorEastAsia" w:cs="Arial"/>
          <w:color w:val="000000" w:themeColor="text1"/>
          <w:kern w:val="24"/>
          <w:lang w:eastAsia="en-GB"/>
        </w:rPr>
        <w:t>NATO</w:t>
      </w:r>
      <w:r w:rsidRPr="003651C8">
        <w:rPr>
          <w:rFonts w:eastAsiaTheme="minorEastAsia" w:cs="Arial"/>
          <w:color w:val="000000" w:themeColor="text1"/>
          <w:kern w:val="24"/>
          <w:lang w:eastAsia="en-GB"/>
        </w:rPr>
        <w:t xml:space="preserve"> bands in this range in Europe, however they are not precluded from the list </w:t>
      </w:r>
      <w:r w:rsidR="00AB4480" w:rsidRPr="003651C8">
        <w:rPr>
          <w:rFonts w:eastAsiaTheme="minorEastAsia" w:cs="Arial"/>
          <w:color w:val="000000" w:themeColor="text1"/>
          <w:kern w:val="24"/>
          <w:lang w:eastAsia="en-GB"/>
        </w:rPr>
        <w:t>above</w:t>
      </w:r>
      <w:r w:rsidRPr="003651C8">
        <w:rPr>
          <w:rFonts w:eastAsiaTheme="minorEastAsia" w:cs="Arial"/>
          <w:color w:val="000000" w:themeColor="text1"/>
          <w:kern w:val="24"/>
          <w:lang w:eastAsia="en-GB"/>
        </w:rPr>
        <w:t xml:space="preserve"> due to their relevance </w:t>
      </w:r>
      <w:r w:rsidR="001F03ED" w:rsidRPr="003651C8">
        <w:rPr>
          <w:rFonts w:eastAsiaTheme="minorEastAsia" w:cs="Arial"/>
          <w:color w:val="000000" w:themeColor="text1"/>
          <w:kern w:val="24"/>
          <w:lang w:eastAsia="en-GB"/>
        </w:rPr>
        <w:t xml:space="preserve">and availability </w:t>
      </w:r>
      <w:r w:rsidRPr="003651C8">
        <w:rPr>
          <w:rFonts w:eastAsiaTheme="minorEastAsia" w:cs="Arial"/>
          <w:color w:val="000000" w:themeColor="text1"/>
          <w:kern w:val="24"/>
          <w:lang w:eastAsia="en-GB"/>
        </w:rPr>
        <w:t>in other regions</w:t>
      </w:r>
      <w:r w:rsidR="00BF016B" w:rsidRPr="003651C8">
        <w:rPr>
          <w:rFonts w:eastAsiaTheme="minorEastAsia" w:cs="Arial"/>
          <w:color w:val="000000" w:themeColor="text1"/>
          <w:kern w:val="24"/>
          <w:lang w:eastAsia="en-GB"/>
        </w:rPr>
        <w:t xml:space="preserve"> and </w:t>
      </w:r>
      <w:r w:rsidR="00980A0E" w:rsidRPr="003651C8">
        <w:rPr>
          <w:rFonts w:eastAsiaTheme="minorEastAsia" w:cs="Arial"/>
          <w:color w:val="000000" w:themeColor="text1"/>
          <w:kern w:val="24"/>
          <w:lang w:eastAsia="en-GB"/>
        </w:rPr>
        <w:t xml:space="preserve">due </w:t>
      </w:r>
      <w:r w:rsidR="00BF016B" w:rsidRPr="003651C8">
        <w:rPr>
          <w:rFonts w:eastAsiaTheme="minorEastAsia" w:cs="Arial"/>
          <w:color w:val="000000" w:themeColor="text1"/>
          <w:kern w:val="24"/>
          <w:lang w:eastAsia="en-GB"/>
        </w:rPr>
        <w:t>to the global aspect</w:t>
      </w:r>
      <w:r w:rsidR="00953FAC" w:rsidRPr="003651C8">
        <w:rPr>
          <w:rFonts w:eastAsiaTheme="minorEastAsia" w:cs="Arial"/>
          <w:color w:val="000000" w:themeColor="text1"/>
          <w:kern w:val="24"/>
          <w:lang w:eastAsia="en-GB"/>
        </w:rPr>
        <w:t xml:space="preserve"> of th</w:t>
      </w:r>
      <w:r w:rsidR="003B5265" w:rsidRPr="003651C8">
        <w:rPr>
          <w:rFonts w:eastAsiaTheme="minorEastAsia" w:cs="Arial"/>
          <w:color w:val="000000" w:themeColor="text1"/>
          <w:kern w:val="24"/>
          <w:lang w:eastAsia="en-GB"/>
        </w:rPr>
        <w:t>is p</w:t>
      </w:r>
      <w:r w:rsidR="00953FAC" w:rsidRPr="003651C8">
        <w:rPr>
          <w:rFonts w:eastAsiaTheme="minorEastAsia" w:cs="Arial"/>
          <w:color w:val="000000" w:themeColor="text1"/>
          <w:kern w:val="24"/>
          <w:lang w:eastAsia="en-GB"/>
        </w:rPr>
        <w:t xml:space="preserve">roposed </w:t>
      </w:r>
      <w:r w:rsidR="003B5265" w:rsidRPr="003651C8">
        <w:rPr>
          <w:rFonts w:eastAsiaTheme="minorEastAsia" w:cs="Arial"/>
          <w:color w:val="000000" w:themeColor="text1"/>
          <w:kern w:val="24"/>
          <w:lang w:eastAsia="en-GB"/>
        </w:rPr>
        <w:t xml:space="preserve">IMT </w:t>
      </w:r>
      <w:r w:rsidR="00953FAC" w:rsidRPr="003651C8">
        <w:rPr>
          <w:rFonts w:eastAsiaTheme="minorEastAsia" w:cs="Arial"/>
          <w:color w:val="000000" w:themeColor="text1"/>
          <w:kern w:val="24"/>
          <w:lang w:eastAsia="en-GB"/>
        </w:rPr>
        <w:t>A</w:t>
      </w:r>
      <w:r w:rsidR="008C3F9F" w:rsidRPr="003651C8">
        <w:rPr>
          <w:rFonts w:eastAsiaTheme="minorEastAsia" w:cs="Arial"/>
          <w:color w:val="000000" w:themeColor="text1"/>
          <w:kern w:val="24"/>
          <w:lang w:eastAsia="en-GB"/>
        </w:rPr>
        <w:t>genda item</w:t>
      </w:r>
      <w:r w:rsidRPr="003651C8">
        <w:rPr>
          <w:rFonts w:eastAsiaTheme="minorEastAsia" w:cs="Arial"/>
          <w:color w:val="000000" w:themeColor="text1"/>
          <w:kern w:val="24"/>
          <w:lang w:eastAsia="en-GB"/>
        </w:rPr>
        <w:t>.</w:t>
      </w:r>
      <w:r>
        <w:rPr>
          <w:rFonts w:eastAsiaTheme="minorEastAsia" w:cs="Arial"/>
          <w:color w:val="000000" w:themeColor="text1"/>
          <w:kern w:val="24"/>
          <w:lang w:eastAsia="en-GB"/>
        </w:rPr>
        <w:t xml:space="preserve"> </w:t>
      </w:r>
    </w:p>
    <w:p w14:paraId="41B06E1C" w14:textId="161A2E2D" w:rsidR="002B7174" w:rsidRDefault="002B7174" w:rsidP="003B160C">
      <w:pPr>
        <w:spacing w:before="120"/>
        <w:rPr>
          <w:lang w:eastAsia="ja-JP"/>
        </w:rPr>
      </w:pPr>
      <w:r>
        <w:rPr>
          <w:shd w:val="clear" w:color="auto" w:fill="FFFFFF" w:themeFill="background1"/>
        </w:rPr>
        <w:t>ECC CPG PTA is invited to consider what studies/measures that need to be taken into account in order for the proposal not to jeopardise usages relevant to the Common Security and Defence Policy (CSDP) or to the European space policy. This may as well lead to the exclusion of some of the proposed bands in CEPT, while still being relevant/important in other Regions (similar to the approach taken for the 37-43.5 GHz band; while the band was harmonised for IMT at WRC-19, the scope for Region 1 was limited to 40.5-43.5 GHz).</w:t>
      </w:r>
    </w:p>
    <w:p w14:paraId="27713348" w14:textId="77777777" w:rsidR="003B160C" w:rsidRDefault="003B160C" w:rsidP="003B160C">
      <w:pPr>
        <w:pStyle w:val="Heading1"/>
        <w:rPr>
          <w:rStyle w:val="ECCParagraph"/>
        </w:rPr>
      </w:pPr>
      <w:r>
        <w:rPr>
          <w:rStyle w:val="ECCParagraph"/>
        </w:rPr>
        <w:t>sharing considerations with co-primary services</w:t>
      </w:r>
    </w:p>
    <w:p w14:paraId="02E1938D" w14:textId="244DDBC5" w:rsidR="00941DC6" w:rsidRPr="003B160C" w:rsidRDefault="003B160C" w:rsidP="003B160C">
      <w:pPr>
        <w:spacing w:before="120"/>
        <w:rPr>
          <w:color w:val="000000" w:themeColor="text1"/>
        </w:rPr>
      </w:pPr>
      <w:r>
        <w:rPr>
          <w:color w:val="000000" w:themeColor="text1"/>
        </w:rPr>
        <w:t xml:space="preserve">We recognise that it is becoming increasingly difficult to find “clean” spectrum and that, even though </w:t>
      </w:r>
      <w:r w:rsidR="000A0407">
        <w:t>p</w:t>
      </w:r>
      <w:r>
        <w:t xml:space="preserve">rimary allocations to the </w:t>
      </w:r>
      <w:r w:rsidR="000A0407">
        <w:t>M</w:t>
      </w:r>
      <w:r>
        <w:t xml:space="preserve">obile and </w:t>
      </w:r>
      <w:r w:rsidR="000A0407">
        <w:t>F</w:t>
      </w:r>
      <w:r>
        <w:t xml:space="preserve">ixed </w:t>
      </w:r>
      <w:r w:rsidR="000A0407">
        <w:t>S</w:t>
      </w:r>
      <w:r>
        <w:t>ervices in the 7.125-15.35 GHz range exist today in the International Telecommunication Union Radio Regulations (ITU-RR), this frequency</w:t>
      </w:r>
      <w:r>
        <w:rPr>
          <w:color w:val="000000" w:themeColor="text1"/>
        </w:rPr>
        <w:t xml:space="preserve"> range also accommodates other primary services that need to be considered.  Given the early stage of 6G development there is a window of opportunity to consider coexistence needs with some co-primary services in the design of 6G from the very outset. A</w:t>
      </w:r>
      <w:r w:rsidRPr="006F214C">
        <w:rPr>
          <w:color w:val="000000" w:themeColor="text1"/>
        </w:rPr>
        <w:t xml:space="preserve"> WRC-27 agenda item</w:t>
      </w:r>
      <w:r>
        <w:rPr>
          <w:color w:val="000000" w:themeColor="text1"/>
        </w:rPr>
        <w:t xml:space="preserve"> would allow to perform the needed studies in this respect, noting that some co-primary services have a global nature and would best be studied in an international forum such as ITU-R.</w:t>
      </w:r>
    </w:p>
    <w:p w14:paraId="75A132CB" w14:textId="420EF578" w:rsidR="00941DC6" w:rsidRDefault="000A5D3E" w:rsidP="00941DC6">
      <w:pPr>
        <w:pStyle w:val="Heading1"/>
      </w:pPr>
      <w:r>
        <w:t>Global activities</w:t>
      </w:r>
    </w:p>
    <w:p w14:paraId="3B0D0354" w14:textId="08A88942" w:rsidR="000A5D3E" w:rsidRDefault="000A5D3E" w:rsidP="006B02D5">
      <w:r>
        <w:rPr>
          <w:lang w:val="da-DK"/>
        </w:rPr>
        <w:t xml:space="preserve">Figure </w:t>
      </w:r>
      <w:r w:rsidR="006B02D5">
        <w:rPr>
          <w:lang w:val="da-DK"/>
        </w:rPr>
        <w:fldChar w:fldCharType="begin"/>
      </w:r>
      <w:r w:rsidR="006B02D5">
        <w:rPr>
          <w:lang w:val="da-DK"/>
        </w:rPr>
        <w:instrText xml:space="preserve"> SEQ Figure \* ARABIC </w:instrText>
      </w:r>
      <w:r w:rsidR="006B02D5">
        <w:rPr>
          <w:lang w:val="da-DK"/>
        </w:rPr>
        <w:fldChar w:fldCharType="separate"/>
      </w:r>
      <w:r w:rsidR="006B02D5">
        <w:rPr>
          <w:noProof/>
        </w:rPr>
        <w:t>1</w:t>
      </w:r>
      <w:r w:rsidR="006B02D5">
        <w:rPr>
          <w:lang w:val="da-DK"/>
        </w:rPr>
        <w:fldChar w:fldCharType="end"/>
      </w:r>
      <w:r w:rsidR="00F84C14">
        <w:rPr>
          <w:lang w:val="da-DK"/>
        </w:rPr>
        <w:t xml:space="preserve"> depicts </w:t>
      </w:r>
      <w:r w:rsidR="00F84C14">
        <w:t xml:space="preserve">existing information on already ongoing national considerations in the US </w:t>
      </w:r>
      <w:r w:rsidR="00576921">
        <w:fldChar w:fldCharType="begin"/>
      </w:r>
      <w:r w:rsidR="00576921">
        <w:instrText xml:space="preserve"> REF _Ref132813198 \h </w:instrText>
      </w:r>
      <w:r w:rsidR="00576921">
        <w:fldChar w:fldCharType="separate"/>
      </w:r>
      <w:r w:rsidR="00576921">
        <w:t>[</w:t>
      </w:r>
      <w:r w:rsidR="00576921">
        <w:rPr>
          <w:noProof/>
          <w:lang w:val="da-DK"/>
        </w:rPr>
        <w:t>3</w:t>
      </w:r>
      <w:r w:rsidR="00576921">
        <w:fldChar w:fldCharType="end"/>
      </w:r>
      <w:r w:rsidR="00F84C14" w:rsidRPr="0029284E">
        <w:t xml:space="preserve">], </w:t>
      </w:r>
      <w:r w:rsidR="00576921">
        <w:fldChar w:fldCharType="begin"/>
      </w:r>
      <w:r w:rsidR="00576921">
        <w:instrText xml:space="preserve"> REF _Ref132813208 \h </w:instrText>
      </w:r>
      <w:r w:rsidR="00576921">
        <w:fldChar w:fldCharType="separate"/>
      </w:r>
      <w:r w:rsidR="00576921">
        <w:t>[</w:t>
      </w:r>
      <w:r w:rsidR="00576921">
        <w:rPr>
          <w:noProof/>
          <w:lang w:val="da-DK"/>
        </w:rPr>
        <w:t>4</w:t>
      </w:r>
      <w:r w:rsidR="00576921">
        <w:fldChar w:fldCharType="end"/>
      </w:r>
      <w:r w:rsidR="00F84C14" w:rsidRPr="0029284E">
        <w:t xml:space="preserve">], </w:t>
      </w:r>
      <w:r w:rsidR="00576921">
        <w:fldChar w:fldCharType="begin"/>
      </w:r>
      <w:r w:rsidR="00576921">
        <w:instrText xml:space="preserve"> REF _Ref132813217 \h </w:instrText>
      </w:r>
      <w:r w:rsidR="00576921">
        <w:fldChar w:fldCharType="separate"/>
      </w:r>
      <w:r w:rsidR="00576921">
        <w:t>[</w:t>
      </w:r>
      <w:r w:rsidR="00576921">
        <w:rPr>
          <w:noProof/>
        </w:rPr>
        <w:t>5</w:t>
      </w:r>
      <w:r w:rsidR="00576921">
        <w:fldChar w:fldCharType="end"/>
      </w:r>
      <w:r w:rsidR="00F84C14" w:rsidRPr="0029284E">
        <w:t>]</w:t>
      </w:r>
      <w:r w:rsidR="00280F78">
        <w:t xml:space="preserve">, </w:t>
      </w:r>
      <w:r w:rsidR="00280F78">
        <w:fldChar w:fldCharType="begin"/>
      </w:r>
      <w:r w:rsidR="00280F78">
        <w:instrText xml:space="preserve"> REF _Ref133327320 \h </w:instrText>
      </w:r>
      <w:r w:rsidR="00280F78">
        <w:fldChar w:fldCharType="separate"/>
      </w:r>
      <w:r w:rsidR="00280F78">
        <w:t>[</w:t>
      </w:r>
      <w:r w:rsidR="00280F78">
        <w:rPr>
          <w:noProof/>
        </w:rPr>
        <w:t>6</w:t>
      </w:r>
      <w:r w:rsidR="00280F78">
        <w:fldChar w:fldCharType="end"/>
      </w:r>
      <w:r w:rsidR="00280F78">
        <w:t>]</w:t>
      </w:r>
      <w:r w:rsidR="00F84C14" w:rsidRPr="0029284E">
        <w:t>.</w:t>
      </w:r>
    </w:p>
    <w:p w14:paraId="4E72E4ED" w14:textId="2C43832F" w:rsidR="00F84C14" w:rsidRDefault="00421639" w:rsidP="000A5D3E">
      <w:pPr>
        <w:rPr>
          <w:lang w:val="da-DK"/>
        </w:rPr>
      </w:pPr>
      <w:r>
        <w:rPr>
          <w:noProof/>
          <w:lang w:val="da-DK"/>
        </w:rPr>
        <w:drawing>
          <wp:inline distT="0" distB="0" distL="0" distR="0" wp14:anchorId="350C5C98" wp14:editId="10FD45C0">
            <wp:extent cx="6120765" cy="1836420"/>
            <wp:effectExtent l="0" t="0" r="0" b="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14"/>
                    <a:stretch>
                      <a:fillRect/>
                    </a:stretch>
                  </pic:blipFill>
                  <pic:spPr>
                    <a:xfrm>
                      <a:off x="0" y="0"/>
                      <a:ext cx="6120765" cy="1836420"/>
                    </a:xfrm>
                    <a:prstGeom prst="rect">
                      <a:avLst/>
                    </a:prstGeom>
                  </pic:spPr>
                </pic:pic>
              </a:graphicData>
            </a:graphic>
          </wp:inline>
        </w:drawing>
      </w:r>
    </w:p>
    <w:p w14:paraId="6D9B33BE" w14:textId="3EADC801" w:rsidR="00421639" w:rsidRPr="000A5D3E" w:rsidRDefault="00896C67" w:rsidP="000A5D3E">
      <w:pPr>
        <w:rPr>
          <w:lang w:val="da-DK"/>
        </w:rPr>
      </w:pPr>
      <w:r w:rsidRPr="001855D0">
        <w:rPr>
          <w:rFonts w:cs="Arial"/>
        </w:rPr>
        <w:t>It is also noted that APT is considering the range 7-24 GHz</w:t>
      </w:r>
      <w:r>
        <w:rPr>
          <w:rFonts w:cs="Arial"/>
        </w:rPr>
        <w:t xml:space="preserve"> in its questionnaire and efforts to narrow down this range are expected</w:t>
      </w:r>
      <w:r w:rsidR="00967E4E">
        <w:rPr>
          <w:rFonts w:cs="Arial"/>
        </w:rPr>
        <w:t>.</w:t>
      </w:r>
    </w:p>
    <w:p w14:paraId="27662F85" w14:textId="59DC51A3" w:rsidR="00656C50" w:rsidRPr="007F2082" w:rsidRDefault="00656C50" w:rsidP="00BD1CA7">
      <w:pPr>
        <w:pStyle w:val="Heading1"/>
        <w:rPr>
          <w:rStyle w:val="ECCParagraph"/>
        </w:rPr>
      </w:pPr>
      <w:r>
        <w:rPr>
          <w:rStyle w:val="ECCParagraph"/>
          <w:rFonts w:hint="eastAsia"/>
          <w:lang w:eastAsia="zh-CN"/>
        </w:rPr>
        <w:lastRenderedPageBreak/>
        <w:t>Reference</w:t>
      </w:r>
      <w:r w:rsidRPr="007F2082">
        <w:rPr>
          <w:rStyle w:val="ECCParagraph"/>
        </w:rPr>
        <w:t xml:space="preserve">s </w:t>
      </w:r>
    </w:p>
    <w:p w14:paraId="07A6BC79" w14:textId="00ED03C8" w:rsidR="00D76EBE" w:rsidRDefault="009B5557" w:rsidP="007526D1">
      <w:pPr>
        <w:rPr>
          <w:lang w:eastAsia="zh-CN"/>
        </w:rPr>
      </w:pPr>
      <w:bookmarkStart w:id="0" w:name="_Ref132811652"/>
      <w:r>
        <w:rPr>
          <w:lang w:eastAsia="zh-CN"/>
        </w:rPr>
        <w:t>[</w:t>
      </w:r>
      <w:r>
        <w:rPr>
          <w:rFonts w:eastAsia="SimSun"/>
          <w:lang w:eastAsia="zh-CN"/>
        </w:rPr>
        <w:fldChar w:fldCharType="begin"/>
      </w:r>
      <w:r>
        <w:rPr>
          <w:rFonts w:eastAsia="SimSun"/>
          <w:lang w:eastAsia="zh-CN"/>
        </w:rPr>
        <w:instrText xml:space="preserve"> SEQ Reference \* ARABIC </w:instrText>
      </w:r>
      <w:r>
        <w:rPr>
          <w:rFonts w:eastAsia="SimSun"/>
          <w:lang w:eastAsia="zh-CN"/>
        </w:rPr>
        <w:fldChar w:fldCharType="separate"/>
      </w:r>
      <w:r w:rsidR="007E473D">
        <w:rPr>
          <w:rFonts w:eastAsia="SimSun"/>
          <w:noProof/>
          <w:lang w:eastAsia="zh-CN"/>
        </w:rPr>
        <w:t>1</w:t>
      </w:r>
      <w:r>
        <w:rPr>
          <w:rFonts w:eastAsia="SimSun"/>
          <w:lang w:eastAsia="zh-CN"/>
        </w:rPr>
        <w:fldChar w:fldCharType="end"/>
      </w:r>
      <w:bookmarkEnd w:id="0"/>
      <w:r>
        <w:rPr>
          <w:lang w:eastAsia="zh-CN"/>
        </w:rPr>
        <w:t xml:space="preserve">] </w:t>
      </w:r>
      <w:hyperlink r:id="rId15" w:history="1">
        <w:r w:rsidRPr="009B5557">
          <w:rPr>
            <w:rStyle w:val="Hyperlink"/>
            <w:lang w:eastAsia="zh-CN"/>
          </w:rPr>
          <w:t>Ericsson Mobility Report - November 2022</w:t>
        </w:r>
      </w:hyperlink>
    </w:p>
    <w:p w14:paraId="26B70F8C" w14:textId="4E20F38B" w:rsidR="007B1E35" w:rsidRDefault="00576A27" w:rsidP="007526D1">
      <w:bookmarkStart w:id="1" w:name="_Ref132812180"/>
      <w:r>
        <w:rPr>
          <w:lang w:eastAsia="zh-CN"/>
        </w:rPr>
        <w:t>[</w:t>
      </w:r>
      <w:r>
        <w:rPr>
          <w:lang w:val="da-DK" w:eastAsia="zh-CN"/>
        </w:rPr>
        <w:fldChar w:fldCharType="begin"/>
      </w:r>
      <w:r>
        <w:rPr>
          <w:lang w:val="da-DK" w:eastAsia="zh-CN"/>
        </w:rPr>
        <w:instrText xml:space="preserve"> SEQ Reference \* ARABIC </w:instrText>
      </w:r>
      <w:r>
        <w:rPr>
          <w:lang w:val="da-DK" w:eastAsia="zh-CN"/>
        </w:rPr>
        <w:fldChar w:fldCharType="separate"/>
      </w:r>
      <w:r w:rsidR="007E473D">
        <w:rPr>
          <w:noProof/>
          <w:lang w:val="da-DK" w:eastAsia="zh-CN"/>
        </w:rPr>
        <w:t>2</w:t>
      </w:r>
      <w:r>
        <w:rPr>
          <w:lang w:val="da-DK" w:eastAsia="zh-CN"/>
        </w:rPr>
        <w:fldChar w:fldCharType="end"/>
      </w:r>
      <w:bookmarkEnd w:id="1"/>
      <w:r>
        <w:t xml:space="preserve">] </w:t>
      </w:r>
      <w:hyperlink r:id="rId16" w:history="1">
        <w:r w:rsidR="000D0F5D">
          <w:rPr>
            <w:rStyle w:val="Hyperlink"/>
          </w:rPr>
          <w:t>Ericsson white paper: 6G spectrum - enabling the future mobile life beyond 2030</w:t>
        </w:r>
      </w:hyperlink>
    </w:p>
    <w:p w14:paraId="3DBEFE3B" w14:textId="71F12066" w:rsidR="007B1E35" w:rsidRDefault="007B1E35" w:rsidP="007526D1">
      <w:bookmarkStart w:id="2" w:name="_Ref132813198"/>
      <w:r>
        <w:t>[</w:t>
      </w:r>
      <w:r>
        <w:rPr>
          <w:lang w:val="da-DK"/>
        </w:rPr>
        <w:fldChar w:fldCharType="begin"/>
      </w:r>
      <w:r>
        <w:rPr>
          <w:lang w:val="da-DK"/>
        </w:rPr>
        <w:instrText xml:space="preserve"> SEQ Reference \* ARABIC </w:instrText>
      </w:r>
      <w:r>
        <w:rPr>
          <w:lang w:val="da-DK"/>
        </w:rPr>
        <w:fldChar w:fldCharType="separate"/>
      </w:r>
      <w:r w:rsidR="007E473D">
        <w:rPr>
          <w:noProof/>
          <w:lang w:val="da-DK"/>
        </w:rPr>
        <w:t>3</w:t>
      </w:r>
      <w:r>
        <w:rPr>
          <w:lang w:val="da-DK"/>
        </w:rPr>
        <w:fldChar w:fldCharType="end"/>
      </w:r>
      <w:bookmarkEnd w:id="2"/>
      <w:r>
        <w:t>]</w:t>
      </w:r>
      <w:r w:rsidR="007526D1">
        <w:t xml:space="preserve"> </w:t>
      </w:r>
      <w:hyperlink r:id="rId17" w:history="1">
        <w:r w:rsidR="007526D1">
          <w:rPr>
            <w:rStyle w:val="Hyperlink"/>
          </w:rPr>
          <w:t>Keynote remarks of FCC Commissioner Brendan Carr - extending America’s 5G leadership</w:t>
        </w:r>
      </w:hyperlink>
    </w:p>
    <w:p w14:paraId="07265F3F" w14:textId="3007149F" w:rsidR="007526D1" w:rsidRDefault="007526D1" w:rsidP="007526D1">
      <w:bookmarkStart w:id="3" w:name="_Ref132813208"/>
      <w:r>
        <w:t>[</w:t>
      </w:r>
      <w:r>
        <w:rPr>
          <w:lang w:val="da-DK"/>
        </w:rPr>
        <w:fldChar w:fldCharType="begin"/>
      </w:r>
      <w:r>
        <w:rPr>
          <w:lang w:val="da-DK"/>
        </w:rPr>
        <w:instrText xml:space="preserve"> SEQ Reference \* ARABIC </w:instrText>
      </w:r>
      <w:r>
        <w:rPr>
          <w:lang w:val="da-DK"/>
        </w:rPr>
        <w:fldChar w:fldCharType="separate"/>
      </w:r>
      <w:r w:rsidR="007E473D">
        <w:rPr>
          <w:noProof/>
          <w:lang w:val="da-DK"/>
        </w:rPr>
        <w:t>4</w:t>
      </w:r>
      <w:r>
        <w:rPr>
          <w:lang w:val="da-DK"/>
        </w:rPr>
        <w:fldChar w:fldCharType="end"/>
      </w:r>
      <w:bookmarkEnd w:id="3"/>
      <w:r>
        <w:t>] Expanding Flexible Use of the 12.2–12.7 GHz Band, et al., WT Docket No. 20–443, Notice of Proposed Rulemaking, 36 FCC Rcd 606 (2021) (NPRM).</w:t>
      </w:r>
    </w:p>
    <w:p w14:paraId="44181872" w14:textId="6A1F53D4" w:rsidR="007526D1" w:rsidRDefault="007526D1" w:rsidP="007526D1">
      <w:bookmarkStart w:id="4" w:name="_Ref132813217"/>
      <w:r>
        <w:t>[</w:t>
      </w:r>
      <w:r>
        <w:fldChar w:fldCharType="begin"/>
      </w:r>
      <w:r>
        <w:instrText xml:space="preserve"> SEQ Reference \* ARABIC </w:instrText>
      </w:r>
      <w:r>
        <w:fldChar w:fldCharType="separate"/>
      </w:r>
      <w:r w:rsidR="007E473D">
        <w:rPr>
          <w:noProof/>
        </w:rPr>
        <w:t>5</w:t>
      </w:r>
      <w:r>
        <w:fldChar w:fldCharType="end"/>
      </w:r>
      <w:bookmarkEnd w:id="4"/>
      <w:r>
        <w:t>] Expanding Use of the 12.7-13.25 GHz Band for Mobile Broadband or Other Expanded Use, GN Docket No. 22-352.</w:t>
      </w:r>
    </w:p>
    <w:p w14:paraId="7441B6D8" w14:textId="18AC7603" w:rsidR="00634043" w:rsidRDefault="007E473D" w:rsidP="00720241">
      <w:bookmarkStart w:id="5" w:name="_Ref133327320"/>
      <w:r>
        <w:t>[</w:t>
      </w:r>
      <w:r>
        <w:fldChar w:fldCharType="begin"/>
      </w:r>
      <w:r>
        <w:instrText xml:space="preserve"> SEQ Reference \* ARABIC </w:instrText>
      </w:r>
      <w:r>
        <w:fldChar w:fldCharType="separate"/>
      </w:r>
      <w:r>
        <w:rPr>
          <w:noProof/>
        </w:rPr>
        <w:t>6</w:t>
      </w:r>
      <w:r>
        <w:fldChar w:fldCharType="end"/>
      </w:r>
      <w:bookmarkEnd w:id="5"/>
      <w:r>
        <w:t xml:space="preserve">] </w:t>
      </w:r>
      <w:hyperlink r:id="rId18" w:history="1">
        <w:r w:rsidR="00AC09CD" w:rsidRPr="00AC09CD">
          <w:rPr>
            <w:rStyle w:val="Hyperlink"/>
          </w:rPr>
          <w:t>WAC recommendations - FCC - April 2023</w:t>
        </w:r>
      </w:hyperlink>
      <w:r w:rsidR="00CC6914">
        <w:t xml:space="preserve">, </w:t>
      </w:r>
      <w:hyperlink r:id="rId19" w:history="1">
        <w:r w:rsidR="00CC6914" w:rsidRPr="00CC6914">
          <w:rPr>
            <w:rStyle w:val="Hyperlink"/>
          </w:rPr>
          <w:t>Qualcomm comments</w:t>
        </w:r>
      </w:hyperlink>
      <w:r w:rsidR="00CC6914">
        <w:t xml:space="preserve">, </w:t>
      </w:r>
      <w:hyperlink r:id="rId20" w:history="1">
        <w:r w:rsidR="00CC6914" w:rsidRPr="00CC6914">
          <w:rPr>
            <w:rStyle w:val="Hyperlink"/>
          </w:rPr>
          <w:t>CTIA comments</w:t>
        </w:r>
      </w:hyperlink>
      <w:r w:rsidR="00CC6914">
        <w:t xml:space="preserve">, </w:t>
      </w:r>
      <w:hyperlink r:id="rId21" w:history="1">
        <w:r w:rsidR="00506225" w:rsidRPr="00506225">
          <w:rPr>
            <w:rStyle w:val="Hyperlink"/>
          </w:rPr>
          <w:t>Ericsson comments</w:t>
        </w:r>
      </w:hyperlink>
      <w:bookmarkStart w:id="6" w:name="_Ref132811900"/>
    </w:p>
    <w:p w14:paraId="4C633A9B" w14:textId="77777777" w:rsidR="00634043" w:rsidRDefault="00634043">
      <w:pPr>
        <w:rPr>
          <w:rFonts w:eastAsia="SimSun" w:cs="Arial"/>
          <w:b/>
          <w:bCs/>
          <w:caps/>
          <w:color w:val="D2232A"/>
          <w:kern w:val="32"/>
          <w:szCs w:val="32"/>
          <w:lang w:val="da-DK" w:eastAsia="zh-CN"/>
        </w:rPr>
      </w:pPr>
      <w:r>
        <w:rPr>
          <w:lang w:eastAsia="zh-CN"/>
        </w:rPr>
        <w:br w:type="page"/>
      </w:r>
    </w:p>
    <w:p w14:paraId="01836A26" w14:textId="1810824B" w:rsidR="00593A14" w:rsidRDefault="00593A14" w:rsidP="008C5719">
      <w:pPr>
        <w:pStyle w:val="Heading1"/>
        <w:rPr>
          <w:lang w:eastAsia="zh-CN"/>
        </w:rPr>
      </w:pPr>
      <w:r w:rsidRPr="008C5719">
        <w:lastRenderedPageBreak/>
        <w:t>Annex</w:t>
      </w:r>
      <w:r>
        <w:rPr>
          <w:lang w:eastAsia="zh-CN"/>
        </w:rPr>
        <w:t xml:space="preserve"> 1</w:t>
      </w:r>
      <w:bookmarkEnd w:id="6"/>
      <w:r w:rsidR="00F66E1E">
        <w:rPr>
          <w:lang w:eastAsia="zh-CN"/>
        </w:rPr>
        <w:t xml:space="preserve"> </w:t>
      </w:r>
      <w:r w:rsidR="00F66E1E" w:rsidRPr="00FC0751">
        <w:rPr>
          <w:lang w:eastAsia="zh-CN"/>
        </w:rPr>
        <w:t xml:space="preserve">(extract from GSA input APG23-5/INF-26 </w:t>
      </w:r>
      <w:r w:rsidR="009D76E0">
        <w:rPr>
          <w:lang w:eastAsia="zh-CN"/>
        </w:rPr>
        <w:t>”</w:t>
      </w:r>
      <w:r w:rsidR="00F66E1E" w:rsidRPr="00FC0751">
        <w:rPr>
          <w:lang w:eastAsia="zh-CN"/>
        </w:rPr>
        <w:t>IMT-2030 (6G) SPECTRUM NEEDS ANALYSIS”</w:t>
      </w:r>
      <w:r w:rsidR="00F66E1E">
        <w:rPr>
          <w:lang w:eastAsia="zh-CN"/>
        </w:rPr>
        <w:t>)</w:t>
      </w:r>
    </w:p>
    <w:p w14:paraId="376FE3A3" w14:textId="77777777" w:rsidR="009D76E0" w:rsidRDefault="009D76E0" w:rsidP="009D76E0"/>
    <w:p w14:paraId="6FCE2522" w14:textId="7A2D5056" w:rsidR="009D76E0" w:rsidRPr="0048603A" w:rsidRDefault="009D76E0" w:rsidP="009D76E0">
      <w:r w:rsidRPr="0048603A">
        <w:t>In the following calculations, the cell-edge Spectral Efficiency (SE) of IMT-2030/6G is assumed to be twice that of IMT-2020/5G, which is a forward-looking assumption with the consideration that IMT-2030/6G will have advanced development of its air-interface technology compared to IMT-2020/5G. For several use-cases such as immersive XR, we also assume advanced video codec, VVC (Versatile Video Coding), along with an optimistic assumption on the compression ratio (e.g., 800:1).</w:t>
      </w:r>
    </w:p>
    <w:p w14:paraId="52737F37" w14:textId="77777777" w:rsidR="009D76E0" w:rsidRDefault="009D76E0" w:rsidP="009D76E0">
      <w:pPr>
        <w:pStyle w:val="Heading2"/>
        <w:rPr>
          <w:rStyle w:val="ECCParagraph"/>
        </w:rPr>
      </w:pPr>
      <w:r>
        <w:rPr>
          <w:rStyle w:val="ECCParagraph"/>
        </w:rPr>
        <w:t>Spectrum Needs Estimation Methods</w:t>
      </w:r>
    </w:p>
    <w:p w14:paraId="33E4302E" w14:textId="77777777" w:rsidR="009D76E0" w:rsidRPr="0048603A" w:rsidRDefault="009D76E0" w:rsidP="009D76E0">
      <w:r w:rsidRPr="0048603A">
        <w:t xml:space="preserve">There is a need to consider different methods for estimating spectrum needs for IMT-2030. This is due to the fact that the requirements of the different IMT-2030/6G use cases can be very divergent. Also, for IMT-2020 [1], there were various methods: traffic forecast-based approach, application-based approach and technical performance-based approach. </w:t>
      </w:r>
    </w:p>
    <w:p w14:paraId="54192E53" w14:textId="06AC0449" w:rsidR="009D76E0" w:rsidRPr="0048603A" w:rsidRDefault="009D76E0" w:rsidP="009D76E0">
      <w:r w:rsidRPr="0048603A">
        <w:t xml:space="preserve">Both methods adopted in this document are technical </w:t>
      </w:r>
      <w:r w:rsidR="00D94AB2" w:rsidRPr="0048603A">
        <w:t>performance based</w:t>
      </w:r>
      <w:r w:rsidRPr="0048603A">
        <w:t xml:space="preserve">. In addition, the approach considers various data-rate requirements of different IMT-2030/6G use cases. Hence, this approach would provide a preliminary analysis of the spectrum needs for each application with straight-forward, not overly complicated technical assessment methods. More accurate spectrum needs calculations would require many assumptions including country/deployment dependent (density of population, IMT-2030/6G penetration, etc.) data. </w:t>
      </w:r>
    </w:p>
    <w:p w14:paraId="65130948" w14:textId="77777777" w:rsidR="009D76E0" w:rsidRPr="0048603A" w:rsidRDefault="009D76E0" w:rsidP="009D76E0">
      <w:r w:rsidRPr="0048603A">
        <w:t>The methods used in this document are presented in the following sub-sections.</w:t>
      </w:r>
    </w:p>
    <w:p w14:paraId="2657F4E9" w14:textId="77777777" w:rsidR="009D76E0" w:rsidRDefault="009D76E0" w:rsidP="009D76E0">
      <w:pPr>
        <w:pStyle w:val="Heading3"/>
      </w:pPr>
      <w:r>
        <w:t>Method 1: Data rate and spectral efficiency based method [1]</w:t>
      </w:r>
    </w:p>
    <w:p w14:paraId="175B5BC0" w14:textId="77777777" w:rsidR="009D76E0" w:rsidRPr="0048603A" w:rsidRDefault="009D76E0" w:rsidP="009D76E0">
      <m:oMathPara>
        <m:oMathParaPr>
          <m:jc m:val="center"/>
        </m:oMathParaPr>
        <m:oMath>
          <m:r>
            <w:rPr>
              <w:rFonts w:ascii="Cambria Math"/>
            </w:rPr>
            <m:t>B=D/S</m:t>
          </m:r>
        </m:oMath>
      </m:oMathPara>
    </w:p>
    <w:p w14:paraId="26DB84B5" w14:textId="77777777" w:rsidR="009D76E0" w:rsidRPr="001855D0" w:rsidRDefault="009D76E0" w:rsidP="009D76E0">
      <w:pPr>
        <w:rPr>
          <w:rFonts w:cs="Arial"/>
          <w:szCs w:val="20"/>
        </w:rPr>
      </w:pPr>
      <w:r w:rsidRPr="001855D0">
        <w:rPr>
          <w:rFonts w:cs="Arial"/>
          <w:szCs w:val="20"/>
        </w:rPr>
        <w:t>where:</w:t>
      </w:r>
    </w:p>
    <w:p w14:paraId="4E7ED0D2" w14:textId="6A334819" w:rsidR="009D76E0" w:rsidRPr="001D2836" w:rsidRDefault="009D76E0" w:rsidP="009D76E0">
      <w:pPr>
        <w:numPr>
          <w:ilvl w:val="0"/>
          <w:numId w:val="27"/>
        </w:numPr>
        <w:spacing w:after="160" w:line="259" w:lineRule="auto"/>
        <w:contextualSpacing/>
        <w:rPr>
          <w:rFonts w:cs="Arial"/>
          <w:szCs w:val="20"/>
        </w:rPr>
      </w:pPr>
      <w:r w:rsidRPr="001855D0">
        <w:rPr>
          <w:rFonts w:eastAsia="SimSun" w:cs="Arial"/>
        </w:rPr>
        <w:t xml:space="preserve">One active user is assumed at the </w:t>
      </w:r>
      <w:r w:rsidRPr="001D2836">
        <w:rPr>
          <w:rFonts w:eastAsia="SimSun" w:cs="Arial"/>
        </w:rPr>
        <w:t>cell edge in a cell requiring a data rate</w:t>
      </w:r>
      <w:r w:rsidR="00E7428A" w:rsidRPr="001D2836">
        <w:rPr>
          <w:rFonts w:eastAsia="SimSun" w:cs="Arial"/>
        </w:rPr>
        <w:t xml:space="preserve"> </w:t>
      </w:r>
      <m:oMath>
        <m:r>
          <w:rPr>
            <w:rFonts w:ascii="Cambria Math"/>
          </w:rPr>
          <m:t>D</m:t>
        </m:r>
      </m:oMath>
      <w:r w:rsidRPr="001D2836">
        <w:t>.</w:t>
      </w:r>
      <w:r w:rsidRPr="001D2836">
        <w:rPr>
          <w:rFonts w:eastAsia="SimSun" w:cs="Arial"/>
        </w:rPr>
        <w:t xml:space="preserve">  </w:t>
      </w:r>
    </w:p>
    <w:p w14:paraId="721DE38D" w14:textId="43C1ED01" w:rsidR="009D76E0" w:rsidRPr="001D2836" w:rsidRDefault="009D76E0" w:rsidP="009D76E0">
      <w:pPr>
        <w:numPr>
          <w:ilvl w:val="0"/>
          <w:numId w:val="27"/>
        </w:numPr>
        <w:spacing w:after="160" w:line="259" w:lineRule="auto"/>
        <w:contextualSpacing/>
      </w:pPr>
      <m:oMath>
        <m:r>
          <w:rPr>
            <w:rFonts w:ascii="Cambria Math"/>
          </w:rPr>
          <m:t>B</m:t>
        </m:r>
      </m:oMath>
      <w:r w:rsidR="00286B48" w:rsidRPr="001D2836">
        <w:t xml:space="preserve"> </w:t>
      </w:r>
      <w:r w:rsidRPr="001D2836">
        <w:t>is the amount of spectrum (Hz) required to support a certain data rate</w:t>
      </w:r>
      <w:r w:rsidR="007C04A5" w:rsidRPr="001D2836">
        <w:t xml:space="preserve"> </w:t>
      </w:r>
      <m:oMath>
        <m:r>
          <w:rPr>
            <w:rFonts w:ascii="Cambria Math"/>
          </w:rPr>
          <m:t>D</m:t>
        </m:r>
      </m:oMath>
      <w:r w:rsidRPr="001D2836">
        <w:t xml:space="preserve">. </w:t>
      </w:r>
    </w:p>
    <w:p w14:paraId="7FAF7B33" w14:textId="580A522F" w:rsidR="009D76E0" w:rsidRPr="001D2836" w:rsidRDefault="007C04A5" w:rsidP="009D76E0">
      <w:pPr>
        <w:numPr>
          <w:ilvl w:val="0"/>
          <w:numId w:val="27"/>
        </w:numPr>
        <w:spacing w:after="160" w:line="259" w:lineRule="auto"/>
        <w:contextualSpacing/>
      </w:pPr>
      <m:oMath>
        <m:r>
          <w:rPr>
            <w:rFonts w:ascii="Cambria Math"/>
          </w:rPr>
          <m:t>D</m:t>
        </m:r>
      </m:oMath>
      <w:r w:rsidRPr="001D2836">
        <w:t xml:space="preserve"> </w:t>
      </w:r>
      <w:r w:rsidR="009D76E0" w:rsidRPr="001D2836">
        <w:t xml:space="preserve">is the required data rate (bit/s) by a user/device. </w:t>
      </w:r>
    </w:p>
    <w:p w14:paraId="0A1651C9" w14:textId="2878D616" w:rsidR="009D76E0" w:rsidRPr="001855D0" w:rsidRDefault="009D76E0" w:rsidP="009D76E0">
      <w:pPr>
        <w:numPr>
          <w:ilvl w:val="0"/>
          <w:numId w:val="27"/>
        </w:numPr>
        <w:spacing w:after="160" w:line="259" w:lineRule="auto"/>
        <w:contextualSpacing/>
      </w:pPr>
      <m:oMath>
        <m:r>
          <w:rPr>
            <w:rFonts w:ascii="Cambria Math"/>
          </w:rPr>
          <m:t>S</m:t>
        </m:r>
      </m:oMath>
      <w:r w:rsidR="009C580F" w:rsidRPr="001D2836">
        <w:t xml:space="preserve"> </w:t>
      </w:r>
      <w:r w:rsidRPr="001D2836">
        <w:t>is the 5th percentile spectral efficiency (bit/s/Hz/cell), namely</w:t>
      </w:r>
      <w:r w:rsidRPr="001855D0">
        <w:t>, the cell-edge spectral efficiency (a.k.a, cell-edge SE).</w:t>
      </w:r>
    </w:p>
    <w:p w14:paraId="154C420C" w14:textId="77777777" w:rsidR="009D76E0" w:rsidRDefault="009D76E0" w:rsidP="009D76E0">
      <w:r w:rsidRPr="001855D0">
        <w:rPr>
          <w:rFonts w:cs="Arial"/>
          <w:szCs w:val="20"/>
        </w:rPr>
        <w:t>As mentioned earlier, t</w:t>
      </w:r>
      <w:r w:rsidRPr="001855D0">
        <w:rPr>
          <w:rFonts w:cs="Arial"/>
        </w:rPr>
        <w:t xml:space="preserve">he cell-edge SE of IMT-2030 is assumed to be </w:t>
      </w:r>
      <w:r w:rsidRPr="001855D0">
        <w:rPr>
          <w:rFonts w:cs="Arial"/>
          <w:i/>
          <w:iCs/>
        </w:rPr>
        <w:t>twice</w:t>
      </w:r>
      <w:r w:rsidRPr="001855D0">
        <w:rPr>
          <w:rFonts w:cs="Arial"/>
        </w:rPr>
        <w:t xml:space="preserve"> that of IMT-2020, the latter is specified in ITU-R M.2410. </w:t>
      </w:r>
      <w:r w:rsidRPr="001855D0">
        <w:rPr>
          <w:rFonts w:cs="Arial"/>
          <w:szCs w:val="20"/>
        </w:rPr>
        <w:t xml:space="preserve">In ITU-R M.2412, which contains the assumptions and evaluation methodology that led to the spectral efficiency figures of M.2410, 10 active users were assumed in a cell. Hence, by using the IMT-2020 SE (and the methodologies described in M.2412, M.2410) as a baseline for estimating the SE of IMT-2030, this calculation method implicitly assumes 10 active users in the entire cell, of which 1 user is located at the cell edge. </w:t>
      </w:r>
      <w:r w:rsidRPr="001855D0">
        <w:rPr>
          <w:rFonts w:cs="Arial"/>
        </w:rPr>
        <w:t>While multiple users are served in the same cell, it is expected that the cell-edge user dominates the spectrum needs due to reduced spectral efficiency.</w:t>
      </w:r>
    </w:p>
    <w:p w14:paraId="298E786A" w14:textId="77777777" w:rsidR="009D76E0" w:rsidRPr="0048603A" w:rsidRDefault="009D76E0" w:rsidP="009D76E0">
      <w:pPr>
        <w:pStyle w:val="Heading3"/>
      </w:pPr>
      <w:r w:rsidRPr="0048603A">
        <w:t>Method 2: High accuracy sensing/positioning based method [2]</w:t>
      </w:r>
    </w:p>
    <w:p w14:paraId="59AE3ADF" w14:textId="77777777" w:rsidR="009D76E0" w:rsidRPr="001855D0" w:rsidRDefault="009D76E0" w:rsidP="009D76E0">
      <w:r w:rsidRPr="001855D0">
        <w:t>This method is suitable for use cases where high accuracy sensing and positioning is needed.</w:t>
      </w:r>
    </w:p>
    <w:p w14:paraId="0C1557FA" w14:textId="77777777" w:rsidR="009D76E0" w:rsidRPr="0048603A" w:rsidRDefault="009D76E0" w:rsidP="009D76E0">
      <w:pPr>
        <w:rPr>
          <w:rFonts w:cs="Arial"/>
        </w:rPr>
      </w:pPr>
      <m:oMathPara>
        <m:oMathParaPr>
          <m:jc m:val="center"/>
        </m:oMathParaPr>
        <m:oMath>
          <m:r>
            <w:rPr>
              <w:rFonts w:ascii="Cambria Math"/>
            </w:rPr>
            <m:t>B=</m:t>
          </m:r>
          <m:f>
            <m:fPr>
              <m:ctrlPr>
                <w:rPr>
                  <w:rFonts w:ascii="Cambria Math" w:hAnsi="Cambria Math"/>
                  <w:i/>
                </w:rPr>
              </m:ctrlPr>
            </m:fPr>
            <m:num>
              <m:r>
                <w:rPr>
                  <w:rFonts w:ascii="Cambria Math"/>
                </w:rPr>
                <m:t>c</m:t>
              </m:r>
            </m:num>
            <m:den>
              <m:r>
                <w:rPr>
                  <w:rFonts w:ascii="Cambria Math"/>
                </w:rPr>
                <m:t>2</m:t>
              </m:r>
              <m:r>
                <w:rPr>
                  <w:rFonts w:ascii="Cambria Math" w:hAnsi="Cambria Math"/>
                </w:rPr>
                <m:t>∆</m:t>
              </m:r>
              <m:r>
                <w:rPr>
                  <w:rFonts w:ascii="Cambria Math"/>
                </w:rPr>
                <m:t>r</m:t>
              </m:r>
            </m:den>
          </m:f>
        </m:oMath>
      </m:oMathPara>
    </w:p>
    <w:p w14:paraId="29DCD8EE" w14:textId="77777777" w:rsidR="009D76E0" w:rsidRPr="001855D0" w:rsidRDefault="009D76E0" w:rsidP="009D76E0">
      <w:pPr>
        <w:rPr>
          <w:rFonts w:cs="Arial"/>
          <w:szCs w:val="20"/>
        </w:rPr>
      </w:pPr>
      <w:r w:rsidRPr="001855D0">
        <w:rPr>
          <w:rFonts w:cs="Arial"/>
          <w:szCs w:val="20"/>
        </w:rPr>
        <w:t>where:</w:t>
      </w:r>
    </w:p>
    <w:p w14:paraId="187AE467" w14:textId="77777777" w:rsidR="009D76E0" w:rsidRPr="001855D0" w:rsidRDefault="009D76E0" w:rsidP="009D76E0">
      <w:pPr>
        <w:numPr>
          <w:ilvl w:val="0"/>
          <w:numId w:val="28"/>
        </w:numPr>
        <w:contextualSpacing/>
      </w:pPr>
      <w:r w:rsidRPr="001855D0">
        <w:object w:dxaOrig="240" w:dyaOrig="260" w14:anchorId="51096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3pt" o:ole="">
            <v:imagedata r:id="rId22" o:title=""/>
          </v:shape>
          <o:OLEObject Type="Embed" ProgID="Equation.DSMT4" ShapeID="_x0000_i1025" DrawAspect="Content" ObjectID="_1743944360" r:id="rId23"/>
        </w:object>
      </w:r>
      <w:r w:rsidRPr="001855D0">
        <w:rPr>
          <w:rFonts w:cs="Arial"/>
          <w:szCs w:val="20"/>
        </w:rPr>
        <w:t xml:space="preserve"> is the required bandwidth (Hz).</w:t>
      </w:r>
    </w:p>
    <w:p w14:paraId="2F5E8B36" w14:textId="06292937" w:rsidR="009D76E0" w:rsidRDefault="009D76E0" w:rsidP="0032211D">
      <w:pPr>
        <w:numPr>
          <w:ilvl w:val="0"/>
          <w:numId w:val="28"/>
        </w:numPr>
        <w:contextualSpacing/>
        <w:rPr>
          <w:rStyle w:val="ECCParagraph"/>
        </w:rPr>
      </w:pPr>
      <m:oMath>
        <m:r>
          <w:rPr>
            <w:rFonts w:ascii="Cambria Math" w:hAnsi="Cambria Math" w:cs="Arial"/>
          </w:rPr>
          <m:t>c</m:t>
        </m:r>
      </m:oMath>
      <w:r w:rsidRPr="001855D0">
        <w:rPr>
          <w:rFonts w:cs="Arial"/>
        </w:rPr>
        <w:t xml:space="preserve"> is the speed of light (m/s).</w:t>
      </w:r>
      <m:oMath>
        <m:r>
          <w:rPr>
            <w:rFonts w:ascii="Cambria Math" w:hAnsi="Cambria Math"/>
          </w:rPr>
          <m:t>∆</m:t>
        </m:r>
        <m:r>
          <w:rPr>
            <w:rFonts w:ascii="Cambria Math"/>
          </w:rPr>
          <m:t>r</m:t>
        </m:r>
      </m:oMath>
      <w:r w:rsidRPr="005F1485">
        <w:rPr>
          <w:rFonts w:cs="Arial"/>
        </w:rPr>
        <w:t xml:space="preserve"> is the range resolution (m).</w:t>
      </w:r>
    </w:p>
    <w:p w14:paraId="590F606C" w14:textId="77777777" w:rsidR="009D76E0" w:rsidRPr="00F96479" w:rsidRDefault="009D76E0" w:rsidP="009D76E0">
      <w:pPr>
        <w:pStyle w:val="Heading2"/>
        <w:rPr>
          <w:rStyle w:val="ECCParagraph"/>
          <w:szCs w:val="16"/>
        </w:rPr>
      </w:pPr>
      <w:r w:rsidRPr="00F96479">
        <w:rPr>
          <w:rStyle w:val="ECCParagraph"/>
        </w:rPr>
        <w:lastRenderedPageBreak/>
        <w:t xml:space="preserve">Spectrum needs estimation of some IMT-2030/6G use cases </w:t>
      </w:r>
    </w:p>
    <w:p w14:paraId="3DF2E5DA" w14:textId="77777777" w:rsidR="009D76E0" w:rsidRPr="00F96479" w:rsidRDefault="009D76E0" w:rsidP="009D76E0">
      <w:pPr>
        <w:pStyle w:val="Heading3"/>
        <w:rPr>
          <w:rFonts w:eastAsiaTheme="majorEastAsia"/>
        </w:rPr>
      </w:pPr>
      <w:r w:rsidRPr="00F96479">
        <w:t xml:space="preserve">XR </w:t>
      </w:r>
      <w:r w:rsidRPr="00F96479">
        <w:rPr>
          <w:rFonts w:eastAsiaTheme="majorEastAsia"/>
        </w:rPr>
        <w:t xml:space="preserve"> </w:t>
      </w:r>
    </w:p>
    <w:p w14:paraId="2A68B523" w14:textId="77777777" w:rsidR="009D76E0" w:rsidRPr="00F96479" w:rsidRDefault="009D76E0" w:rsidP="009D76E0">
      <w:r w:rsidRPr="00F96479">
        <w:t>Extended Reality (XR) is an umbrella term encompassing Virtual Reality (VR), Augmented Reality (AR), and Mixed Reality (MR). In conventional XR, the data processing required to present immersive experiences are carried out by the user devices themselves, thereby contributing to the size/weight, complexity, cost and energy consumption of the user devices. To mitigate this, cloud-based technologies and XR will be brought together to deliver superior experiences via cloud-based platforms, i.e. Cloud XR [3].</w:t>
      </w:r>
    </w:p>
    <w:p w14:paraId="0DF9CA7F" w14:textId="77777777" w:rsidR="009D76E0" w:rsidRPr="00F96479" w:rsidRDefault="009D76E0" w:rsidP="009D76E0">
      <w:r w:rsidRPr="00F96479">
        <w:t>In Cloud XR, content will be stored, rendered and computed in the cloud, i.e. in the network. This will greatly reduce the computing load and energy consumption of XR devices. As such, lightweight devices and network communication are combined to provide ubiquitous XR services across the network [4]</w:t>
      </w:r>
      <w:r w:rsidRPr="00F96479">
        <w:rPr>
          <w:rFonts w:hint="eastAsia"/>
        </w:rPr>
        <w:t>.</w:t>
      </w:r>
    </w:p>
    <w:p w14:paraId="42DA2841" w14:textId="77777777" w:rsidR="009D76E0" w:rsidRPr="00F96479" w:rsidRDefault="009D76E0" w:rsidP="009D76E0">
      <w:r w:rsidRPr="00F96479">
        <w:t>IMT-2020 Cloud XR [4] currently supports a motion-to-photon (MTP) latency of less than 20 ms and end-to-end latency of up to 70 ms. Towards 2030 and beyond, the end-to-end latency of cloud XR is expected to be further reduced to below 10 ms through the use of IMT-2030 technology. A fully immersive XR experience requires 16K</w:t>
      </w:r>
      <w:r w:rsidRPr="00F96479">
        <w:sym w:font="Symbol" w:char="F0B4"/>
      </w:r>
      <w:r w:rsidRPr="00F96479">
        <w:t>16K resolution, a frame rate of at least 60 Hz (for single eye), and each pixel being represented by 12 bits. To reduce motion sickness, the required throughput will approximate be 0.45 Gbit/s</w:t>
      </w:r>
      <w:r w:rsidRPr="00F96479">
        <w:rPr>
          <w:vertAlign w:val="superscript"/>
        </w:rPr>
        <w:footnoteReference w:id="2"/>
      </w:r>
      <w:r w:rsidRPr="00F96479">
        <w:t xml:space="preserve">, given a 800:1 compression ratio. </w:t>
      </w:r>
    </w:p>
    <w:p w14:paraId="46470F58" w14:textId="77777777" w:rsidR="009D76E0" w:rsidRPr="00F96479" w:rsidRDefault="009D76E0" w:rsidP="009D76E0">
      <w:r w:rsidRPr="00F96479">
        <w:t>Table 4 shows the required bandwidths for Cloud XR, derived based on Method 1 (</w:t>
      </w:r>
      <m:oMath>
        <m:r>
          <w:rPr>
            <w:rFonts w:ascii="Cambria Math" w:hAnsi="Cambria Math"/>
          </w:rPr>
          <m:t>B</m:t>
        </m:r>
        <m:r>
          <m:rPr>
            <m:sty m:val="p"/>
          </m:rPr>
          <w:rPr>
            <w:rFonts w:ascii="Cambria Math" w:hAnsi="Cambria Math"/>
          </w:rPr>
          <m:t>=</m:t>
        </m:r>
        <m:f>
          <m:fPr>
            <m:type m:val="lin"/>
            <m:ctrlPr>
              <w:rPr>
                <w:rFonts w:ascii="Cambria Math" w:hAnsi="Cambria Math"/>
              </w:rPr>
            </m:ctrlPr>
          </m:fPr>
          <m:num>
            <m:r>
              <w:rPr>
                <w:rFonts w:ascii="Cambria Math" w:hAnsi="Cambria Math"/>
              </w:rPr>
              <m:t>D</m:t>
            </m:r>
          </m:num>
          <m:den>
            <m:r>
              <w:rPr>
                <w:rFonts w:ascii="Cambria Math" w:hAnsi="Cambria Math"/>
              </w:rPr>
              <m:t>S</m:t>
            </m:r>
          </m:den>
        </m:f>
      </m:oMath>
      <w:r w:rsidRPr="00F96479">
        <w:t xml:space="preserve">), assuming a cell-edge SE of 0.45 bits/s/Hz/cell for outdoor and 0.6 bits/s/Hz/cell for Indoor, and a link throughput </w:t>
      </w:r>
      <m:oMath>
        <m:r>
          <w:rPr>
            <w:rFonts w:ascii="Cambria Math" w:hAnsi="Cambria Math"/>
          </w:rPr>
          <m:t>D</m:t>
        </m:r>
      </m:oMath>
      <w:r w:rsidRPr="00F96479">
        <w:t xml:space="preserve"> of 450 Mbit/s.</w:t>
      </w:r>
    </w:p>
    <w:p w14:paraId="2F24729E" w14:textId="77777777" w:rsidR="009D76E0" w:rsidRPr="00F96479" w:rsidRDefault="009D76E0" w:rsidP="009D76E0">
      <w:r w:rsidRPr="00F96479">
        <w:t>The resulting B (in MHz) is as follows assuming a dense-urban eMBB scenario in the calculation.</w:t>
      </w:r>
    </w:p>
    <w:p w14:paraId="244DF476" w14:textId="77777777" w:rsidR="009D76E0" w:rsidRPr="001855D0" w:rsidRDefault="009D76E0" w:rsidP="009D76E0">
      <w:pPr>
        <w:pStyle w:val="Caption"/>
        <w:rPr>
          <w:rFonts w:eastAsia="MS Mincho"/>
          <w:lang w:eastAsia="ja-JP"/>
        </w:rPr>
      </w:pPr>
      <w:r w:rsidRPr="001855D0">
        <w:rPr>
          <w:caps/>
        </w:rPr>
        <w:t>Table 4</w:t>
      </w:r>
      <w:r>
        <w:rPr>
          <w:caps/>
        </w:rPr>
        <w:t xml:space="preserve">: </w:t>
      </w:r>
      <w:r w:rsidRPr="001855D0">
        <w:rPr>
          <w:rFonts w:eastAsia="MS Mincho"/>
          <w:lang w:eastAsia="ja-JP"/>
        </w:rPr>
        <w:t>DL Spectrum needs to support Cloud XR</w:t>
      </w:r>
    </w:p>
    <w:tbl>
      <w:tblPr>
        <w:tblStyle w:val="TableGrid"/>
        <w:tblW w:w="0" w:type="auto"/>
        <w:jc w:val="center"/>
        <w:tblLook w:val="04A0" w:firstRow="1" w:lastRow="0" w:firstColumn="1" w:lastColumn="0" w:noHBand="0" w:noVBand="1"/>
      </w:tblPr>
      <w:tblGrid>
        <w:gridCol w:w="2589"/>
        <w:gridCol w:w="2202"/>
      </w:tblGrid>
      <w:tr w:rsidR="009D76E0" w:rsidRPr="001855D0" w14:paraId="1577C812" w14:textId="77777777" w:rsidTr="00DF2C29">
        <w:trPr>
          <w:trHeight w:val="360"/>
          <w:jc w:val="center"/>
        </w:trPr>
        <w:tc>
          <w:tcPr>
            <w:tcW w:w="4791" w:type="dxa"/>
            <w:gridSpan w:val="2"/>
          </w:tcPr>
          <w:p w14:paraId="487756A9" w14:textId="77777777" w:rsidR="00304C01" w:rsidRDefault="009D76E0" w:rsidP="00DF2C29">
            <w:pPr>
              <w:jc w:val="center"/>
              <w:rPr>
                <w:rFonts w:cs="Arial"/>
                <w:szCs w:val="20"/>
              </w:rPr>
            </w:pPr>
            <w:r w:rsidRPr="001855D0">
              <w:rPr>
                <w:rFonts w:cs="Arial"/>
                <w:szCs w:val="20"/>
              </w:rPr>
              <w:t xml:space="preserve">DL spectrum needs for Cloud XR </w:t>
            </w:r>
          </w:p>
          <w:p w14:paraId="5DA81D45" w14:textId="2AFD0A0D" w:rsidR="009D76E0" w:rsidRPr="001855D0" w:rsidRDefault="009D76E0" w:rsidP="00DF2C29">
            <w:pPr>
              <w:jc w:val="center"/>
              <w:rPr>
                <w:rFonts w:cs="Arial"/>
                <w:szCs w:val="20"/>
              </w:rPr>
            </w:pPr>
            <w:r w:rsidRPr="001855D0">
              <w:rPr>
                <w:rFonts w:cs="Arial"/>
                <w:szCs w:val="20"/>
              </w:rPr>
              <w:t>(GHz per Network)</w:t>
            </w:r>
          </w:p>
        </w:tc>
      </w:tr>
      <w:tr w:rsidR="009D76E0" w:rsidRPr="001855D0" w14:paraId="54505374" w14:textId="77777777" w:rsidTr="00DF2C29">
        <w:trPr>
          <w:trHeight w:val="180"/>
          <w:jc w:val="center"/>
        </w:trPr>
        <w:tc>
          <w:tcPr>
            <w:tcW w:w="2589" w:type="dxa"/>
          </w:tcPr>
          <w:p w14:paraId="2F431283" w14:textId="77777777" w:rsidR="009D76E0" w:rsidRPr="001855D0" w:rsidRDefault="009D76E0" w:rsidP="00DF2C29">
            <w:pPr>
              <w:jc w:val="center"/>
              <w:rPr>
                <w:rFonts w:cs="Arial"/>
                <w:szCs w:val="20"/>
              </w:rPr>
            </w:pPr>
            <w:r w:rsidRPr="001855D0">
              <w:rPr>
                <w:rFonts w:cs="Arial"/>
                <w:szCs w:val="20"/>
              </w:rPr>
              <w:t>Indoor</w:t>
            </w:r>
          </w:p>
        </w:tc>
        <w:tc>
          <w:tcPr>
            <w:tcW w:w="2202" w:type="dxa"/>
          </w:tcPr>
          <w:p w14:paraId="3B29F95E" w14:textId="77777777" w:rsidR="009D76E0" w:rsidRPr="001855D0" w:rsidRDefault="009D76E0" w:rsidP="00DF2C29">
            <w:pPr>
              <w:jc w:val="center"/>
              <w:rPr>
                <w:rFonts w:cs="Arial"/>
                <w:szCs w:val="20"/>
              </w:rPr>
            </w:pPr>
            <w:r w:rsidRPr="001855D0">
              <w:rPr>
                <w:rFonts w:cs="Arial"/>
                <w:szCs w:val="20"/>
              </w:rPr>
              <w:t>Outdoor</w:t>
            </w:r>
          </w:p>
        </w:tc>
      </w:tr>
      <w:tr w:rsidR="009D76E0" w:rsidRPr="001855D0" w14:paraId="5F6A8D18" w14:textId="77777777" w:rsidTr="00DF2C29">
        <w:trPr>
          <w:trHeight w:val="180"/>
          <w:jc w:val="center"/>
        </w:trPr>
        <w:tc>
          <w:tcPr>
            <w:tcW w:w="2589" w:type="dxa"/>
          </w:tcPr>
          <w:p w14:paraId="289E6DD9" w14:textId="77777777" w:rsidR="009D76E0" w:rsidRPr="001855D0" w:rsidRDefault="009D76E0" w:rsidP="00DF2C29">
            <w:pPr>
              <w:jc w:val="center"/>
              <w:rPr>
                <w:rFonts w:cs="Arial"/>
                <w:b/>
                <w:bCs/>
                <w:szCs w:val="20"/>
              </w:rPr>
            </w:pPr>
            <w:r w:rsidRPr="001855D0">
              <w:rPr>
                <w:rFonts w:cs="Arial"/>
                <w:b/>
                <w:bCs/>
                <w:szCs w:val="20"/>
              </w:rPr>
              <w:t>0.75</w:t>
            </w:r>
          </w:p>
        </w:tc>
        <w:tc>
          <w:tcPr>
            <w:tcW w:w="2202" w:type="dxa"/>
          </w:tcPr>
          <w:p w14:paraId="60E8D61A" w14:textId="77777777" w:rsidR="009D76E0" w:rsidRPr="001855D0" w:rsidRDefault="009D76E0" w:rsidP="00DF2C29">
            <w:pPr>
              <w:jc w:val="center"/>
              <w:rPr>
                <w:rFonts w:eastAsia="SimSun" w:cs="Arial"/>
                <w:b/>
                <w:bCs/>
                <w:szCs w:val="20"/>
              </w:rPr>
            </w:pPr>
            <w:r w:rsidRPr="001855D0">
              <w:rPr>
                <w:rFonts w:eastAsia="SimSun" w:cs="Arial"/>
                <w:b/>
                <w:bCs/>
                <w:szCs w:val="20"/>
              </w:rPr>
              <w:t>1</w:t>
            </w:r>
          </w:p>
        </w:tc>
      </w:tr>
    </w:tbl>
    <w:p w14:paraId="15B3AFE8" w14:textId="77777777" w:rsidR="009D76E0" w:rsidRPr="004B42D3" w:rsidRDefault="009D76E0" w:rsidP="009D76E0">
      <w:pPr>
        <w:pStyle w:val="Heading3"/>
      </w:pPr>
      <w:r w:rsidRPr="004B42D3">
        <w:t>Holographic communications</w:t>
      </w:r>
    </w:p>
    <w:p w14:paraId="2970171F" w14:textId="77777777" w:rsidR="009D76E0" w:rsidRPr="004B42D3" w:rsidRDefault="009D76E0" w:rsidP="009D76E0">
      <w:r w:rsidRPr="004B42D3">
        <w:t>Holographic communications are expected to be widely used, e.g. for social communication, work and training, healthcare, education, retail and shopping, entertainment, and in industry production facilities. This use case may start indoors but expand to outdoor environments shortly after its adoption, similar to voice and video applications in previous mobile generations. This will bring a fully immersive experience to users without the restrictions of time, space, and the boundary between the real and virtual worlds. It will require future IMT-2030 networks to provide information exchange capabilities supporting real-time 3D display and fast transfer of holographic images.</w:t>
      </w:r>
    </w:p>
    <w:p w14:paraId="4C33D0CF" w14:textId="77777777" w:rsidR="009D76E0" w:rsidRPr="004B42D3" w:rsidRDefault="009D76E0" w:rsidP="009D76E0">
      <w:r w:rsidRPr="004B42D3">
        <w:t>Holograms are mainly generated with image- and volumetric-based method [5]. Image-based holograms (e.g. Light Field Video) have the characteristics of high-fidelity image and are conceptually simple, but requires significant storage and transmission bandwidth. It is expected to require up to 1 Tbit/s bandwidth [4, 6]. Another way is to base holographic representation on volumetric media (e.g. point clouds). The objects are represented as sets of 3D volume pixels (i.e., voxels). The actual image is then dynamically rendered from any viewing angle at the local endpoint, which will greatly reduce the requirement of bandwidth.</w:t>
      </w:r>
    </w:p>
    <w:p w14:paraId="7ADE7926" w14:textId="77777777" w:rsidR="009D76E0" w:rsidRPr="001855D0" w:rsidRDefault="009D76E0" w:rsidP="009D76E0">
      <w:pPr>
        <w:rPr>
          <w:rFonts w:cs="Arial"/>
        </w:rPr>
      </w:pPr>
      <w:r w:rsidRPr="004B42D3">
        <w:lastRenderedPageBreak/>
        <w:t>As shown in the figure below, networks are required to support a throughput of approximately over 500 Mbps, if based on the volumetric-method (e.g. point clouds). Note that this figure is just an illustrative indication of data rates required and does not present any typical outdoor use case of holographic communications.</w:t>
      </w:r>
      <w:r w:rsidRPr="001855D0">
        <w:rPr>
          <w:rFonts w:cs="Arial"/>
        </w:rPr>
        <w:t xml:space="preserve"> </w:t>
      </w:r>
    </w:p>
    <w:p w14:paraId="43DAB2D9" w14:textId="77777777" w:rsidR="009D76E0" w:rsidRPr="001855D0" w:rsidRDefault="009D76E0" w:rsidP="009D76E0">
      <w:pPr>
        <w:jc w:val="center"/>
        <w:rPr>
          <w:rFonts w:cs="Arial"/>
          <w:szCs w:val="20"/>
        </w:rPr>
      </w:pPr>
      <w:r w:rsidRPr="001855D0">
        <w:rPr>
          <w:rFonts w:cs="Arial"/>
          <w:noProof/>
          <w:szCs w:val="20"/>
          <w:lang w:eastAsia="en-GB"/>
        </w:rPr>
        <w:drawing>
          <wp:inline distT="0" distB="0" distL="0" distR="0" wp14:anchorId="38478DE9" wp14:editId="2C1BF6F7">
            <wp:extent cx="5188217" cy="18733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88217" cy="1873346"/>
                    </a:xfrm>
                    <a:prstGeom prst="rect">
                      <a:avLst/>
                    </a:prstGeom>
                  </pic:spPr>
                </pic:pic>
              </a:graphicData>
            </a:graphic>
          </wp:inline>
        </w:drawing>
      </w:r>
    </w:p>
    <w:p w14:paraId="380BF50A" w14:textId="77777777" w:rsidR="009D76E0" w:rsidRPr="001855D0" w:rsidRDefault="009D76E0" w:rsidP="009D76E0">
      <w:pPr>
        <w:pStyle w:val="Caption"/>
        <w:rPr>
          <w:lang w:val="en-US"/>
        </w:rPr>
      </w:pPr>
      <w:r w:rsidRPr="001855D0">
        <w:rPr>
          <w:lang w:val="en-US"/>
        </w:rPr>
        <w:t xml:space="preserve">Figure 1. Data-rate requirement </w:t>
      </w:r>
      <w:r w:rsidRPr="004B42D3">
        <w:t>evolution</w:t>
      </w:r>
      <w:r w:rsidRPr="001855D0">
        <w:rPr>
          <w:lang w:val="en-US"/>
        </w:rPr>
        <w:t xml:space="preserve"> for Holographic communications [5]</w:t>
      </w:r>
    </w:p>
    <w:p w14:paraId="3DC4620A" w14:textId="77777777" w:rsidR="009D76E0" w:rsidRPr="001855D0" w:rsidRDefault="009D76E0" w:rsidP="009D76E0">
      <w:pPr>
        <w:rPr>
          <w:rFonts w:cs="Arial"/>
          <w:szCs w:val="20"/>
        </w:rPr>
      </w:pPr>
      <w:r w:rsidRPr="001855D0">
        <w:rPr>
          <w:rFonts w:cs="Arial"/>
          <w:szCs w:val="20"/>
        </w:rPr>
        <w:t xml:space="preserve">Considering such a required data rate of 500 Mbps, and using Method 1 with </w:t>
      </w:r>
      <w:r w:rsidRPr="001855D0">
        <w:rPr>
          <w:rFonts w:cs="Arial"/>
        </w:rPr>
        <w:t xml:space="preserve">a cell-edge spectral efficiency of </w:t>
      </w:r>
      <m:oMath>
        <m:r>
          <w:rPr>
            <w:rFonts w:ascii="Cambria Math"/>
          </w:rPr>
          <m:t>S</m:t>
        </m:r>
      </m:oMath>
      <w:r w:rsidRPr="001855D0">
        <w:rPr>
          <w:rFonts w:cs="Arial"/>
        </w:rPr>
        <w:t xml:space="preserve"> = 0.45 bit/s/Hz for outdoor and </w:t>
      </w:r>
      <m:oMath>
        <m:r>
          <w:rPr>
            <w:rFonts w:ascii="Cambria Math"/>
          </w:rPr>
          <m:t>S</m:t>
        </m:r>
      </m:oMath>
      <w:r w:rsidRPr="001855D0">
        <w:rPr>
          <w:rFonts w:cs="Arial"/>
        </w:rPr>
        <w:t xml:space="preserve"> = 0.6 bit/s/Hz for indoor</w:t>
      </w:r>
      <w:r w:rsidRPr="001855D0">
        <w:rPr>
          <w:rFonts w:cs="Arial"/>
          <w:szCs w:val="20"/>
        </w:rPr>
        <w:t>, the DL spectrum needs for Holographic communications can be estimated as shown below:</w:t>
      </w:r>
    </w:p>
    <w:p w14:paraId="31F1F891" w14:textId="77777777" w:rsidR="009D76E0" w:rsidRPr="001855D0" w:rsidRDefault="009D76E0" w:rsidP="009D76E0">
      <w:pPr>
        <w:pStyle w:val="Caption"/>
        <w:rPr>
          <w:lang w:val="en-US"/>
        </w:rPr>
      </w:pPr>
      <w:r w:rsidRPr="001855D0">
        <w:rPr>
          <w:lang w:val="en-US"/>
        </w:rPr>
        <w:t>Table 5. DL spectrum needs for Holographic communications</w:t>
      </w:r>
    </w:p>
    <w:tbl>
      <w:tblPr>
        <w:tblStyle w:val="TableGrid"/>
        <w:tblW w:w="0" w:type="auto"/>
        <w:jc w:val="center"/>
        <w:tblLook w:val="04A0" w:firstRow="1" w:lastRow="0" w:firstColumn="1" w:lastColumn="0" w:noHBand="0" w:noVBand="1"/>
      </w:tblPr>
      <w:tblGrid>
        <w:gridCol w:w="2589"/>
        <w:gridCol w:w="2202"/>
      </w:tblGrid>
      <w:tr w:rsidR="009D76E0" w:rsidRPr="001855D0" w14:paraId="7C882C71" w14:textId="77777777" w:rsidTr="00DF2C29">
        <w:trPr>
          <w:trHeight w:val="360"/>
          <w:jc w:val="center"/>
        </w:trPr>
        <w:tc>
          <w:tcPr>
            <w:tcW w:w="4791" w:type="dxa"/>
            <w:gridSpan w:val="2"/>
          </w:tcPr>
          <w:p w14:paraId="2AD9B1D6" w14:textId="77777777" w:rsidR="009D76E0" w:rsidRPr="001855D0" w:rsidRDefault="009D76E0" w:rsidP="00DF2C29">
            <w:pPr>
              <w:jc w:val="center"/>
              <w:rPr>
                <w:rFonts w:cs="Arial"/>
                <w:szCs w:val="20"/>
              </w:rPr>
            </w:pPr>
            <w:r w:rsidRPr="001855D0">
              <w:rPr>
                <w:rFonts w:cs="Arial"/>
                <w:szCs w:val="20"/>
              </w:rPr>
              <w:t>DL spectrum needs for Holographic communications (GHz per Network)</w:t>
            </w:r>
          </w:p>
        </w:tc>
      </w:tr>
      <w:tr w:rsidR="009D76E0" w:rsidRPr="001855D0" w14:paraId="398EFDAA" w14:textId="77777777" w:rsidTr="00DF2C29">
        <w:trPr>
          <w:trHeight w:val="180"/>
          <w:jc w:val="center"/>
        </w:trPr>
        <w:tc>
          <w:tcPr>
            <w:tcW w:w="2589" w:type="dxa"/>
          </w:tcPr>
          <w:p w14:paraId="0F1DD2C1" w14:textId="77777777" w:rsidR="009D76E0" w:rsidRPr="001855D0" w:rsidRDefault="009D76E0" w:rsidP="00DF2C29">
            <w:pPr>
              <w:jc w:val="center"/>
              <w:rPr>
                <w:rFonts w:cs="Arial"/>
                <w:szCs w:val="20"/>
              </w:rPr>
            </w:pPr>
            <w:r w:rsidRPr="001855D0">
              <w:rPr>
                <w:rFonts w:cs="Arial"/>
                <w:szCs w:val="20"/>
              </w:rPr>
              <w:t>Indoor</w:t>
            </w:r>
          </w:p>
        </w:tc>
        <w:tc>
          <w:tcPr>
            <w:tcW w:w="2202" w:type="dxa"/>
          </w:tcPr>
          <w:p w14:paraId="062AF894" w14:textId="77777777" w:rsidR="009D76E0" w:rsidRPr="001855D0" w:rsidRDefault="009D76E0" w:rsidP="00DF2C29">
            <w:pPr>
              <w:jc w:val="center"/>
              <w:rPr>
                <w:rFonts w:cs="Arial"/>
                <w:szCs w:val="20"/>
              </w:rPr>
            </w:pPr>
            <w:r w:rsidRPr="001855D0">
              <w:rPr>
                <w:rFonts w:cs="Arial"/>
                <w:szCs w:val="20"/>
              </w:rPr>
              <w:t>Outdoor</w:t>
            </w:r>
          </w:p>
        </w:tc>
      </w:tr>
      <w:tr w:rsidR="009D76E0" w:rsidRPr="001855D0" w14:paraId="416105C6" w14:textId="77777777" w:rsidTr="00DF2C29">
        <w:trPr>
          <w:trHeight w:val="180"/>
          <w:jc w:val="center"/>
        </w:trPr>
        <w:tc>
          <w:tcPr>
            <w:tcW w:w="2589" w:type="dxa"/>
          </w:tcPr>
          <w:p w14:paraId="3DA62991" w14:textId="77777777" w:rsidR="009D76E0" w:rsidRPr="001855D0" w:rsidRDefault="009D76E0" w:rsidP="00DF2C29">
            <w:pPr>
              <w:jc w:val="center"/>
              <w:rPr>
                <w:rFonts w:cs="Arial"/>
                <w:b/>
                <w:bCs/>
                <w:szCs w:val="20"/>
              </w:rPr>
            </w:pPr>
            <w:r w:rsidRPr="001855D0">
              <w:rPr>
                <w:rFonts w:cs="Arial"/>
                <w:b/>
                <w:bCs/>
                <w:szCs w:val="20"/>
              </w:rPr>
              <w:t>0.83</w:t>
            </w:r>
          </w:p>
        </w:tc>
        <w:tc>
          <w:tcPr>
            <w:tcW w:w="2202" w:type="dxa"/>
          </w:tcPr>
          <w:p w14:paraId="2A956C1B" w14:textId="77777777" w:rsidR="009D76E0" w:rsidRPr="001855D0" w:rsidRDefault="009D76E0" w:rsidP="00DF2C29">
            <w:pPr>
              <w:jc w:val="center"/>
              <w:rPr>
                <w:rFonts w:eastAsia="SimSun" w:cs="Arial"/>
                <w:b/>
                <w:bCs/>
                <w:szCs w:val="20"/>
              </w:rPr>
            </w:pPr>
            <w:r w:rsidRPr="001855D0">
              <w:rPr>
                <w:rFonts w:eastAsia="SimSun" w:cs="Arial"/>
                <w:b/>
                <w:bCs/>
                <w:szCs w:val="20"/>
              </w:rPr>
              <w:t>1.1</w:t>
            </w:r>
          </w:p>
        </w:tc>
      </w:tr>
    </w:tbl>
    <w:p w14:paraId="42275F16" w14:textId="77777777" w:rsidR="009D76E0" w:rsidRPr="001855D0" w:rsidRDefault="009D76E0" w:rsidP="009D76E0">
      <w:pPr>
        <w:rPr>
          <w:rFonts w:cs="Arial"/>
          <w:szCs w:val="20"/>
        </w:rPr>
      </w:pPr>
      <w:r w:rsidRPr="001855D0">
        <w:rPr>
          <w:rFonts w:cs="Arial"/>
          <w:szCs w:val="20"/>
        </w:rPr>
        <w:t>On the other hand, if using image-based holograms (e.g. Light Field Video) to achieve hologram images, it is expected to require between 100 Gbit/s and 1 Tbit/s data-rate [5, 6] for the transmission of these images, which implies a huge amount of spectrum (approximately above tens of GHz) needed to realize this holographic experience, in addition to the need</w:t>
      </w:r>
      <w:r w:rsidRPr="001855D0">
        <w:rPr>
          <w:rFonts w:cs="Arial" w:hint="eastAsia"/>
          <w:szCs w:val="20"/>
        </w:rPr>
        <w:t>,</w:t>
      </w:r>
      <w:r w:rsidRPr="001855D0">
        <w:rPr>
          <w:rFonts w:cs="Arial"/>
          <w:szCs w:val="20"/>
        </w:rPr>
        <w:t xml:space="preserve"> e.g., for either a high resolution LCD panel with optics or a projector array system.</w:t>
      </w:r>
    </w:p>
    <w:p w14:paraId="7B77A6E1" w14:textId="77777777" w:rsidR="009D76E0" w:rsidRPr="001855D0" w:rsidRDefault="009D76E0" w:rsidP="009D76E0">
      <w:pPr>
        <w:pStyle w:val="Heading3"/>
        <w:rPr>
          <w:bdr w:val="none" w:sz="0" w:space="0" w:color="auto" w:frame="1"/>
        </w:rPr>
      </w:pPr>
      <w:r w:rsidRPr="001855D0">
        <w:rPr>
          <w:bdr w:val="none" w:sz="0" w:space="0" w:color="auto" w:frame="1"/>
        </w:rPr>
        <w:t>Integrated sensing and communication (ISAC)/Joint communication and sensing</w:t>
      </w:r>
    </w:p>
    <w:p w14:paraId="384A086A" w14:textId="77777777" w:rsidR="009D76E0" w:rsidRPr="001855D0" w:rsidRDefault="009D76E0" w:rsidP="009D76E0">
      <w:pPr>
        <w:rPr>
          <w:rFonts w:cs="Arial"/>
        </w:rPr>
      </w:pPr>
      <w:r w:rsidRPr="001855D0">
        <w:rPr>
          <w:rFonts w:cs="Arial"/>
        </w:rPr>
        <w:t>Integrated sensing and communication (ISAC) or Joint communication and sensing (JCS), is a new use case envisioned for IMT-2030/6G [4]. It will include various applications such as object positioning and monitoring, real-time wireless map construction, and will also help to improve the performance and efficiency of the communication system itself, by optimizing the utilization of radio resources when sensing information are taken into account.</w:t>
      </w:r>
    </w:p>
    <w:p w14:paraId="0B319BF5" w14:textId="77777777" w:rsidR="009D76E0" w:rsidRPr="001855D0" w:rsidRDefault="009D76E0" w:rsidP="009D76E0">
      <w:pPr>
        <w:rPr>
          <w:rFonts w:cs="Arial"/>
        </w:rPr>
      </w:pPr>
      <w:r w:rsidRPr="001855D0">
        <w:rPr>
          <w:rFonts w:cs="Arial"/>
        </w:rPr>
        <w:t xml:space="preserve">The sensing resolution, </w:t>
      </w:r>
      <m:oMath>
        <m:r>
          <m:rPr>
            <m:sty m:val="p"/>
          </m:rPr>
          <w:rPr>
            <w:rFonts w:ascii="Cambria Math" w:hAnsi="Cambria Math" w:cs="Arial"/>
          </w:rPr>
          <m:t>∆</m:t>
        </m:r>
        <m:r>
          <w:rPr>
            <w:rFonts w:ascii="Cambria Math" w:hAnsi="Cambria Math" w:cs="Arial"/>
          </w:rPr>
          <m:t>r</m:t>
        </m:r>
      </m:oMath>
      <w:r w:rsidRPr="001855D0">
        <w:rPr>
          <w:rFonts w:cs="Arial"/>
        </w:rPr>
        <w:t xml:space="preserve">, is defined as the resolution with which the location of objects can be determined and is one of the key technical performance indicators for sensing applications. Different applications have various requirements on the sensing range resolution. For example, sensing range resolution can be in the order of tens of cm </w:t>
      </w:r>
      <w:bookmarkStart w:id="7" w:name="_Hlk124078056"/>
      <w:r w:rsidRPr="001855D0">
        <w:rPr>
          <w:rFonts w:cs="Arial"/>
        </w:rPr>
        <w:t>or dm levels for traffic management/collision avoidance etc. in the outdoor environment,</w:t>
      </w:r>
      <w:bookmarkEnd w:id="7"/>
      <w:r w:rsidRPr="001855D0">
        <w:rPr>
          <w:rFonts w:cs="Arial"/>
        </w:rPr>
        <w:t xml:space="preserve"> but may need to be at cm or sub-cm level in smart factory or automatic assembly line applications [4] in the indoor environment. </w:t>
      </w:r>
    </w:p>
    <w:p w14:paraId="0938CA7E" w14:textId="77777777" w:rsidR="009D76E0" w:rsidRPr="001855D0" w:rsidRDefault="009D76E0" w:rsidP="009D76E0">
      <w:pPr>
        <w:rPr>
          <w:rFonts w:cs="Arial"/>
        </w:rPr>
      </w:pPr>
      <w:r w:rsidRPr="001855D0">
        <w:rPr>
          <w:rFonts w:cs="Arial"/>
        </w:rPr>
        <w:t>Sensing the locations of objects by directly using the reference signals transmitted in radio communication systems is a typical feature of ISAC systems [4]. With this, the spectrum required to satisfy the sensing performance is to a large extent the same spectrum that is used by the communication system.</w:t>
      </w:r>
    </w:p>
    <w:p w14:paraId="62BCF7FF" w14:textId="77777777" w:rsidR="009D76E0" w:rsidRPr="001855D0" w:rsidRDefault="009D76E0" w:rsidP="009D76E0">
      <w:pPr>
        <w:rPr>
          <w:rFonts w:cs="Arial"/>
        </w:rPr>
      </w:pPr>
      <w:r w:rsidRPr="001855D0">
        <w:rPr>
          <w:rFonts w:cs="Arial"/>
        </w:rPr>
        <w:t xml:space="preserve">By using Method 2 as introduced in the previous section, Table 7 below shows the bandwidths required for different values of sensing range resolution, considering that in outdoor scenarios such as outdoor traffic management/collision avoidance, more relaxed accuracies, e.g., dm levels may be sufficient. Such outdoor </w:t>
      </w:r>
      <w:r w:rsidRPr="001855D0">
        <w:rPr>
          <w:rFonts w:cs="Arial"/>
        </w:rPr>
        <w:lastRenderedPageBreak/>
        <w:t>scenarios are of high relevance in the context of this document since these are the ones that would be adding to the mobile network traffic; hence Table 7 represents the relevant figures for outdoor applications.</w:t>
      </w:r>
    </w:p>
    <w:p w14:paraId="0682E2A2" w14:textId="77777777" w:rsidR="009D76E0" w:rsidRPr="001855D0" w:rsidRDefault="009D76E0" w:rsidP="009D76E0">
      <w:pPr>
        <w:pStyle w:val="Caption"/>
        <w:rPr>
          <w:lang w:val="en-US"/>
        </w:rPr>
      </w:pPr>
      <w:r w:rsidRPr="001855D0">
        <w:rPr>
          <w:lang w:val="en-US"/>
        </w:rPr>
        <w:t>Table 7. Required contiguous bandwidth – applicable for outdoor applications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02"/>
        <w:gridCol w:w="1344"/>
        <w:gridCol w:w="1344"/>
      </w:tblGrid>
      <w:tr w:rsidR="009D76E0" w:rsidRPr="001855D0" w14:paraId="2D5E7852" w14:textId="77777777" w:rsidTr="00DF2C29">
        <w:trPr>
          <w:jc w:val="center"/>
        </w:trPr>
        <w:tc>
          <w:tcPr>
            <w:tcW w:w="2202" w:type="dxa"/>
            <w:tcMar>
              <w:top w:w="0" w:type="dxa"/>
              <w:left w:w="108" w:type="dxa"/>
              <w:bottom w:w="0" w:type="dxa"/>
              <w:right w:w="108" w:type="dxa"/>
            </w:tcMar>
          </w:tcPr>
          <w:p w14:paraId="663D1107" w14:textId="77777777" w:rsidR="009D76E0" w:rsidRPr="001855D0"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 xml:space="preserve">Sensing range resolution </w:t>
            </w:r>
            <m:oMath>
              <m:r>
                <m:rPr>
                  <m:sty m:val="p"/>
                </m:rPr>
                <w:rPr>
                  <w:rFonts w:ascii="Cambria Math" w:hAnsi="Cambria Math" w:cs="Arial"/>
                </w:rPr>
                <m:t>∆</m:t>
              </m:r>
              <m:r>
                <w:rPr>
                  <w:rFonts w:ascii="Cambria Math" w:hAnsi="Cambria Math" w:cs="Arial"/>
                </w:rPr>
                <m:t>r</m:t>
              </m:r>
            </m:oMath>
            <w:r w:rsidRPr="001855D0">
              <w:rPr>
                <w:rFonts w:eastAsia="SimSun" w:cs="Arial"/>
              </w:rPr>
              <w:t xml:space="preserve"> (in cm)</w:t>
            </w:r>
          </w:p>
        </w:tc>
        <w:tc>
          <w:tcPr>
            <w:tcW w:w="1344" w:type="dxa"/>
            <w:tcMar>
              <w:top w:w="0" w:type="dxa"/>
              <w:left w:w="108" w:type="dxa"/>
              <w:bottom w:w="0" w:type="dxa"/>
              <w:right w:w="108" w:type="dxa"/>
            </w:tcMar>
            <w:vAlign w:val="center"/>
          </w:tcPr>
          <w:p w14:paraId="4FC331E1" w14:textId="77777777" w:rsidR="009D76E0" w:rsidRPr="001855D0"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50</w:t>
            </w:r>
          </w:p>
        </w:tc>
        <w:tc>
          <w:tcPr>
            <w:tcW w:w="1344" w:type="dxa"/>
            <w:tcMar>
              <w:top w:w="0" w:type="dxa"/>
              <w:left w:w="108" w:type="dxa"/>
              <w:bottom w:w="0" w:type="dxa"/>
              <w:right w:w="108" w:type="dxa"/>
            </w:tcMar>
            <w:vAlign w:val="center"/>
          </w:tcPr>
          <w:p w14:paraId="0E5D53A4" w14:textId="77777777" w:rsidR="009D76E0" w:rsidRPr="001855D0"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20</w:t>
            </w:r>
          </w:p>
        </w:tc>
      </w:tr>
      <w:tr w:rsidR="009D76E0" w:rsidRPr="001855D0" w14:paraId="4D870BAE" w14:textId="77777777" w:rsidTr="00DF2C29">
        <w:trPr>
          <w:jc w:val="center"/>
        </w:trPr>
        <w:tc>
          <w:tcPr>
            <w:tcW w:w="2202" w:type="dxa"/>
            <w:tcMar>
              <w:top w:w="0" w:type="dxa"/>
              <w:left w:w="108" w:type="dxa"/>
              <w:bottom w:w="0" w:type="dxa"/>
              <w:right w:w="108" w:type="dxa"/>
            </w:tcMar>
            <w:hideMark/>
          </w:tcPr>
          <w:p w14:paraId="1C3AAF0B" w14:textId="77777777" w:rsidR="009D76E0" w:rsidRPr="001855D0"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cs="Arial"/>
              </w:rPr>
            </w:pPr>
            <w:r w:rsidRPr="001855D0">
              <w:rPr>
                <w:rFonts w:eastAsia="SimSun" w:cs="Arial"/>
                <w:szCs w:val="20"/>
              </w:rPr>
              <w:t xml:space="preserve">Required bandwidth </w:t>
            </w:r>
            <w:r w:rsidRPr="001855D0">
              <w:rPr>
                <w:rFonts w:eastAsia="SimSun" w:cs="Arial"/>
                <w:i/>
                <w:szCs w:val="20"/>
              </w:rPr>
              <w:t xml:space="preserve">B </w:t>
            </w:r>
            <w:r w:rsidRPr="001855D0">
              <w:rPr>
                <w:rFonts w:eastAsia="SimSun" w:cs="Arial"/>
                <w:szCs w:val="20"/>
              </w:rPr>
              <w:t>(GHz)</w:t>
            </w:r>
          </w:p>
        </w:tc>
        <w:tc>
          <w:tcPr>
            <w:tcW w:w="1344" w:type="dxa"/>
            <w:tcMar>
              <w:top w:w="0" w:type="dxa"/>
              <w:left w:w="108" w:type="dxa"/>
              <w:bottom w:w="0" w:type="dxa"/>
              <w:right w:w="108" w:type="dxa"/>
            </w:tcMar>
            <w:vAlign w:val="center"/>
          </w:tcPr>
          <w:p w14:paraId="1259F6E4" w14:textId="77777777" w:rsidR="009D76E0" w:rsidRPr="0032211D"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b/>
                <w:bCs/>
                <w:szCs w:val="20"/>
              </w:rPr>
            </w:pPr>
            <w:r w:rsidRPr="0032211D">
              <w:rPr>
                <w:rFonts w:eastAsia="SimSun" w:cs="Arial"/>
                <w:b/>
                <w:bCs/>
                <w:szCs w:val="20"/>
              </w:rPr>
              <w:t>0.3</w:t>
            </w:r>
          </w:p>
        </w:tc>
        <w:tc>
          <w:tcPr>
            <w:tcW w:w="1344" w:type="dxa"/>
            <w:tcMar>
              <w:top w:w="0" w:type="dxa"/>
              <w:left w:w="108" w:type="dxa"/>
              <w:bottom w:w="0" w:type="dxa"/>
              <w:right w:w="108" w:type="dxa"/>
            </w:tcMar>
            <w:vAlign w:val="center"/>
          </w:tcPr>
          <w:p w14:paraId="20613DA8" w14:textId="77777777" w:rsidR="009D76E0" w:rsidRPr="0032211D"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b/>
                <w:bCs/>
                <w:szCs w:val="20"/>
              </w:rPr>
            </w:pPr>
            <w:r w:rsidRPr="0032211D">
              <w:rPr>
                <w:rFonts w:eastAsia="SimSun" w:cs="Arial"/>
                <w:b/>
                <w:bCs/>
                <w:szCs w:val="20"/>
              </w:rPr>
              <w:t>0.75</w:t>
            </w:r>
          </w:p>
        </w:tc>
      </w:tr>
    </w:tbl>
    <w:p w14:paraId="50D7EE26" w14:textId="77777777" w:rsidR="009D76E0" w:rsidRPr="001855D0" w:rsidRDefault="009D76E0" w:rsidP="009D76E0">
      <w:pPr>
        <w:rPr>
          <w:rFonts w:cs="Arial"/>
        </w:rPr>
      </w:pPr>
      <w:r w:rsidRPr="001855D0">
        <w:rPr>
          <w:rFonts w:cs="Arial"/>
        </w:rPr>
        <w:br/>
        <w:t>On the other hand, certain industrial use cases, mostly in the local-area and indoor environment, may require mm or cm level range resolution, thus corresponding to the spectrum needs shown in Table 8:</w:t>
      </w:r>
    </w:p>
    <w:p w14:paraId="06D7FCC7" w14:textId="77777777" w:rsidR="009D76E0" w:rsidRPr="001855D0" w:rsidRDefault="009D76E0" w:rsidP="009D76E0">
      <w:pPr>
        <w:pStyle w:val="Caption"/>
        <w:rPr>
          <w:lang w:val="en-US"/>
        </w:rPr>
      </w:pPr>
      <w:r w:rsidRPr="001855D0">
        <w:rPr>
          <w:lang w:val="en-US"/>
        </w:rPr>
        <w:t xml:space="preserve">Table 8. Required </w:t>
      </w:r>
      <w:r w:rsidRPr="004B42D3">
        <w:t>bandwidth</w:t>
      </w:r>
      <w:r w:rsidRPr="001855D0">
        <w:rPr>
          <w:lang w:val="en-US"/>
        </w:rPr>
        <w:t xml:space="preserve"> – applicable for certain industrial applications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02"/>
        <w:gridCol w:w="1344"/>
        <w:gridCol w:w="1344"/>
      </w:tblGrid>
      <w:tr w:rsidR="009D76E0" w:rsidRPr="001855D0" w14:paraId="6FA05A6B" w14:textId="77777777" w:rsidTr="00DF2C29">
        <w:trPr>
          <w:jc w:val="center"/>
        </w:trPr>
        <w:tc>
          <w:tcPr>
            <w:tcW w:w="2202" w:type="dxa"/>
            <w:tcMar>
              <w:top w:w="0" w:type="dxa"/>
              <w:left w:w="108" w:type="dxa"/>
              <w:bottom w:w="0" w:type="dxa"/>
              <w:right w:w="108" w:type="dxa"/>
            </w:tcMar>
          </w:tcPr>
          <w:p w14:paraId="27091105" w14:textId="77777777" w:rsidR="009D76E0" w:rsidRPr="001855D0"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 xml:space="preserve">Sensing range resolution </w:t>
            </w:r>
            <m:oMath>
              <m:r>
                <m:rPr>
                  <m:sty m:val="p"/>
                </m:rPr>
                <w:rPr>
                  <w:rFonts w:ascii="Cambria Math" w:hAnsi="Cambria Math" w:cs="Arial"/>
                </w:rPr>
                <m:t>∆</m:t>
              </m:r>
              <m:r>
                <w:rPr>
                  <w:rFonts w:ascii="Cambria Math" w:hAnsi="Cambria Math" w:cs="Arial"/>
                </w:rPr>
                <m:t>r</m:t>
              </m:r>
            </m:oMath>
            <w:r w:rsidRPr="001855D0">
              <w:rPr>
                <w:rFonts w:eastAsia="SimSun" w:cs="Arial"/>
              </w:rPr>
              <w:t xml:space="preserve"> (in cm)</w:t>
            </w:r>
          </w:p>
        </w:tc>
        <w:tc>
          <w:tcPr>
            <w:tcW w:w="1344" w:type="dxa"/>
            <w:vAlign w:val="center"/>
          </w:tcPr>
          <w:p w14:paraId="21DEC589" w14:textId="77777777" w:rsidR="009D76E0" w:rsidRPr="001855D0"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1</w:t>
            </w:r>
          </w:p>
        </w:tc>
        <w:tc>
          <w:tcPr>
            <w:tcW w:w="1344" w:type="dxa"/>
            <w:vAlign w:val="center"/>
          </w:tcPr>
          <w:p w14:paraId="7A4CCEA4" w14:textId="524CDB33" w:rsidR="009D76E0" w:rsidRPr="001855D0"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&lt;</w:t>
            </w:r>
            <w:r w:rsidR="00D36A5A">
              <w:rPr>
                <w:rFonts w:eastAsia="SimSun" w:cs="Arial"/>
                <w:szCs w:val="20"/>
              </w:rPr>
              <w:t xml:space="preserve"> </w:t>
            </w:r>
            <w:r w:rsidRPr="001855D0">
              <w:rPr>
                <w:rFonts w:eastAsia="SimSun" w:cs="Arial"/>
                <w:szCs w:val="20"/>
              </w:rPr>
              <w:t>1</w:t>
            </w:r>
          </w:p>
        </w:tc>
      </w:tr>
      <w:tr w:rsidR="009D76E0" w:rsidRPr="001855D0" w14:paraId="4FEF9693" w14:textId="77777777" w:rsidTr="00DF2C29">
        <w:trPr>
          <w:jc w:val="center"/>
        </w:trPr>
        <w:tc>
          <w:tcPr>
            <w:tcW w:w="2202" w:type="dxa"/>
            <w:tcMar>
              <w:top w:w="0" w:type="dxa"/>
              <w:left w:w="108" w:type="dxa"/>
              <w:bottom w:w="0" w:type="dxa"/>
              <w:right w:w="108" w:type="dxa"/>
            </w:tcMar>
            <w:hideMark/>
          </w:tcPr>
          <w:p w14:paraId="75B9A9FD" w14:textId="77777777" w:rsidR="009D76E0" w:rsidRPr="001855D0"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cs="Arial"/>
              </w:rPr>
            </w:pPr>
            <w:r w:rsidRPr="001855D0">
              <w:rPr>
                <w:rFonts w:eastAsia="SimSun" w:cs="Arial"/>
                <w:szCs w:val="20"/>
              </w:rPr>
              <w:t xml:space="preserve">Required contiguous bandwidth </w:t>
            </w:r>
            <w:r w:rsidRPr="001855D0">
              <w:rPr>
                <w:rFonts w:eastAsia="SimSun" w:cs="Arial"/>
                <w:i/>
                <w:szCs w:val="20"/>
              </w:rPr>
              <w:t xml:space="preserve">B </w:t>
            </w:r>
            <w:r w:rsidRPr="001855D0">
              <w:rPr>
                <w:rFonts w:eastAsia="SimSun" w:cs="Arial"/>
                <w:szCs w:val="20"/>
              </w:rPr>
              <w:t>(GHz)</w:t>
            </w:r>
          </w:p>
        </w:tc>
        <w:tc>
          <w:tcPr>
            <w:tcW w:w="1344" w:type="dxa"/>
            <w:vAlign w:val="center"/>
          </w:tcPr>
          <w:p w14:paraId="6EBB3722" w14:textId="77777777" w:rsidR="009D76E0" w:rsidRPr="0032211D"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b/>
                <w:bCs/>
                <w:szCs w:val="20"/>
              </w:rPr>
            </w:pPr>
            <w:r w:rsidRPr="0032211D">
              <w:rPr>
                <w:rFonts w:eastAsia="SimSun" w:cs="Arial"/>
                <w:b/>
                <w:bCs/>
                <w:szCs w:val="20"/>
              </w:rPr>
              <w:t>15</w:t>
            </w:r>
          </w:p>
        </w:tc>
        <w:tc>
          <w:tcPr>
            <w:tcW w:w="1344" w:type="dxa"/>
            <w:vAlign w:val="center"/>
          </w:tcPr>
          <w:p w14:paraId="1F3F06AB" w14:textId="77777777" w:rsidR="009D76E0" w:rsidRPr="0032211D" w:rsidRDefault="009D76E0" w:rsidP="00DF2C2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b/>
                <w:bCs/>
                <w:szCs w:val="20"/>
              </w:rPr>
            </w:pPr>
            <w:r w:rsidRPr="0032211D">
              <w:rPr>
                <w:rFonts w:eastAsia="SimSun" w:cs="Arial"/>
                <w:b/>
                <w:bCs/>
                <w:szCs w:val="20"/>
              </w:rPr>
              <w:t>&gt;15</w:t>
            </w:r>
          </w:p>
        </w:tc>
      </w:tr>
    </w:tbl>
    <w:p w14:paraId="3570780B" w14:textId="77777777" w:rsidR="009D76E0" w:rsidRPr="004B42D3" w:rsidRDefault="009D76E0" w:rsidP="009D76E0">
      <w:pPr>
        <w:rPr>
          <w:rFonts w:cs="Arial"/>
        </w:rPr>
      </w:pPr>
      <w:r w:rsidRPr="001855D0">
        <w:rPr>
          <w:rFonts w:eastAsia="SimSun" w:cs="Arial"/>
        </w:rPr>
        <w:t xml:space="preserve">In addition, it must be noted that due to the feature of </w:t>
      </w:r>
      <w:r w:rsidRPr="001855D0">
        <w:rPr>
          <w:rFonts w:cs="Arial"/>
        </w:rPr>
        <w:t>integrated/joint sensing and communication, sensing can be done in a time-division manner or directly using the reference signals, together with communication. Therefore, the spectrum needs of integrated/joint sensing and communication is not expected to increase the overall spectrum needs resulting from other IMT-2030/6G use cases (e.g., XR and holographic communications).</w:t>
      </w:r>
    </w:p>
    <w:p w14:paraId="36BA1464" w14:textId="77777777" w:rsidR="009D76E0" w:rsidRPr="004B42D3" w:rsidRDefault="009D76E0" w:rsidP="009D76E0">
      <w:pPr>
        <w:pStyle w:val="Heading1"/>
      </w:pPr>
      <w:r w:rsidRPr="001855D0">
        <w:rPr>
          <w:rFonts w:eastAsia="Calibri"/>
          <w:bdr w:val="none" w:sz="0" w:space="0" w:color="auto" w:frame="1"/>
        </w:rPr>
        <w:t xml:space="preserve">The summary of spectrum needs </w:t>
      </w:r>
      <w:r>
        <w:rPr>
          <w:rFonts w:eastAsia="Calibri"/>
          <w:bdr w:val="none" w:sz="0" w:space="0" w:color="auto" w:frame="1"/>
        </w:rPr>
        <w:t>for</w:t>
      </w:r>
      <w:r w:rsidRPr="001855D0">
        <w:rPr>
          <w:rFonts w:eastAsia="Calibri"/>
          <w:bdr w:val="none" w:sz="0" w:space="0" w:color="auto" w:frame="1"/>
        </w:rPr>
        <w:t xml:space="preserve"> some IMT-2030</w:t>
      </w:r>
      <w:r>
        <w:rPr>
          <w:rFonts w:eastAsia="Calibri"/>
          <w:bdr w:val="none" w:sz="0" w:space="0" w:color="auto" w:frame="1"/>
        </w:rPr>
        <w:t xml:space="preserve"> </w:t>
      </w:r>
      <w:r w:rsidRPr="001855D0">
        <w:rPr>
          <w:rFonts w:eastAsia="Calibri"/>
          <w:bdr w:val="none" w:sz="0" w:space="0" w:color="auto" w:frame="1"/>
        </w:rPr>
        <w:t>/</w:t>
      </w:r>
      <w:r>
        <w:rPr>
          <w:rFonts w:eastAsia="Calibri"/>
          <w:bdr w:val="none" w:sz="0" w:space="0" w:color="auto" w:frame="1"/>
        </w:rPr>
        <w:t xml:space="preserve"> </w:t>
      </w:r>
      <w:r w:rsidRPr="001855D0">
        <w:rPr>
          <w:rFonts w:eastAsia="Calibri"/>
          <w:bdr w:val="none" w:sz="0" w:space="0" w:color="auto" w:frame="1"/>
        </w:rPr>
        <w:t>6G use cases</w:t>
      </w:r>
    </w:p>
    <w:p w14:paraId="1BAD045E" w14:textId="77777777" w:rsidR="009D76E0" w:rsidRPr="001855D0" w:rsidRDefault="009D76E0" w:rsidP="009D76E0">
      <w:pPr>
        <w:rPr>
          <w:rFonts w:cs="Arial"/>
        </w:rPr>
      </w:pPr>
      <w:r w:rsidRPr="001855D0">
        <w:rPr>
          <w:rFonts w:cs="Arial"/>
        </w:rPr>
        <w:t>In this contribution, example</w:t>
      </w:r>
      <w:bookmarkStart w:id="8" w:name="_Hlk124003906"/>
      <w:r w:rsidRPr="001855D0">
        <w:rPr>
          <w:rFonts w:cs="Arial"/>
        </w:rPr>
        <w:t>s of preliminary</w:t>
      </w:r>
      <w:bookmarkEnd w:id="8"/>
      <w:r w:rsidRPr="001855D0">
        <w:rPr>
          <w:rFonts w:cs="Arial"/>
        </w:rPr>
        <w:t xml:space="preserve"> calculations of spectrum needs for some specific use cases relevant for IMT-2030/6G are provided. </w:t>
      </w:r>
      <w:bookmarkStart w:id="9" w:name="_Hlk123835541"/>
      <w:r w:rsidRPr="001855D0">
        <w:rPr>
          <w:rFonts w:cs="Arial"/>
        </w:rPr>
        <w:t>This set of use cases is not exhaustive but should provide some insight into the future development of IMT</w:t>
      </w:r>
      <w:bookmarkEnd w:id="9"/>
      <w:r w:rsidRPr="001855D0">
        <w:rPr>
          <w:rFonts w:cs="Arial"/>
        </w:rPr>
        <w:t xml:space="preserve"> and to the corresponding spectrum implications by using </w:t>
      </w:r>
      <w:r w:rsidRPr="001855D0">
        <w:t xml:space="preserve">straight-forward, not overly complicated technical </w:t>
      </w:r>
      <w:r w:rsidRPr="001855D0">
        <w:rPr>
          <w:rFonts w:cs="Arial"/>
        </w:rPr>
        <w:t>assessment methods. Spectrum needs results estimated from each considered use case are summarized in the table below:</w:t>
      </w:r>
    </w:p>
    <w:p w14:paraId="07645F54" w14:textId="77777777" w:rsidR="00D36A5A" w:rsidRDefault="009D76E0" w:rsidP="009D76E0">
      <w:pPr>
        <w:pStyle w:val="Caption"/>
      </w:pPr>
      <w:r w:rsidRPr="001855D0">
        <w:t xml:space="preserve">Table 9. Estimated required spectrum needs per network to support </w:t>
      </w:r>
    </w:p>
    <w:p w14:paraId="578D3AED" w14:textId="5E5F4198" w:rsidR="009D76E0" w:rsidRPr="001855D0" w:rsidRDefault="009D76E0" w:rsidP="009D76E0">
      <w:pPr>
        <w:pStyle w:val="Caption"/>
      </w:pPr>
      <w:r w:rsidRPr="001855D0">
        <w:t>the studied IMT-2030/6G use cases</w:t>
      </w:r>
    </w:p>
    <w:tbl>
      <w:tblPr>
        <w:tblStyle w:val="TableGrid"/>
        <w:tblW w:w="6232" w:type="dxa"/>
        <w:jc w:val="center"/>
        <w:tblLayout w:type="fixed"/>
        <w:tblLook w:val="04A0" w:firstRow="1" w:lastRow="0" w:firstColumn="1" w:lastColumn="0" w:noHBand="0" w:noVBand="1"/>
      </w:tblPr>
      <w:tblGrid>
        <w:gridCol w:w="1696"/>
        <w:gridCol w:w="709"/>
        <w:gridCol w:w="1985"/>
        <w:gridCol w:w="1842"/>
      </w:tblGrid>
      <w:tr w:rsidR="009D76E0" w:rsidRPr="001855D0" w14:paraId="78BE197F" w14:textId="77777777" w:rsidTr="00DF2C29">
        <w:trPr>
          <w:jc w:val="center"/>
        </w:trPr>
        <w:tc>
          <w:tcPr>
            <w:tcW w:w="1696" w:type="dxa"/>
          </w:tcPr>
          <w:p w14:paraId="601A7973" w14:textId="77777777" w:rsidR="009D76E0" w:rsidRPr="001855D0" w:rsidRDefault="009D76E0" w:rsidP="00DF2C29">
            <w:pPr>
              <w:rPr>
                <w:rFonts w:cs="Arial"/>
                <w:b/>
                <w:bCs/>
                <w:szCs w:val="20"/>
              </w:rPr>
            </w:pPr>
            <w:r w:rsidRPr="001855D0">
              <w:rPr>
                <w:rFonts w:cs="Arial"/>
                <w:b/>
                <w:bCs/>
                <w:szCs w:val="20"/>
              </w:rPr>
              <w:t>Unit: GHz</w:t>
            </w:r>
          </w:p>
        </w:tc>
        <w:tc>
          <w:tcPr>
            <w:tcW w:w="709" w:type="dxa"/>
            <w:tcBorders>
              <w:left w:val="double" w:sz="4" w:space="0" w:color="auto"/>
            </w:tcBorders>
          </w:tcPr>
          <w:p w14:paraId="72B22B6F" w14:textId="77777777" w:rsidR="009D76E0" w:rsidRPr="001855D0" w:rsidRDefault="009D76E0" w:rsidP="00DF2C29">
            <w:pPr>
              <w:rPr>
                <w:rFonts w:cs="Arial"/>
                <w:szCs w:val="20"/>
              </w:rPr>
            </w:pPr>
            <w:r w:rsidRPr="001855D0">
              <w:rPr>
                <w:rFonts w:cs="Arial"/>
                <w:szCs w:val="20"/>
              </w:rPr>
              <w:t>XR</w:t>
            </w:r>
          </w:p>
        </w:tc>
        <w:tc>
          <w:tcPr>
            <w:tcW w:w="1985" w:type="dxa"/>
          </w:tcPr>
          <w:p w14:paraId="3839286D" w14:textId="77777777" w:rsidR="009D76E0" w:rsidRPr="001855D0" w:rsidRDefault="009D76E0" w:rsidP="00DF2C29">
            <w:pPr>
              <w:rPr>
                <w:rFonts w:cs="Arial"/>
                <w:szCs w:val="20"/>
              </w:rPr>
            </w:pPr>
            <w:r w:rsidRPr="001855D0">
              <w:rPr>
                <w:rFonts w:cs="Arial"/>
                <w:szCs w:val="20"/>
              </w:rPr>
              <w:t>Holographic communications</w:t>
            </w:r>
          </w:p>
        </w:tc>
        <w:tc>
          <w:tcPr>
            <w:tcW w:w="1842" w:type="dxa"/>
          </w:tcPr>
          <w:p w14:paraId="03D0B50B" w14:textId="77777777" w:rsidR="009D76E0" w:rsidRPr="001855D0" w:rsidRDefault="009D76E0" w:rsidP="00DF2C29">
            <w:pPr>
              <w:rPr>
                <w:rFonts w:cs="Arial"/>
                <w:szCs w:val="20"/>
              </w:rPr>
            </w:pPr>
            <w:r w:rsidRPr="001855D0">
              <w:rPr>
                <w:rFonts w:cs="Arial"/>
                <w:szCs w:val="20"/>
              </w:rPr>
              <w:t>ISAC/JCS</w:t>
            </w:r>
          </w:p>
        </w:tc>
      </w:tr>
      <w:tr w:rsidR="009D76E0" w:rsidRPr="001855D0" w14:paraId="4E244BD2" w14:textId="77777777" w:rsidTr="00DF2C29">
        <w:trPr>
          <w:jc w:val="center"/>
        </w:trPr>
        <w:tc>
          <w:tcPr>
            <w:tcW w:w="1696" w:type="dxa"/>
          </w:tcPr>
          <w:p w14:paraId="2FE50750" w14:textId="77777777" w:rsidR="009D76E0" w:rsidRPr="001855D0" w:rsidRDefault="009D76E0" w:rsidP="00DF2C29">
            <w:pPr>
              <w:rPr>
                <w:rFonts w:cs="Arial"/>
                <w:szCs w:val="20"/>
              </w:rPr>
            </w:pPr>
            <w:r w:rsidRPr="001855D0">
              <w:rPr>
                <w:rFonts w:cs="Arial"/>
                <w:szCs w:val="20"/>
              </w:rPr>
              <w:t xml:space="preserve">Wide area use cases </w:t>
            </w:r>
          </w:p>
        </w:tc>
        <w:tc>
          <w:tcPr>
            <w:tcW w:w="709" w:type="dxa"/>
            <w:tcBorders>
              <w:left w:val="double" w:sz="4" w:space="0" w:color="auto"/>
            </w:tcBorders>
          </w:tcPr>
          <w:p w14:paraId="00564A61" w14:textId="77777777" w:rsidR="009D76E0" w:rsidRPr="0032211D" w:rsidRDefault="009D76E0" w:rsidP="0032211D">
            <w:pPr>
              <w:jc w:val="center"/>
              <w:rPr>
                <w:rFonts w:eastAsia="SimSun" w:cs="Arial"/>
                <w:b/>
                <w:bCs/>
                <w:szCs w:val="20"/>
              </w:rPr>
            </w:pPr>
            <w:r w:rsidRPr="0032211D">
              <w:rPr>
                <w:rFonts w:eastAsia="SimSun" w:cs="Arial"/>
                <w:b/>
                <w:bCs/>
                <w:szCs w:val="20"/>
              </w:rPr>
              <w:t>1</w:t>
            </w:r>
          </w:p>
        </w:tc>
        <w:tc>
          <w:tcPr>
            <w:tcW w:w="1985" w:type="dxa"/>
          </w:tcPr>
          <w:p w14:paraId="09701534" w14:textId="77777777" w:rsidR="009D76E0" w:rsidRPr="0032211D" w:rsidRDefault="009D76E0" w:rsidP="0032211D">
            <w:pPr>
              <w:jc w:val="center"/>
              <w:rPr>
                <w:rFonts w:cs="Arial"/>
                <w:b/>
                <w:bCs/>
                <w:szCs w:val="20"/>
              </w:rPr>
            </w:pPr>
            <w:r w:rsidRPr="0032211D">
              <w:rPr>
                <w:rFonts w:cs="Arial"/>
                <w:b/>
                <w:bCs/>
                <w:szCs w:val="20"/>
              </w:rPr>
              <w:t>1.1</w:t>
            </w:r>
          </w:p>
        </w:tc>
        <w:tc>
          <w:tcPr>
            <w:tcW w:w="1842" w:type="dxa"/>
          </w:tcPr>
          <w:p w14:paraId="2BEA1494" w14:textId="4F1C4E6B" w:rsidR="009D76E0" w:rsidRPr="0032211D" w:rsidRDefault="009D76E0" w:rsidP="0032211D">
            <w:pPr>
              <w:jc w:val="center"/>
              <w:rPr>
                <w:rFonts w:cs="Arial"/>
                <w:b/>
                <w:bCs/>
                <w:szCs w:val="20"/>
              </w:rPr>
            </w:pPr>
            <w:r w:rsidRPr="0032211D">
              <w:rPr>
                <w:rFonts w:cs="Arial"/>
                <w:b/>
                <w:bCs/>
                <w:szCs w:val="20"/>
              </w:rPr>
              <w:t>0.3</w:t>
            </w:r>
            <w:r w:rsidR="00EC3905">
              <w:rPr>
                <w:rFonts w:cs="Arial"/>
                <w:b/>
                <w:bCs/>
                <w:szCs w:val="20"/>
              </w:rPr>
              <w:t xml:space="preserve"> </w:t>
            </w:r>
            <w:r w:rsidRPr="0032211D">
              <w:rPr>
                <w:rFonts w:cs="Arial"/>
                <w:b/>
                <w:bCs/>
                <w:szCs w:val="20"/>
              </w:rPr>
              <w:t>-</w:t>
            </w:r>
            <w:r w:rsidR="00EC3905">
              <w:rPr>
                <w:rFonts w:cs="Arial"/>
                <w:b/>
                <w:bCs/>
                <w:szCs w:val="20"/>
              </w:rPr>
              <w:t xml:space="preserve"> </w:t>
            </w:r>
            <w:r w:rsidRPr="0032211D">
              <w:rPr>
                <w:rFonts w:cs="Arial"/>
                <w:b/>
                <w:bCs/>
                <w:szCs w:val="20"/>
              </w:rPr>
              <w:t>0.75</w:t>
            </w:r>
          </w:p>
        </w:tc>
      </w:tr>
      <w:tr w:rsidR="009D76E0" w:rsidRPr="001855D0" w14:paraId="6A29BAAD" w14:textId="77777777" w:rsidTr="00DF2C29">
        <w:trPr>
          <w:jc w:val="center"/>
        </w:trPr>
        <w:tc>
          <w:tcPr>
            <w:tcW w:w="1696" w:type="dxa"/>
          </w:tcPr>
          <w:p w14:paraId="617D8E9E" w14:textId="77777777" w:rsidR="009D76E0" w:rsidRPr="001855D0" w:rsidRDefault="009D76E0" w:rsidP="00DF2C29">
            <w:pPr>
              <w:rPr>
                <w:rFonts w:cs="Arial"/>
                <w:szCs w:val="20"/>
              </w:rPr>
            </w:pPr>
            <w:r w:rsidRPr="001855D0">
              <w:rPr>
                <w:rFonts w:cs="Arial"/>
                <w:szCs w:val="20"/>
              </w:rPr>
              <w:t xml:space="preserve">Local area use cases </w:t>
            </w:r>
          </w:p>
        </w:tc>
        <w:tc>
          <w:tcPr>
            <w:tcW w:w="709" w:type="dxa"/>
            <w:tcBorders>
              <w:left w:val="double" w:sz="4" w:space="0" w:color="auto"/>
            </w:tcBorders>
          </w:tcPr>
          <w:p w14:paraId="28D524F5" w14:textId="77777777" w:rsidR="009D76E0" w:rsidRPr="0032211D" w:rsidRDefault="009D76E0" w:rsidP="0032211D">
            <w:pPr>
              <w:jc w:val="center"/>
              <w:rPr>
                <w:rFonts w:cs="Arial"/>
                <w:b/>
                <w:bCs/>
                <w:szCs w:val="20"/>
              </w:rPr>
            </w:pPr>
          </w:p>
        </w:tc>
        <w:tc>
          <w:tcPr>
            <w:tcW w:w="1985" w:type="dxa"/>
          </w:tcPr>
          <w:p w14:paraId="13F79184" w14:textId="405E425C" w:rsidR="009D76E0" w:rsidRPr="0032211D" w:rsidRDefault="009D76E0" w:rsidP="0032211D">
            <w:pPr>
              <w:jc w:val="center"/>
              <w:rPr>
                <w:rFonts w:cs="Arial"/>
                <w:b/>
                <w:bCs/>
                <w:szCs w:val="20"/>
              </w:rPr>
            </w:pPr>
            <w:r w:rsidRPr="0032211D">
              <w:rPr>
                <w:rFonts w:cs="Arial"/>
                <w:b/>
                <w:bCs/>
                <w:szCs w:val="20"/>
              </w:rPr>
              <w:t>&gt;</w:t>
            </w:r>
            <w:r w:rsidR="00EC3905">
              <w:rPr>
                <w:rFonts w:cs="Arial"/>
                <w:b/>
                <w:bCs/>
                <w:szCs w:val="20"/>
              </w:rPr>
              <w:t xml:space="preserve"> </w:t>
            </w:r>
            <w:r w:rsidRPr="0032211D">
              <w:rPr>
                <w:rFonts w:cs="Arial"/>
                <w:b/>
                <w:bCs/>
                <w:szCs w:val="20"/>
              </w:rPr>
              <w:t>10s of GHz</w:t>
            </w:r>
          </w:p>
        </w:tc>
        <w:tc>
          <w:tcPr>
            <w:tcW w:w="1842" w:type="dxa"/>
          </w:tcPr>
          <w:p w14:paraId="1B962582" w14:textId="212BEFAE" w:rsidR="009D76E0" w:rsidRPr="0032211D" w:rsidRDefault="009D76E0" w:rsidP="0032211D">
            <w:pPr>
              <w:jc w:val="center"/>
              <w:rPr>
                <w:rFonts w:cs="Arial"/>
                <w:b/>
                <w:bCs/>
                <w:szCs w:val="20"/>
              </w:rPr>
            </w:pPr>
            <w:r w:rsidRPr="0032211D">
              <w:rPr>
                <w:rFonts w:cs="Arial"/>
                <w:b/>
                <w:bCs/>
                <w:szCs w:val="20"/>
              </w:rPr>
              <w:t>&gt;</w:t>
            </w:r>
            <w:r w:rsidR="00EC3905">
              <w:rPr>
                <w:rFonts w:cs="Arial"/>
                <w:b/>
                <w:bCs/>
                <w:szCs w:val="20"/>
              </w:rPr>
              <w:t xml:space="preserve"> </w:t>
            </w:r>
            <w:r w:rsidRPr="0032211D">
              <w:rPr>
                <w:rFonts w:cs="Arial"/>
                <w:b/>
                <w:bCs/>
                <w:szCs w:val="20"/>
              </w:rPr>
              <w:t>15</w:t>
            </w:r>
          </w:p>
        </w:tc>
      </w:tr>
    </w:tbl>
    <w:p w14:paraId="5DEB5F81" w14:textId="77777777" w:rsidR="009D76E0" w:rsidRPr="004B42D3" w:rsidRDefault="009D76E0" w:rsidP="009D76E0">
      <w:r w:rsidRPr="004B42D3">
        <w:t>In this summary Table, the split is done to differentiate between cases where usage of IMT-2030/6G use cases is required for wide-area outdoors and/or with supported mobility versus the case where usage of IMT-2030/6G is for local-area/indoors.</w:t>
      </w:r>
    </w:p>
    <w:p w14:paraId="29BBBDD8" w14:textId="77777777" w:rsidR="009D76E0" w:rsidRPr="004B42D3" w:rsidRDefault="009D76E0" w:rsidP="009D76E0">
      <w:r w:rsidRPr="004B42D3">
        <w:t>Each expected IMT-2030/6G use case will have different spectrum bandwidth needs due to different bit rate requirements, etc. The overall spectrum needs of IMT-2030/6G will need to correspond to the aggregated spectrum needs of the different IMT-2030/6G use cases.</w:t>
      </w:r>
    </w:p>
    <w:p w14:paraId="226EC31D" w14:textId="77777777" w:rsidR="009D76E0" w:rsidRPr="004B42D3" w:rsidRDefault="009D76E0" w:rsidP="009D76E0">
      <w:r w:rsidRPr="004B42D3">
        <w:t xml:space="preserve">However, some of the considered use cases are mutually exclusive, for instance XR and holographic communication would not be used at the same time by the same user, but in a given cell there could be a </w:t>
      </w:r>
      <w:r w:rsidRPr="004B42D3">
        <w:lastRenderedPageBreak/>
        <w:t>mixture of those use cases, by different users. On the other hand, some use cases could be realized at the same time by the same user. In this latter case, the spectrum needs of these use cases should be added up.</w:t>
      </w:r>
    </w:p>
    <w:p w14:paraId="0E3FF97E" w14:textId="77777777" w:rsidR="009D76E0" w:rsidRPr="004B42D3" w:rsidRDefault="009D76E0" w:rsidP="009D76E0">
      <w:r w:rsidRPr="004B42D3">
        <w:t>With that, from the summary table, the aggregated spectrum needs required to enable mobility and outdoor application of the analyzed IMT-2030/6G use cases are estimated to be in the order of 1 GHz per network. If assuming typically 3-4 networks in a country, and that in the long term, existing mid bands spectrum will be re-used for IMT-2030/6G wide area use cases, the overall additional spectrum needs will approximately be 2 to 3 GHz for the analyzed wide-area use cases (corresponding respectively to the cases of 3 and 4 operators in a country). This estimation is based on the simplistic assumption that all existing mid bands spectrum available for IMT (roughly ~1GHz) will solely be used to address the analyzed IMT-2030/6G wide area use cases, i.e., not considering existing MBB usage. So based on above, the estimated additional wide-area spectrum need per network can be rounded to ~500 - 750 MHz depending on the existing mid bands spectrum available for IMT and on the number of networks in a specific country.  It should be noted that the lower the frequency range the better from coverage and mobility perspectives as spectrum bands do not have the same propagation characteristics. On the other hand, the estimated spectrum needs of the local-area, indoor use cases are around tens of GHz, suitable for short range type of usage in extremely high frequencies.</w:t>
      </w:r>
    </w:p>
    <w:p w14:paraId="475314F7" w14:textId="77777777" w:rsidR="009D76E0" w:rsidRPr="004B42D3" w:rsidRDefault="009D76E0" w:rsidP="009D76E0">
      <w:r w:rsidRPr="004B42D3">
        <w:t>Since no single frequency range satisfies all the criteria required to deploy IMT systems, the type of deployment scenario (e.g., urban, sub-urban, local area/indoors, etc) and propagation characteristics of the different frequency bands will have a direct impact on which spectrum ranges the specific use case can be deployed in (e.g., existing IMT spectrum, potential new spectrum which could be identified at WRC-23, and/or potential new spectrum at WRC-27).</w:t>
      </w:r>
    </w:p>
    <w:p w14:paraId="5958186D" w14:textId="77777777" w:rsidR="009D76E0" w:rsidRDefault="009D76E0" w:rsidP="009D76E0">
      <w:r w:rsidRPr="004B42D3">
        <w:t>Further work is on-going to analyse the spectrum needs of a number of IMT-2030/6G use-cases as well as adequate and suitable spectrum ranges for implementation of those use cases, to be provided to future meetings.</w:t>
      </w:r>
    </w:p>
    <w:p w14:paraId="23ADFF7E" w14:textId="77777777" w:rsidR="009D76E0" w:rsidRDefault="009D76E0" w:rsidP="009D76E0">
      <w:pPr>
        <w:pStyle w:val="Heading1"/>
        <w:rPr>
          <w:rStyle w:val="ECCParagraph"/>
        </w:rPr>
      </w:pPr>
      <w:r>
        <w:rPr>
          <w:rStyle w:val="ECCParagraph"/>
        </w:rPr>
        <w:t>References</w:t>
      </w:r>
    </w:p>
    <w:p w14:paraId="652F3BD8" w14:textId="56DD7290" w:rsidR="009D76E0" w:rsidRPr="001855D0" w:rsidRDefault="009D76E0" w:rsidP="009D76E0">
      <w:pPr>
        <w:widowControl w:val="0"/>
        <w:numPr>
          <w:ilvl w:val="0"/>
          <w:numId w:val="29"/>
        </w:numPr>
        <w:spacing w:before="120" w:after="0"/>
        <w:contextualSpacing/>
        <w:rPr>
          <w:rFonts w:cs="Arial"/>
        </w:rPr>
      </w:pPr>
      <w:r w:rsidRPr="001855D0">
        <w:rPr>
          <w:rFonts w:cs="Arial"/>
        </w:rPr>
        <w:t>ITU-R Document 5-1/36, “</w:t>
      </w:r>
      <w:r w:rsidRPr="001855D0">
        <w:t xml:space="preserve">spectrum needs </w:t>
      </w:r>
      <w:r w:rsidRPr="001855D0">
        <w:rPr>
          <w:lang w:eastAsia="ja-JP"/>
        </w:rPr>
        <w:t xml:space="preserve">and characteristics for </w:t>
      </w:r>
      <w:r w:rsidRPr="001855D0">
        <w:t>the terrestrial component of IMT</w:t>
      </w:r>
      <w:r w:rsidRPr="001855D0">
        <w:rPr>
          <w:lang w:eastAsia="ja-JP"/>
        </w:rPr>
        <w:t xml:space="preserve"> in the frequency range between 24.25 GHz and 86 GHz”</w:t>
      </w:r>
      <w:r w:rsidR="00EC3905">
        <w:rPr>
          <w:lang w:eastAsia="ja-JP"/>
        </w:rPr>
        <w:t>.</w:t>
      </w:r>
    </w:p>
    <w:p w14:paraId="6017BAB6" w14:textId="77777777" w:rsidR="009D76E0" w:rsidRPr="001855D0" w:rsidRDefault="009D76E0" w:rsidP="009D76E0">
      <w:pPr>
        <w:widowControl w:val="0"/>
        <w:numPr>
          <w:ilvl w:val="0"/>
          <w:numId w:val="29"/>
        </w:numPr>
        <w:spacing w:before="120" w:after="0"/>
        <w:contextualSpacing/>
        <w:rPr>
          <w:rFonts w:cs="Arial"/>
        </w:rPr>
      </w:pPr>
      <w:r w:rsidRPr="001855D0">
        <w:rPr>
          <w:rFonts w:cs="Arial" w:hint="eastAsia"/>
        </w:rPr>
        <w:t>G</w:t>
      </w:r>
      <w:r w:rsidRPr="001855D0">
        <w:rPr>
          <w:rFonts w:cs="Arial"/>
        </w:rPr>
        <w:t xml:space="preserve">. </w:t>
      </w:r>
      <w:r w:rsidRPr="001855D0">
        <w:rPr>
          <w:rFonts w:cs="Arial" w:hint="eastAsia"/>
          <w:lang w:eastAsia="zh-CN"/>
        </w:rPr>
        <w:t>R</w:t>
      </w:r>
      <w:r w:rsidRPr="001855D0">
        <w:rPr>
          <w:rFonts w:cs="Arial" w:hint="eastAsia"/>
        </w:rPr>
        <w:t>.</w:t>
      </w:r>
      <w:r w:rsidRPr="001855D0">
        <w:rPr>
          <w:rFonts w:cs="Arial"/>
        </w:rPr>
        <w:t xml:space="preserve"> Curry, Radar System Performance Modeling, Artech House, 2005.</w:t>
      </w:r>
    </w:p>
    <w:p w14:paraId="0962D1E1" w14:textId="77777777" w:rsidR="009D76E0" w:rsidRPr="001855D0" w:rsidRDefault="009D76E0" w:rsidP="009D76E0">
      <w:pPr>
        <w:widowControl w:val="0"/>
        <w:numPr>
          <w:ilvl w:val="0"/>
          <w:numId w:val="29"/>
        </w:numPr>
        <w:spacing w:before="120" w:after="0"/>
        <w:contextualSpacing/>
        <w:rPr>
          <w:rFonts w:cs="Arial"/>
        </w:rPr>
      </w:pPr>
      <w:r w:rsidRPr="001855D0">
        <w:rPr>
          <w:rFonts w:cs="Arial"/>
        </w:rPr>
        <w:t>GSMA Online Document: Cloud AR/VR Whitepaper, April 2019.</w:t>
      </w:r>
    </w:p>
    <w:p w14:paraId="2F1A5E96" w14:textId="77777777" w:rsidR="009D76E0" w:rsidRPr="001855D0" w:rsidRDefault="009D76E0" w:rsidP="009D76E0">
      <w:pPr>
        <w:widowControl w:val="0"/>
        <w:numPr>
          <w:ilvl w:val="0"/>
          <w:numId w:val="29"/>
        </w:numPr>
        <w:spacing w:before="120" w:after="0"/>
        <w:contextualSpacing/>
        <w:rPr>
          <w:rFonts w:cs="Arial"/>
        </w:rPr>
      </w:pPr>
      <w:r w:rsidRPr="001855D0">
        <w:rPr>
          <w:rFonts w:cs="Arial"/>
        </w:rPr>
        <w:t>IMT-2030 (6G) Promotion Group, White paper on 6G vision and candidate technologies, June 2021.</w:t>
      </w:r>
    </w:p>
    <w:p w14:paraId="511683D7" w14:textId="77777777" w:rsidR="00C863FC" w:rsidRPr="00C863FC" w:rsidRDefault="009D76E0" w:rsidP="00454FE9">
      <w:pPr>
        <w:numPr>
          <w:ilvl w:val="0"/>
          <w:numId w:val="29"/>
        </w:numPr>
        <w:spacing w:before="120" w:after="0" w:line="259" w:lineRule="auto"/>
        <w:contextualSpacing/>
        <w:rPr>
          <w:lang w:val="da-DK" w:eastAsia="zh-CN"/>
        </w:rPr>
      </w:pPr>
      <w:r w:rsidRPr="00C863FC">
        <w:rPr>
          <w:rFonts w:cs="Arial"/>
          <w:color w:val="333333"/>
          <w:szCs w:val="20"/>
          <w:shd w:val="clear" w:color="auto" w:fill="FFFFFF"/>
        </w:rPr>
        <w:t>A. Clemm, M. T. Vega, H. K. Ravuri, T. Wauters and F. D. Turck, "Toward Truly Immersive Holographic-Type Communication: Challenges and Solutions," in </w:t>
      </w:r>
      <w:r w:rsidRPr="00C863FC">
        <w:rPr>
          <w:rFonts w:cs="Arial"/>
          <w:i/>
          <w:iCs/>
          <w:color w:val="333333"/>
          <w:szCs w:val="20"/>
          <w:shd w:val="clear" w:color="auto" w:fill="FFFFFF"/>
        </w:rPr>
        <w:t>IEEE Communications Magazine</w:t>
      </w:r>
      <w:r w:rsidRPr="00C863FC">
        <w:rPr>
          <w:rFonts w:cs="Arial"/>
          <w:color w:val="333333"/>
          <w:szCs w:val="20"/>
          <w:shd w:val="clear" w:color="auto" w:fill="FFFFFF"/>
        </w:rPr>
        <w:t>, vol. 58, no. 1, pp. 93-99, January 2020</w:t>
      </w:r>
      <w:r w:rsidR="00C863FC">
        <w:rPr>
          <w:rFonts w:cs="Arial"/>
          <w:color w:val="333333"/>
          <w:szCs w:val="20"/>
          <w:shd w:val="clear" w:color="auto" w:fill="FFFFFF"/>
        </w:rPr>
        <w:t>.</w:t>
      </w:r>
    </w:p>
    <w:p w14:paraId="3D8E8328" w14:textId="0CBA3605" w:rsidR="00593A14" w:rsidRPr="00C863FC" w:rsidRDefault="009D76E0" w:rsidP="00454FE9">
      <w:pPr>
        <w:numPr>
          <w:ilvl w:val="0"/>
          <w:numId w:val="29"/>
        </w:numPr>
        <w:spacing w:before="120" w:after="0" w:line="259" w:lineRule="auto"/>
        <w:contextualSpacing/>
        <w:rPr>
          <w:lang w:val="da-DK" w:eastAsia="zh-CN"/>
        </w:rPr>
      </w:pPr>
      <w:r w:rsidRPr="00C863FC">
        <w:rPr>
          <w:rFonts w:cs="Arial"/>
          <w:szCs w:val="20"/>
        </w:rPr>
        <w:t>J. Karafin and B. Bevensee, “25-2: On the Support of Light Field and Holographic Video Display Technology,” SID Symp. Dig. Tech. Pap., vol. 49, no. 1, 2018, p. 318–21</w:t>
      </w:r>
      <w:r w:rsidR="00EC3905">
        <w:rPr>
          <w:rFonts w:cs="Arial"/>
          <w:szCs w:val="20"/>
        </w:rPr>
        <w:t>.</w:t>
      </w:r>
    </w:p>
    <w:sectPr w:rsidR="00593A14" w:rsidRPr="00C863FC" w:rsidSect="00797DEE">
      <w:headerReference w:type="even" r:id="rId25"/>
      <w:headerReference w:type="default" r:id="rId26"/>
      <w:footerReference w:type="first" r:id="rId27"/>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690B" w14:textId="77777777" w:rsidR="00DF3059" w:rsidRDefault="00DF3059" w:rsidP="00DB17F9">
      <w:r>
        <w:separator/>
      </w:r>
    </w:p>
    <w:p w14:paraId="30E68418" w14:textId="77777777" w:rsidR="00DF3059" w:rsidRDefault="00DF3059"/>
  </w:endnote>
  <w:endnote w:type="continuationSeparator" w:id="0">
    <w:p w14:paraId="6E1534AD" w14:textId="77777777" w:rsidR="00DF3059" w:rsidRDefault="00DF3059" w:rsidP="00DB17F9">
      <w:r>
        <w:continuationSeparator/>
      </w:r>
    </w:p>
    <w:p w14:paraId="3E92BB2C" w14:textId="77777777" w:rsidR="00DF3059" w:rsidRDefault="00DF3059"/>
  </w:endnote>
  <w:endnote w:type="continuationNotice" w:id="1">
    <w:p w14:paraId="4CD660E1" w14:textId="77777777" w:rsidR="00DF3059" w:rsidRDefault="00DF30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2D6A" w14:textId="1C1668FF" w:rsidR="0010418F" w:rsidRDefault="0010418F">
    <w:pPr>
      <w:pStyle w:val="Footer"/>
    </w:pPr>
  </w:p>
  <w:p w14:paraId="2BB7A6CF" w14:textId="77777777" w:rsidR="0010418F" w:rsidRDefault="00104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307A" w14:textId="77777777" w:rsidR="00DF3059" w:rsidRPr="00F51BD6" w:rsidRDefault="00DF3059" w:rsidP="00CD07E7">
      <w:pPr>
        <w:spacing w:before="120" w:after="0"/>
      </w:pPr>
      <w:r>
        <w:separator/>
      </w:r>
    </w:p>
  </w:footnote>
  <w:footnote w:type="continuationSeparator" w:id="0">
    <w:p w14:paraId="13DB40E2" w14:textId="77777777" w:rsidR="00DF3059" w:rsidRDefault="00DF3059" w:rsidP="00CD07E7">
      <w:pPr>
        <w:spacing w:before="120" w:after="0"/>
      </w:pPr>
      <w:r>
        <w:continuationSeparator/>
      </w:r>
    </w:p>
  </w:footnote>
  <w:footnote w:type="continuationNotice" w:id="1">
    <w:p w14:paraId="1DD2E015" w14:textId="77777777" w:rsidR="00DF3059" w:rsidRPr="00CD07E7" w:rsidRDefault="00DF3059" w:rsidP="00CD07E7">
      <w:pPr>
        <w:spacing w:before="120" w:after="0"/>
      </w:pPr>
    </w:p>
  </w:footnote>
  <w:footnote w:id="2">
    <w:p w14:paraId="47DE3AF8" w14:textId="77777777" w:rsidR="009D76E0" w:rsidRPr="004B42D3" w:rsidRDefault="009D76E0" w:rsidP="009D76E0">
      <w:pPr>
        <w:pStyle w:val="FootnoteText"/>
        <w:spacing w:before="0"/>
      </w:pPr>
      <w:r w:rsidRPr="004B42D3">
        <w:rPr>
          <w:vertAlign w:val="superscript"/>
        </w:rPr>
        <w:footnoteRef/>
      </w:r>
      <w:r w:rsidRPr="004B42D3">
        <w:t xml:space="preserve"> Assumptions: </w:t>
      </w:r>
    </w:p>
    <w:p w14:paraId="338922BF" w14:textId="77777777" w:rsidR="009D76E0" w:rsidRPr="004B42D3" w:rsidRDefault="009D76E0" w:rsidP="009D76E0">
      <w:pPr>
        <w:pStyle w:val="FootnoteText"/>
        <w:numPr>
          <w:ilvl w:val="0"/>
          <w:numId w:val="33"/>
        </w:numPr>
        <w:spacing w:before="0"/>
      </w:pPr>
      <w:r w:rsidRPr="004B42D3">
        <w:t>16K</w:t>
      </w:r>
      <w:r w:rsidRPr="004B42D3">
        <w:sym w:font="Symbol" w:char="F0B4"/>
      </w:r>
      <w:r w:rsidRPr="004B42D3">
        <w:t>16K resolution</w:t>
      </w:r>
    </w:p>
    <w:p w14:paraId="2F06CD62" w14:textId="77777777" w:rsidR="009D76E0" w:rsidRPr="004B42D3" w:rsidRDefault="009D76E0" w:rsidP="009D76E0">
      <w:pPr>
        <w:pStyle w:val="FootnoteText"/>
        <w:numPr>
          <w:ilvl w:val="0"/>
          <w:numId w:val="33"/>
        </w:numPr>
        <w:spacing w:before="0"/>
      </w:pPr>
      <w:r w:rsidRPr="004B42D3">
        <w:t xml:space="preserve">Raw data: 16384 (pixels width) </w:t>
      </w:r>
      <w:r w:rsidRPr="004B42D3">
        <w:sym w:font="Symbol" w:char="F0B4"/>
      </w:r>
      <w:r w:rsidRPr="004B42D3">
        <w:t xml:space="preserve"> 16384 (pixels height) </w:t>
      </w:r>
      <w:r w:rsidRPr="004B42D3">
        <w:sym w:font="Symbol" w:char="F0B4"/>
      </w:r>
      <w:r w:rsidRPr="004B42D3">
        <w:t xml:space="preserve">  12 (</w:t>
      </w:r>
      <w:r w:rsidRPr="00015311">
        <w:rPr>
          <w:lang w:val="en-GB"/>
        </w:rPr>
        <w:t>bits</w:t>
      </w:r>
      <w:r w:rsidRPr="004B42D3">
        <w:t xml:space="preserve">/pixel, assuming YUV420 for RGB) </w:t>
      </w:r>
      <w:r w:rsidRPr="004B42D3">
        <w:sym w:font="Symbol" w:char="F0B4"/>
      </w:r>
      <w:r w:rsidRPr="004B42D3">
        <w:t xml:space="preserve"> 60 (frames/s) /1024 /1024 /1024  = 180 Gbit/s (scaling from bit/s to Gbit/s)</w:t>
      </w:r>
    </w:p>
    <w:p w14:paraId="3301F3D5" w14:textId="77777777" w:rsidR="009D76E0" w:rsidRPr="004B42D3" w:rsidRDefault="009D76E0" w:rsidP="009D76E0">
      <w:pPr>
        <w:pStyle w:val="FootnoteText"/>
        <w:numPr>
          <w:ilvl w:val="0"/>
          <w:numId w:val="33"/>
        </w:numPr>
        <w:spacing w:before="0"/>
      </w:pPr>
      <w:r w:rsidRPr="004B42D3">
        <w:t>VVC (H.266): Raw data / 800 = 0.225 Gbit/s</w:t>
      </w:r>
    </w:p>
    <w:p w14:paraId="6CF3F3F0" w14:textId="77777777" w:rsidR="009D76E0" w:rsidRPr="004B42D3" w:rsidRDefault="009D76E0" w:rsidP="009D76E0">
      <w:pPr>
        <w:pStyle w:val="FootnoteText"/>
        <w:numPr>
          <w:ilvl w:val="0"/>
          <w:numId w:val="33"/>
        </w:numPr>
        <w:spacing w:before="0"/>
      </w:pPr>
      <w:r w:rsidRPr="004B42D3">
        <w:t xml:space="preserve">For stereo (two eyes): 0.225 Gbit/s </w:t>
      </w:r>
      <w:r w:rsidRPr="004B42D3">
        <w:sym w:font="Symbol" w:char="F0B4"/>
      </w:r>
      <w:r w:rsidRPr="004B42D3">
        <w:t xml:space="preserve"> 2=0.45 Gbit/s (compressed by VVC)</w:t>
      </w:r>
    </w:p>
    <w:p w14:paraId="65E23BEA" w14:textId="77777777" w:rsidR="009D76E0" w:rsidRPr="00F96479" w:rsidRDefault="009D76E0" w:rsidP="009D76E0">
      <w:pPr>
        <w:pStyle w:val="FootnoteText"/>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535AC5BE"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10418F">
      <w:rPr>
        <w:noProof/>
      </w:rPr>
      <w:t>3</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F62488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876E1B60"/>
    <w:lvl w:ilvl="0">
      <w:start w:val="1"/>
      <w:numFmt w:val="decimal"/>
      <w:lvlText w:val="%1."/>
      <w:lvlJc w:val="left"/>
      <w:pPr>
        <w:tabs>
          <w:tab w:val="num" w:pos="360"/>
        </w:tabs>
        <w:ind w:left="360" w:hanging="360"/>
      </w:pPr>
    </w:lvl>
  </w:abstractNum>
  <w:abstractNum w:abstractNumId="2" w15:restartNumberingAfterBreak="0">
    <w:nsid w:val="01484EA9"/>
    <w:multiLevelType w:val="hybridMultilevel"/>
    <w:tmpl w:val="00EA68D8"/>
    <w:lvl w:ilvl="0" w:tplc="ADB4808A">
      <w:start w:val="1"/>
      <w:numFmt w:val="bullet"/>
      <w:lvlText w:val="•"/>
      <w:lvlJc w:val="left"/>
      <w:pPr>
        <w:tabs>
          <w:tab w:val="num" w:pos="360"/>
        </w:tabs>
        <w:ind w:left="360" w:hanging="360"/>
      </w:pPr>
      <w:rPr>
        <w:rFonts w:ascii="Arial" w:hAnsi="Arial" w:hint="default"/>
      </w:rPr>
    </w:lvl>
    <w:lvl w:ilvl="1" w:tplc="C3CE5F7C">
      <w:numFmt w:val="bullet"/>
      <w:lvlText w:val="•"/>
      <w:lvlJc w:val="left"/>
      <w:pPr>
        <w:tabs>
          <w:tab w:val="num" w:pos="1080"/>
        </w:tabs>
        <w:ind w:left="1080" w:hanging="360"/>
      </w:pPr>
      <w:rPr>
        <w:rFonts w:ascii="Arial" w:hAnsi="Arial" w:hint="default"/>
      </w:rPr>
    </w:lvl>
    <w:lvl w:ilvl="2" w:tplc="9DC2CC6A" w:tentative="1">
      <w:start w:val="1"/>
      <w:numFmt w:val="bullet"/>
      <w:lvlText w:val="•"/>
      <w:lvlJc w:val="left"/>
      <w:pPr>
        <w:tabs>
          <w:tab w:val="num" w:pos="1800"/>
        </w:tabs>
        <w:ind w:left="1800" w:hanging="360"/>
      </w:pPr>
      <w:rPr>
        <w:rFonts w:ascii="Arial" w:hAnsi="Arial" w:hint="default"/>
      </w:rPr>
    </w:lvl>
    <w:lvl w:ilvl="3" w:tplc="747423FA" w:tentative="1">
      <w:start w:val="1"/>
      <w:numFmt w:val="bullet"/>
      <w:lvlText w:val="•"/>
      <w:lvlJc w:val="left"/>
      <w:pPr>
        <w:tabs>
          <w:tab w:val="num" w:pos="2520"/>
        </w:tabs>
        <w:ind w:left="2520" w:hanging="360"/>
      </w:pPr>
      <w:rPr>
        <w:rFonts w:ascii="Arial" w:hAnsi="Arial" w:hint="default"/>
      </w:rPr>
    </w:lvl>
    <w:lvl w:ilvl="4" w:tplc="B60C59F6" w:tentative="1">
      <w:start w:val="1"/>
      <w:numFmt w:val="bullet"/>
      <w:lvlText w:val="•"/>
      <w:lvlJc w:val="left"/>
      <w:pPr>
        <w:tabs>
          <w:tab w:val="num" w:pos="3240"/>
        </w:tabs>
        <w:ind w:left="3240" w:hanging="360"/>
      </w:pPr>
      <w:rPr>
        <w:rFonts w:ascii="Arial" w:hAnsi="Arial" w:hint="default"/>
      </w:rPr>
    </w:lvl>
    <w:lvl w:ilvl="5" w:tplc="B79A1250" w:tentative="1">
      <w:start w:val="1"/>
      <w:numFmt w:val="bullet"/>
      <w:lvlText w:val="•"/>
      <w:lvlJc w:val="left"/>
      <w:pPr>
        <w:tabs>
          <w:tab w:val="num" w:pos="3960"/>
        </w:tabs>
        <w:ind w:left="3960" w:hanging="360"/>
      </w:pPr>
      <w:rPr>
        <w:rFonts w:ascii="Arial" w:hAnsi="Arial" w:hint="default"/>
      </w:rPr>
    </w:lvl>
    <w:lvl w:ilvl="6" w:tplc="DB526290" w:tentative="1">
      <w:start w:val="1"/>
      <w:numFmt w:val="bullet"/>
      <w:lvlText w:val="•"/>
      <w:lvlJc w:val="left"/>
      <w:pPr>
        <w:tabs>
          <w:tab w:val="num" w:pos="4680"/>
        </w:tabs>
        <w:ind w:left="4680" w:hanging="360"/>
      </w:pPr>
      <w:rPr>
        <w:rFonts w:ascii="Arial" w:hAnsi="Arial" w:hint="default"/>
      </w:rPr>
    </w:lvl>
    <w:lvl w:ilvl="7" w:tplc="C55A923E" w:tentative="1">
      <w:start w:val="1"/>
      <w:numFmt w:val="bullet"/>
      <w:lvlText w:val="•"/>
      <w:lvlJc w:val="left"/>
      <w:pPr>
        <w:tabs>
          <w:tab w:val="num" w:pos="5400"/>
        </w:tabs>
        <w:ind w:left="5400" w:hanging="360"/>
      </w:pPr>
      <w:rPr>
        <w:rFonts w:ascii="Arial" w:hAnsi="Arial" w:hint="default"/>
      </w:rPr>
    </w:lvl>
    <w:lvl w:ilvl="8" w:tplc="E68C07E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2511111"/>
    <w:multiLevelType w:val="hybridMultilevel"/>
    <w:tmpl w:val="A4A6254A"/>
    <w:lvl w:ilvl="0" w:tplc="DF08ED28">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804342C"/>
    <w:multiLevelType w:val="hybridMultilevel"/>
    <w:tmpl w:val="7C7C30C4"/>
    <w:lvl w:ilvl="0" w:tplc="C8B2E85C">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683394"/>
    <w:multiLevelType w:val="hybridMultilevel"/>
    <w:tmpl w:val="FEC4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83FBD"/>
    <w:multiLevelType w:val="hybridMultilevel"/>
    <w:tmpl w:val="D926FE02"/>
    <w:lvl w:ilvl="0" w:tplc="C8B2E85C">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513FC7"/>
    <w:multiLevelType w:val="hybridMultilevel"/>
    <w:tmpl w:val="E604AE3C"/>
    <w:lvl w:ilvl="0" w:tplc="ECE0CD04">
      <w:start w:val="3"/>
      <w:numFmt w:val="bullet"/>
      <w:lvlText w:val="-"/>
      <w:lvlJc w:val="left"/>
      <w:pPr>
        <w:ind w:left="720" w:hanging="360"/>
      </w:pPr>
      <w:rPr>
        <w:rFonts w:ascii="Arial" w:eastAsia="Calibri" w:hAnsi="Arial" w:cs="Arial" w:hint="default"/>
      </w:rPr>
    </w:lvl>
    <w:lvl w:ilvl="1" w:tplc="83609B0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A7F46"/>
    <w:multiLevelType w:val="hybridMultilevel"/>
    <w:tmpl w:val="444C8F7C"/>
    <w:lvl w:ilvl="0" w:tplc="2000000F">
      <w:start w:val="1"/>
      <w:numFmt w:val="decimal"/>
      <w:lvlText w:val="%1."/>
      <w:lvlJc w:val="left"/>
      <w:pPr>
        <w:ind w:left="360" w:hanging="360"/>
      </w:pPr>
      <w:rPr>
        <w:rFonts w:hint="default"/>
      </w:rPr>
    </w:lvl>
    <w:lvl w:ilvl="1" w:tplc="20000017">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3C037CB"/>
    <w:multiLevelType w:val="multilevel"/>
    <w:tmpl w:val="C0622256"/>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F84D68"/>
    <w:multiLevelType w:val="hybridMultilevel"/>
    <w:tmpl w:val="D0586902"/>
    <w:lvl w:ilvl="0" w:tplc="3500C562">
      <w:start w:val="1"/>
      <w:numFmt w:val="lowerLetter"/>
      <w:lvlText w:val="%1)"/>
      <w:lvlJc w:val="left"/>
      <w:pPr>
        <w:ind w:left="560" w:hanging="560"/>
      </w:pPr>
      <w:rPr>
        <w:rFonts w:eastAsia="Malgun Gothic" w:hint="default"/>
        <w:i/>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32757EB3"/>
    <w:multiLevelType w:val="hybridMultilevel"/>
    <w:tmpl w:val="EEA26362"/>
    <w:lvl w:ilvl="0" w:tplc="0F56C7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6" w15:restartNumberingAfterBreak="0">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7" w15:restartNumberingAfterBreak="0">
    <w:nsid w:val="385A0498"/>
    <w:multiLevelType w:val="hybridMultilevel"/>
    <w:tmpl w:val="2354D62C"/>
    <w:lvl w:ilvl="0" w:tplc="20000017">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1426"/>
        </w:tabs>
        <w:ind w:left="142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3D506D0"/>
    <w:multiLevelType w:val="hybridMultilevel"/>
    <w:tmpl w:val="62605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6A5A4E"/>
    <w:multiLevelType w:val="hybridMultilevel"/>
    <w:tmpl w:val="DC24D1EA"/>
    <w:lvl w:ilvl="0" w:tplc="0CCC3C9E">
      <w:start w:val="1"/>
      <w:numFmt w:val="lowerLetter"/>
      <w:lvlText w:val="%1)"/>
      <w:lvlJc w:val="left"/>
      <w:pPr>
        <w:ind w:left="570" w:hanging="570"/>
      </w:pPr>
      <w:rPr>
        <w:rFonts w:hint="default"/>
        <w:i/>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15:restartNumberingAfterBreak="0">
    <w:nsid w:val="54114F53"/>
    <w:multiLevelType w:val="hybridMultilevel"/>
    <w:tmpl w:val="8D3E2BEE"/>
    <w:lvl w:ilvl="0" w:tplc="ECE0CD0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C2C2F"/>
    <w:multiLevelType w:val="hybridMultilevel"/>
    <w:tmpl w:val="62605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6B1103"/>
    <w:multiLevelType w:val="hybridMultilevel"/>
    <w:tmpl w:val="D17AD45A"/>
    <w:lvl w:ilvl="0" w:tplc="C7DE3F7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73B6A"/>
    <w:multiLevelType w:val="hybridMultilevel"/>
    <w:tmpl w:val="BE488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BE087C"/>
    <w:multiLevelType w:val="hybridMultilevel"/>
    <w:tmpl w:val="1C6E2EC8"/>
    <w:lvl w:ilvl="0" w:tplc="9F52A6D8">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C2A58"/>
    <w:multiLevelType w:val="hybridMultilevel"/>
    <w:tmpl w:val="7862CBB4"/>
    <w:lvl w:ilvl="0" w:tplc="20000005">
      <w:start w:val="1"/>
      <w:numFmt w:val="bullet"/>
      <w:lvlText w:val=""/>
      <w:lvlJc w:val="left"/>
      <w:pPr>
        <w:tabs>
          <w:tab w:val="num" w:pos="360"/>
        </w:tabs>
        <w:ind w:left="360" w:hanging="360"/>
      </w:pPr>
      <w:rPr>
        <w:rFonts w:ascii="Wingdings" w:hAnsi="Wingdings" w:hint="default"/>
      </w:rPr>
    </w:lvl>
    <w:lvl w:ilvl="1" w:tplc="FFFFFFFF">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num w:numId="1" w16cid:durableId="1233001071">
    <w:abstractNumId w:val="10"/>
  </w:num>
  <w:num w:numId="2" w16cid:durableId="1334726282">
    <w:abstractNumId w:val="7"/>
  </w:num>
  <w:num w:numId="3" w16cid:durableId="1827434036">
    <w:abstractNumId w:val="23"/>
  </w:num>
  <w:num w:numId="4" w16cid:durableId="741295973">
    <w:abstractNumId w:val="15"/>
  </w:num>
  <w:num w:numId="5" w16cid:durableId="1289893859">
    <w:abstractNumId w:val="21"/>
  </w:num>
  <w:num w:numId="6" w16cid:durableId="213125163">
    <w:abstractNumId w:val="18"/>
  </w:num>
  <w:num w:numId="7" w16cid:durableId="1164123537">
    <w:abstractNumId w:val="22"/>
  </w:num>
  <w:num w:numId="8" w16cid:durableId="1217475262">
    <w:abstractNumId w:val="12"/>
  </w:num>
  <w:num w:numId="9" w16cid:durableId="1694530052">
    <w:abstractNumId w:val="12"/>
  </w:num>
  <w:num w:numId="10" w16cid:durableId="702828604">
    <w:abstractNumId w:val="19"/>
  </w:num>
  <w:num w:numId="11" w16cid:durableId="786974424">
    <w:abstractNumId w:val="25"/>
  </w:num>
  <w:num w:numId="12" w16cid:durableId="1652369650">
    <w:abstractNumId w:val="24"/>
  </w:num>
  <w:num w:numId="13" w16cid:durableId="1206337029">
    <w:abstractNumId w:val="27"/>
  </w:num>
  <w:num w:numId="14" w16cid:durableId="493644973">
    <w:abstractNumId w:val="20"/>
  </w:num>
  <w:num w:numId="15" w16cid:durableId="2140031339">
    <w:abstractNumId w:val="17"/>
  </w:num>
  <w:num w:numId="16" w16cid:durableId="231430680">
    <w:abstractNumId w:val="3"/>
  </w:num>
  <w:num w:numId="17" w16cid:durableId="322782344">
    <w:abstractNumId w:val="8"/>
  </w:num>
  <w:num w:numId="18" w16cid:durableId="1411195781">
    <w:abstractNumId w:val="13"/>
  </w:num>
  <w:num w:numId="19" w16cid:durableId="119349235">
    <w:abstractNumId w:val="9"/>
  </w:num>
  <w:num w:numId="20" w16cid:durableId="1845898034">
    <w:abstractNumId w:val="5"/>
  </w:num>
  <w:num w:numId="21" w16cid:durableId="1621186209">
    <w:abstractNumId w:val="28"/>
  </w:num>
  <w:num w:numId="22" w16cid:durableId="1753814443">
    <w:abstractNumId w:val="18"/>
  </w:num>
  <w:num w:numId="23" w16cid:durableId="1558391435">
    <w:abstractNumId w:val="18"/>
  </w:num>
  <w:num w:numId="24" w16cid:durableId="25524633">
    <w:abstractNumId w:val="18"/>
  </w:num>
  <w:num w:numId="25" w16cid:durableId="232129814">
    <w:abstractNumId w:val="16"/>
  </w:num>
  <w:num w:numId="26" w16cid:durableId="1000891915">
    <w:abstractNumId w:val="2"/>
  </w:num>
  <w:num w:numId="27" w16cid:durableId="749421988">
    <w:abstractNumId w:val="6"/>
  </w:num>
  <w:num w:numId="28" w16cid:durableId="402148011">
    <w:abstractNumId w:val="4"/>
  </w:num>
  <w:num w:numId="29" w16cid:durableId="1332874000">
    <w:abstractNumId w:val="11"/>
  </w:num>
  <w:num w:numId="30" w16cid:durableId="1878079041">
    <w:abstractNumId w:val="1"/>
  </w:num>
  <w:num w:numId="31" w16cid:durableId="694506365">
    <w:abstractNumId w:val="0"/>
  </w:num>
  <w:num w:numId="32" w16cid:durableId="942108734">
    <w:abstractNumId w:val="29"/>
  </w:num>
  <w:num w:numId="33" w16cid:durableId="236596616">
    <w:abstractNumId w:val="14"/>
  </w:num>
  <w:num w:numId="34" w16cid:durableId="179636242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50"/>
    <w:rsid w:val="00001CD0"/>
    <w:rsid w:val="00007060"/>
    <w:rsid w:val="0001112E"/>
    <w:rsid w:val="00012E3B"/>
    <w:rsid w:val="000175BC"/>
    <w:rsid w:val="00017620"/>
    <w:rsid w:val="000200CD"/>
    <w:rsid w:val="00022D4D"/>
    <w:rsid w:val="0002388B"/>
    <w:rsid w:val="00025EA7"/>
    <w:rsid w:val="00030499"/>
    <w:rsid w:val="000313DE"/>
    <w:rsid w:val="0003276C"/>
    <w:rsid w:val="00033293"/>
    <w:rsid w:val="00033729"/>
    <w:rsid w:val="00034777"/>
    <w:rsid w:val="00036DC9"/>
    <w:rsid w:val="000401F7"/>
    <w:rsid w:val="00041A18"/>
    <w:rsid w:val="00041AD5"/>
    <w:rsid w:val="00042F8B"/>
    <w:rsid w:val="00043478"/>
    <w:rsid w:val="000443E5"/>
    <w:rsid w:val="0004622B"/>
    <w:rsid w:val="00047A62"/>
    <w:rsid w:val="00047AE7"/>
    <w:rsid w:val="0005490C"/>
    <w:rsid w:val="000567FB"/>
    <w:rsid w:val="0005680E"/>
    <w:rsid w:val="00056976"/>
    <w:rsid w:val="00056C02"/>
    <w:rsid w:val="0005756A"/>
    <w:rsid w:val="00062FD2"/>
    <w:rsid w:val="0006740F"/>
    <w:rsid w:val="00067432"/>
    <w:rsid w:val="00067793"/>
    <w:rsid w:val="00074059"/>
    <w:rsid w:val="0007715E"/>
    <w:rsid w:val="00080804"/>
    <w:rsid w:val="00080D4D"/>
    <w:rsid w:val="00082DD7"/>
    <w:rsid w:val="00084AAD"/>
    <w:rsid w:val="00085E2C"/>
    <w:rsid w:val="00086A46"/>
    <w:rsid w:val="00095620"/>
    <w:rsid w:val="00095DF5"/>
    <w:rsid w:val="00095F5A"/>
    <w:rsid w:val="000A0407"/>
    <w:rsid w:val="000A2FD0"/>
    <w:rsid w:val="000A315C"/>
    <w:rsid w:val="000A3940"/>
    <w:rsid w:val="000A58BC"/>
    <w:rsid w:val="000A5D3E"/>
    <w:rsid w:val="000B174B"/>
    <w:rsid w:val="000B2271"/>
    <w:rsid w:val="000B2C45"/>
    <w:rsid w:val="000B5499"/>
    <w:rsid w:val="000B582E"/>
    <w:rsid w:val="000B5ACB"/>
    <w:rsid w:val="000B6AF8"/>
    <w:rsid w:val="000B6D45"/>
    <w:rsid w:val="000C028F"/>
    <w:rsid w:val="000C02A7"/>
    <w:rsid w:val="000C2439"/>
    <w:rsid w:val="000C2B98"/>
    <w:rsid w:val="000C711C"/>
    <w:rsid w:val="000C7489"/>
    <w:rsid w:val="000D09BF"/>
    <w:rsid w:val="000D0F5D"/>
    <w:rsid w:val="000D1710"/>
    <w:rsid w:val="000D25B7"/>
    <w:rsid w:val="000D3CB0"/>
    <w:rsid w:val="000D43BB"/>
    <w:rsid w:val="000D5BCF"/>
    <w:rsid w:val="000D5DE6"/>
    <w:rsid w:val="000D7813"/>
    <w:rsid w:val="000E03F5"/>
    <w:rsid w:val="000E1D82"/>
    <w:rsid w:val="000E3B4C"/>
    <w:rsid w:val="000E3E4D"/>
    <w:rsid w:val="000E42F5"/>
    <w:rsid w:val="000E4C9B"/>
    <w:rsid w:val="000F0594"/>
    <w:rsid w:val="000F0BAB"/>
    <w:rsid w:val="000F0CA8"/>
    <w:rsid w:val="000F2110"/>
    <w:rsid w:val="000F24F5"/>
    <w:rsid w:val="000F2725"/>
    <w:rsid w:val="000F2ED9"/>
    <w:rsid w:val="000F3334"/>
    <w:rsid w:val="000F564D"/>
    <w:rsid w:val="000F5C4A"/>
    <w:rsid w:val="000F60C3"/>
    <w:rsid w:val="000F69DC"/>
    <w:rsid w:val="00100168"/>
    <w:rsid w:val="001006CA"/>
    <w:rsid w:val="00100BDF"/>
    <w:rsid w:val="00100F8B"/>
    <w:rsid w:val="00101AD7"/>
    <w:rsid w:val="00102172"/>
    <w:rsid w:val="001034E7"/>
    <w:rsid w:val="0010418F"/>
    <w:rsid w:val="00104E3A"/>
    <w:rsid w:val="00110652"/>
    <w:rsid w:val="00111F56"/>
    <w:rsid w:val="00112590"/>
    <w:rsid w:val="00112E82"/>
    <w:rsid w:val="0012478F"/>
    <w:rsid w:val="001265DB"/>
    <w:rsid w:val="00126816"/>
    <w:rsid w:val="001277F1"/>
    <w:rsid w:val="00127894"/>
    <w:rsid w:val="001353D1"/>
    <w:rsid w:val="00136A4D"/>
    <w:rsid w:val="00137A89"/>
    <w:rsid w:val="00140070"/>
    <w:rsid w:val="00141E98"/>
    <w:rsid w:val="00141E9C"/>
    <w:rsid w:val="001433CC"/>
    <w:rsid w:val="001526A2"/>
    <w:rsid w:val="00152885"/>
    <w:rsid w:val="0015339C"/>
    <w:rsid w:val="00153704"/>
    <w:rsid w:val="00153D07"/>
    <w:rsid w:val="001543C9"/>
    <w:rsid w:val="00154F16"/>
    <w:rsid w:val="00156314"/>
    <w:rsid w:val="00160AEE"/>
    <w:rsid w:val="00161965"/>
    <w:rsid w:val="0016302A"/>
    <w:rsid w:val="00167896"/>
    <w:rsid w:val="00167A68"/>
    <w:rsid w:val="001703B0"/>
    <w:rsid w:val="0017275F"/>
    <w:rsid w:val="00172B28"/>
    <w:rsid w:val="00175453"/>
    <w:rsid w:val="00177544"/>
    <w:rsid w:val="0018000D"/>
    <w:rsid w:val="001814DD"/>
    <w:rsid w:val="001818B3"/>
    <w:rsid w:val="00183218"/>
    <w:rsid w:val="0018388A"/>
    <w:rsid w:val="00183FE0"/>
    <w:rsid w:val="0018553F"/>
    <w:rsid w:val="0018737C"/>
    <w:rsid w:val="00190FB8"/>
    <w:rsid w:val="001916E2"/>
    <w:rsid w:val="00192FD4"/>
    <w:rsid w:val="001966DE"/>
    <w:rsid w:val="00196B12"/>
    <w:rsid w:val="0019767D"/>
    <w:rsid w:val="001A01CA"/>
    <w:rsid w:val="001A0315"/>
    <w:rsid w:val="001A1B13"/>
    <w:rsid w:val="001A618A"/>
    <w:rsid w:val="001A6FAD"/>
    <w:rsid w:val="001B0583"/>
    <w:rsid w:val="001B3820"/>
    <w:rsid w:val="001B40AA"/>
    <w:rsid w:val="001B48F3"/>
    <w:rsid w:val="001B593D"/>
    <w:rsid w:val="001B5E9A"/>
    <w:rsid w:val="001B796B"/>
    <w:rsid w:val="001C0996"/>
    <w:rsid w:val="001C09CF"/>
    <w:rsid w:val="001C1593"/>
    <w:rsid w:val="001C30A8"/>
    <w:rsid w:val="001C40CB"/>
    <w:rsid w:val="001D13BB"/>
    <w:rsid w:val="001D248A"/>
    <w:rsid w:val="001D25F6"/>
    <w:rsid w:val="001D2836"/>
    <w:rsid w:val="001D2E35"/>
    <w:rsid w:val="001D4F16"/>
    <w:rsid w:val="001D6D8C"/>
    <w:rsid w:val="001D7EBA"/>
    <w:rsid w:val="001E01B1"/>
    <w:rsid w:val="001E048D"/>
    <w:rsid w:val="001E06FF"/>
    <w:rsid w:val="001E1FF3"/>
    <w:rsid w:val="001E2C73"/>
    <w:rsid w:val="001E4CBD"/>
    <w:rsid w:val="001E55D5"/>
    <w:rsid w:val="001E601F"/>
    <w:rsid w:val="001E7359"/>
    <w:rsid w:val="001F03ED"/>
    <w:rsid w:val="001F0811"/>
    <w:rsid w:val="001F16C6"/>
    <w:rsid w:val="001F1CE2"/>
    <w:rsid w:val="001F24FB"/>
    <w:rsid w:val="001F2F13"/>
    <w:rsid w:val="001F400D"/>
    <w:rsid w:val="001F4317"/>
    <w:rsid w:val="001F65EB"/>
    <w:rsid w:val="00200216"/>
    <w:rsid w:val="0020079A"/>
    <w:rsid w:val="00200F18"/>
    <w:rsid w:val="00203BDE"/>
    <w:rsid w:val="0020410A"/>
    <w:rsid w:val="002135C9"/>
    <w:rsid w:val="00213F4D"/>
    <w:rsid w:val="0022034F"/>
    <w:rsid w:val="0022057E"/>
    <w:rsid w:val="002209A2"/>
    <w:rsid w:val="00222F9E"/>
    <w:rsid w:val="00224050"/>
    <w:rsid w:val="002302A9"/>
    <w:rsid w:val="00231A0F"/>
    <w:rsid w:val="00231A37"/>
    <w:rsid w:val="002353A9"/>
    <w:rsid w:val="0023613B"/>
    <w:rsid w:val="002363C9"/>
    <w:rsid w:val="00236F33"/>
    <w:rsid w:val="00237C5D"/>
    <w:rsid w:val="00237FC5"/>
    <w:rsid w:val="00240517"/>
    <w:rsid w:val="0024092B"/>
    <w:rsid w:val="002427DA"/>
    <w:rsid w:val="002427F8"/>
    <w:rsid w:val="00243558"/>
    <w:rsid w:val="002450AC"/>
    <w:rsid w:val="00247B0B"/>
    <w:rsid w:val="00250619"/>
    <w:rsid w:val="00251402"/>
    <w:rsid w:val="00252811"/>
    <w:rsid w:val="00256171"/>
    <w:rsid w:val="00256769"/>
    <w:rsid w:val="00257BE0"/>
    <w:rsid w:val="00261F68"/>
    <w:rsid w:val="00263267"/>
    <w:rsid w:val="00263FFB"/>
    <w:rsid w:val="002649A7"/>
    <w:rsid w:val="00265F50"/>
    <w:rsid w:val="00266156"/>
    <w:rsid w:val="00266592"/>
    <w:rsid w:val="00272767"/>
    <w:rsid w:val="0027323E"/>
    <w:rsid w:val="0027400F"/>
    <w:rsid w:val="00274DF9"/>
    <w:rsid w:val="00274F84"/>
    <w:rsid w:val="00275920"/>
    <w:rsid w:val="0027736E"/>
    <w:rsid w:val="0027787F"/>
    <w:rsid w:val="0028060B"/>
    <w:rsid w:val="00280AA8"/>
    <w:rsid w:val="00280EBF"/>
    <w:rsid w:val="00280F78"/>
    <w:rsid w:val="0028120C"/>
    <w:rsid w:val="002821BE"/>
    <w:rsid w:val="00282D88"/>
    <w:rsid w:val="00283417"/>
    <w:rsid w:val="00283624"/>
    <w:rsid w:val="00283D73"/>
    <w:rsid w:val="00284071"/>
    <w:rsid w:val="00286776"/>
    <w:rsid w:val="00286B48"/>
    <w:rsid w:val="00290841"/>
    <w:rsid w:val="00291A3A"/>
    <w:rsid w:val="00292717"/>
    <w:rsid w:val="0029284E"/>
    <w:rsid w:val="00294168"/>
    <w:rsid w:val="00294C6F"/>
    <w:rsid w:val="00295827"/>
    <w:rsid w:val="00295F16"/>
    <w:rsid w:val="00296077"/>
    <w:rsid w:val="00296C44"/>
    <w:rsid w:val="002A033F"/>
    <w:rsid w:val="002A1AE5"/>
    <w:rsid w:val="002A1B48"/>
    <w:rsid w:val="002B4FCB"/>
    <w:rsid w:val="002B7174"/>
    <w:rsid w:val="002B7B57"/>
    <w:rsid w:val="002C0C2B"/>
    <w:rsid w:val="002C10D6"/>
    <w:rsid w:val="002C438E"/>
    <w:rsid w:val="002C4D4A"/>
    <w:rsid w:val="002C6DC3"/>
    <w:rsid w:val="002C7368"/>
    <w:rsid w:val="002D02AB"/>
    <w:rsid w:val="002D1FA9"/>
    <w:rsid w:val="002D49F8"/>
    <w:rsid w:val="002D50A3"/>
    <w:rsid w:val="002D5205"/>
    <w:rsid w:val="002D7A5A"/>
    <w:rsid w:val="002E070B"/>
    <w:rsid w:val="002E2D93"/>
    <w:rsid w:val="002E3FC3"/>
    <w:rsid w:val="002F2DEE"/>
    <w:rsid w:val="002F31F1"/>
    <w:rsid w:val="002F3F5C"/>
    <w:rsid w:val="002F6346"/>
    <w:rsid w:val="002F70E6"/>
    <w:rsid w:val="003007C0"/>
    <w:rsid w:val="00303389"/>
    <w:rsid w:val="00303484"/>
    <w:rsid w:val="00304C01"/>
    <w:rsid w:val="003052D8"/>
    <w:rsid w:val="0030601F"/>
    <w:rsid w:val="003077F3"/>
    <w:rsid w:val="00307A79"/>
    <w:rsid w:val="00307E13"/>
    <w:rsid w:val="00313D27"/>
    <w:rsid w:val="00314AEC"/>
    <w:rsid w:val="00314B0B"/>
    <w:rsid w:val="00316B7C"/>
    <w:rsid w:val="003201BC"/>
    <w:rsid w:val="003204D5"/>
    <w:rsid w:val="00320ED0"/>
    <w:rsid w:val="0032211D"/>
    <w:rsid w:val="00322E6A"/>
    <w:rsid w:val="00325141"/>
    <w:rsid w:val="00326E46"/>
    <w:rsid w:val="00327308"/>
    <w:rsid w:val="003314A0"/>
    <w:rsid w:val="0033228D"/>
    <w:rsid w:val="00334147"/>
    <w:rsid w:val="003357F2"/>
    <w:rsid w:val="00335AED"/>
    <w:rsid w:val="00343F83"/>
    <w:rsid w:val="00344AD9"/>
    <w:rsid w:val="00344E1F"/>
    <w:rsid w:val="00344EF0"/>
    <w:rsid w:val="0034501E"/>
    <w:rsid w:val="00351BEC"/>
    <w:rsid w:val="00354319"/>
    <w:rsid w:val="003549D4"/>
    <w:rsid w:val="00364DDA"/>
    <w:rsid w:val="003651C8"/>
    <w:rsid w:val="003667AD"/>
    <w:rsid w:val="0037019B"/>
    <w:rsid w:val="00370B72"/>
    <w:rsid w:val="00370DE1"/>
    <w:rsid w:val="00373116"/>
    <w:rsid w:val="00373334"/>
    <w:rsid w:val="00374486"/>
    <w:rsid w:val="00374C5B"/>
    <w:rsid w:val="0038051C"/>
    <w:rsid w:val="00380B3A"/>
    <w:rsid w:val="00381169"/>
    <w:rsid w:val="00381A8A"/>
    <w:rsid w:val="0038287C"/>
    <w:rsid w:val="0038358E"/>
    <w:rsid w:val="003842FC"/>
    <w:rsid w:val="00387BB6"/>
    <w:rsid w:val="00387DDE"/>
    <w:rsid w:val="00391A01"/>
    <w:rsid w:val="00393D18"/>
    <w:rsid w:val="003A0EB5"/>
    <w:rsid w:val="003A488D"/>
    <w:rsid w:val="003A515C"/>
    <w:rsid w:val="003A5711"/>
    <w:rsid w:val="003B086D"/>
    <w:rsid w:val="003B160C"/>
    <w:rsid w:val="003B16D8"/>
    <w:rsid w:val="003B5265"/>
    <w:rsid w:val="003C151B"/>
    <w:rsid w:val="003C2C98"/>
    <w:rsid w:val="003C5D7E"/>
    <w:rsid w:val="003C62D1"/>
    <w:rsid w:val="003C64D9"/>
    <w:rsid w:val="003D12CF"/>
    <w:rsid w:val="003D5848"/>
    <w:rsid w:val="003E0E1D"/>
    <w:rsid w:val="003E154B"/>
    <w:rsid w:val="003E243E"/>
    <w:rsid w:val="003E2E42"/>
    <w:rsid w:val="003E37C2"/>
    <w:rsid w:val="003E4792"/>
    <w:rsid w:val="003E57F3"/>
    <w:rsid w:val="003E70E0"/>
    <w:rsid w:val="003E7A41"/>
    <w:rsid w:val="003F24EE"/>
    <w:rsid w:val="003F2935"/>
    <w:rsid w:val="00403CE6"/>
    <w:rsid w:val="00403D39"/>
    <w:rsid w:val="00404E44"/>
    <w:rsid w:val="0040512A"/>
    <w:rsid w:val="0041003B"/>
    <w:rsid w:val="00410339"/>
    <w:rsid w:val="004110CA"/>
    <w:rsid w:val="0041160E"/>
    <w:rsid w:val="004146AE"/>
    <w:rsid w:val="0042023F"/>
    <w:rsid w:val="00420292"/>
    <w:rsid w:val="00421639"/>
    <w:rsid w:val="00423152"/>
    <w:rsid w:val="0042761F"/>
    <w:rsid w:val="00430D78"/>
    <w:rsid w:val="00431162"/>
    <w:rsid w:val="00431644"/>
    <w:rsid w:val="004351CC"/>
    <w:rsid w:val="00435E2A"/>
    <w:rsid w:val="00436187"/>
    <w:rsid w:val="00440A06"/>
    <w:rsid w:val="00440B51"/>
    <w:rsid w:val="00440E09"/>
    <w:rsid w:val="00441EE0"/>
    <w:rsid w:val="00443482"/>
    <w:rsid w:val="0044533C"/>
    <w:rsid w:val="00447317"/>
    <w:rsid w:val="00450027"/>
    <w:rsid w:val="00450308"/>
    <w:rsid w:val="00451C4D"/>
    <w:rsid w:val="0045396C"/>
    <w:rsid w:val="0045783A"/>
    <w:rsid w:val="00457AD1"/>
    <w:rsid w:val="00460CFF"/>
    <w:rsid w:val="00461D4D"/>
    <w:rsid w:val="0046427F"/>
    <w:rsid w:val="00464B4F"/>
    <w:rsid w:val="00466B09"/>
    <w:rsid w:val="00466BB4"/>
    <w:rsid w:val="00473FF8"/>
    <w:rsid w:val="00480D62"/>
    <w:rsid w:val="004821F6"/>
    <w:rsid w:val="00482520"/>
    <w:rsid w:val="0048271D"/>
    <w:rsid w:val="0048485F"/>
    <w:rsid w:val="004849CD"/>
    <w:rsid w:val="00485603"/>
    <w:rsid w:val="00485665"/>
    <w:rsid w:val="0048581D"/>
    <w:rsid w:val="00487E2B"/>
    <w:rsid w:val="00490B33"/>
    <w:rsid w:val="00491977"/>
    <w:rsid w:val="004926DB"/>
    <w:rsid w:val="0049306E"/>
    <w:rsid w:val="0049567B"/>
    <w:rsid w:val="004976E9"/>
    <w:rsid w:val="004A0499"/>
    <w:rsid w:val="004A1329"/>
    <w:rsid w:val="004A5AB8"/>
    <w:rsid w:val="004B0610"/>
    <w:rsid w:val="004B1248"/>
    <w:rsid w:val="004B165C"/>
    <w:rsid w:val="004B59DB"/>
    <w:rsid w:val="004B5AB7"/>
    <w:rsid w:val="004B7D03"/>
    <w:rsid w:val="004C0379"/>
    <w:rsid w:val="004C1A87"/>
    <w:rsid w:val="004C1D36"/>
    <w:rsid w:val="004C2CA9"/>
    <w:rsid w:val="004C47DE"/>
    <w:rsid w:val="004C4A2E"/>
    <w:rsid w:val="004C6B87"/>
    <w:rsid w:val="004C6F12"/>
    <w:rsid w:val="004D0F74"/>
    <w:rsid w:val="004D11BF"/>
    <w:rsid w:val="004D31E9"/>
    <w:rsid w:val="004D7280"/>
    <w:rsid w:val="004E057E"/>
    <w:rsid w:val="004E1C8F"/>
    <w:rsid w:val="004E3BD1"/>
    <w:rsid w:val="004E44C8"/>
    <w:rsid w:val="004E53BE"/>
    <w:rsid w:val="004E7954"/>
    <w:rsid w:val="004E7DEA"/>
    <w:rsid w:val="004E7F82"/>
    <w:rsid w:val="004F116B"/>
    <w:rsid w:val="004F3EA9"/>
    <w:rsid w:val="004F44E1"/>
    <w:rsid w:val="004F60E2"/>
    <w:rsid w:val="004F62B9"/>
    <w:rsid w:val="004F7A61"/>
    <w:rsid w:val="00501051"/>
    <w:rsid w:val="00501992"/>
    <w:rsid w:val="00502635"/>
    <w:rsid w:val="005026AC"/>
    <w:rsid w:val="00502D08"/>
    <w:rsid w:val="00504EF5"/>
    <w:rsid w:val="00506225"/>
    <w:rsid w:val="00506B22"/>
    <w:rsid w:val="00510AE7"/>
    <w:rsid w:val="00511406"/>
    <w:rsid w:val="00511D9E"/>
    <w:rsid w:val="00513023"/>
    <w:rsid w:val="00514421"/>
    <w:rsid w:val="005207EF"/>
    <w:rsid w:val="005209A1"/>
    <w:rsid w:val="00520EFD"/>
    <w:rsid w:val="00522134"/>
    <w:rsid w:val="005221C6"/>
    <w:rsid w:val="00522921"/>
    <w:rsid w:val="0052448E"/>
    <w:rsid w:val="005246F5"/>
    <w:rsid w:val="005248C4"/>
    <w:rsid w:val="0053062A"/>
    <w:rsid w:val="00530A65"/>
    <w:rsid w:val="0053242E"/>
    <w:rsid w:val="00535050"/>
    <w:rsid w:val="00536F3C"/>
    <w:rsid w:val="005406BE"/>
    <w:rsid w:val="0054260E"/>
    <w:rsid w:val="00542AB7"/>
    <w:rsid w:val="005433E6"/>
    <w:rsid w:val="00544BCA"/>
    <w:rsid w:val="00550D79"/>
    <w:rsid w:val="005518F6"/>
    <w:rsid w:val="005519E0"/>
    <w:rsid w:val="005525A6"/>
    <w:rsid w:val="0055458B"/>
    <w:rsid w:val="005559AC"/>
    <w:rsid w:val="00555FB3"/>
    <w:rsid w:val="0055644A"/>
    <w:rsid w:val="00556A29"/>
    <w:rsid w:val="00557AC4"/>
    <w:rsid w:val="00557B5A"/>
    <w:rsid w:val="005611D0"/>
    <w:rsid w:val="0056126E"/>
    <w:rsid w:val="0056169B"/>
    <w:rsid w:val="0056665D"/>
    <w:rsid w:val="00566BD4"/>
    <w:rsid w:val="00576411"/>
    <w:rsid w:val="00576921"/>
    <w:rsid w:val="00576A27"/>
    <w:rsid w:val="00577CAF"/>
    <w:rsid w:val="00580223"/>
    <w:rsid w:val="00580E32"/>
    <w:rsid w:val="00581C87"/>
    <w:rsid w:val="00582192"/>
    <w:rsid w:val="00582FE3"/>
    <w:rsid w:val="005839FC"/>
    <w:rsid w:val="00584050"/>
    <w:rsid w:val="005842BC"/>
    <w:rsid w:val="00584F55"/>
    <w:rsid w:val="005853A0"/>
    <w:rsid w:val="00585DBE"/>
    <w:rsid w:val="0058740D"/>
    <w:rsid w:val="00587F8B"/>
    <w:rsid w:val="0059099C"/>
    <w:rsid w:val="00590A9C"/>
    <w:rsid w:val="00591455"/>
    <w:rsid w:val="00592B02"/>
    <w:rsid w:val="00593A14"/>
    <w:rsid w:val="00594186"/>
    <w:rsid w:val="00595A36"/>
    <w:rsid w:val="005A05D1"/>
    <w:rsid w:val="005A495B"/>
    <w:rsid w:val="005A53B8"/>
    <w:rsid w:val="005A595D"/>
    <w:rsid w:val="005A60BC"/>
    <w:rsid w:val="005B027F"/>
    <w:rsid w:val="005B202B"/>
    <w:rsid w:val="005B3062"/>
    <w:rsid w:val="005B32A0"/>
    <w:rsid w:val="005B61A5"/>
    <w:rsid w:val="005C0334"/>
    <w:rsid w:val="005C10EB"/>
    <w:rsid w:val="005C2301"/>
    <w:rsid w:val="005C2D40"/>
    <w:rsid w:val="005C5A96"/>
    <w:rsid w:val="005C63E1"/>
    <w:rsid w:val="005C791C"/>
    <w:rsid w:val="005C7A30"/>
    <w:rsid w:val="005D1248"/>
    <w:rsid w:val="005D371D"/>
    <w:rsid w:val="005D3B52"/>
    <w:rsid w:val="005D479C"/>
    <w:rsid w:val="005D7669"/>
    <w:rsid w:val="005D78BF"/>
    <w:rsid w:val="005E1326"/>
    <w:rsid w:val="005E1F94"/>
    <w:rsid w:val="005E1FAE"/>
    <w:rsid w:val="005E2ADB"/>
    <w:rsid w:val="005E2D1B"/>
    <w:rsid w:val="005E5636"/>
    <w:rsid w:val="005E7495"/>
    <w:rsid w:val="005E7E7D"/>
    <w:rsid w:val="005F0EB2"/>
    <w:rsid w:val="005F13BE"/>
    <w:rsid w:val="005F1485"/>
    <w:rsid w:val="005F36A0"/>
    <w:rsid w:val="005F4475"/>
    <w:rsid w:val="00600870"/>
    <w:rsid w:val="006009C8"/>
    <w:rsid w:val="00600D2F"/>
    <w:rsid w:val="0060197C"/>
    <w:rsid w:val="006044EB"/>
    <w:rsid w:val="00607382"/>
    <w:rsid w:val="00610B28"/>
    <w:rsid w:val="00612199"/>
    <w:rsid w:val="00612AFE"/>
    <w:rsid w:val="00612C10"/>
    <w:rsid w:val="006137C5"/>
    <w:rsid w:val="0061427C"/>
    <w:rsid w:val="00615E64"/>
    <w:rsid w:val="00615F3E"/>
    <w:rsid w:val="006161C5"/>
    <w:rsid w:val="00617594"/>
    <w:rsid w:val="006201ED"/>
    <w:rsid w:val="00620736"/>
    <w:rsid w:val="00621C12"/>
    <w:rsid w:val="006229F3"/>
    <w:rsid w:val="00623DFD"/>
    <w:rsid w:val="00623E18"/>
    <w:rsid w:val="006249C5"/>
    <w:rsid w:val="00625C5D"/>
    <w:rsid w:val="00626D43"/>
    <w:rsid w:val="00627268"/>
    <w:rsid w:val="00632CD1"/>
    <w:rsid w:val="00634043"/>
    <w:rsid w:val="00635094"/>
    <w:rsid w:val="00635A22"/>
    <w:rsid w:val="00636B1E"/>
    <w:rsid w:val="00640C32"/>
    <w:rsid w:val="00642083"/>
    <w:rsid w:val="00646BFA"/>
    <w:rsid w:val="006530A1"/>
    <w:rsid w:val="00653EEE"/>
    <w:rsid w:val="0065550D"/>
    <w:rsid w:val="00656254"/>
    <w:rsid w:val="0065651A"/>
    <w:rsid w:val="00656C50"/>
    <w:rsid w:val="00657F11"/>
    <w:rsid w:val="00660650"/>
    <w:rsid w:val="00662C17"/>
    <w:rsid w:val="00663C30"/>
    <w:rsid w:val="00664295"/>
    <w:rsid w:val="00665364"/>
    <w:rsid w:val="0066537D"/>
    <w:rsid w:val="00667B35"/>
    <w:rsid w:val="006713EB"/>
    <w:rsid w:val="006714A8"/>
    <w:rsid w:val="00671EEC"/>
    <w:rsid w:val="00673A9B"/>
    <w:rsid w:val="0067466B"/>
    <w:rsid w:val="00675204"/>
    <w:rsid w:val="00675C17"/>
    <w:rsid w:val="0067602B"/>
    <w:rsid w:val="00680083"/>
    <w:rsid w:val="00684818"/>
    <w:rsid w:val="00686BCB"/>
    <w:rsid w:val="0068749F"/>
    <w:rsid w:val="006876A8"/>
    <w:rsid w:val="00694B36"/>
    <w:rsid w:val="006A3B77"/>
    <w:rsid w:val="006A49E3"/>
    <w:rsid w:val="006A4F4F"/>
    <w:rsid w:val="006A4F52"/>
    <w:rsid w:val="006A6779"/>
    <w:rsid w:val="006A6EA6"/>
    <w:rsid w:val="006A74FC"/>
    <w:rsid w:val="006B02D5"/>
    <w:rsid w:val="006B1643"/>
    <w:rsid w:val="006B1EFD"/>
    <w:rsid w:val="006B231A"/>
    <w:rsid w:val="006B2EDA"/>
    <w:rsid w:val="006B3E8D"/>
    <w:rsid w:val="006B4083"/>
    <w:rsid w:val="006B705A"/>
    <w:rsid w:val="006C14E4"/>
    <w:rsid w:val="006C230F"/>
    <w:rsid w:val="006C2D0C"/>
    <w:rsid w:val="006C6DA8"/>
    <w:rsid w:val="006C7F61"/>
    <w:rsid w:val="006D1E21"/>
    <w:rsid w:val="006D3D3A"/>
    <w:rsid w:val="006D407F"/>
    <w:rsid w:val="006D624B"/>
    <w:rsid w:val="006D62B4"/>
    <w:rsid w:val="006D71FD"/>
    <w:rsid w:val="006D7D6E"/>
    <w:rsid w:val="006E04F6"/>
    <w:rsid w:val="006E4BB0"/>
    <w:rsid w:val="006E6634"/>
    <w:rsid w:val="006F02B2"/>
    <w:rsid w:val="006F0442"/>
    <w:rsid w:val="006F0ED6"/>
    <w:rsid w:val="006F0EF3"/>
    <w:rsid w:val="006F1192"/>
    <w:rsid w:val="006F16F1"/>
    <w:rsid w:val="006F745D"/>
    <w:rsid w:val="00700135"/>
    <w:rsid w:val="00703759"/>
    <w:rsid w:val="007056CA"/>
    <w:rsid w:val="00705903"/>
    <w:rsid w:val="00710026"/>
    <w:rsid w:val="007123D6"/>
    <w:rsid w:val="00714CBB"/>
    <w:rsid w:val="00714F0F"/>
    <w:rsid w:val="007160BE"/>
    <w:rsid w:val="00716B6F"/>
    <w:rsid w:val="00717273"/>
    <w:rsid w:val="00720241"/>
    <w:rsid w:val="00722F65"/>
    <w:rsid w:val="007234E8"/>
    <w:rsid w:val="007241AF"/>
    <w:rsid w:val="007242A4"/>
    <w:rsid w:val="007257CD"/>
    <w:rsid w:val="007265CA"/>
    <w:rsid w:val="0072714E"/>
    <w:rsid w:val="007324AF"/>
    <w:rsid w:val="00733ACF"/>
    <w:rsid w:val="00734A4F"/>
    <w:rsid w:val="00735C33"/>
    <w:rsid w:val="007374E1"/>
    <w:rsid w:val="007379DD"/>
    <w:rsid w:val="00740CA6"/>
    <w:rsid w:val="0074138E"/>
    <w:rsid w:val="007414C6"/>
    <w:rsid w:val="0074231E"/>
    <w:rsid w:val="00742561"/>
    <w:rsid w:val="00743B44"/>
    <w:rsid w:val="007443F4"/>
    <w:rsid w:val="00745CE3"/>
    <w:rsid w:val="007474E7"/>
    <w:rsid w:val="007506D2"/>
    <w:rsid w:val="007526D1"/>
    <w:rsid w:val="00752E16"/>
    <w:rsid w:val="00754635"/>
    <w:rsid w:val="00754DFF"/>
    <w:rsid w:val="00757ABF"/>
    <w:rsid w:val="0076117A"/>
    <w:rsid w:val="00762869"/>
    <w:rsid w:val="00762BCC"/>
    <w:rsid w:val="00763BA3"/>
    <w:rsid w:val="00765B66"/>
    <w:rsid w:val="00766815"/>
    <w:rsid w:val="00767BB2"/>
    <w:rsid w:val="0077159C"/>
    <w:rsid w:val="00772CEC"/>
    <w:rsid w:val="00773F91"/>
    <w:rsid w:val="007743BB"/>
    <w:rsid w:val="00775FE4"/>
    <w:rsid w:val="00776D23"/>
    <w:rsid w:val="00780376"/>
    <w:rsid w:val="00780919"/>
    <w:rsid w:val="00780EE3"/>
    <w:rsid w:val="00785037"/>
    <w:rsid w:val="0078571C"/>
    <w:rsid w:val="00785767"/>
    <w:rsid w:val="00786A15"/>
    <w:rsid w:val="0078753B"/>
    <w:rsid w:val="00787CCA"/>
    <w:rsid w:val="00790093"/>
    <w:rsid w:val="00791AAC"/>
    <w:rsid w:val="00794203"/>
    <w:rsid w:val="007965D6"/>
    <w:rsid w:val="00797D4C"/>
    <w:rsid w:val="00797DEE"/>
    <w:rsid w:val="007A00F6"/>
    <w:rsid w:val="007A1C7D"/>
    <w:rsid w:val="007A1F05"/>
    <w:rsid w:val="007A2231"/>
    <w:rsid w:val="007A7AC6"/>
    <w:rsid w:val="007B07CE"/>
    <w:rsid w:val="007B1E35"/>
    <w:rsid w:val="007B1F90"/>
    <w:rsid w:val="007B3515"/>
    <w:rsid w:val="007B37B2"/>
    <w:rsid w:val="007B41A0"/>
    <w:rsid w:val="007B5347"/>
    <w:rsid w:val="007C04A5"/>
    <w:rsid w:val="007C075B"/>
    <w:rsid w:val="007C0934"/>
    <w:rsid w:val="007C0E7E"/>
    <w:rsid w:val="007C2D29"/>
    <w:rsid w:val="007C4098"/>
    <w:rsid w:val="007C562D"/>
    <w:rsid w:val="007C6F83"/>
    <w:rsid w:val="007D17C5"/>
    <w:rsid w:val="007D3EE7"/>
    <w:rsid w:val="007D52EC"/>
    <w:rsid w:val="007D7146"/>
    <w:rsid w:val="007E1A57"/>
    <w:rsid w:val="007E436B"/>
    <w:rsid w:val="007E445F"/>
    <w:rsid w:val="007E473D"/>
    <w:rsid w:val="007E6201"/>
    <w:rsid w:val="007E6920"/>
    <w:rsid w:val="007F015C"/>
    <w:rsid w:val="007F1CB4"/>
    <w:rsid w:val="007F1CEE"/>
    <w:rsid w:val="007F2082"/>
    <w:rsid w:val="007F22FD"/>
    <w:rsid w:val="007F63C8"/>
    <w:rsid w:val="007F6937"/>
    <w:rsid w:val="007F7DCD"/>
    <w:rsid w:val="00800234"/>
    <w:rsid w:val="0080066F"/>
    <w:rsid w:val="00801E0B"/>
    <w:rsid w:val="00802DFD"/>
    <w:rsid w:val="008030F1"/>
    <w:rsid w:val="00803434"/>
    <w:rsid w:val="008053D4"/>
    <w:rsid w:val="008065D5"/>
    <w:rsid w:val="00806DCD"/>
    <w:rsid w:val="00807C77"/>
    <w:rsid w:val="00812479"/>
    <w:rsid w:val="00815821"/>
    <w:rsid w:val="008208D5"/>
    <w:rsid w:val="008219B3"/>
    <w:rsid w:val="00822F56"/>
    <w:rsid w:val="00823D15"/>
    <w:rsid w:val="00824198"/>
    <w:rsid w:val="00824C2B"/>
    <w:rsid w:val="00824FC2"/>
    <w:rsid w:val="00825886"/>
    <w:rsid w:val="00825F4F"/>
    <w:rsid w:val="008267A5"/>
    <w:rsid w:val="00830C45"/>
    <w:rsid w:val="008332FA"/>
    <w:rsid w:val="008334AD"/>
    <w:rsid w:val="00833E9A"/>
    <w:rsid w:val="00837537"/>
    <w:rsid w:val="00842766"/>
    <w:rsid w:val="00852FBE"/>
    <w:rsid w:val="0085452A"/>
    <w:rsid w:val="00854747"/>
    <w:rsid w:val="00854EBF"/>
    <w:rsid w:val="00855061"/>
    <w:rsid w:val="00855F13"/>
    <w:rsid w:val="0086001C"/>
    <w:rsid w:val="008604DB"/>
    <w:rsid w:val="0086094D"/>
    <w:rsid w:val="00863707"/>
    <w:rsid w:val="0086731C"/>
    <w:rsid w:val="008707E6"/>
    <w:rsid w:val="00871DEB"/>
    <w:rsid w:val="00872382"/>
    <w:rsid w:val="0087382D"/>
    <w:rsid w:val="00877025"/>
    <w:rsid w:val="00883958"/>
    <w:rsid w:val="008846C8"/>
    <w:rsid w:val="00886906"/>
    <w:rsid w:val="008912FE"/>
    <w:rsid w:val="00893ED3"/>
    <w:rsid w:val="00896C67"/>
    <w:rsid w:val="00897ADF"/>
    <w:rsid w:val="00897C1E"/>
    <w:rsid w:val="008A245D"/>
    <w:rsid w:val="008A4E25"/>
    <w:rsid w:val="008A4F1E"/>
    <w:rsid w:val="008A54FC"/>
    <w:rsid w:val="008A75A9"/>
    <w:rsid w:val="008B1E16"/>
    <w:rsid w:val="008B3792"/>
    <w:rsid w:val="008B5171"/>
    <w:rsid w:val="008B59B2"/>
    <w:rsid w:val="008B70CD"/>
    <w:rsid w:val="008B7248"/>
    <w:rsid w:val="008C2A29"/>
    <w:rsid w:val="008C36A4"/>
    <w:rsid w:val="008C3C63"/>
    <w:rsid w:val="008C3F9F"/>
    <w:rsid w:val="008C4857"/>
    <w:rsid w:val="008C5719"/>
    <w:rsid w:val="008C6F49"/>
    <w:rsid w:val="008C75CC"/>
    <w:rsid w:val="008D141C"/>
    <w:rsid w:val="008D2611"/>
    <w:rsid w:val="008D2C13"/>
    <w:rsid w:val="008D6676"/>
    <w:rsid w:val="008E22B3"/>
    <w:rsid w:val="008E2477"/>
    <w:rsid w:val="008E31F0"/>
    <w:rsid w:val="008E3B20"/>
    <w:rsid w:val="008E41A8"/>
    <w:rsid w:val="008E6109"/>
    <w:rsid w:val="008E73CF"/>
    <w:rsid w:val="008F13A7"/>
    <w:rsid w:val="008F2EA0"/>
    <w:rsid w:val="008F47AB"/>
    <w:rsid w:val="008F50E6"/>
    <w:rsid w:val="0090394E"/>
    <w:rsid w:val="00906417"/>
    <w:rsid w:val="00907A34"/>
    <w:rsid w:val="00910DEE"/>
    <w:rsid w:val="00912B8E"/>
    <w:rsid w:val="009146AD"/>
    <w:rsid w:val="009148C0"/>
    <w:rsid w:val="009170EA"/>
    <w:rsid w:val="0091793F"/>
    <w:rsid w:val="00917B50"/>
    <w:rsid w:val="0092076F"/>
    <w:rsid w:val="00922F22"/>
    <w:rsid w:val="00926649"/>
    <w:rsid w:val="00927D48"/>
    <w:rsid w:val="00930439"/>
    <w:rsid w:val="0093052A"/>
    <w:rsid w:val="00933780"/>
    <w:rsid w:val="00936C80"/>
    <w:rsid w:val="009378DB"/>
    <w:rsid w:val="00937AEB"/>
    <w:rsid w:val="0094034B"/>
    <w:rsid w:val="00941DC6"/>
    <w:rsid w:val="00942743"/>
    <w:rsid w:val="00944744"/>
    <w:rsid w:val="00946D86"/>
    <w:rsid w:val="00952A34"/>
    <w:rsid w:val="00952AE6"/>
    <w:rsid w:val="00952BB9"/>
    <w:rsid w:val="00953FAC"/>
    <w:rsid w:val="0095541C"/>
    <w:rsid w:val="00955A26"/>
    <w:rsid w:val="0095634B"/>
    <w:rsid w:val="00960130"/>
    <w:rsid w:val="0096362F"/>
    <w:rsid w:val="009662E3"/>
    <w:rsid w:val="00966CB4"/>
    <w:rsid w:val="00966DD9"/>
    <w:rsid w:val="009671A8"/>
    <w:rsid w:val="00967E4E"/>
    <w:rsid w:val="00971B83"/>
    <w:rsid w:val="00973E42"/>
    <w:rsid w:val="0097516E"/>
    <w:rsid w:val="00977775"/>
    <w:rsid w:val="00980A0E"/>
    <w:rsid w:val="00980A14"/>
    <w:rsid w:val="0098194A"/>
    <w:rsid w:val="0098354B"/>
    <w:rsid w:val="009852C4"/>
    <w:rsid w:val="00986677"/>
    <w:rsid w:val="0099421C"/>
    <w:rsid w:val="00994B64"/>
    <w:rsid w:val="00994F39"/>
    <w:rsid w:val="0099733E"/>
    <w:rsid w:val="0099741B"/>
    <w:rsid w:val="009A2F3A"/>
    <w:rsid w:val="009A49CE"/>
    <w:rsid w:val="009A6242"/>
    <w:rsid w:val="009A6D8F"/>
    <w:rsid w:val="009A7A45"/>
    <w:rsid w:val="009B1534"/>
    <w:rsid w:val="009B4B75"/>
    <w:rsid w:val="009B5557"/>
    <w:rsid w:val="009B5BAC"/>
    <w:rsid w:val="009B5F7F"/>
    <w:rsid w:val="009B63BF"/>
    <w:rsid w:val="009C0A8D"/>
    <w:rsid w:val="009C0F4C"/>
    <w:rsid w:val="009C25EA"/>
    <w:rsid w:val="009C3803"/>
    <w:rsid w:val="009C48C8"/>
    <w:rsid w:val="009C580F"/>
    <w:rsid w:val="009C6AA1"/>
    <w:rsid w:val="009C7D53"/>
    <w:rsid w:val="009D0AC7"/>
    <w:rsid w:val="009D112A"/>
    <w:rsid w:val="009D2C13"/>
    <w:rsid w:val="009D3BA5"/>
    <w:rsid w:val="009D4BA1"/>
    <w:rsid w:val="009D76C4"/>
    <w:rsid w:val="009D76E0"/>
    <w:rsid w:val="009D7D5A"/>
    <w:rsid w:val="009E1E99"/>
    <w:rsid w:val="009E47EB"/>
    <w:rsid w:val="009E6DE6"/>
    <w:rsid w:val="009E7D5B"/>
    <w:rsid w:val="009F1B22"/>
    <w:rsid w:val="009F2DDB"/>
    <w:rsid w:val="009F3A37"/>
    <w:rsid w:val="009F4F79"/>
    <w:rsid w:val="009F6EA2"/>
    <w:rsid w:val="009F7E10"/>
    <w:rsid w:val="00A007D4"/>
    <w:rsid w:val="00A00CB9"/>
    <w:rsid w:val="00A01ECC"/>
    <w:rsid w:val="00A02090"/>
    <w:rsid w:val="00A02358"/>
    <w:rsid w:val="00A02D25"/>
    <w:rsid w:val="00A03731"/>
    <w:rsid w:val="00A03F6D"/>
    <w:rsid w:val="00A061CE"/>
    <w:rsid w:val="00A076B5"/>
    <w:rsid w:val="00A10A48"/>
    <w:rsid w:val="00A17F69"/>
    <w:rsid w:val="00A203BE"/>
    <w:rsid w:val="00A20514"/>
    <w:rsid w:val="00A232AD"/>
    <w:rsid w:val="00A236CA"/>
    <w:rsid w:val="00A23870"/>
    <w:rsid w:val="00A23B3D"/>
    <w:rsid w:val="00A24203"/>
    <w:rsid w:val="00A251ED"/>
    <w:rsid w:val="00A25577"/>
    <w:rsid w:val="00A26550"/>
    <w:rsid w:val="00A274DB"/>
    <w:rsid w:val="00A3164B"/>
    <w:rsid w:val="00A33CBE"/>
    <w:rsid w:val="00A37AE4"/>
    <w:rsid w:val="00A40A8A"/>
    <w:rsid w:val="00A41E1E"/>
    <w:rsid w:val="00A4518D"/>
    <w:rsid w:val="00A47018"/>
    <w:rsid w:val="00A471EC"/>
    <w:rsid w:val="00A53093"/>
    <w:rsid w:val="00A5452D"/>
    <w:rsid w:val="00A54DC6"/>
    <w:rsid w:val="00A5522E"/>
    <w:rsid w:val="00A55C26"/>
    <w:rsid w:val="00A57EB2"/>
    <w:rsid w:val="00A62A50"/>
    <w:rsid w:val="00A6411D"/>
    <w:rsid w:val="00A673EB"/>
    <w:rsid w:val="00A722FC"/>
    <w:rsid w:val="00A73298"/>
    <w:rsid w:val="00A751C0"/>
    <w:rsid w:val="00A76C73"/>
    <w:rsid w:val="00A80A12"/>
    <w:rsid w:val="00A84DEE"/>
    <w:rsid w:val="00A858F4"/>
    <w:rsid w:val="00A8711B"/>
    <w:rsid w:val="00A873DD"/>
    <w:rsid w:val="00A87874"/>
    <w:rsid w:val="00A90498"/>
    <w:rsid w:val="00A91C13"/>
    <w:rsid w:val="00A940DF"/>
    <w:rsid w:val="00A950FC"/>
    <w:rsid w:val="00A95ACB"/>
    <w:rsid w:val="00A97942"/>
    <w:rsid w:val="00AA079B"/>
    <w:rsid w:val="00AA086A"/>
    <w:rsid w:val="00AA2EC3"/>
    <w:rsid w:val="00AA616B"/>
    <w:rsid w:val="00AA7D23"/>
    <w:rsid w:val="00AB0499"/>
    <w:rsid w:val="00AB1853"/>
    <w:rsid w:val="00AB2366"/>
    <w:rsid w:val="00AB37DA"/>
    <w:rsid w:val="00AB4480"/>
    <w:rsid w:val="00AB50F1"/>
    <w:rsid w:val="00AC09CD"/>
    <w:rsid w:val="00AC0EA5"/>
    <w:rsid w:val="00AC2686"/>
    <w:rsid w:val="00AC2F80"/>
    <w:rsid w:val="00AC33AF"/>
    <w:rsid w:val="00AC38C3"/>
    <w:rsid w:val="00AD120C"/>
    <w:rsid w:val="00AD15C3"/>
    <w:rsid w:val="00AD1BE1"/>
    <w:rsid w:val="00AD4E22"/>
    <w:rsid w:val="00AD5171"/>
    <w:rsid w:val="00AD5731"/>
    <w:rsid w:val="00AD586F"/>
    <w:rsid w:val="00AD642B"/>
    <w:rsid w:val="00AD7257"/>
    <w:rsid w:val="00AE0C46"/>
    <w:rsid w:val="00AE213E"/>
    <w:rsid w:val="00AE354B"/>
    <w:rsid w:val="00AE5D79"/>
    <w:rsid w:val="00AE7F5A"/>
    <w:rsid w:val="00AF0744"/>
    <w:rsid w:val="00AF0889"/>
    <w:rsid w:val="00AF1063"/>
    <w:rsid w:val="00AF1760"/>
    <w:rsid w:val="00AF2D0C"/>
    <w:rsid w:val="00AF306A"/>
    <w:rsid w:val="00AF4C0E"/>
    <w:rsid w:val="00AF513D"/>
    <w:rsid w:val="00AF584D"/>
    <w:rsid w:val="00AF72AB"/>
    <w:rsid w:val="00B01281"/>
    <w:rsid w:val="00B01821"/>
    <w:rsid w:val="00B075F9"/>
    <w:rsid w:val="00B14516"/>
    <w:rsid w:val="00B14E5E"/>
    <w:rsid w:val="00B17765"/>
    <w:rsid w:val="00B2315F"/>
    <w:rsid w:val="00B23EC6"/>
    <w:rsid w:val="00B2452F"/>
    <w:rsid w:val="00B25910"/>
    <w:rsid w:val="00B26973"/>
    <w:rsid w:val="00B27215"/>
    <w:rsid w:val="00B30D3B"/>
    <w:rsid w:val="00B310DD"/>
    <w:rsid w:val="00B31238"/>
    <w:rsid w:val="00B31890"/>
    <w:rsid w:val="00B32DCC"/>
    <w:rsid w:val="00B33003"/>
    <w:rsid w:val="00B343B8"/>
    <w:rsid w:val="00B34FE0"/>
    <w:rsid w:val="00B36530"/>
    <w:rsid w:val="00B366CF"/>
    <w:rsid w:val="00B37052"/>
    <w:rsid w:val="00B37644"/>
    <w:rsid w:val="00B403A6"/>
    <w:rsid w:val="00B432D4"/>
    <w:rsid w:val="00B456F2"/>
    <w:rsid w:val="00B461F1"/>
    <w:rsid w:val="00B5173A"/>
    <w:rsid w:val="00B51BAF"/>
    <w:rsid w:val="00B5315C"/>
    <w:rsid w:val="00B54A31"/>
    <w:rsid w:val="00B56867"/>
    <w:rsid w:val="00B576D7"/>
    <w:rsid w:val="00B60281"/>
    <w:rsid w:val="00B602C3"/>
    <w:rsid w:val="00B605BD"/>
    <w:rsid w:val="00B6285F"/>
    <w:rsid w:val="00B668AD"/>
    <w:rsid w:val="00B67938"/>
    <w:rsid w:val="00B7108E"/>
    <w:rsid w:val="00B7122A"/>
    <w:rsid w:val="00B7324B"/>
    <w:rsid w:val="00B7339A"/>
    <w:rsid w:val="00B7767E"/>
    <w:rsid w:val="00B80892"/>
    <w:rsid w:val="00B82735"/>
    <w:rsid w:val="00B844A6"/>
    <w:rsid w:val="00B846AF"/>
    <w:rsid w:val="00B8509B"/>
    <w:rsid w:val="00B87ED4"/>
    <w:rsid w:val="00B90D47"/>
    <w:rsid w:val="00B91685"/>
    <w:rsid w:val="00B91F6E"/>
    <w:rsid w:val="00B92306"/>
    <w:rsid w:val="00B92861"/>
    <w:rsid w:val="00B94106"/>
    <w:rsid w:val="00B959EB"/>
    <w:rsid w:val="00B95E59"/>
    <w:rsid w:val="00B96D86"/>
    <w:rsid w:val="00BA00C1"/>
    <w:rsid w:val="00BA12E7"/>
    <w:rsid w:val="00BA2C21"/>
    <w:rsid w:val="00BA56C5"/>
    <w:rsid w:val="00BA6F90"/>
    <w:rsid w:val="00BA752A"/>
    <w:rsid w:val="00BA7A69"/>
    <w:rsid w:val="00BB15E2"/>
    <w:rsid w:val="00BB18BE"/>
    <w:rsid w:val="00BB2A53"/>
    <w:rsid w:val="00BB2AE7"/>
    <w:rsid w:val="00BB2B24"/>
    <w:rsid w:val="00BB32D9"/>
    <w:rsid w:val="00BB3547"/>
    <w:rsid w:val="00BB3CAF"/>
    <w:rsid w:val="00BB641B"/>
    <w:rsid w:val="00BB6E3A"/>
    <w:rsid w:val="00BC08BB"/>
    <w:rsid w:val="00BC1E70"/>
    <w:rsid w:val="00BC472A"/>
    <w:rsid w:val="00BD1864"/>
    <w:rsid w:val="00BD1CA7"/>
    <w:rsid w:val="00BD23A5"/>
    <w:rsid w:val="00BD28DF"/>
    <w:rsid w:val="00BD3563"/>
    <w:rsid w:val="00BD35AF"/>
    <w:rsid w:val="00BD403C"/>
    <w:rsid w:val="00BD4279"/>
    <w:rsid w:val="00BD45A8"/>
    <w:rsid w:val="00BD468E"/>
    <w:rsid w:val="00BD5683"/>
    <w:rsid w:val="00BD616E"/>
    <w:rsid w:val="00BD6876"/>
    <w:rsid w:val="00BD7A51"/>
    <w:rsid w:val="00BE0B23"/>
    <w:rsid w:val="00BE2864"/>
    <w:rsid w:val="00BE47A7"/>
    <w:rsid w:val="00BF016B"/>
    <w:rsid w:val="00BF06C4"/>
    <w:rsid w:val="00BF27DE"/>
    <w:rsid w:val="00BF31CD"/>
    <w:rsid w:val="00BF3F73"/>
    <w:rsid w:val="00BF4088"/>
    <w:rsid w:val="00BF5BC0"/>
    <w:rsid w:val="00BF6A32"/>
    <w:rsid w:val="00BF7120"/>
    <w:rsid w:val="00C00565"/>
    <w:rsid w:val="00C01C72"/>
    <w:rsid w:val="00C01F6A"/>
    <w:rsid w:val="00C027DE"/>
    <w:rsid w:val="00C02BD0"/>
    <w:rsid w:val="00C02FE9"/>
    <w:rsid w:val="00C03764"/>
    <w:rsid w:val="00C06806"/>
    <w:rsid w:val="00C076BF"/>
    <w:rsid w:val="00C13A61"/>
    <w:rsid w:val="00C20881"/>
    <w:rsid w:val="00C20DBC"/>
    <w:rsid w:val="00C212B5"/>
    <w:rsid w:val="00C230A9"/>
    <w:rsid w:val="00C25F81"/>
    <w:rsid w:val="00C27F02"/>
    <w:rsid w:val="00C30FBC"/>
    <w:rsid w:val="00C31ABD"/>
    <w:rsid w:val="00C31F96"/>
    <w:rsid w:val="00C32C20"/>
    <w:rsid w:val="00C3355F"/>
    <w:rsid w:val="00C34713"/>
    <w:rsid w:val="00C357FF"/>
    <w:rsid w:val="00C35D04"/>
    <w:rsid w:val="00C41582"/>
    <w:rsid w:val="00C42865"/>
    <w:rsid w:val="00C4295D"/>
    <w:rsid w:val="00C438D1"/>
    <w:rsid w:val="00C43C74"/>
    <w:rsid w:val="00C44886"/>
    <w:rsid w:val="00C44908"/>
    <w:rsid w:val="00C479A7"/>
    <w:rsid w:val="00C504F4"/>
    <w:rsid w:val="00C512DE"/>
    <w:rsid w:val="00C516E3"/>
    <w:rsid w:val="00C53C86"/>
    <w:rsid w:val="00C55A9E"/>
    <w:rsid w:val="00C56738"/>
    <w:rsid w:val="00C57628"/>
    <w:rsid w:val="00C57E85"/>
    <w:rsid w:val="00C60E8E"/>
    <w:rsid w:val="00C64C35"/>
    <w:rsid w:val="00C65BB4"/>
    <w:rsid w:val="00C677C4"/>
    <w:rsid w:val="00C724B5"/>
    <w:rsid w:val="00C778A7"/>
    <w:rsid w:val="00C7798D"/>
    <w:rsid w:val="00C77E01"/>
    <w:rsid w:val="00C80116"/>
    <w:rsid w:val="00C8071C"/>
    <w:rsid w:val="00C80961"/>
    <w:rsid w:val="00C816CB"/>
    <w:rsid w:val="00C82461"/>
    <w:rsid w:val="00C825B3"/>
    <w:rsid w:val="00C825B6"/>
    <w:rsid w:val="00C828BF"/>
    <w:rsid w:val="00C82CCE"/>
    <w:rsid w:val="00C863FC"/>
    <w:rsid w:val="00C870E5"/>
    <w:rsid w:val="00C91E3B"/>
    <w:rsid w:val="00C93A4F"/>
    <w:rsid w:val="00C95A64"/>
    <w:rsid w:val="00CA07CC"/>
    <w:rsid w:val="00CA25B5"/>
    <w:rsid w:val="00CA2AD5"/>
    <w:rsid w:val="00CA2AD7"/>
    <w:rsid w:val="00CA4FCE"/>
    <w:rsid w:val="00CA5F8F"/>
    <w:rsid w:val="00CA6498"/>
    <w:rsid w:val="00CB16C8"/>
    <w:rsid w:val="00CB1855"/>
    <w:rsid w:val="00CB4CFF"/>
    <w:rsid w:val="00CB5087"/>
    <w:rsid w:val="00CC19CE"/>
    <w:rsid w:val="00CC1B8E"/>
    <w:rsid w:val="00CC36DD"/>
    <w:rsid w:val="00CC5A6F"/>
    <w:rsid w:val="00CC6914"/>
    <w:rsid w:val="00CC7512"/>
    <w:rsid w:val="00CD07E7"/>
    <w:rsid w:val="00CE10BA"/>
    <w:rsid w:val="00CE271A"/>
    <w:rsid w:val="00CE6FF5"/>
    <w:rsid w:val="00CE7470"/>
    <w:rsid w:val="00CF1139"/>
    <w:rsid w:val="00CF12B1"/>
    <w:rsid w:val="00CF5245"/>
    <w:rsid w:val="00D026FF"/>
    <w:rsid w:val="00D05436"/>
    <w:rsid w:val="00D06683"/>
    <w:rsid w:val="00D07B1A"/>
    <w:rsid w:val="00D100AC"/>
    <w:rsid w:val="00D10ACC"/>
    <w:rsid w:val="00D1101B"/>
    <w:rsid w:val="00D1167E"/>
    <w:rsid w:val="00D12011"/>
    <w:rsid w:val="00D12A84"/>
    <w:rsid w:val="00D13631"/>
    <w:rsid w:val="00D1466E"/>
    <w:rsid w:val="00D148A4"/>
    <w:rsid w:val="00D15653"/>
    <w:rsid w:val="00D20009"/>
    <w:rsid w:val="00D22E88"/>
    <w:rsid w:val="00D234E7"/>
    <w:rsid w:val="00D26C7E"/>
    <w:rsid w:val="00D26C8A"/>
    <w:rsid w:val="00D30399"/>
    <w:rsid w:val="00D30E46"/>
    <w:rsid w:val="00D3104F"/>
    <w:rsid w:val="00D354B0"/>
    <w:rsid w:val="00D35E71"/>
    <w:rsid w:val="00D3663D"/>
    <w:rsid w:val="00D36A5A"/>
    <w:rsid w:val="00D36B0F"/>
    <w:rsid w:val="00D37E2A"/>
    <w:rsid w:val="00D4349F"/>
    <w:rsid w:val="00D44CD2"/>
    <w:rsid w:val="00D46735"/>
    <w:rsid w:val="00D47512"/>
    <w:rsid w:val="00D47EF6"/>
    <w:rsid w:val="00D50AC8"/>
    <w:rsid w:val="00D513D1"/>
    <w:rsid w:val="00D52666"/>
    <w:rsid w:val="00D53EB0"/>
    <w:rsid w:val="00D5666B"/>
    <w:rsid w:val="00D5694A"/>
    <w:rsid w:val="00D56ADD"/>
    <w:rsid w:val="00D576C6"/>
    <w:rsid w:val="00D60334"/>
    <w:rsid w:val="00D60A44"/>
    <w:rsid w:val="00D63118"/>
    <w:rsid w:val="00D6647D"/>
    <w:rsid w:val="00D671B3"/>
    <w:rsid w:val="00D67A13"/>
    <w:rsid w:val="00D7390F"/>
    <w:rsid w:val="00D74F04"/>
    <w:rsid w:val="00D75E0C"/>
    <w:rsid w:val="00D75EAC"/>
    <w:rsid w:val="00D76A7F"/>
    <w:rsid w:val="00D76BA7"/>
    <w:rsid w:val="00D76EBE"/>
    <w:rsid w:val="00D7746E"/>
    <w:rsid w:val="00D808C5"/>
    <w:rsid w:val="00D8102C"/>
    <w:rsid w:val="00D8165D"/>
    <w:rsid w:val="00D83032"/>
    <w:rsid w:val="00D86D74"/>
    <w:rsid w:val="00D90913"/>
    <w:rsid w:val="00D92BEC"/>
    <w:rsid w:val="00D94738"/>
    <w:rsid w:val="00D94AB2"/>
    <w:rsid w:val="00D96B28"/>
    <w:rsid w:val="00D97451"/>
    <w:rsid w:val="00D97AB2"/>
    <w:rsid w:val="00DA18F2"/>
    <w:rsid w:val="00DA2C4C"/>
    <w:rsid w:val="00DA3202"/>
    <w:rsid w:val="00DA3928"/>
    <w:rsid w:val="00DA3DBE"/>
    <w:rsid w:val="00DB17F9"/>
    <w:rsid w:val="00DB1D4E"/>
    <w:rsid w:val="00DB2CCC"/>
    <w:rsid w:val="00DB4AE8"/>
    <w:rsid w:val="00DB5864"/>
    <w:rsid w:val="00DB5C5F"/>
    <w:rsid w:val="00DC101B"/>
    <w:rsid w:val="00DC79D8"/>
    <w:rsid w:val="00DD0DF7"/>
    <w:rsid w:val="00DD4061"/>
    <w:rsid w:val="00DD5136"/>
    <w:rsid w:val="00DD6877"/>
    <w:rsid w:val="00DD6973"/>
    <w:rsid w:val="00DD7ED7"/>
    <w:rsid w:val="00DE01D4"/>
    <w:rsid w:val="00DE1604"/>
    <w:rsid w:val="00DE2636"/>
    <w:rsid w:val="00DE5EC0"/>
    <w:rsid w:val="00DE6060"/>
    <w:rsid w:val="00DE69C9"/>
    <w:rsid w:val="00DF2C67"/>
    <w:rsid w:val="00DF3059"/>
    <w:rsid w:val="00DF3AE2"/>
    <w:rsid w:val="00DF5DB9"/>
    <w:rsid w:val="00DF5DEB"/>
    <w:rsid w:val="00DF7D21"/>
    <w:rsid w:val="00E00403"/>
    <w:rsid w:val="00E0132B"/>
    <w:rsid w:val="00E02394"/>
    <w:rsid w:val="00E028BD"/>
    <w:rsid w:val="00E03478"/>
    <w:rsid w:val="00E03771"/>
    <w:rsid w:val="00E059C5"/>
    <w:rsid w:val="00E06D02"/>
    <w:rsid w:val="00E07FDD"/>
    <w:rsid w:val="00E10042"/>
    <w:rsid w:val="00E11D7E"/>
    <w:rsid w:val="00E11DC8"/>
    <w:rsid w:val="00E14334"/>
    <w:rsid w:val="00E14854"/>
    <w:rsid w:val="00E22A56"/>
    <w:rsid w:val="00E22CF0"/>
    <w:rsid w:val="00E2303A"/>
    <w:rsid w:val="00E23904"/>
    <w:rsid w:val="00E23B87"/>
    <w:rsid w:val="00E27C4E"/>
    <w:rsid w:val="00E31841"/>
    <w:rsid w:val="00E32DAC"/>
    <w:rsid w:val="00E332A7"/>
    <w:rsid w:val="00E343BD"/>
    <w:rsid w:val="00E348D9"/>
    <w:rsid w:val="00E36601"/>
    <w:rsid w:val="00E36834"/>
    <w:rsid w:val="00E41BE5"/>
    <w:rsid w:val="00E4279E"/>
    <w:rsid w:val="00E42D03"/>
    <w:rsid w:val="00E43913"/>
    <w:rsid w:val="00E43CE9"/>
    <w:rsid w:val="00E44D9A"/>
    <w:rsid w:val="00E465DF"/>
    <w:rsid w:val="00E46600"/>
    <w:rsid w:val="00E51420"/>
    <w:rsid w:val="00E520E3"/>
    <w:rsid w:val="00E533A7"/>
    <w:rsid w:val="00E56F1F"/>
    <w:rsid w:val="00E5717F"/>
    <w:rsid w:val="00E57323"/>
    <w:rsid w:val="00E60351"/>
    <w:rsid w:val="00E63508"/>
    <w:rsid w:val="00E668CE"/>
    <w:rsid w:val="00E67D81"/>
    <w:rsid w:val="00E70199"/>
    <w:rsid w:val="00E71AE7"/>
    <w:rsid w:val="00E71F85"/>
    <w:rsid w:val="00E72988"/>
    <w:rsid w:val="00E7428A"/>
    <w:rsid w:val="00E752E6"/>
    <w:rsid w:val="00E815CC"/>
    <w:rsid w:val="00E823FB"/>
    <w:rsid w:val="00E83C1D"/>
    <w:rsid w:val="00E84DF7"/>
    <w:rsid w:val="00E90503"/>
    <w:rsid w:val="00E922E7"/>
    <w:rsid w:val="00E95EC0"/>
    <w:rsid w:val="00EA24C9"/>
    <w:rsid w:val="00EA2ED5"/>
    <w:rsid w:val="00EA3635"/>
    <w:rsid w:val="00EA42C1"/>
    <w:rsid w:val="00EA4CF1"/>
    <w:rsid w:val="00EA6088"/>
    <w:rsid w:val="00EA6962"/>
    <w:rsid w:val="00EA73C2"/>
    <w:rsid w:val="00EB02DC"/>
    <w:rsid w:val="00EB02F5"/>
    <w:rsid w:val="00EB0FE4"/>
    <w:rsid w:val="00EB2D4B"/>
    <w:rsid w:val="00EB3126"/>
    <w:rsid w:val="00EB5286"/>
    <w:rsid w:val="00EB7C73"/>
    <w:rsid w:val="00EC19D0"/>
    <w:rsid w:val="00EC1A2C"/>
    <w:rsid w:val="00EC2CD8"/>
    <w:rsid w:val="00EC3905"/>
    <w:rsid w:val="00EC6F01"/>
    <w:rsid w:val="00EC7110"/>
    <w:rsid w:val="00ED040C"/>
    <w:rsid w:val="00ED1DE7"/>
    <w:rsid w:val="00ED20E5"/>
    <w:rsid w:val="00ED2C10"/>
    <w:rsid w:val="00ED4C8F"/>
    <w:rsid w:val="00ED77F5"/>
    <w:rsid w:val="00EE3EAB"/>
    <w:rsid w:val="00EE50A5"/>
    <w:rsid w:val="00EF6B84"/>
    <w:rsid w:val="00F007EE"/>
    <w:rsid w:val="00F01D15"/>
    <w:rsid w:val="00F048C4"/>
    <w:rsid w:val="00F04B2D"/>
    <w:rsid w:val="00F06A18"/>
    <w:rsid w:val="00F06D7A"/>
    <w:rsid w:val="00F0701E"/>
    <w:rsid w:val="00F11542"/>
    <w:rsid w:val="00F13EC6"/>
    <w:rsid w:val="00F17AD4"/>
    <w:rsid w:val="00F212EB"/>
    <w:rsid w:val="00F2134E"/>
    <w:rsid w:val="00F2336E"/>
    <w:rsid w:val="00F23D13"/>
    <w:rsid w:val="00F24192"/>
    <w:rsid w:val="00F246D9"/>
    <w:rsid w:val="00F256D0"/>
    <w:rsid w:val="00F2792A"/>
    <w:rsid w:val="00F308FA"/>
    <w:rsid w:val="00F31C96"/>
    <w:rsid w:val="00F32DEC"/>
    <w:rsid w:val="00F4031C"/>
    <w:rsid w:val="00F403E6"/>
    <w:rsid w:val="00F43E24"/>
    <w:rsid w:val="00F45561"/>
    <w:rsid w:val="00F45C1B"/>
    <w:rsid w:val="00F46451"/>
    <w:rsid w:val="00F465D3"/>
    <w:rsid w:val="00F507D6"/>
    <w:rsid w:val="00F51BD6"/>
    <w:rsid w:val="00F52F3A"/>
    <w:rsid w:val="00F550D8"/>
    <w:rsid w:val="00F56F06"/>
    <w:rsid w:val="00F56F62"/>
    <w:rsid w:val="00F611D7"/>
    <w:rsid w:val="00F62D48"/>
    <w:rsid w:val="00F65DF4"/>
    <w:rsid w:val="00F66E1E"/>
    <w:rsid w:val="00F67155"/>
    <w:rsid w:val="00F70712"/>
    <w:rsid w:val="00F71267"/>
    <w:rsid w:val="00F71970"/>
    <w:rsid w:val="00F71F03"/>
    <w:rsid w:val="00F72A3E"/>
    <w:rsid w:val="00F73815"/>
    <w:rsid w:val="00F73F7D"/>
    <w:rsid w:val="00F74955"/>
    <w:rsid w:val="00F7637F"/>
    <w:rsid w:val="00F7770D"/>
    <w:rsid w:val="00F80A3F"/>
    <w:rsid w:val="00F84C14"/>
    <w:rsid w:val="00F86A48"/>
    <w:rsid w:val="00F905E7"/>
    <w:rsid w:val="00F9171D"/>
    <w:rsid w:val="00F91FDD"/>
    <w:rsid w:val="00F922C0"/>
    <w:rsid w:val="00F93115"/>
    <w:rsid w:val="00F93779"/>
    <w:rsid w:val="00F9465B"/>
    <w:rsid w:val="00F947D0"/>
    <w:rsid w:val="00F96C78"/>
    <w:rsid w:val="00FA03D5"/>
    <w:rsid w:val="00FA1BF0"/>
    <w:rsid w:val="00FA21F1"/>
    <w:rsid w:val="00FA2BD8"/>
    <w:rsid w:val="00FA2FA8"/>
    <w:rsid w:val="00FA4E32"/>
    <w:rsid w:val="00FA5140"/>
    <w:rsid w:val="00FA5792"/>
    <w:rsid w:val="00FB0251"/>
    <w:rsid w:val="00FB04BE"/>
    <w:rsid w:val="00FB200D"/>
    <w:rsid w:val="00FB2358"/>
    <w:rsid w:val="00FB3571"/>
    <w:rsid w:val="00FB3CAA"/>
    <w:rsid w:val="00FB4F1D"/>
    <w:rsid w:val="00FB6266"/>
    <w:rsid w:val="00FB7FE4"/>
    <w:rsid w:val="00FC05A7"/>
    <w:rsid w:val="00FC0751"/>
    <w:rsid w:val="00FC149A"/>
    <w:rsid w:val="00FC3A38"/>
    <w:rsid w:val="00FC4E50"/>
    <w:rsid w:val="00FC6BCA"/>
    <w:rsid w:val="00FC78FA"/>
    <w:rsid w:val="00FD0206"/>
    <w:rsid w:val="00FD08CC"/>
    <w:rsid w:val="00FD4249"/>
    <w:rsid w:val="00FD537F"/>
    <w:rsid w:val="00FD64C4"/>
    <w:rsid w:val="00FE277D"/>
    <w:rsid w:val="00FE7006"/>
    <w:rsid w:val="00FE7EEC"/>
    <w:rsid w:val="00FF0E5A"/>
    <w:rsid w:val="00FF452E"/>
    <w:rsid w:val="00FF6FB6"/>
    <w:rsid w:val="00FF7410"/>
    <w:rsid w:val="095E4C1B"/>
    <w:rsid w:val="09ACF2F1"/>
    <w:rsid w:val="0A09B546"/>
    <w:rsid w:val="0BC097E7"/>
    <w:rsid w:val="0CB3A4BA"/>
    <w:rsid w:val="0DCB54A5"/>
    <w:rsid w:val="0FC22062"/>
    <w:rsid w:val="1023D61B"/>
    <w:rsid w:val="119EDC79"/>
    <w:rsid w:val="14B9DEAE"/>
    <w:rsid w:val="18039ABB"/>
    <w:rsid w:val="19EDB65D"/>
    <w:rsid w:val="1C3CA033"/>
    <w:rsid w:val="21551B8A"/>
    <w:rsid w:val="224EAF23"/>
    <w:rsid w:val="23343217"/>
    <w:rsid w:val="2340A116"/>
    <w:rsid w:val="275D02B8"/>
    <w:rsid w:val="278A66AA"/>
    <w:rsid w:val="27CE44AA"/>
    <w:rsid w:val="2B473182"/>
    <w:rsid w:val="2BB2B5AF"/>
    <w:rsid w:val="31BAF47F"/>
    <w:rsid w:val="31BFC057"/>
    <w:rsid w:val="324294F6"/>
    <w:rsid w:val="32A5BEA3"/>
    <w:rsid w:val="33830892"/>
    <w:rsid w:val="34EE13C8"/>
    <w:rsid w:val="35DD5F65"/>
    <w:rsid w:val="391189F7"/>
    <w:rsid w:val="39A6FAB2"/>
    <w:rsid w:val="39AEAF07"/>
    <w:rsid w:val="3A07F5C0"/>
    <w:rsid w:val="3AAD5A58"/>
    <w:rsid w:val="429F43E0"/>
    <w:rsid w:val="42FD9DB7"/>
    <w:rsid w:val="4663D0DB"/>
    <w:rsid w:val="4AFE2362"/>
    <w:rsid w:val="4BC10B04"/>
    <w:rsid w:val="4BE0501D"/>
    <w:rsid w:val="4DC7A35B"/>
    <w:rsid w:val="4DE2D6FB"/>
    <w:rsid w:val="4E1EFA70"/>
    <w:rsid w:val="50C1D152"/>
    <w:rsid w:val="51085C72"/>
    <w:rsid w:val="52B6481E"/>
    <w:rsid w:val="5373A29D"/>
    <w:rsid w:val="542682C4"/>
    <w:rsid w:val="56061B24"/>
    <w:rsid w:val="58B741C9"/>
    <w:rsid w:val="5B0FA544"/>
    <w:rsid w:val="5BBED2DE"/>
    <w:rsid w:val="5BDC6EB4"/>
    <w:rsid w:val="5C755CA8"/>
    <w:rsid w:val="5E112D09"/>
    <w:rsid w:val="6036D89E"/>
    <w:rsid w:val="6212432F"/>
    <w:rsid w:val="62D378FA"/>
    <w:rsid w:val="6385E83D"/>
    <w:rsid w:val="64E4B3FC"/>
    <w:rsid w:val="6890A70F"/>
    <w:rsid w:val="6904C180"/>
    <w:rsid w:val="6C726DBA"/>
    <w:rsid w:val="6C8B9617"/>
    <w:rsid w:val="6CC986F5"/>
    <w:rsid w:val="6E0B4343"/>
    <w:rsid w:val="6F863673"/>
    <w:rsid w:val="71F2DEF9"/>
    <w:rsid w:val="74F0B4FB"/>
    <w:rsid w:val="765740DE"/>
    <w:rsid w:val="7D986DA1"/>
    <w:rsid w:val="7E7001C5"/>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1C373E8"/>
  <w15:docId w15:val="{D687911A-30B3-4266-87D4-9C26DDB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F922C0"/>
    <w:rPr>
      <w:rFonts w:eastAsia="Calibri"/>
      <w:szCs w:val="22"/>
      <w:lang w:val="en-GB"/>
    </w:rPr>
  </w:style>
  <w:style w:type="paragraph" w:styleId="Heading1">
    <w:name w:val="heading 1"/>
    <w:aliases w:val="ECC Heading 1"/>
    <w:next w:val="Normal"/>
    <w:link w:val="Heading1Char"/>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qFormat/>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basedOn w:val="DefaultParagraphFont"/>
    <w:link w:val="FootnoteText"/>
    <w:rsid w:val="001526A2"/>
    <w:rPr>
      <w:rFonts w:eastAsia="Calibri"/>
      <w:sz w:val="16"/>
      <w:szCs w:val="16"/>
      <w14:cntxtAlts/>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basedOn w:val="DefaultParagraphFont"/>
    <w:qForma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uiPriority w:val="5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Parttitle">
    <w:name w:val="Part_title"/>
    <w:basedOn w:val="Normal"/>
    <w:next w:val="Normal"/>
    <w:rsid w:val="00240517"/>
    <w:pPr>
      <w:keepNext/>
      <w:keepLines/>
      <w:tabs>
        <w:tab w:val="left" w:pos="1134"/>
        <w:tab w:val="left" w:pos="1871"/>
        <w:tab w:val="left" w:pos="2268"/>
      </w:tabs>
      <w:overflowPunct w:val="0"/>
      <w:autoSpaceDE w:val="0"/>
      <w:autoSpaceDN w:val="0"/>
      <w:adjustRightInd w:val="0"/>
      <w:spacing w:after="280"/>
      <w:jc w:val="center"/>
      <w:textAlignment w:val="baseline"/>
    </w:pPr>
    <w:rPr>
      <w:rFonts w:ascii="Times New Roman Bold" w:eastAsia="Times New Roman" w:hAnsi="Times New Roman Bold"/>
      <w:b/>
      <w:sz w:val="28"/>
      <w:szCs w:val="20"/>
    </w:rPr>
  </w:style>
  <w:style w:type="table" w:customStyle="1" w:styleId="Grilledutableau25">
    <w:name w:val="Grille du tableau25"/>
    <w:basedOn w:val="TableNormal"/>
    <w:next w:val="TableGrid"/>
    <w:uiPriority w:val="39"/>
    <w:qFormat/>
    <w:rsid w:val="002363C9"/>
    <w:pPr>
      <w:spacing w:before="0" w:after="0"/>
      <w:jc w:val="left"/>
    </w:pPr>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next w:val="TableGrid"/>
    <w:uiPriority w:val="59"/>
    <w:qFormat/>
    <w:rsid w:val="002363C9"/>
    <w:pPr>
      <w:spacing w:before="0" w:after="0"/>
      <w:jc w:val="left"/>
    </w:pPr>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Normal"/>
    <w:next w:val="TableGrid"/>
    <w:uiPriority w:val="59"/>
    <w:qFormat/>
    <w:rsid w:val="002363C9"/>
    <w:pPr>
      <w:spacing w:before="0" w:after="0"/>
      <w:jc w:val="left"/>
    </w:pPr>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Normal"/>
    <w:next w:val="TableGrid"/>
    <w:uiPriority w:val="59"/>
    <w:qFormat/>
    <w:rsid w:val="002363C9"/>
    <w:pPr>
      <w:spacing w:before="0" w:after="0"/>
      <w:jc w:val="left"/>
    </w:pPr>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ref">
    <w:name w:val="Rec_ref"/>
    <w:basedOn w:val="Normal"/>
    <w:next w:val="Normal"/>
    <w:rsid w:val="00140070"/>
    <w:pPr>
      <w:keepNext/>
      <w:keepLines/>
      <w:tabs>
        <w:tab w:val="left" w:pos="1134"/>
        <w:tab w:val="left" w:pos="1871"/>
        <w:tab w:val="left" w:pos="2268"/>
      </w:tabs>
      <w:overflowPunct w:val="0"/>
      <w:autoSpaceDE w:val="0"/>
      <w:autoSpaceDN w:val="0"/>
      <w:adjustRightInd w:val="0"/>
      <w:spacing w:before="120" w:after="0"/>
      <w:jc w:val="center"/>
      <w:textAlignment w:val="baseline"/>
    </w:pPr>
    <w:rPr>
      <w:rFonts w:ascii="Times New Roman" w:eastAsia="Times New Roman" w:hAnsi="Times New Roman"/>
      <w:sz w:val="24"/>
      <w:szCs w:val="20"/>
    </w:rPr>
  </w:style>
  <w:style w:type="character" w:customStyle="1" w:styleId="UnresolvedMention1">
    <w:name w:val="Unresolved Mention1"/>
    <w:basedOn w:val="DefaultParagraphFont"/>
    <w:uiPriority w:val="99"/>
    <w:semiHidden/>
    <w:unhideWhenUsed/>
    <w:rsid w:val="00104E3A"/>
    <w:rPr>
      <w:color w:val="605E5C"/>
      <w:shd w:val="clear" w:color="auto" w:fill="E1DFDD"/>
    </w:rPr>
  </w:style>
  <w:style w:type="character" w:styleId="CommentReference">
    <w:name w:val="annotation reference"/>
    <w:basedOn w:val="DefaultParagraphFont"/>
    <w:uiPriority w:val="99"/>
    <w:semiHidden/>
    <w:unhideWhenUsed/>
    <w:locked/>
    <w:rsid w:val="00663C30"/>
    <w:rPr>
      <w:sz w:val="16"/>
      <w:szCs w:val="16"/>
    </w:rPr>
  </w:style>
  <w:style w:type="paragraph" w:styleId="CommentText">
    <w:name w:val="annotation text"/>
    <w:basedOn w:val="Normal"/>
    <w:link w:val="CommentTextChar"/>
    <w:uiPriority w:val="99"/>
    <w:semiHidden/>
    <w:unhideWhenUsed/>
    <w:locked/>
    <w:rsid w:val="00663C30"/>
    <w:rPr>
      <w:szCs w:val="20"/>
    </w:rPr>
  </w:style>
  <w:style w:type="character" w:customStyle="1" w:styleId="CommentTextChar">
    <w:name w:val="Comment Text Char"/>
    <w:basedOn w:val="DefaultParagraphFont"/>
    <w:link w:val="CommentText"/>
    <w:uiPriority w:val="99"/>
    <w:semiHidden/>
    <w:rsid w:val="00663C30"/>
    <w:rPr>
      <w:rFonts w:eastAsia="Calibri"/>
      <w:lang w:val="en-GB"/>
    </w:rPr>
  </w:style>
  <w:style w:type="paragraph" w:styleId="CommentSubject">
    <w:name w:val="annotation subject"/>
    <w:basedOn w:val="CommentText"/>
    <w:next w:val="CommentText"/>
    <w:link w:val="CommentSubjectChar"/>
    <w:uiPriority w:val="99"/>
    <w:semiHidden/>
    <w:unhideWhenUsed/>
    <w:locked/>
    <w:rsid w:val="00663C30"/>
    <w:rPr>
      <w:b/>
      <w:bCs/>
    </w:rPr>
  </w:style>
  <w:style w:type="character" w:customStyle="1" w:styleId="CommentSubjectChar">
    <w:name w:val="Comment Subject Char"/>
    <w:basedOn w:val="CommentTextChar"/>
    <w:link w:val="CommentSubject"/>
    <w:uiPriority w:val="99"/>
    <w:semiHidden/>
    <w:rsid w:val="00663C30"/>
    <w:rPr>
      <w:rFonts w:eastAsia="Calibri"/>
      <w:b/>
      <w:bCs/>
      <w:lang w:val="en-GB"/>
    </w:rPr>
  </w:style>
  <w:style w:type="paragraph" w:styleId="Footer">
    <w:name w:val="footer"/>
    <w:basedOn w:val="Normal"/>
    <w:link w:val="FooterChar"/>
    <w:uiPriority w:val="99"/>
    <w:unhideWhenUsed/>
    <w:locked/>
    <w:rsid w:val="00F2134E"/>
    <w:pPr>
      <w:tabs>
        <w:tab w:val="center" w:pos="4513"/>
        <w:tab w:val="right" w:pos="9026"/>
      </w:tabs>
      <w:spacing w:before="0" w:after="0"/>
    </w:pPr>
  </w:style>
  <w:style w:type="character" w:customStyle="1" w:styleId="FooterChar">
    <w:name w:val="Footer Char"/>
    <w:basedOn w:val="DefaultParagraphFont"/>
    <w:link w:val="Footer"/>
    <w:uiPriority w:val="99"/>
    <w:rsid w:val="00F2134E"/>
    <w:rPr>
      <w:rFonts w:eastAsia="Calibri"/>
      <w:szCs w:val="22"/>
      <w:lang w:val="en-GB"/>
    </w:rPr>
  </w:style>
  <w:style w:type="character" w:customStyle="1" w:styleId="Heading1Char">
    <w:name w:val="Heading 1 Char"/>
    <w:aliases w:val="ECC Heading 1 Char"/>
    <w:basedOn w:val="DefaultParagraphFont"/>
    <w:link w:val="Heading1"/>
    <w:rsid w:val="00440E09"/>
    <w:rPr>
      <w:rFonts w:cs="Arial"/>
      <w:b/>
      <w:bCs/>
      <w:caps/>
      <w:color w:val="D2232A"/>
      <w:kern w:val="32"/>
      <w:szCs w:val="32"/>
    </w:rPr>
  </w:style>
  <w:style w:type="paragraph" w:styleId="Revision">
    <w:name w:val="Revision"/>
    <w:hidden/>
    <w:uiPriority w:val="99"/>
    <w:semiHidden/>
    <w:rsid w:val="00922F22"/>
    <w:pPr>
      <w:spacing w:before="0" w:after="0"/>
      <w:jc w:val="left"/>
    </w:pPr>
    <w:rPr>
      <w:rFonts w:eastAsia="Calibri"/>
      <w:szCs w:val="22"/>
      <w:lang w:val="en-GB"/>
    </w:rPr>
  </w:style>
  <w:style w:type="character" w:customStyle="1" w:styleId="UnresolvedMention2">
    <w:name w:val="Unresolved Mention2"/>
    <w:basedOn w:val="DefaultParagraphFont"/>
    <w:uiPriority w:val="99"/>
    <w:semiHidden/>
    <w:unhideWhenUsed/>
    <w:rsid w:val="00AD15C3"/>
    <w:rPr>
      <w:color w:val="605E5C"/>
      <w:shd w:val="clear" w:color="auto" w:fill="E1DFDD"/>
    </w:rPr>
  </w:style>
  <w:style w:type="paragraph" w:customStyle="1" w:styleId="Call">
    <w:name w:val="Call"/>
    <w:basedOn w:val="Normal"/>
    <w:next w:val="Normal"/>
    <w:rsid w:val="00F007EE"/>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eastAsia="Times New Roman" w:hAnsi="Times New Roman"/>
      <w:i/>
      <w:sz w:val="24"/>
      <w:szCs w:val="20"/>
    </w:rPr>
  </w:style>
  <w:style w:type="paragraph" w:customStyle="1" w:styleId="Normalaftertitle">
    <w:name w:val="Normal after title"/>
    <w:basedOn w:val="Normal"/>
    <w:next w:val="Normal"/>
    <w:link w:val="NormalaftertitleChar"/>
    <w:rsid w:val="00F007EE"/>
    <w:pPr>
      <w:tabs>
        <w:tab w:val="left" w:pos="1134"/>
        <w:tab w:val="left" w:pos="1871"/>
        <w:tab w:val="left" w:pos="2268"/>
      </w:tabs>
      <w:overflowPunct w:val="0"/>
      <w:autoSpaceDE w:val="0"/>
      <w:autoSpaceDN w:val="0"/>
      <w:adjustRightInd w:val="0"/>
      <w:spacing w:before="280" w:after="0"/>
      <w:jc w:val="left"/>
      <w:textAlignment w:val="baseline"/>
    </w:pPr>
    <w:rPr>
      <w:rFonts w:ascii="Times New Roman" w:eastAsia="Times New Roman" w:hAnsi="Times New Roman"/>
      <w:sz w:val="24"/>
      <w:szCs w:val="20"/>
    </w:rPr>
  </w:style>
  <w:style w:type="character" w:customStyle="1" w:styleId="NormalaftertitleChar">
    <w:name w:val="Normal after title Char"/>
    <w:basedOn w:val="DefaultParagraphFont"/>
    <w:link w:val="Normalaftertitle"/>
    <w:rsid w:val="00F007EE"/>
    <w:rPr>
      <w:rFonts w:ascii="Times New Roman" w:hAnsi="Times New Roman"/>
      <w:sz w:val="24"/>
      <w:lang w:val="en-GB"/>
    </w:rPr>
  </w:style>
  <w:style w:type="character" w:styleId="FollowedHyperlink">
    <w:name w:val="FollowedHyperlink"/>
    <w:basedOn w:val="DefaultParagraphFont"/>
    <w:uiPriority w:val="99"/>
    <w:semiHidden/>
    <w:unhideWhenUsed/>
    <w:locked/>
    <w:rsid w:val="00952AE6"/>
    <w:rPr>
      <w:color w:val="800080" w:themeColor="followedHyperlink"/>
      <w:u w:val="single"/>
    </w:rPr>
  </w:style>
  <w:style w:type="paragraph" w:styleId="NormalWeb">
    <w:name w:val="Normal (Web)"/>
    <w:basedOn w:val="Normal"/>
    <w:uiPriority w:val="99"/>
    <w:unhideWhenUsed/>
    <w:locked/>
    <w:rsid w:val="00612AFE"/>
    <w:pPr>
      <w:spacing w:before="100" w:beforeAutospacing="1" w:after="100" w:afterAutospacing="1"/>
      <w:jc w:val="left"/>
    </w:pPr>
    <w:rPr>
      <w:rFonts w:ascii="SimSun" w:eastAsia="SimSun" w:hAnsi="SimSun" w:cs="SimSun"/>
      <w:sz w:val="24"/>
      <w:szCs w:val="24"/>
      <w:lang w:val="en-US" w:eastAsia="zh-CN"/>
    </w:rPr>
  </w:style>
  <w:style w:type="character" w:customStyle="1" w:styleId="UnresolvedMention3">
    <w:name w:val="Unresolved Mention3"/>
    <w:basedOn w:val="DefaultParagraphFont"/>
    <w:uiPriority w:val="99"/>
    <w:semiHidden/>
    <w:unhideWhenUsed/>
    <w:rsid w:val="00E4279E"/>
    <w:rPr>
      <w:color w:val="605E5C"/>
      <w:shd w:val="clear" w:color="auto" w:fill="E1DFDD"/>
    </w:rPr>
  </w:style>
  <w:style w:type="character" w:customStyle="1" w:styleId="UnresolvedMention4">
    <w:name w:val="Unresolved Mention4"/>
    <w:basedOn w:val="DefaultParagraphFont"/>
    <w:uiPriority w:val="99"/>
    <w:semiHidden/>
    <w:unhideWhenUsed/>
    <w:rsid w:val="001E2C73"/>
    <w:rPr>
      <w:color w:val="605E5C"/>
      <w:shd w:val="clear" w:color="auto" w:fill="E1DFDD"/>
    </w:rPr>
  </w:style>
  <w:style w:type="paragraph" w:customStyle="1" w:styleId="EditorsNote">
    <w:name w:val="EditorsNote"/>
    <w:basedOn w:val="Normal"/>
    <w:qFormat/>
    <w:rsid w:val="00095DF5"/>
    <w:pPr>
      <w:tabs>
        <w:tab w:val="left" w:pos="1134"/>
        <w:tab w:val="left" w:pos="1871"/>
        <w:tab w:val="left" w:pos="2268"/>
      </w:tabs>
      <w:overflowPunct w:val="0"/>
      <w:autoSpaceDE w:val="0"/>
      <w:autoSpaceDN w:val="0"/>
      <w:adjustRightInd w:val="0"/>
      <w:spacing w:after="240"/>
      <w:jc w:val="left"/>
    </w:pPr>
    <w:rPr>
      <w:rFonts w:ascii="Times New Roman" w:eastAsia="Times New Roman" w:hAnsi="Times New Roman"/>
      <w:i/>
      <w:iCs/>
      <w:sz w:val="24"/>
      <w:szCs w:val="20"/>
    </w:rPr>
  </w:style>
  <w:style w:type="paragraph" w:customStyle="1" w:styleId="ResNo">
    <w:name w:val="Res_No"/>
    <w:basedOn w:val="Normal"/>
    <w:next w:val="Normal"/>
    <w:rsid w:val="00314AEC"/>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eastAsiaTheme="minorEastAsia" w:hAnsi="Times New Roman"/>
      <w:caps/>
      <w:sz w:val="28"/>
      <w:szCs w:val="20"/>
    </w:rPr>
  </w:style>
  <w:style w:type="paragraph" w:customStyle="1" w:styleId="Restitle">
    <w:name w:val="Res_title"/>
    <w:basedOn w:val="Normal"/>
    <w:next w:val="Normal"/>
    <w:link w:val="RestitleZchn"/>
    <w:rsid w:val="00314AEC"/>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Bold" w:eastAsiaTheme="minorEastAsia" w:hAnsi="Times New Roman Bold"/>
      <w:b/>
      <w:sz w:val="28"/>
      <w:szCs w:val="20"/>
    </w:rPr>
  </w:style>
  <w:style w:type="character" w:customStyle="1" w:styleId="BRNormal">
    <w:name w:val="BR_Normal"/>
    <w:basedOn w:val="DefaultParagraphFont"/>
    <w:uiPriority w:val="1"/>
    <w:qFormat/>
    <w:rsid w:val="00314AEC"/>
  </w:style>
  <w:style w:type="character" w:customStyle="1" w:styleId="RestitleZchn">
    <w:name w:val="Res_title Zchn"/>
    <w:basedOn w:val="DefaultParagraphFont"/>
    <w:link w:val="Restitle"/>
    <w:rsid w:val="00314AEC"/>
    <w:rPr>
      <w:rFonts w:ascii="Times New Roman Bold" w:eastAsiaTheme="minorEastAsia" w:hAnsi="Times New Roman Bold"/>
      <w:b/>
      <w:sz w:val="28"/>
      <w:lang w:val="en-GB"/>
    </w:rPr>
  </w:style>
  <w:style w:type="character" w:styleId="UnresolvedMention">
    <w:name w:val="Unresolved Mention"/>
    <w:basedOn w:val="DefaultParagraphFont"/>
    <w:uiPriority w:val="99"/>
    <w:semiHidden/>
    <w:unhideWhenUsed/>
    <w:rsid w:val="009B5557"/>
    <w:rPr>
      <w:color w:val="605E5C"/>
      <w:shd w:val="clear" w:color="auto" w:fill="E1DFDD"/>
    </w:rPr>
  </w:style>
  <w:style w:type="character" w:customStyle="1" w:styleId="hgkelc">
    <w:name w:val="hgkelc"/>
    <w:basedOn w:val="DefaultParagraphFont"/>
    <w:rsid w:val="005C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8449">
      <w:bodyDiv w:val="1"/>
      <w:marLeft w:val="0"/>
      <w:marRight w:val="0"/>
      <w:marTop w:val="0"/>
      <w:marBottom w:val="0"/>
      <w:divBdr>
        <w:top w:val="none" w:sz="0" w:space="0" w:color="auto"/>
        <w:left w:val="none" w:sz="0" w:space="0" w:color="auto"/>
        <w:bottom w:val="none" w:sz="0" w:space="0" w:color="auto"/>
        <w:right w:val="none" w:sz="0" w:space="0" w:color="auto"/>
      </w:divBdr>
    </w:div>
    <w:div w:id="79260096">
      <w:bodyDiv w:val="1"/>
      <w:marLeft w:val="0"/>
      <w:marRight w:val="0"/>
      <w:marTop w:val="0"/>
      <w:marBottom w:val="0"/>
      <w:divBdr>
        <w:top w:val="none" w:sz="0" w:space="0" w:color="auto"/>
        <w:left w:val="none" w:sz="0" w:space="0" w:color="auto"/>
        <w:bottom w:val="none" w:sz="0" w:space="0" w:color="auto"/>
        <w:right w:val="none" w:sz="0" w:space="0" w:color="auto"/>
      </w:divBdr>
    </w:div>
    <w:div w:id="89619620">
      <w:bodyDiv w:val="1"/>
      <w:marLeft w:val="0"/>
      <w:marRight w:val="0"/>
      <w:marTop w:val="0"/>
      <w:marBottom w:val="0"/>
      <w:divBdr>
        <w:top w:val="none" w:sz="0" w:space="0" w:color="auto"/>
        <w:left w:val="none" w:sz="0" w:space="0" w:color="auto"/>
        <w:bottom w:val="none" w:sz="0" w:space="0" w:color="auto"/>
        <w:right w:val="none" w:sz="0" w:space="0" w:color="auto"/>
      </w:divBdr>
    </w:div>
    <w:div w:id="150947870">
      <w:bodyDiv w:val="1"/>
      <w:marLeft w:val="0"/>
      <w:marRight w:val="0"/>
      <w:marTop w:val="0"/>
      <w:marBottom w:val="0"/>
      <w:divBdr>
        <w:top w:val="none" w:sz="0" w:space="0" w:color="auto"/>
        <w:left w:val="none" w:sz="0" w:space="0" w:color="auto"/>
        <w:bottom w:val="none" w:sz="0" w:space="0" w:color="auto"/>
        <w:right w:val="none" w:sz="0" w:space="0" w:color="auto"/>
      </w:divBdr>
    </w:div>
    <w:div w:id="279536497">
      <w:bodyDiv w:val="1"/>
      <w:marLeft w:val="0"/>
      <w:marRight w:val="0"/>
      <w:marTop w:val="0"/>
      <w:marBottom w:val="0"/>
      <w:divBdr>
        <w:top w:val="none" w:sz="0" w:space="0" w:color="auto"/>
        <w:left w:val="none" w:sz="0" w:space="0" w:color="auto"/>
        <w:bottom w:val="none" w:sz="0" w:space="0" w:color="auto"/>
        <w:right w:val="none" w:sz="0" w:space="0" w:color="auto"/>
      </w:divBdr>
    </w:div>
    <w:div w:id="476191219">
      <w:bodyDiv w:val="1"/>
      <w:marLeft w:val="0"/>
      <w:marRight w:val="0"/>
      <w:marTop w:val="0"/>
      <w:marBottom w:val="0"/>
      <w:divBdr>
        <w:top w:val="none" w:sz="0" w:space="0" w:color="auto"/>
        <w:left w:val="none" w:sz="0" w:space="0" w:color="auto"/>
        <w:bottom w:val="none" w:sz="0" w:space="0" w:color="auto"/>
        <w:right w:val="none" w:sz="0" w:space="0" w:color="auto"/>
      </w:divBdr>
    </w:div>
    <w:div w:id="529878594">
      <w:bodyDiv w:val="1"/>
      <w:marLeft w:val="0"/>
      <w:marRight w:val="0"/>
      <w:marTop w:val="0"/>
      <w:marBottom w:val="0"/>
      <w:divBdr>
        <w:top w:val="none" w:sz="0" w:space="0" w:color="auto"/>
        <w:left w:val="none" w:sz="0" w:space="0" w:color="auto"/>
        <w:bottom w:val="none" w:sz="0" w:space="0" w:color="auto"/>
        <w:right w:val="none" w:sz="0" w:space="0" w:color="auto"/>
      </w:divBdr>
    </w:div>
    <w:div w:id="652374970">
      <w:bodyDiv w:val="1"/>
      <w:marLeft w:val="0"/>
      <w:marRight w:val="0"/>
      <w:marTop w:val="0"/>
      <w:marBottom w:val="0"/>
      <w:divBdr>
        <w:top w:val="none" w:sz="0" w:space="0" w:color="auto"/>
        <w:left w:val="none" w:sz="0" w:space="0" w:color="auto"/>
        <w:bottom w:val="none" w:sz="0" w:space="0" w:color="auto"/>
        <w:right w:val="none" w:sz="0" w:space="0" w:color="auto"/>
      </w:divBdr>
    </w:div>
    <w:div w:id="837385959">
      <w:bodyDiv w:val="1"/>
      <w:marLeft w:val="0"/>
      <w:marRight w:val="0"/>
      <w:marTop w:val="0"/>
      <w:marBottom w:val="0"/>
      <w:divBdr>
        <w:top w:val="none" w:sz="0" w:space="0" w:color="auto"/>
        <w:left w:val="none" w:sz="0" w:space="0" w:color="auto"/>
        <w:bottom w:val="none" w:sz="0" w:space="0" w:color="auto"/>
        <w:right w:val="none" w:sz="0" w:space="0" w:color="auto"/>
      </w:divBdr>
      <w:divsChild>
        <w:div w:id="735393185">
          <w:marLeft w:val="634"/>
          <w:marRight w:val="0"/>
          <w:marTop w:val="0"/>
          <w:marBottom w:val="0"/>
          <w:divBdr>
            <w:top w:val="none" w:sz="0" w:space="0" w:color="auto"/>
            <w:left w:val="none" w:sz="0" w:space="0" w:color="auto"/>
            <w:bottom w:val="none" w:sz="0" w:space="0" w:color="auto"/>
            <w:right w:val="none" w:sz="0" w:space="0" w:color="auto"/>
          </w:divBdr>
        </w:div>
        <w:div w:id="1025984128">
          <w:marLeft w:val="1166"/>
          <w:marRight w:val="0"/>
          <w:marTop w:val="0"/>
          <w:marBottom w:val="0"/>
          <w:divBdr>
            <w:top w:val="none" w:sz="0" w:space="0" w:color="auto"/>
            <w:left w:val="none" w:sz="0" w:space="0" w:color="auto"/>
            <w:bottom w:val="none" w:sz="0" w:space="0" w:color="auto"/>
            <w:right w:val="none" w:sz="0" w:space="0" w:color="auto"/>
          </w:divBdr>
        </w:div>
        <w:div w:id="1746299170">
          <w:marLeft w:val="1166"/>
          <w:marRight w:val="0"/>
          <w:marTop w:val="0"/>
          <w:marBottom w:val="0"/>
          <w:divBdr>
            <w:top w:val="none" w:sz="0" w:space="0" w:color="auto"/>
            <w:left w:val="none" w:sz="0" w:space="0" w:color="auto"/>
            <w:bottom w:val="none" w:sz="0" w:space="0" w:color="auto"/>
            <w:right w:val="none" w:sz="0" w:space="0" w:color="auto"/>
          </w:divBdr>
        </w:div>
        <w:div w:id="428895938">
          <w:marLeft w:val="1166"/>
          <w:marRight w:val="0"/>
          <w:marTop w:val="0"/>
          <w:marBottom w:val="0"/>
          <w:divBdr>
            <w:top w:val="none" w:sz="0" w:space="0" w:color="auto"/>
            <w:left w:val="none" w:sz="0" w:space="0" w:color="auto"/>
            <w:bottom w:val="none" w:sz="0" w:space="0" w:color="auto"/>
            <w:right w:val="none" w:sz="0" w:space="0" w:color="auto"/>
          </w:divBdr>
        </w:div>
        <w:div w:id="1600944462">
          <w:marLeft w:val="1166"/>
          <w:marRight w:val="0"/>
          <w:marTop w:val="0"/>
          <w:marBottom w:val="0"/>
          <w:divBdr>
            <w:top w:val="none" w:sz="0" w:space="0" w:color="auto"/>
            <w:left w:val="none" w:sz="0" w:space="0" w:color="auto"/>
            <w:bottom w:val="none" w:sz="0" w:space="0" w:color="auto"/>
            <w:right w:val="none" w:sz="0" w:space="0" w:color="auto"/>
          </w:divBdr>
        </w:div>
        <w:div w:id="968896501">
          <w:marLeft w:val="1166"/>
          <w:marRight w:val="0"/>
          <w:marTop w:val="0"/>
          <w:marBottom w:val="0"/>
          <w:divBdr>
            <w:top w:val="none" w:sz="0" w:space="0" w:color="auto"/>
            <w:left w:val="none" w:sz="0" w:space="0" w:color="auto"/>
            <w:bottom w:val="none" w:sz="0" w:space="0" w:color="auto"/>
            <w:right w:val="none" w:sz="0" w:space="0" w:color="auto"/>
          </w:divBdr>
        </w:div>
        <w:div w:id="901253498">
          <w:marLeft w:val="1166"/>
          <w:marRight w:val="0"/>
          <w:marTop w:val="0"/>
          <w:marBottom w:val="0"/>
          <w:divBdr>
            <w:top w:val="none" w:sz="0" w:space="0" w:color="auto"/>
            <w:left w:val="none" w:sz="0" w:space="0" w:color="auto"/>
            <w:bottom w:val="none" w:sz="0" w:space="0" w:color="auto"/>
            <w:right w:val="none" w:sz="0" w:space="0" w:color="auto"/>
          </w:divBdr>
        </w:div>
        <w:div w:id="306396476">
          <w:marLeft w:val="634"/>
          <w:marRight w:val="0"/>
          <w:marTop w:val="0"/>
          <w:marBottom w:val="0"/>
          <w:divBdr>
            <w:top w:val="none" w:sz="0" w:space="0" w:color="auto"/>
            <w:left w:val="none" w:sz="0" w:space="0" w:color="auto"/>
            <w:bottom w:val="none" w:sz="0" w:space="0" w:color="auto"/>
            <w:right w:val="none" w:sz="0" w:space="0" w:color="auto"/>
          </w:divBdr>
        </w:div>
      </w:divsChild>
    </w:div>
    <w:div w:id="918561584">
      <w:bodyDiv w:val="1"/>
      <w:marLeft w:val="0"/>
      <w:marRight w:val="0"/>
      <w:marTop w:val="0"/>
      <w:marBottom w:val="0"/>
      <w:divBdr>
        <w:top w:val="none" w:sz="0" w:space="0" w:color="auto"/>
        <w:left w:val="none" w:sz="0" w:space="0" w:color="auto"/>
        <w:bottom w:val="none" w:sz="0" w:space="0" w:color="auto"/>
        <w:right w:val="none" w:sz="0" w:space="0" w:color="auto"/>
      </w:divBdr>
    </w:div>
    <w:div w:id="1053114395">
      <w:bodyDiv w:val="1"/>
      <w:marLeft w:val="0"/>
      <w:marRight w:val="0"/>
      <w:marTop w:val="0"/>
      <w:marBottom w:val="0"/>
      <w:divBdr>
        <w:top w:val="none" w:sz="0" w:space="0" w:color="auto"/>
        <w:left w:val="none" w:sz="0" w:space="0" w:color="auto"/>
        <w:bottom w:val="none" w:sz="0" w:space="0" w:color="auto"/>
        <w:right w:val="none" w:sz="0" w:space="0" w:color="auto"/>
      </w:divBdr>
    </w:div>
    <w:div w:id="1104229327">
      <w:bodyDiv w:val="1"/>
      <w:marLeft w:val="0"/>
      <w:marRight w:val="0"/>
      <w:marTop w:val="0"/>
      <w:marBottom w:val="0"/>
      <w:divBdr>
        <w:top w:val="none" w:sz="0" w:space="0" w:color="auto"/>
        <w:left w:val="none" w:sz="0" w:space="0" w:color="auto"/>
        <w:bottom w:val="none" w:sz="0" w:space="0" w:color="auto"/>
        <w:right w:val="none" w:sz="0" w:space="0" w:color="auto"/>
      </w:divBdr>
    </w:div>
    <w:div w:id="1288708015">
      <w:bodyDiv w:val="1"/>
      <w:marLeft w:val="0"/>
      <w:marRight w:val="0"/>
      <w:marTop w:val="0"/>
      <w:marBottom w:val="0"/>
      <w:divBdr>
        <w:top w:val="none" w:sz="0" w:space="0" w:color="auto"/>
        <w:left w:val="none" w:sz="0" w:space="0" w:color="auto"/>
        <w:bottom w:val="none" w:sz="0" w:space="0" w:color="auto"/>
        <w:right w:val="none" w:sz="0" w:space="0" w:color="auto"/>
      </w:divBdr>
    </w:div>
    <w:div w:id="1417819241">
      <w:bodyDiv w:val="1"/>
      <w:marLeft w:val="0"/>
      <w:marRight w:val="0"/>
      <w:marTop w:val="0"/>
      <w:marBottom w:val="0"/>
      <w:divBdr>
        <w:top w:val="none" w:sz="0" w:space="0" w:color="auto"/>
        <w:left w:val="none" w:sz="0" w:space="0" w:color="auto"/>
        <w:bottom w:val="none" w:sz="0" w:space="0" w:color="auto"/>
        <w:right w:val="none" w:sz="0" w:space="0" w:color="auto"/>
      </w:divBdr>
    </w:div>
    <w:div w:id="1553038472">
      <w:bodyDiv w:val="1"/>
      <w:marLeft w:val="0"/>
      <w:marRight w:val="0"/>
      <w:marTop w:val="0"/>
      <w:marBottom w:val="0"/>
      <w:divBdr>
        <w:top w:val="none" w:sz="0" w:space="0" w:color="auto"/>
        <w:left w:val="none" w:sz="0" w:space="0" w:color="auto"/>
        <w:bottom w:val="none" w:sz="0" w:space="0" w:color="auto"/>
        <w:right w:val="none" w:sz="0" w:space="0" w:color="auto"/>
      </w:divBdr>
    </w:div>
    <w:div w:id="1647660761">
      <w:bodyDiv w:val="1"/>
      <w:marLeft w:val="0"/>
      <w:marRight w:val="0"/>
      <w:marTop w:val="0"/>
      <w:marBottom w:val="0"/>
      <w:divBdr>
        <w:top w:val="none" w:sz="0" w:space="0" w:color="auto"/>
        <w:left w:val="none" w:sz="0" w:space="0" w:color="auto"/>
        <w:bottom w:val="none" w:sz="0" w:space="0" w:color="auto"/>
        <w:right w:val="none" w:sz="0" w:space="0" w:color="auto"/>
      </w:divBdr>
      <w:divsChild>
        <w:div w:id="1691761514">
          <w:marLeft w:val="634"/>
          <w:marRight w:val="0"/>
          <w:marTop w:val="0"/>
          <w:marBottom w:val="0"/>
          <w:divBdr>
            <w:top w:val="none" w:sz="0" w:space="0" w:color="auto"/>
            <w:left w:val="none" w:sz="0" w:space="0" w:color="auto"/>
            <w:bottom w:val="none" w:sz="0" w:space="0" w:color="auto"/>
            <w:right w:val="none" w:sz="0" w:space="0" w:color="auto"/>
          </w:divBdr>
        </w:div>
        <w:div w:id="1222181348">
          <w:marLeft w:val="1166"/>
          <w:marRight w:val="0"/>
          <w:marTop w:val="0"/>
          <w:marBottom w:val="0"/>
          <w:divBdr>
            <w:top w:val="none" w:sz="0" w:space="0" w:color="auto"/>
            <w:left w:val="none" w:sz="0" w:space="0" w:color="auto"/>
            <w:bottom w:val="none" w:sz="0" w:space="0" w:color="auto"/>
            <w:right w:val="none" w:sz="0" w:space="0" w:color="auto"/>
          </w:divBdr>
        </w:div>
        <w:div w:id="136843252">
          <w:marLeft w:val="1166"/>
          <w:marRight w:val="0"/>
          <w:marTop w:val="0"/>
          <w:marBottom w:val="0"/>
          <w:divBdr>
            <w:top w:val="none" w:sz="0" w:space="0" w:color="auto"/>
            <w:left w:val="none" w:sz="0" w:space="0" w:color="auto"/>
            <w:bottom w:val="none" w:sz="0" w:space="0" w:color="auto"/>
            <w:right w:val="none" w:sz="0" w:space="0" w:color="auto"/>
          </w:divBdr>
        </w:div>
        <w:div w:id="1239056329">
          <w:marLeft w:val="1166"/>
          <w:marRight w:val="0"/>
          <w:marTop w:val="0"/>
          <w:marBottom w:val="0"/>
          <w:divBdr>
            <w:top w:val="none" w:sz="0" w:space="0" w:color="auto"/>
            <w:left w:val="none" w:sz="0" w:space="0" w:color="auto"/>
            <w:bottom w:val="none" w:sz="0" w:space="0" w:color="auto"/>
            <w:right w:val="none" w:sz="0" w:space="0" w:color="auto"/>
          </w:divBdr>
        </w:div>
        <w:div w:id="505707771">
          <w:marLeft w:val="1166"/>
          <w:marRight w:val="0"/>
          <w:marTop w:val="0"/>
          <w:marBottom w:val="0"/>
          <w:divBdr>
            <w:top w:val="none" w:sz="0" w:space="0" w:color="auto"/>
            <w:left w:val="none" w:sz="0" w:space="0" w:color="auto"/>
            <w:bottom w:val="none" w:sz="0" w:space="0" w:color="auto"/>
            <w:right w:val="none" w:sz="0" w:space="0" w:color="auto"/>
          </w:divBdr>
        </w:div>
        <w:div w:id="1957902173">
          <w:marLeft w:val="1166"/>
          <w:marRight w:val="0"/>
          <w:marTop w:val="0"/>
          <w:marBottom w:val="0"/>
          <w:divBdr>
            <w:top w:val="none" w:sz="0" w:space="0" w:color="auto"/>
            <w:left w:val="none" w:sz="0" w:space="0" w:color="auto"/>
            <w:bottom w:val="none" w:sz="0" w:space="0" w:color="auto"/>
            <w:right w:val="none" w:sz="0" w:space="0" w:color="auto"/>
          </w:divBdr>
        </w:div>
        <w:div w:id="1125274022">
          <w:marLeft w:val="1166"/>
          <w:marRight w:val="0"/>
          <w:marTop w:val="0"/>
          <w:marBottom w:val="0"/>
          <w:divBdr>
            <w:top w:val="none" w:sz="0" w:space="0" w:color="auto"/>
            <w:left w:val="none" w:sz="0" w:space="0" w:color="auto"/>
            <w:bottom w:val="none" w:sz="0" w:space="0" w:color="auto"/>
            <w:right w:val="none" w:sz="0" w:space="0" w:color="auto"/>
          </w:divBdr>
        </w:div>
        <w:div w:id="304048044">
          <w:marLeft w:val="634"/>
          <w:marRight w:val="0"/>
          <w:marTop w:val="0"/>
          <w:marBottom w:val="0"/>
          <w:divBdr>
            <w:top w:val="none" w:sz="0" w:space="0" w:color="auto"/>
            <w:left w:val="none" w:sz="0" w:space="0" w:color="auto"/>
            <w:bottom w:val="none" w:sz="0" w:space="0" w:color="auto"/>
            <w:right w:val="none" w:sz="0" w:space="0" w:color="auto"/>
          </w:divBdr>
        </w:div>
      </w:divsChild>
    </w:div>
    <w:div w:id="1769501806">
      <w:bodyDiv w:val="1"/>
      <w:marLeft w:val="0"/>
      <w:marRight w:val="0"/>
      <w:marTop w:val="0"/>
      <w:marBottom w:val="0"/>
      <w:divBdr>
        <w:top w:val="none" w:sz="0" w:space="0" w:color="auto"/>
        <w:left w:val="none" w:sz="0" w:space="0" w:color="auto"/>
        <w:bottom w:val="none" w:sz="0" w:space="0" w:color="auto"/>
        <w:right w:val="none" w:sz="0" w:space="0" w:color="auto"/>
      </w:divBdr>
    </w:div>
    <w:div w:id="1836988182">
      <w:bodyDiv w:val="1"/>
      <w:marLeft w:val="0"/>
      <w:marRight w:val="0"/>
      <w:marTop w:val="0"/>
      <w:marBottom w:val="0"/>
      <w:divBdr>
        <w:top w:val="none" w:sz="0" w:space="0" w:color="auto"/>
        <w:left w:val="none" w:sz="0" w:space="0" w:color="auto"/>
        <w:bottom w:val="none" w:sz="0" w:space="0" w:color="auto"/>
        <w:right w:val="none" w:sz="0" w:space="0" w:color="auto"/>
      </w:divBdr>
    </w:div>
    <w:div w:id="1852834862">
      <w:bodyDiv w:val="1"/>
      <w:marLeft w:val="0"/>
      <w:marRight w:val="0"/>
      <w:marTop w:val="0"/>
      <w:marBottom w:val="0"/>
      <w:divBdr>
        <w:top w:val="none" w:sz="0" w:space="0" w:color="auto"/>
        <w:left w:val="none" w:sz="0" w:space="0" w:color="auto"/>
        <w:bottom w:val="none" w:sz="0" w:space="0" w:color="auto"/>
        <w:right w:val="none" w:sz="0" w:space="0" w:color="auto"/>
      </w:divBdr>
    </w:div>
    <w:div w:id="2009479524">
      <w:bodyDiv w:val="1"/>
      <w:marLeft w:val="0"/>
      <w:marRight w:val="0"/>
      <w:marTop w:val="0"/>
      <w:marBottom w:val="0"/>
      <w:divBdr>
        <w:top w:val="none" w:sz="0" w:space="0" w:color="auto"/>
        <w:left w:val="none" w:sz="0" w:space="0" w:color="auto"/>
        <w:bottom w:val="none" w:sz="0" w:space="0" w:color="auto"/>
        <w:right w:val="none" w:sz="0" w:space="0" w:color="auto"/>
      </w:divBdr>
    </w:div>
    <w:div w:id="2010981854">
      <w:bodyDiv w:val="1"/>
      <w:marLeft w:val="0"/>
      <w:marRight w:val="0"/>
      <w:marTop w:val="0"/>
      <w:marBottom w:val="0"/>
      <w:divBdr>
        <w:top w:val="none" w:sz="0" w:space="0" w:color="auto"/>
        <w:left w:val="none" w:sz="0" w:space="0" w:color="auto"/>
        <w:bottom w:val="none" w:sz="0" w:space="0" w:color="auto"/>
        <w:right w:val="none" w:sz="0" w:space="0" w:color="auto"/>
      </w:divBdr>
    </w:div>
    <w:div w:id="2085449607">
      <w:bodyDiv w:val="1"/>
      <w:marLeft w:val="0"/>
      <w:marRight w:val="0"/>
      <w:marTop w:val="0"/>
      <w:marBottom w:val="0"/>
      <w:divBdr>
        <w:top w:val="none" w:sz="0" w:space="0" w:color="auto"/>
        <w:left w:val="none" w:sz="0" w:space="0" w:color="auto"/>
        <w:bottom w:val="none" w:sz="0" w:space="0" w:color="auto"/>
        <w:right w:val="none" w:sz="0" w:space="0" w:color="auto"/>
      </w:divBdr>
      <w:divsChild>
        <w:div w:id="1497577548">
          <w:marLeft w:val="0"/>
          <w:marRight w:val="0"/>
          <w:marTop w:val="0"/>
          <w:marBottom w:val="0"/>
          <w:divBdr>
            <w:top w:val="none" w:sz="0" w:space="0" w:color="auto"/>
            <w:left w:val="none" w:sz="0" w:space="0" w:color="auto"/>
            <w:bottom w:val="none" w:sz="0" w:space="0" w:color="auto"/>
            <w:right w:val="none" w:sz="0" w:space="0" w:color="auto"/>
          </w:divBdr>
          <w:divsChild>
            <w:div w:id="2091076782">
              <w:marLeft w:val="0"/>
              <w:marRight w:val="0"/>
              <w:marTop w:val="0"/>
              <w:marBottom w:val="0"/>
              <w:divBdr>
                <w:top w:val="none" w:sz="0" w:space="0" w:color="auto"/>
                <w:left w:val="none" w:sz="0" w:space="0" w:color="auto"/>
                <w:bottom w:val="none" w:sz="0" w:space="0" w:color="auto"/>
                <w:right w:val="none" w:sz="0" w:space="0" w:color="auto"/>
              </w:divBdr>
              <w:divsChild>
                <w:div w:id="250894615">
                  <w:marLeft w:val="0"/>
                  <w:marRight w:val="0"/>
                  <w:marTop w:val="0"/>
                  <w:marBottom w:val="0"/>
                  <w:divBdr>
                    <w:top w:val="none" w:sz="0" w:space="0" w:color="auto"/>
                    <w:left w:val="none" w:sz="0" w:space="0" w:color="auto"/>
                    <w:bottom w:val="none" w:sz="0" w:space="0" w:color="auto"/>
                    <w:right w:val="none" w:sz="0" w:space="0" w:color="auto"/>
                  </w:divBdr>
                  <w:divsChild>
                    <w:div w:id="628903932">
                      <w:marLeft w:val="0"/>
                      <w:marRight w:val="0"/>
                      <w:marTop w:val="0"/>
                      <w:marBottom w:val="0"/>
                      <w:divBdr>
                        <w:top w:val="none" w:sz="0" w:space="0" w:color="auto"/>
                        <w:left w:val="none" w:sz="0" w:space="0" w:color="auto"/>
                        <w:bottom w:val="none" w:sz="0" w:space="0" w:color="auto"/>
                        <w:right w:val="none" w:sz="0" w:space="0" w:color="auto"/>
                      </w:divBdr>
                      <w:divsChild>
                        <w:div w:id="3639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14136">
          <w:marLeft w:val="0"/>
          <w:marRight w:val="0"/>
          <w:marTop w:val="0"/>
          <w:marBottom w:val="0"/>
          <w:divBdr>
            <w:top w:val="none" w:sz="0" w:space="0" w:color="auto"/>
            <w:left w:val="none" w:sz="0" w:space="0" w:color="auto"/>
            <w:bottom w:val="none" w:sz="0" w:space="0" w:color="auto"/>
            <w:right w:val="none" w:sz="0" w:space="0" w:color="auto"/>
          </w:divBdr>
          <w:divsChild>
            <w:div w:id="487786058">
              <w:marLeft w:val="0"/>
              <w:marRight w:val="0"/>
              <w:marTop w:val="0"/>
              <w:marBottom w:val="0"/>
              <w:divBdr>
                <w:top w:val="none" w:sz="0" w:space="0" w:color="auto"/>
                <w:left w:val="none" w:sz="0" w:space="0" w:color="auto"/>
                <w:bottom w:val="none" w:sz="0" w:space="0" w:color="auto"/>
                <w:right w:val="none" w:sz="0" w:space="0" w:color="auto"/>
              </w:divBdr>
              <w:divsChild>
                <w:div w:id="369184448">
                  <w:marLeft w:val="0"/>
                  <w:marRight w:val="0"/>
                  <w:marTop w:val="0"/>
                  <w:marBottom w:val="0"/>
                  <w:divBdr>
                    <w:top w:val="none" w:sz="0" w:space="0" w:color="auto"/>
                    <w:left w:val="none" w:sz="0" w:space="0" w:color="auto"/>
                    <w:bottom w:val="none" w:sz="0" w:space="0" w:color="auto"/>
                    <w:right w:val="none" w:sz="0" w:space="0" w:color="auto"/>
                  </w:divBdr>
                </w:div>
                <w:div w:id="1153065612">
                  <w:marLeft w:val="0"/>
                  <w:marRight w:val="0"/>
                  <w:marTop w:val="0"/>
                  <w:marBottom w:val="0"/>
                  <w:divBdr>
                    <w:top w:val="none" w:sz="0" w:space="0" w:color="auto"/>
                    <w:left w:val="none" w:sz="0" w:space="0" w:color="auto"/>
                    <w:bottom w:val="none" w:sz="0" w:space="0" w:color="auto"/>
                    <w:right w:val="none" w:sz="0" w:space="0" w:color="auto"/>
                  </w:divBdr>
                </w:div>
                <w:div w:id="709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xa-x.eu/members/" TargetMode="External"/><Relationship Id="rId18" Type="http://schemas.openxmlformats.org/officeDocument/2006/relationships/hyperlink" Target="https://docs.fcc.gov/public/attachments/DA-23-296A1.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cc.gov/ecfs/document/10421103325993/1"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docs.fcc.gov/public/attachments/DOC-370781A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icsson.com/assets/local/reports-papers/white-papers/6g-spectrum.pdf" TargetMode="External"/><Relationship Id="rId20" Type="http://schemas.openxmlformats.org/officeDocument/2006/relationships/hyperlink" Target="https://www.fcc.gov/ecfs/document/1042115056254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www.ericsson.com/4ae28d/assets/local/reports-papers/mobility-report/documents/2022/ericsson-mobility-report-november-2022.pdf"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cc.gov/ecfs/search/search-filings/filing/1042113361160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3.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0" ma:contentTypeDescription="stakeholder communications relating to team or project&#10;" ma:contentTypeScope="" ma:versionID="eb0b5a4b4ddd4c7947009cd31bc19059">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7e1a4faf22ba5734bf120d2c02b42ca3"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9069ab6e-cbb1-4306-ad7e-01a48c91ef8b" ContentTypeId="0x010100CAA12C5105342047A1E5FE66CBFB41077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lcf76f155ced4ddcb4097134ff3c332f xmlns="ba712082-ff81-49c1-a241-94c9f69f8dde">
      <Terms xmlns="http://schemas.microsoft.com/office/infopath/2007/PartnerControls"/>
    </lcf76f155ced4ddcb4097134ff3c332f>
    <Hyperlink xmlns="ba712082-ff81-49c1-a241-94c9f69f8dde">
      <Url xsi:nil="true"/>
      <Description xsi:nil="true"/>
    </Hyperlink>
  </documentManagement>
</p:properties>
</file>

<file path=customXml/itemProps1.xml><?xml version="1.0" encoding="utf-8"?>
<ds:datastoreItem xmlns:ds="http://schemas.openxmlformats.org/officeDocument/2006/customXml" ds:itemID="{D119ABCD-2356-4B1D-B3F5-81E657DE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2E57D-5C26-4D3C-A2DC-DAA857FBD9F0}">
  <ds:schemaRefs>
    <ds:schemaRef ds:uri="http://schemas.openxmlformats.org/officeDocument/2006/bibliography"/>
  </ds:schemaRefs>
</ds:datastoreItem>
</file>

<file path=customXml/itemProps3.xml><?xml version="1.0" encoding="utf-8"?>
<ds:datastoreItem xmlns:ds="http://schemas.openxmlformats.org/officeDocument/2006/customXml" ds:itemID="{75195120-6D5F-4716-A3F4-00DEDEE765DB}">
  <ds:schemaRefs>
    <ds:schemaRef ds:uri="Microsoft.SharePoint.Taxonomy.ContentTypeSync"/>
  </ds:schemaRefs>
</ds:datastoreItem>
</file>

<file path=customXml/itemProps4.xml><?xml version="1.0" encoding="utf-8"?>
<ds:datastoreItem xmlns:ds="http://schemas.openxmlformats.org/officeDocument/2006/customXml" ds:itemID="{5114FED2-093C-4827-9DBC-56EBD59F5497}">
  <ds:schemaRefs>
    <ds:schemaRef ds:uri="http://schemas.microsoft.com/sharepoint/v3/contenttype/forms"/>
  </ds:schemaRefs>
</ds:datastoreItem>
</file>

<file path=customXml/itemProps5.xml><?xml version="1.0" encoding="utf-8"?>
<ds:datastoreItem xmlns:ds="http://schemas.openxmlformats.org/officeDocument/2006/customXml" ds:itemID="{C7739FF9-CFA7-4CC7-97A4-BC05FAE21C14}">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4157</Words>
  <Characters>21954</Characters>
  <Application>Microsoft Office Word</Application>
  <DocSecurity>0</DocSecurity>
  <Lines>997</Lines>
  <Paragraphs>580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 Mohyeldin (Nokia)</dc:creator>
  <cp:keywords/>
  <dc:description/>
  <cp:lastModifiedBy>Steve Talbot</cp:lastModifiedBy>
  <cp:revision>81</cp:revision>
  <dcterms:created xsi:type="dcterms:W3CDTF">2023-04-24T17:14:00Z</dcterms:created>
  <dcterms:modified xsi:type="dcterms:W3CDTF">2023-04-25T15:13:00Z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(3)pyORXplkctm7PdIJeiAO4AyCSNm8GyrKC2BPVg0AObrqGeQ7Gi3XlMgeCr0NIBt43IpAnco2
SalS3Bqm3BwiP3jK3/uuyJgVdXVB5Yyy8IDMzlgUyPwE1P+qAi3XgZ0/9FylygiOzMhaVmyo
V2vNv1Yg8fPvze29CyLd5oZGi5iEzLwhcLrLfr/Zy8zN5zfABTTzabc+nts/gnH5bDx3aMRA
Z9IcE37RrqbP73gJvw</vt:lpwstr>
  </property>
  <property fmtid="{D5CDD505-2E9C-101B-9397-08002B2CF9AE}" pid="4" name="_2015_ms_pID_7253431">
    <vt:lpwstr>Gb0W9cBY1Kzo6Ym9Nb+41Gc7hB0ZI9FyLNE/I5oFw6y3D2qI9dGXbq
kYneUV4QeZXYhGFEM276v9ZqlDx8fHg7PUButqrUtY2FLVJq4mucbokSts8FNiONmV0oM27P
b0A+zjXvkUDjzYsZUsg1eVuu6QLt+LFO2oQQQypaLYqgL0BtcwzZ/ZGuDimnOHGwhEnVttpq
fYZAiEDukr4N8K9zfXyZxVo8sn8ZYK1pEpmY</vt:lpwstr>
  </property>
  <property fmtid="{D5CDD505-2E9C-101B-9397-08002B2CF9AE}" pid="5" name="MSIP_Label_5a50d26f-5c2c-4137-8396-1b24eb24286c_Enabled">
    <vt:lpwstr>true</vt:lpwstr>
  </property>
  <property fmtid="{D5CDD505-2E9C-101B-9397-08002B2CF9AE}" pid="6" name="MSIP_Label_5a50d26f-5c2c-4137-8396-1b24eb24286c_SetDate">
    <vt:lpwstr>2022-06-15T09:14:43Z</vt:lpwstr>
  </property>
  <property fmtid="{D5CDD505-2E9C-101B-9397-08002B2CF9AE}" pid="7" name="MSIP_Label_5a50d26f-5c2c-4137-8396-1b24eb24286c_Method">
    <vt:lpwstr>Privileged</vt:lpwstr>
  </property>
  <property fmtid="{D5CDD505-2E9C-101B-9397-08002B2CF9AE}" pid="8" name="MSIP_Label_5a50d26f-5c2c-4137-8396-1b24eb24286c_Name">
    <vt:lpwstr>5a50d26f-5c2c-4137-8396-1b24eb24286c</vt:lpwstr>
  </property>
  <property fmtid="{D5CDD505-2E9C-101B-9397-08002B2CF9AE}" pid="9" name="MSIP_Label_5a50d26f-5c2c-4137-8396-1b24eb24286c_SiteId">
    <vt:lpwstr>0af648de-310c-4068-8ae4-f9418bae24cc</vt:lpwstr>
  </property>
  <property fmtid="{D5CDD505-2E9C-101B-9397-08002B2CF9AE}" pid="10" name="MSIP_Label_5a50d26f-5c2c-4137-8396-1b24eb24286c_ActionId">
    <vt:lpwstr>496201d9-4006-4ef0-8738-a748f43a137a</vt:lpwstr>
  </property>
  <property fmtid="{D5CDD505-2E9C-101B-9397-08002B2CF9AE}" pid="11" name="MSIP_Label_5a50d26f-5c2c-4137-8396-1b24eb24286c_ContentBits">
    <vt:lpwstr>0</vt:lpwstr>
  </property>
  <property fmtid="{D5CDD505-2E9C-101B-9397-08002B2CF9AE}" pid="12" name="ContentTypeId">
    <vt:lpwstr>0x010100CAA12C5105342047A1E5FE66CBFB41077D0077CF2320134F6146BF6CC804A6E36883</vt:lpwstr>
  </property>
  <property fmtid="{D5CDD505-2E9C-101B-9397-08002B2CF9AE}" pid="13" name="MediaServiceImageTag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1681450507</vt:lpwstr>
  </property>
  <property fmtid="{D5CDD505-2E9C-101B-9397-08002B2CF9AE}" pid="18" name="_2015_ms_pID_7253432">
    <vt:lpwstr>uFAkEIN2QHv1INJwVY0PIM0=</vt:lpwstr>
  </property>
</Properties>
</file>