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749"/>
        <w:gridCol w:w="3001"/>
        <w:gridCol w:w="4961"/>
        <w:gridCol w:w="69"/>
      </w:tblGrid>
      <w:tr w:rsidR="00265F50" w:rsidRPr="00A3755D" w14:paraId="2085C641" w14:textId="77777777" w:rsidTr="001A39F7">
        <w:trPr>
          <w:gridAfter w:val="1"/>
          <w:wAfter w:w="69" w:type="dxa"/>
          <w:cantSplit/>
          <w:trHeight w:val="15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7937E" w14:textId="4E076A63" w:rsidR="00265F50" w:rsidRPr="00265F50" w:rsidRDefault="00265F50" w:rsidP="00DD5136">
            <w:pPr>
              <w:pStyle w:val="ECCLetterHead"/>
            </w:pPr>
            <w:r w:rsidRPr="00265F50">
              <w:rPr>
                <w:noProof/>
                <w:lang w:val="da-DK" w:eastAsia="da-DK"/>
              </w:rPr>
              <w:drawing>
                <wp:inline distT="0" distB="0" distL="0" distR="0" wp14:anchorId="40AAA9EB" wp14:editId="6E4581F9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2BE8">
              <w:t>CPG PTB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911F235" w14:textId="5C8C9EB4" w:rsidR="00265F50" w:rsidRPr="00265F50" w:rsidRDefault="00265F50" w:rsidP="00DD5136">
            <w:pPr>
              <w:pStyle w:val="ECCLetterHead"/>
            </w:pPr>
            <w:r>
              <w:tab/>
            </w:r>
            <w:r w:rsidR="00F32BE8" w:rsidRPr="00AE0CAB">
              <w:t xml:space="preserve">Doc. </w:t>
            </w:r>
            <w:proofErr w:type="gramStart"/>
            <w:r w:rsidR="00F32BE8" w:rsidRPr="00AE0CAB">
              <w:t>PTB(</w:t>
            </w:r>
            <w:proofErr w:type="gramEnd"/>
            <w:r w:rsidR="0074216E">
              <w:t>23</w:t>
            </w:r>
            <w:r w:rsidR="00F32BE8" w:rsidRPr="00AE0CAB">
              <w:t>)</w:t>
            </w:r>
            <w:r w:rsidR="00B3242B">
              <w:t>110</w:t>
            </w:r>
          </w:p>
        </w:tc>
      </w:tr>
      <w:tr w:rsidR="001A39F7" w14:paraId="2851CE94" w14:textId="77777777" w:rsidTr="001A39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0" w:type="dxa"/>
          <w:cantSplit/>
          <w:trHeight w:val="405"/>
        </w:trPr>
        <w:tc>
          <w:tcPr>
            <w:tcW w:w="9780" w:type="dxa"/>
            <w:gridSpan w:val="4"/>
            <w:vAlign w:val="center"/>
            <w:hideMark/>
          </w:tcPr>
          <w:p w14:paraId="7C7825DF" w14:textId="36617AA0" w:rsidR="001A39F7" w:rsidRPr="00AE0CAB" w:rsidRDefault="001A39F7">
            <w:pPr>
              <w:pStyle w:val="ECCLetterHead"/>
            </w:pPr>
            <w:r w:rsidRPr="00AE0CAB">
              <w:t>CPG23 PTB #</w:t>
            </w:r>
            <w:r w:rsidR="00AE0CAB">
              <w:t>8</w:t>
            </w:r>
          </w:p>
        </w:tc>
      </w:tr>
      <w:tr w:rsidR="001A39F7" w14:paraId="67ABA6D3" w14:textId="77777777" w:rsidTr="001A39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0" w:type="dxa"/>
          <w:cantSplit/>
          <w:trHeight w:val="405"/>
        </w:trPr>
        <w:tc>
          <w:tcPr>
            <w:tcW w:w="9780" w:type="dxa"/>
            <w:gridSpan w:val="4"/>
            <w:vAlign w:val="center"/>
            <w:hideMark/>
          </w:tcPr>
          <w:p w14:paraId="656ED343" w14:textId="1B820C0E" w:rsidR="001A39F7" w:rsidRPr="00AE0CAB" w:rsidRDefault="00AE0CAB">
            <w:pPr>
              <w:pStyle w:val="ECCLetterHead"/>
            </w:pPr>
            <w:r>
              <w:t>Mainz, Hybrid, 24th – 28th July 2023</w:t>
            </w:r>
          </w:p>
        </w:tc>
      </w:tr>
      <w:tr w:rsidR="00F11542" w:rsidRPr="00A3755D" w14:paraId="4B0D1AF6" w14:textId="77777777" w:rsidTr="001A39F7">
        <w:tblPrEx>
          <w:tblCellMar>
            <w:left w:w="108" w:type="dxa"/>
            <w:right w:w="108" w:type="dxa"/>
          </w:tblCellMar>
        </w:tblPrEx>
        <w:trPr>
          <w:gridAfter w:val="1"/>
          <w:wAfter w:w="69" w:type="dxa"/>
          <w:cantSplit/>
          <w:trHeight w:hRule="exact" w:val="79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C15CD" w14:textId="77777777" w:rsidR="00F11542" w:rsidRPr="00A3755D" w:rsidRDefault="00F11542" w:rsidP="00263FFB">
            <w:pPr>
              <w:pStyle w:val="ECCLetterHead"/>
            </w:pPr>
          </w:p>
        </w:tc>
      </w:tr>
      <w:tr w:rsidR="00263FFB" w:rsidRPr="00A3755D" w14:paraId="7893EA43" w14:textId="77777777" w:rsidTr="001A39F7">
        <w:tblPrEx>
          <w:tblCellMar>
            <w:left w:w="108" w:type="dxa"/>
            <w:right w:w="108" w:type="dxa"/>
          </w:tblCellMar>
        </w:tblPrEx>
        <w:trPr>
          <w:gridAfter w:val="1"/>
          <w:wAfter w:w="69" w:type="dxa"/>
          <w:cantSplit/>
          <w:trHeight w:val="405"/>
        </w:trPr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01FC4" w14:textId="77777777" w:rsidR="00263FFB" w:rsidRPr="00263FFB" w:rsidRDefault="00263FFB" w:rsidP="00263FFB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7838" w14:textId="3A7CCD29" w:rsidR="00263FFB" w:rsidRPr="00263FFB" w:rsidRDefault="00FB58BA" w:rsidP="00263FFB">
            <w:pPr>
              <w:pStyle w:val="ECCLetterHead"/>
            </w:pPr>
            <w:r>
              <w:t>17</w:t>
            </w:r>
            <w:r w:rsidRPr="00FB58BA">
              <w:rPr>
                <w:vertAlign w:val="superscript"/>
              </w:rPr>
              <w:t>th</w:t>
            </w:r>
            <w:r>
              <w:t xml:space="preserve"> July 2023</w:t>
            </w:r>
          </w:p>
        </w:tc>
      </w:tr>
      <w:tr w:rsidR="00263FFB" w:rsidRPr="00A3755D" w14:paraId="610BD899" w14:textId="77777777" w:rsidTr="001A39F7">
        <w:tblPrEx>
          <w:tblCellMar>
            <w:left w:w="108" w:type="dxa"/>
            <w:right w:w="108" w:type="dxa"/>
          </w:tblCellMar>
        </w:tblPrEx>
        <w:trPr>
          <w:gridAfter w:val="1"/>
          <w:wAfter w:w="69" w:type="dxa"/>
          <w:cantSplit/>
          <w:trHeight w:val="405"/>
        </w:trPr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EF816" w14:textId="77777777" w:rsidR="00263FFB" w:rsidRPr="00263FFB" w:rsidRDefault="00263FFB" w:rsidP="00263FFB">
            <w:pPr>
              <w:pStyle w:val="ECCLetterHead"/>
            </w:pPr>
            <w:r w:rsidRPr="00A3755D">
              <w:t xml:space="preserve">Source: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045A0" w14:textId="046A675F" w:rsidR="00263FFB" w:rsidRPr="00263FFB" w:rsidRDefault="00FB58BA" w:rsidP="00263FFB">
            <w:pPr>
              <w:pStyle w:val="ECCLetterHead"/>
            </w:pPr>
            <w:bookmarkStart w:id="0" w:name="_GoBack"/>
            <w:proofErr w:type="spellStart"/>
            <w:r>
              <w:t>Onewe</w:t>
            </w:r>
            <w:r w:rsidR="0048093B">
              <w:t>b</w:t>
            </w:r>
            <w:proofErr w:type="spellEnd"/>
            <w:r w:rsidR="00323219">
              <w:t>, SpaceX</w:t>
            </w:r>
            <w:bookmarkEnd w:id="0"/>
          </w:p>
        </w:tc>
      </w:tr>
      <w:tr w:rsidR="00263FFB" w:rsidRPr="00A3755D" w14:paraId="31AEFAF8" w14:textId="77777777" w:rsidTr="001A39F7">
        <w:tblPrEx>
          <w:tblCellMar>
            <w:left w:w="108" w:type="dxa"/>
            <w:right w:w="108" w:type="dxa"/>
          </w:tblCellMar>
        </w:tblPrEx>
        <w:trPr>
          <w:gridAfter w:val="1"/>
          <w:wAfter w:w="69" w:type="dxa"/>
          <w:cantSplit/>
          <w:trHeight w:val="405"/>
        </w:trPr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15EBE" w14:textId="77777777" w:rsidR="00263FFB" w:rsidRPr="00263FFB" w:rsidRDefault="00263FFB" w:rsidP="00263FFB">
            <w:pPr>
              <w:pStyle w:val="ECCLetterHead"/>
            </w:pPr>
            <w:r w:rsidRPr="00A3755D">
              <w:t xml:space="preserve">Subject: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6DD9" w14:textId="3A719391" w:rsidR="00263FFB" w:rsidRPr="00263FFB" w:rsidRDefault="00B3242B" w:rsidP="00263FFB">
            <w:pPr>
              <w:pStyle w:val="ECCLetterHead"/>
            </w:pPr>
            <w:r>
              <w:t xml:space="preserve">Proposal </w:t>
            </w:r>
            <w:r w:rsidRPr="00B3242B">
              <w:t xml:space="preserve">on WRC-23 agenda item 7 Topic </w:t>
            </w:r>
            <w:r w:rsidR="00FB58BA">
              <w:t>B</w:t>
            </w:r>
          </w:p>
        </w:tc>
      </w:tr>
      <w:tr w:rsidR="00263FFB" w:rsidRPr="00A3755D" w14:paraId="1E7D321D" w14:textId="77777777" w:rsidTr="001A39F7">
        <w:tblPrEx>
          <w:tblCellMar>
            <w:left w:w="108" w:type="dxa"/>
            <w:right w:w="108" w:type="dxa"/>
          </w:tblCellMar>
        </w:tblPrEx>
        <w:trPr>
          <w:gridAfter w:val="1"/>
          <w:wAfter w:w="69" w:type="dxa"/>
          <w:cantSplit/>
          <w:trHeight w:val="104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ECD78" w14:textId="77777777" w:rsidR="00263FFB" w:rsidRPr="00263FFB" w:rsidRDefault="00263FFB" w:rsidP="00263FFB">
            <w:pPr>
              <w:pStyle w:val="ECCTabletext"/>
            </w:pPr>
            <w:r w:rsidRPr="00263FFB">
              <w:rPr>
                <w:noProof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7B9812FB" wp14:editId="141D2C2F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186690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CC951" w14:textId="77777777" w:rsidR="00263FFB" w:rsidRPr="00F45561" w:rsidRDefault="00F45561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7B9812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14.05pt;margin-top:14.7pt;width:36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" o:allowincell="f">
                      <v:textbox inset="1.2mm,.8mm,1mm,2mm">
                        <w:txbxContent>
                          <w:p w14:paraId="2F0CC951" w14:textId="77777777" w:rsidR="00263FFB" w:rsidRPr="00F45561" w:rsidRDefault="00F45561" w:rsidP="00F45561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3FFB">
              <w:t>Group membership required to read? (Y/N)</w:t>
            </w:r>
          </w:p>
        </w:tc>
      </w:tr>
      <w:tr w:rsidR="00263FFB" w:rsidRPr="00A3755D" w14:paraId="4EB50F1F" w14:textId="77777777" w:rsidTr="001A39F7">
        <w:tblPrEx>
          <w:tblCellMar>
            <w:left w:w="108" w:type="dxa"/>
            <w:right w:w="108" w:type="dxa"/>
          </w:tblCellMar>
        </w:tblPrEx>
        <w:trPr>
          <w:gridAfter w:val="1"/>
          <w:wAfter w:w="69" w:type="dxa"/>
          <w:cantSplit/>
          <w:trHeight w:hRule="exact" w:val="7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3AE2" w14:textId="77777777" w:rsidR="00263FFB" w:rsidRPr="00F32DEC" w:rsidRDefault="00263FFB" w:rsidP="00263FFB">
            <w:pPr>
              <w:rPr>
                <w:rStyle w:val="ECCParagraph"/>
              </w:rPr>
            </w:pPr>
          </w:p>
          <w:p w14:paraId="24F7BA5C" w14:textId="77777777" w:rsidR="00263FFB" w:rsidRPr="00A3755D" w:rsidRDefault="00263FFB" w:rsidP="00263FFB"/>
        </w:tc>
      </w:tr>
      <w:tr w:rsidR="00263FFB" w:rsidRPr="00A3755D" w14:paraId="346A4B22" w14:textId="77777777" w:rsidTr="001A39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  <w:cantSplit/>
          <w:trHeight w:val="446"/>
        </w:trPr>
        <w:tc>
          <w:tcPr>
            <w:tcW w:w="9781" w:type="dxa"/>
            <w:gridSpan w:val="4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1311FED7" w14:textId="77777777" w:rsidR="00263FFB" w:rsidRPr="00263FFB" w:rsidRDefault="00263FFB" w:rsidP="00263FFB">
            <w:pPr>
              <w:pStyle w:val="ECCLetterHead"/>
            </w:pPr>
            <w:r w:rsidRPr="00A3755D">
              <w:t xml:space="preserve">Summary: </w:t>
            </w:r>
          </w:p>
        </w:tc>
      </w:tr>
      <w:tr w:rsidR="00263FFB" w:rsidRPr="00A3755D" w14:paraId="6E5E5CE9" w14:textId="77777777" w:rsidTr="001A39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  <w:cantSplit/>
          <w:trHeight w:val="1112"/>
        </w:trPr>
        <w:tc>
          <w:tcPr>
            <w:tcW w:w="9781" w:type="dxa"/>
            <w:gridSpan w:val="4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6CD126B3" w14:textId="03C1B184" w:rsidR="00263FFB" w:rsidRDefault="00DF3AEA" w:rsidP="00263FFB">
            <w:pPr>
              <w:pStyle w:val="ECCTabletext"/>
            </w:pPr>
            <w:r>
              <w:t xml:space="preserve">In the context of Agenda Item 7 Topic B, </w:t>
            </w:r>
            <w:r w:rsidR="008A4409">
              <w:t>PTB has discussed at previous meeting</w:t>
            </w:r>
            <w:r w:rsidR="00344131">
              <w:t>s</w:t>
            </w:r>
            <w:r w:rsidR="008A4409">
              <w:t xml:space="preserve"> </w:t>
            </w:r>
            <w:r w:rsidR="00705C9E">
              <w:t>several</w:t>
            </w:r>
            <w:r w:rsidR="008A4409">
              <w:t xml:space="preserve"> possible ways forward to satisfy this topic B of the agenda item 7</w:t>
            </w:r>
            <w:r w:rsidR="008066A0">
              <w:t>:</w:t>
            </w:r>
          </w:p>
          <w:p w14:paraId="43D43A16" w14:textId="77777777" w:rsidR="008066A0" w:rsidRDefault="008066A0" w:rsidP="00263FFB">
            <w:pPr>
              <w:pStyle w:val="ECCTabletext"/>
            </w:pPr>
          </w:p>
          <w:p w14:paraId="708A4A6B" w14:textId="24183C8D" w:rsidR="00BE11ED" w:rsidRDefault="008A4409" w:rsidP="00BE11ED">
            <w:pPr>
              <w:pStyle w:val="ECCTabletext"/>
              <w:numPr>
                <w:ilvl w:val="0"/>
                <w:numId w:val="10"/>
              </w:numPr>
            </w:pPr>
            <w:r>
              <w:t>Revision of RR No 11.49 and clarif</w:t>
            </w:r>
            <w:r w:rsidR="00A02EAB">
              <w:t>ication of</w:t>
            </w:r>
            <w:r>
              <w:t xml:space="preserve"> its applicability to suspension of frequency assignments associated to individual space stations</w:t>
            </w:r>
            <w:r w:rsidR="00D27531">
              <w:t>.</w:t>
            </w:r>
            <w:r w:rsidR="007D27DA">
              <w:t xml:space="preserve"> Whether this option is a full</w:t>
            </w:r>
            <w:r w:rsidR="0098692A">
              <w:t xml:space="preserve"> or </w:t>
            </w:r>
            <w:r w:rsidR="000E4D74">
              <w:t>partial</w:t>
            </w:r>
            <w:r w:rsidR="007D27DA">
              <w:t xml:space="preserve"> solution for Topic B, it should be </w:t>
            </w:r>
            <w:r w:rsidR="003B254A">
              <w:t>considered as a necessary clarification</w:t>
            </w:r>
            <w:r w:rsidR="00BE11ED">
              <w:t>. No. 11.49 contains an ambiguity, or a restriction of its applicability to non-GSO</w:t>
            </w:r>
            <w:r w:rsidR="00F1482A">
              <w:t xml:space="preserve">, </w:t>
            </w:r>
            <w:r w:rsidR="00BE11ED">
              <w:t xml:space="preserve">as it can be applied </w:t>
            </w:r>
            <w:r w:rsidR="00567FA6">
              <w:t xml:space="preserve">only </w:t>
            </w:r>
            <w:r w:rsidR="00BE11ED">
              <w:t xml:space="preserve">to individual frequency assignments </w:t>
            </w:r>
            <w:r w:rsidR="00567FA6">
              <w:t xml:space="preserve">but </w:t>
            </w:r>
            <w:r w:rsidR="0040453A">
              <w:t xml:space="preserve">can be interpreted as </w:t>
            </w:r>
            <w:r w:rsidR="00567FA6">
              <w:t xml:space="preserve">affecting to </w:t>
            </w:r>
            <w:r w:rsidR="00BE11ED">
              <w:t xml:space="preserve">all space stations of a non-geostationary-satellite system. The latter is equivalent to a total suspension of </w:t>
            </w:r>
            <w:r w:rsidR="008066A0">
              <w:t>certain</w:t>
            </w:r>
            <w:r w:rsidR="00BE11ED">
              <w:t xml:space="preserve"> frequency assignments of </w:t>
            </w:r>
            <w:r w:rsidR="008066A0">
              <w:t xml:space="preserve">the whole </w:t>
            </w:r>
            <w:r w:rsidR="00BE11ED">
              <w:t>non-geostationary-satellite system</w:t>
            </w:r>
            <w:r w:rsidR="008066A0">
              <w:t xml:space="preserve">, which is not the expected </w:t>
            </w:r>
            <w:r w:rsidR="000136F4">
              <w:t>outcome of</w:t>
            </w:r>
            <w:r w:rsidR="008066A0">
              <w:t xml:space="preserve"> Topic B.</w:t>
            </w:r>
          </w:p>
          <w:p w14:paraId="4EDEE4F0" w14:textId="77777777" w:rsidR="008066A0" w:rsidRDefault="008066A0" w:rsidP="008066A0">
            <w:pPr>
              <w:pStyle w:val="ECCTabletext"/>
              <w:ind w:left="930"/>
            </w:pPr>
          </w:p>
          <w:p w14:paraId="6377A0A8" w14:textId="156C2CB4" w:rsidR="008A4409" w:rsidRDefault="003B123F" w:rsidP="003504A7">
            <w:pPr>
              <w:pStyle w:val="ECCTabletext"/>
              <w:numPr>
                <w:ilvl w:val="0"/>
                <w:numId w:val="10"/>
              </w:numPr>
            </w:pPr>
            <w:r>
              <w:t>Draft</w:t>
            </w:r>
            <w:r w:rsidR="000136F4">
              <w:t>ing of a</w:t>
            </w:r>
            <w:r>
              <w:t xml:space="preserve"> new resolution replacing resolves 19 of Resolution 35</w:t>
            </w:r>
            <w:r w:rsidR="00476431">
              <w:t>, discussing the thresholds</w:t>
            </w:r>
            <w:r w:rsidR="0098692A">
              <w:t xml:space="preserve"> for reduction in number of satellites in a non-GSO system</w:t>
            </w:r>
            <w:r w:rsidR="00476431">
              <w:t xml:space="preserve"> and other </w:t>
            </w:r>
            <w:r w:rsidR="000136F4">
              <w:t xml:space="preserve">relevant </w:t>
            </w:r>
            <w:r w:rsidR="00476431">
              <w:t>aspects</w:t>
            </w:r>
            <w:r w:rsidR="0040453A">
              <w:t>.</w:t>
            </w:r>
          </w:p>
          <w:p w14:paraId="3D4B815C" w14:textId="77777777" w:rsidR="00476431" w:rsidRDefault="00476431" w:rsidP="00476431">
            <w:pPr>
              <w:pStyle w:val="Paragraphedeliste"/>
            </w:pPr>
          </w:p>
          <w:p w14:paraId="117270CF" w14:textId="71FBC57D" w:rsidR="002F70E6" w:rsidRPr="00263FFB" w:rsidRDefault="00675CFD" w:rsidP="001F4EDC">
            <w:pPr>
              <w:pStyle w:val="ECCTabletext"/>
              <w:numPr>
                <w:ilvl w:val="0"/>
                <w:numId w:val="10"/>
              </w:numPr>
            </w:pPr>
            <w:r>
              <w:t>D</w:t>
            </w:r>
            <w:r w:rsidR="00476431">
              <w:t>eferring this issue to a later Conference</w:t>
            </w:r>
            <w:r>
              <w:t xml:space="preserve">, after </w:t>
            </w:r>
            <w:r w:rsidR="00C83C95">
              <w:t>studies and experience have been accumulated,</w:t>
            </w:r>
            <w:r w:rsidR="00476431">
              <w:t xml:space="preserve"> adopting NOC at WRC 23.</w:t>
            </w:r>
          </w:p>
        </w:tc>
      </w:tr>
      <w:tr w:rsidR="00263FFB" w:rsidRPr="00A3755D" w14:paraId="0A2084F3" w14:textId="77777777" w:rsidTr="001A39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  <w:cantSplit/>
          <w:trHeight w:val="443"/>
        </w:trPr>
        <w:tc>
          <w:tcPr>
            <w:tcW w:w="9781" w:type="dxa"/>
            <w:gridSpan w:val="4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7BEC3F8F" w14:textId="77777777" w:rsidR="00263FFB" w:rsidRDefault="00263FFB" w:rsidP="00263FFB">
            <w:pPr>
              <w:pStyle w:val="ECCLetterHead"/>
            </w:pPr>
            <w:r w:rsidRPr="00A3755D">
              <w:t>Proposal:</w:t>
            </w:r>
          </w:p>
          <w:p w14:paraId="212497C8" w14:textId="77777777" w:rsidR="0039279E" w:rsidRDefault="0039279E" w:rsidP="0039279E">
            <w:pPr>
              <w:pStyle w:val="ECCTabletext"/>
            </w:pPr>
            <w:r>
              <w:t>PTB is invited to consider:</w:t>
            </w:r>
          </w:p>
          <w:p w14:paraId="11F350AE" w14:textId="77777777" w:rsidR="008066A0" w:rsidRDefault="008066A0" w:rsidP="0039279E">
            <w:pPr>
              <w:pStyle w:val="ECCTabletext"/>
            </w:pPr>
          </w:p>
          <w:p w14:paraId="5CB07CA7" w14:textId="62D4386B" w:rsidR="001F4EDC" w:rsidRDefault="001F4EDC" w:rsidP="001F4EDC">
            <w:pPr>
              <w:pStyle w:val="ECCBulletsLv2"/>
            </w:pPr>
            <w:r>
              <w:t xml:space="preserve">Reconsider the need of </w:t>
            </w:r>
            <w:r w:rsidRPr="003C2B29">
              <w:t>a new Resolution to replace resolves 19 of Resolution 35 (WRC-19) at WRC-23 suppressing resolves 19 of Resolution 35 (WRC-19) and leaving the rest of the Resolution 35 (WRC-19) as is</w:t>
            </w:r>
            <w:r>
              <w:t xml:space="preserve">. This contribution proposes to reconsider the post-milestone procedure at WRC-27 when more experience will </w:t>
            </w:r>
            <w:r w:rsidR="00C83C95">
              <w:t xml:space="preserve">have </w:t>
            </w:r>
            <w:r>
              <w:t>be</w:t>
            </w:r>
            <w:r w:rsidR="00C83C95">
              <w:t>en</w:t>
            </w:r>
            <w:r>
              <w:t xml:space="preserve"> gained</w:t>
            </w:r>
            <w:r w:rsidR="00C83C95">
              <w:t>,</w:t>
            </w:r>
            <w:r>
              <w:t xml:space="preserve"> noting that all milestones defined in Resolution 35 (WRC-19) will not take place until after WRC-23.</w:t>
            </w:r>
          </w:p>
          <w:p w14:paraId="129D9232" w14:textId="4AAF9DDB" w:rsidR="00E87723" w:rsidRDefault="001F4EDC" w:rsidP="001F4EDC">
            <w:pPr>
              <w:pStyle w:val="ECCBulletsLv2"/>
            </w:pPr>
            <w:r>
              <w:t>Adopt a NOC for the WRC-23</w:t>
            </w:r>
            <w:r w:rsidR="00C83C95">
              <w:t>.</w:t>
            </w:r>
          </w:p>
          <w:p w14:paraId="351F3AD3" w14:textId="3F25E611" w:rsidR="00BD6BCF" w:rsidRPr="00263FFB" w:rsidRDefault="004B5AB0" w:rsidP="001F4EDC">
            <w:pPr>
              <w:pStyle w:val="ECCBulletsLv2"/>
            </w:pPr>
            <w:r>
              <w:t>Consider</w:t>
            </w:r>
            <w:r w:rsidR="00873963">
              <w:t xml:space="preserve"> </w:t>
            </w:r>
            <w:r w:rsidR="00C83C95">
              <w:t xml:space="preserve">a </w:t>
            </w:r>
            <w:r w:rsidR="00873963">
              <w:t xml:space="preserve">modification of No. 11.49 to </w:t>
            </w:r>
            <w:r w:rsidR="007D015C">
              <w:t>provide for</w:t>
            </w:r>
            <w:r w:rsidR="00873963">
              <w:t xml:space="preserve"> suspensions on a more granular level for </w:t>
            </w:r>
            <w:r w:rsidR="00C9510F">
              <w:t xml:space="preserve">fully deployed </w:t>
            </w:r>
            <w:r w:rsidR="00873963">
              <w:t>non-GSO systems</w:t>
            </w:r>
            <w:r w:rsidR="007D015C">
              <w:t xml:space="preserve">; WRC-27 can assess if such an approach adequately addresses the </w:t>
            </w:r>
            <w:r w:rsidR="005437D5">
              <w:t xml:space="preserve">potential </w:t>
            </w:r>
            <w:r w:rsidR="007D015C">
              <w:t>need for a post-milestone approach</w:t>
            </w:r>
            <w:r w:rsidR="00C83C95">
              <w:t>.</w:t>
            </w:r>
          </w:p>
        </w:tc>
      </w:tr>
      <w:tr w:rsidR="00263FFB" w:rsidRPr="00A3755D" w14:paraId="73D06F6E" w14:textId="77777777" w:rsidTr="001A39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  <w:cantSplit/>
          <w:trHeight w:val="443"/>
        </w:trPr>
        <w:tc>
          <w:tcPr>
            <w:tcW w:w="9781" w:type="dxa"/>
            <w:gridSpan w:val="4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425483D1" w14:textId="77777777" w:rsidR="00263FFB" w:rsidRPr="00CF18E3" w:rsidRDefault="00263FFB" w:rsidP="00263FFB">
            <w:pPr>
              <w:pStyle w:val="ECCLetterHead"/>
              <w:rPr>
                <w:rFonts w:cs="Arial"/>
                <w:sz w:val="20"/>
              </w:rPr>
            </w:pPr>
            <w:r w:rsidRPr="00CF18E3">
              <w:rPr>
                <w:rFonts w:cs="Arial"/>
                <w:sz w:val="20"/>
              </w:rPr>
              <w:lastRenderedPageBreak/>
              <w:t>Background:</w:t>
            </w:r>
          </w:p>
          <w:p w14:paraId="2D192B78" w14:textId="041F3193" w:rsidR="00F113FC" w:rsidRDefault="00D25BD2" w:rsidP="00F113FC">
            <w:pPr>
              <w:pStyle w:val="ECCTabletext"/>
              <w:rPr>
                <w:rFonts w:cs="Arial"/>
                <w:szCs w:val="20"/>
              </w:rPr>
            </w:pPr>
            <w:r w:rsidRPr="00D25BD2">
              <w:rPr>
                <w:rFonts w:cs="Arial"/>
                <w:szCs w:val="20"/>
              </w:rPr>
              <w:t>Topic B for WRC-23 agenda item 7 considers the possible adoption of a procedure to apply in cases where a non-GSO system subject to the milestone procedure in Resolution 35 (WRC-19) has completed the milestone procedure, but subsequently experiences a sustained reduction in the number of space stations deployed and capable of transmitting/receiving the assigned frequencies. When developing a post-milestone procedure, some degree of operational flexibility, including temporary operations, which is necessary for the maintenance of the non-GSO system in the FSS, BSS and MSS, needs to be duly considered.</w:t>
            </w:r>
          </w:p>
          <w:p w14:paraId="5BB09FAD" w14:textId="77777777" w:rsidR="00D25BD2" w:rsidRPr="00CF18E3" w:rsidRDefault="00D25BD2" w:rsidP="00F113FC">
            <w:pPr>
              <w:pStyle w:val="ECCTabletext"/>
              <w:rPr>
                <w:rFonts w:cs="Arial"/>
                <w:szCs w:val="20"/>
              </w:rPr>
            </w:pPr>
          </w:p>
          <w:p w14:paraId="263391D9" w14:textId="1FE128F9" w:rsidR="00F113FC" w:rsidRPr="00CF18E3" w:rsidRDefault="006C7DDE" w:rsidP="00F113FC">
            <w:pPr>
              <w:pStyle w:val="ECCTabletext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szCs w:val="20"/>
              </w:rPr>
              <w:t xml:space="preserve">It is relevant to recall a factual piece of information </w:t>
            </w:r>
            <w:r w:rsidR="00C601B5">
              <w:rPr>
                <w:rFonts w:cs="Arial"/>
                <w:szCs w:val="20"/>
              </w:rPr>
              <w:t>from</w:t>
            </w:r>
            <w:r w:rsidR="00F113FC" w:rsidRPr="00CF18E3">
              <w:rPr>
                <w:rFonts w:cs="Arial"/>
                <w:szCs w:val="20"/>
              </w:rPr>
              <w:t xml:space="preserve"> CPM23-2</w:t>
            </w:r>
            <w:r>
              <w:rPr>
                <w:rFonts w:cs="Arial"/>
                <w:szCs w:val="20"/>
              </w:rPr>
              <w:t xml:space="preserve"> which</w:t>
            </w:r>
            <w:r w:rsidR="00F113FC" w:rsidRPr="00CF18E3">
              <w:rPr>
                <w:rFonts w:cs="Arial"/>
                <w:szCs w:val="20"/>
              </w:rPr>
              <w:t xml:space="preserve"> states “</w:t>
            </w:r>
            <w:r w:rsidR="00F113FC" w:rsidRPr="00CF18E3">
              <w:rPr>
                <w:rFonts w:cs="Arial"/>
                <w:i/>
                <w:iCs/>
                <w:szCs w:val="20"/>
              </w:rPr>
              <w:t>It is important to note that, as of 1 February 2023, the Bureau had not received, and therefore not published, any information specific to Resolution 35 (WRC-19) resolves 19. The Director’s Report</w:t>
            </w:r>
            <w:r>
              <w:rPr>
                <w:rFonts w:cs="Arial"/>
                <w:i/>
                <w:iCs/>
                <w:szCs w:val="20"/>
              </w:rPr>
              <w:t xml:space="preserve"> </w:t>
            </w:r>
            <w:r w:rsidR="00F113FC" w:rsidRPr="00CF18E3">
              <w:rPr>
                <w:rFonts w:cs="Arial"/>
                <w:i/>
                <w:iCs/>
                <w:szCs w:val="20"/>
              </w:rPr>
              <w:t>to the 92nd RRB meeting (Document RRB23-1/6), Section 7, lists the twenty-six non-GSO systems to which Resolution 35 (WRC-19) applies. Of those, only four systems are fully-deployed (Milestone “M3” completed) – and thus Resolution 35 (WRC-19) resolves 19 applies, with BIU dates of 1994, 1997, 2010 and 2018. Given this small sample size, it is understandable that there is no Resolution 35 (WRC-19) resolves 19 reports. This indicates neither success nor failure of the Resolution 35 (WRC-19) milestone procedure. It indicates that Resolution 35 (WRC-19) has not been in force long enough to generate a sufficient quantity and quality of data to the Bureau from which to draw conclusions”.</w:t>
            </w:r>
          </w:p>
          <w:p w14:paraId="236EE9A8" w14:textId="77777777" w:rsidR="00F113FC" w:rsidRPr="00CF18E3" w:rsidRDefault="00F113FC" w:rsidP="00F113FC">
            <w:pPr>
              <w:pStyle w:val="ECCTabletext"/>
              <w:rPr>
                <w:rFonts w:cs="Arial"/>
                <w:i/>
                <w:iCs/>
                <w:szCs w:val="20"/>
              </w:rPr>
            </w:pPr>
          </w:p>
          <w:p w14:paraId="06494B1C" w14:textId="02FBA30D" w:rsidR="002F65D6" w:rsidRPr="006029E7" w:rsidRDefault="00F113FC" w:rsidP="006029E7">
            <w:pPr>
              <w:pStyle w:val="ECCTabletext"/>
              <w:rPr>
                <w:rFonts w:cs="Arial"/>
                <w:szCs w:val="20"/>
              </w:rPr>
            </w:pPr>
            <w:r w:rsidRPr="00CF18E3">
              <w:rPr>
                <w:rFonts w:cs="Arial"/>
                <w:szCs w:val="20"/>
              </w:rPr>
              <w:t xml:space="preserve">CPM23-2 has </w:t>
            </w:r>
            <w:r w:rsidR="006C7DDE">
              <w:rPr>
                <w:rFonts w:cs="Arial"/>
                <w:szCs w:val="20"/>
              </w:rPr>
              <w:t xml:space="preserve">also </w:t>
            </w:r>
            <w:r w:rsidRPr="00CF18E3">
              <w:rPr>
                <w:rFonts w:cs="Arial"/>
                <w:szCs w:val="20"/>
              </w:rPr>
              <w:t>developed one draft new Resolution based on A7(B), method B2 - Enhanced suspension procedure for frequency assignments to space stations in a non-geostationary-satellite system in the fixed-satellite, mobile-satellite, and broadcasting-satellite services subject to Resolution 35 (Rev.</w:t>
            </w:r>
            <w:r w:rsidR="00C601B5">
              <w:rPr>
                <w:rFonts w:cs="Arial"/>
                <w:szCs w:val="20"/>
              </w:rPr>
              <w:t xml:space="preserve"> </w:t>
            </w:r>
            <w:r w:rsidRPr="00CF18E3">
              <w:rPr>
                <w:rFonts w:cs="Arial"/>
                <w:szCs w:val="20"/>
              </w:rPr>
              <w:t xml:space="preserve">WRC 23). This resolution includes </w:t>
            </w:r>
            <w:r w:rsidR="00C601B5">
              <w:rPr>
                <w:rFonts w:cs="Arial"/>
                <w:szCs w:val="20"/>
              </w:rPr>
              <w:t>four</w:t>
            </w:r>
            <w:r w:rsidRPr="00CF18E3">
              <w:rPr>
                <w:rFonts w:cs="Arial"/>
                <w:szCs w:val="20"/>
              </w:rPr>
              <w:t xml:space="preserve"> </w:t>
            </w:r>
            <w:r w:rsidR="00B813CA">
              <w:rPr>
                <w:rFonts w:cs="Arial"/>
                <w:szCs w:val="20"/>
              </w:rPr>
              <w:t xml:space="preserve">substantially </w:t>
            </w:r>
            <w:r w:rsidR="00C601B5">
              <w:rPr>
                <w:rFonts w:cs="Arial"/>
                <w:szCs w:val="20"/>
              </w:rPr>
              <w:t xml:space="preserve">different </w:t>
            </w:r>
            <w:r w:rsidRPr="00CF18E3">
              <w:rPr>
                <w:rFonts w:cs="Arial"/>
                <w:szCs w:val="20"/>
              </w:rPr>
              <w:t xml:space="preserve">alternative options for its resolves 2. </w:t>
            </w:r>
            <w:r w:rsidR="00001B3E">
              <w:rPr>
                <w:rFonts w:cs="Arial"/>
                <w:szCs w:val="20"/>
              </w:rPr>
              <w:t xml:space="preserve">Such wide variation in options suggests that </w:t>
            </w:r>
            <w:r w:rsidRPr="00CF18E3">
              <w:rPr>
                <w:rFonts w:cs="Arial"/>
                <w:szCs w:val="20"/>
              </w:rPr>
              <w:t xml:space="preserve">a prudent approach </w:t>
            </w:r>
            <w:r w:rsidR="00E72987">
              <w:rPr>
                <w:rFonts w:cs="Arial"/>
                <w:szCs w:val="20"/>
              </w:rPr>
              <w:t xml:space="preserve">is to gather more information as non-GSO systems are implemented through the Resolution 35 milestone approach and </w:t>
            </w:r>
            <w:r w:rsidR="00B85C96">
              <w:rPr>
                <w:rFonts w:cs="Arial"/>
                <w:szCs w:val="20"/>
              </w:rPr>
              <w:t>consider whether a</w:t>
            </w:r>
            <w:r w:rsidR="009B0AF7">
              <w:rPr>
                <w:rFonts w:cs="Arial"/>
                <w:szCs w:val="20"/>
              </w:rPr>
              <w:t xml:space="preserve"> more granular application of No. 11.49 to fully deployed non-GSO systems</w:t>
            </w:r>
            <w:r w:rsidR="00B85C96">
              <w:rPr>
                <w:rFonts w:cs="Arial"/>
                <w:szCs w:val="20"/>
              </w:rPr>
              <w:t xml:space="preserve"> is sufficient to address </w:t>
            </w:r>
            <w:r w:rsidR="008C3856">
              <w:rPr>
                <w:rFonts w:cs="Arial"/>
                <w:szCs w:val="20"/>
              </w:rPr>
              <w:t>the post milestone situation</w:t>
            </w:r>
            <w:r w:rsidR="00B813CA">
              <w:rPr>
                <w:rFonts w:cs="Arial"/>
                <w:szCs w:val="20"/>
              </w:rPr>
              <w:t>.</w:t>
            </w:r>
          </w:p>
          <w:p w14:paraId="31A6B945" w14:textId="3A3EB193" w:rsidR="002F65D6" w:rsidRPr="006029E7" w:rsidRDefault="007D7A9A" w:rsidP="00263FFB">
            <w:pPr>
              <w:pStyle w:val="ECCLetterHead"/>
              <w:rPr>
                <w:rFonts w:cs="Arial"/>
                <w:b w:val="0"/>
                <w:bCs/>
                <w:sz w:val="20"/>
              </w:rPr>
            </w:pPr>
            <w:r w:rsidRPr="006029E7">
              <w:rPr>
                <w:rFonts w:cs="Arial"/>
                <w:b w:val="0"/>
                <w:bCs/>
                <w:sz w:val="20"/>
              </w:rPr>
              <w:t>In recommending this approach,</w:t>
            </w:r>
            <w:r w:rsidR="00563E4E" w:rsidRPr="006029E7">
              <w:rPr>
                <w:rFonts w:cs="Arial"/>
                <w:b w:val="0"/>
                <w:bCs/>
                <w:sz w:val="20"/>
              </w:rPr>
              <w:t xml:space="preserve"> sever</w:t>
            </w:r>
            <w:r w:rsidR="00BF04B5" w:rsidRPr="006029E7">
              <w:rPr>
                <w:rFonts w:cs="Arial"/>
                <w:b w:val="0"/>
                <w:bCs/>
                <w:sz w:val="20"/>
              </w:rPr>
              <w:t>al observations are made based on the significant difference of the proposed approach for small vs</w:t>
            </w:r>
            <w:r w:rsidR="00C601B5">
              <w:rPr>
                <w:rFonts w:cs="Arial"/>
                <w:b w:val="0"/>
                <w:bCs/>
                <w:sz w:val="20"/>
              </w:rPr>
              <w:t>.</w:t>
            </w:r>
            <w:r w:rsidR="00BF04B5" w:rsidRPr="006029E7">
              <w:rPr>
                <w:rFonts w:cs="Arial"/>
                <w:b w:val="0"/>
                <w:bCs/>
                <w:sz w:val="20"/>
              </w:rPr>
              <w:t xml:space="preserve"> large constellations</w:t>
            </w:r>
            <w:r w:rsidR="00563E4E" w:rsidRPr="006029E7">
              <w:rPr>
                <w:rFonts w:cs="Arial"/>
                <w:b w:val="0"/>
                <w:bCs/>
                <w:sz w:val="20"/>
              </w:rPr>
              <w:t>:</w:t>
            </w:r>
          </w:p>
          <w:p w14:paraId="7DE2E0DE" w14:textId="432415D0" w:rsidR="00563E4E" w:rsidRPr="006029E7" w:rsidRDefault="00563E4E" w:rsidP="00563E4E">
            <w:pPr>
              <w:pStyle w:val="ECCLetterHead"/>
              <w:numPr>
                <w:ilvl w:val="0"/>
                <w:numId w:val="11"/>
              </w:numPr>
              <w:rPr>
                <w:rFonts w:cs="Arial"/>
                <w:b w:val="0"/>
                <w:bCs/>
                <w:sz w:val="20"/>
              </w:rPr>
            </w:pPr>
            <w:r w:rsidRPr="006029E7">
              <w:rPr>
                <w:rFonts w:cs="Arial"/>
                <w:b w:val="0"/>
                <w:bCs/>
                <w:sz w:val="20"/>
              </w:rPr>
              <w:t xml:space="preserve">The sensitivity of impact on interference when suspending a number of satellites in certain orbital planes </w:t>
            </w:r>
            <w:r w:rsidR="001D1C1B" w:rsidRPr="006029E7">
              <w:rPr>
                <w:rFonts w:cs="Arial"/>
                <w:b w:val="0"/>
                <w:bCs/>
                <w:sz w:val="20"/>
              </w:rPr>
              <w:t>may be</w:t>
            </w:r>
            <w:r w:rsidRPr="006029E7">
              <w:rPr>
                <w:rFonts w:cs="Arial"/>
                <w:b w:val="0"/>
                <w:bCs/>
                <w:sz w:val="20"/>
              </w:rPr>
              <w:t xml:space="preserve"> higher for smaller constellation</w:t>
            </w:r>
            <w:r w:rsidR="00A63442" w:rsidRPr="006029E7">
              <w:rPr>
                <w:rFonts w:cs="Arial"/>
                <w:b w:val="0"/>
                <w:bCs/>
                <w:sz w:val="20"/>
              </w:rPr>
              <w:t>s</w:t>
            </w:r>
            <w:r w:rsidRPr="006029E7">
              <w:rPr>
                <w:rFonts w:cs="Arial"/>
                <w:b w:val="0"/>
                <w:bCs/>
                <w:sz w:val="20"/>
              </w:rPr>
              <w:t xml:space="preserve"> than for larger constellation</w:t>
            </w:r>
            <w:r w:rsidR="00A63442" w:rsidRPr="006029E7">
              <w:rPr>
                <w:rFonts w:cs="Arial"/>
                <w:b w:val="0"/>
                <w:bCs/>
                <w:sz w:val="20"/>
              </w:rPr>
              <w:t>s</w:t>
            </w:r>
            <w:r w:rsidRPr="006029E7">
              <w:rPr>
                <w:rFonts w:cs="Arial"/>
                <w:b w:val="0"/>
                <w:bCs/>
                <w:sz w:val="20"/>
              </w:rPr>
              <w:t>.</w:t>
            </w:r>
          </w:p>
          <w:p w14:paraId="06B7FFCA" w14:textId="5761547F" w:rsidR="0009579A" w:rsidRPr="006029E7" w:rsidRDefault="0009579A" w:rsidP="00263FFB">
            <w:pPr>
              <w:pStyle w:val="ECCLetterHead"/>
              <w:numPr>
                <w:ilvl w:val="0"/>
                <w:numId w:val="11"/>
              </w:numPr>
              <w:rPr>
                <w:rFonts w:cs="Arial"/>
                <w:b w:val="0"/>
                <w:bCs/>
                <w:sz w:val="20"/>
              </w:rPr>
            </w:pPr>
            <w:r w:rsidRPr="006029E7">
              <w:rPr>
                <w:rFonts w:cs="Arial"/>
                <w:b w:val="0"/>
                <w:bCs/>
                <w:sz w:val="20"/>
              </w:rPr>
              <w:t xml:space="preserve">The proposed threshold numbers of suspended satellites in the draft resolution seem arbitrary and without connection to the </w:t>
            </w:r>
            <w:r w:rsidR="00A73293" w:rsidRPr="006029E7">
              <w:rPr>
                <w:rFonts w:cs="Arial"/>
                <w:b w:val="0"/>
                <w:bCs/>
                <w:sz w:val="20"/>
              </w:rPr>
              <w:t>goal</w:t>
            </w:r>
            <w:r w:rsidRPr="006029E7">
              <w:rPr>
                <w:rFonts w:cs="Arial"/>
                <w:b w:val="0"/>
                <w:bCs/>
                <w:sz w:val="20"/>
              </w:rPr>
              <w:t xml:space="preserve"> of avoiding </w:t>
            </w:r>
            <w:r w:rsidR="009F09C6" w:rsidRPr="006029E7">
              <w:rPr>
                <w:rFonts w:cs="Arial"/>
                <w:b w:val="0"/>
                <w:bCs/>
                <w:sz w:val="20"/>
              </w:rPr>
              <w:t>undue warehousing.</w:t>
            </w:r>
          </w:p>
          <w:p w14:paraId="27CD9910" w14:textId="0AAAE7D7" w:rsidR="009F09C6" w:rsidRPr="006029E7" w:rsidRDefault="009F09C6" w:rsidP="00263FFB">
            <w:pPr>
              <w:pStyle w:val="ECCLetterHead"/>
              <w:numPr>
                <w:ilvl w:val="0"/>
                <w:numId w:val="11"/>
              </w:numPr>
              <w:rPr>
                <w:rFonts w:cs="Arial"/>
                <w:b w:val="0"/>
                <w:bCs/>
                <w:sz w:val="20"/>
              </w:rPr>
            </w:pPr>
            <w:r w:rsidRPr="006029E7">
              <w:rPr>
                <w:rFonts w:cs="Arial"/>
                <w:b w:val="0"/>
                <w:bCs/>
                <w:sz w:val="20"/>
              </w:rPr>
              <w:t xml:space="preserve">Difference should be made between the desired accuracy of information on the number of satellites being deployed over time and </w:t>
            </w:r>
            <w:r w:rsidR="006A0826">
              <w:rPr>
                <w:rFonts w:cs="Arial"/>
                <w:b w:val="0"/>
                <w:bCs/>
                <w:sz w:val="20"/>
              </w:rPr>
              <w:t xml:space="preserve">the </w:t>
            </w:r>
            <w:r w:rsidRPr="006029E7">
              <w:rPr>
                <w:rFonts w:cs="Arial"/>
                <w:b w:val="0"/>
                <w:bCs/>
                <w:sz w:val="20"/>
              </w:rPr>
              <w:t>requirement for such information to be brought by Notifying administrations to the BR, and whether such information would have really any regulatory impact</w:t>
            </w:r>
            <w:r w:rsidR="00046B34">
              <w:rPr>
                <w:rFonts w:cs="Arial"/>
                <w:b w:val="0"/>
                <w:bCs/>
                <w:sz w:val="20"/>
              </w:rPr>
              <w:t xml:space="preserve"> is</w:t>
            </w:r>
            <w:r w:rsidRPr="006029E7">
              <w:rPr>
                <w:rFonts w:cs="Arial"/>
                <w:b w:val="0"/>
                <w:bCs/>
                <w:sz w:val="20"/>
              </w:rPr>
              <w:t xml:space="preserve"> difficult to measure</w:t>
            </w:r>
            <w:r w:rsidR="00DC4452" w:rsidRPr="006029E7">
              <w:rPr>
                <w:rFonts w:cs="Arial"/>
                <w:b w:val="0"/>
                <w:bCs/>
                <w:sz w:val="20"/>
              </w:rPr>
              <w:t xml:space="preserve"> at this stage.</w:t>
            </w:r>
          </w:p>
          <w:p w14:paraId="37EF8F52" w14:textId="1522FEAD" w:rsidR="008A41B4" w:rsidRPr="00FB65CD" w:rsidRDefault="008A41B4" w:rsidP="008A41B4">
            <w:pPr>
              <w:pStyle w:val="ECCLetterHead"/>
              <w:rPr>
                <w:rFonts w:cs="Arial"/>
                <w:b w:val="0"/>
                <w:bCs/>
                <w:sz w:val="20"/>
              </w:rPr>
            </w:pPr>
            <w:r w:rsidRPr="006029E7">
              <w:rPr>
                <w:rFonts w:cs="Arial"/>
                <w:b w:val="0"/>
                <w:bCs/>
                <w:sz w:val="20"/>
              </w:rPr>
              <w:t xml:space="preserve">In summary, the intended objective </w:t>
            </w:r>
            <w:r w:rsidR="00046B34">
              <w:rPr>
                <w:rFonts w:cs="Arial"/>
                <w:b w:val="0"/>
                <w:bCs/>
                <w:sz w:val="20"/>
              </w:rPr>
              <w:t>of</w:t>
            </w:r>
            <w:r w:rsidR="00046B34" w:rsidRPr="006029E7">
              <w:rPr>
                <w:rFonts w:cs="Arial"/>
                <w:b w:val="0"/>
                <w:bCs/>
                <w:sz w:val="20"/>
              </w:rPr>
              <w:t xml:space="preserve"> </w:t>
            </w:r>
            <w:r w:rsidRPr="006029E7">
              <w:rPr>
                <w:rFonts w:cs="Arial"/>
                <w:b w:val="0"/>
                <w:bCs/>
                <w:sz w:val="20"/>
              </w:rPr>
              <w:t xml:space="preserve">ensuring </w:t>
            </w:r>
            <w:r w:rsidR="00AE5CC5" w:rsidRPr="006029E7">
              <w:rPr>
                <w:rFonts w:cs="Arial"/>
                <w:b w:val="0"/>
                <w:bCs/>
                <w:sz w:val="20"/>
              </w:rPr>
              <w:t xml:space="preserve">avoidance of potential warehousing of the orbit-spectrum resources is implemented </w:t>
            </w:r>
            <w:r w:rsidR="00EE1F36" w:rsidRPr="006029E7">
              <w:rPr>
                <w:rFonts w:cs="Arial"/>
                <w:b w:val="0"/>
                <w:bCs/>
                <w:sz w:val="20"/>
              </w:rPr>
              <w:t>in order to</w:t>
            </w:r>
            <w:r w:rsidR="00AE5CC5" w:rsidRPr="006029E7">
              <w:rPr>
                <w:rFonts w:cs="Arial"/>
                <w:b w:val="0"/>
                <w:bCs/>
                <w:sz w:val="20"/>
              </w:rPr>
              <w:t xml:space="preserve"> </w:t>
            </w:r>
            <w:r w:rsidR="002D67D0" w:rsidRPr="006029E7">
              <w:rPr>
                <w:rFonts w:cs="Arial"/>
                <w:b w:val="0"/>
                <w:bCs/>
                <w:sz w:val="20"/>
              </w:rPr>
              <w:t xml:space="preserve">not apply the Resolution for smaller constellations and penalizing </w:t>
            </w:r>
            <w:r w:rsidR="00EE1F36" w:rsidRPr="006029E7">
              <w:rPr>
                <w:rFonts w:cs="Arial"/>
                <w:b w:val="0"/>
                <w:bCs/>
                <w:sz w:val="20"/>
              </w:rPr>
              <w:t>larger</w:t>
            </w:r>
            <w:r w:rsidR="002D67D0" w:rsidRPr="006029E7">
              <w:rPr>
                <w:rFonts w:cs="Arial"/>
                <w:b w:val="0"/>
                <w:bCs/>
                <w:sz w:val="20"/>
              </w:rPr>
              <w:t xml:space="preserve"> constellations. The matter requires further consideration</w:t>
            </w:r>
            <w:r w:rsidR="00993ED1">
              <w:rPr>
                <w:rFonts w:cs="Arial"/>
                <w:b w:val="0"/>
                <w:bCs/>
                <w:sz w:val="20"/>
              </w:rPr>
              <w:t xml:space="preserve"> in order to ensure that any measure taken provides a fair and efficient use of the spectrum</w:t>
            </w:r>
            <w:r w:rsidR="002D67D0" w:rsidRPr="006029E7">
              <w:rPr>
                <w:rFonts w:cs="Arial"/>
                <w:b w:val="0"/>
                <w:bCs/>
                <w:sz w:val="20"/>
              </w:rPr>
              <w:t xml:space="preserve">, </w:t>
            </w:r>
            <w:r w:rsidR="00993ED1">
              <w:rPr>
                <w:rFonts w:cs="Arial"/>
                <w:b w:val="0"/>
                <w:bCs/>
                <w:sz w:val="20"/>
              </w:rPr>
              <w:t xml:space="preserve">as </w:t>
            </w:r>
            <w:r w:rsidR="002D67D0" w:rsidRPr="006029E7">
              <w:rPr>
                <w:rFonts w:cs="Arial"/>
                <w:b w:val="0"/>
                <w:bCs/>
                <w:sz w:val="20"/>
              </w:rPr>
              <w:t xml:space="preserve">more information about the evolution of the satellite constellations and the reasons for such evolution as well as the impacts into any other </w:t>
            </w:r>
            <w:r w:rsidR="00F831DF" w:rsidRPr="006029E7">
              <w:rPr>
                <w:rFonts w:cs="Arial"/>
                <w:b w:val="0"/>
                <w:bCs/>
                <w:sz w:val="20"/>
              </w:rPr>
              <w:t>satellite constellation</w:t>
            </w:r>
            <w:r w:rsidR="00993ED1">
              <w:rPr>
                <w:rFonts w:cs="Arial"/>
                <w:b w:val="0"/>
                <w:bCs/>
                <w:sz w:val="20"/>
              </w:rPr>
              <w:t xml:space="preserve"> should be further studied</w:t>
            </w:r>
            <w:r w:rsidR="00F831DF" w:rsidRPr="006029E7">
              <w:rPr>
                <w:rFonts w:cs="Arial"/>
                <w:b w:val="0"/>
                <w:bCs/>
                <w:sz w:val="20"/>
              </w:rPr>
              <w:t xml:space="preserve">. This information </w:t>
            </w:r>
            <w:r w:rsidR="00993ED1">
              <w:rPr>
                <w:rFonts w:cs="Arial"/>
                <w:b w:val="0"/>
                <w:bCs/>
                <w:sz w:val="20"/>
              </w:rPr>
              <w:t xml:space="preserve">is not yet available, </w:t>
            </w:r>
            <w:r w:rsidR="00B317F8">
              <w:rPr>
                <w:rFonts w:cs="Arial"/>
                <w:b w:val="0"/>
                <w:bCs/>
                <w:sz w:val="20"/>
              </w:rPr>
              <w:t xml:space="preserve">it </w:t>
            </w:r>
            <w:r w:rsidR="00F831DF" w:rsidRPr="006029E7">
              <w:rPr>
                <w:rFonts w:cs="Arial"/>
                <w:b w:val="0"/>
                <w:bCs/>
                <w:sz w:val="20"/>
              </w:rPr>
              <w:t>may be available by the time of WRC</w:t>
            </w:r>
            <w:r w:rsidR="00001B3E">
              <w:rPr>
                <w:rFonts w:cs="Arial"/>
                <w:b w:val="0"/>
                <w:bCs/>
                <w:sz w:val="20"/>
              </w:rPr>
              <w:t>-</w:t>
            </w:r>
            <w:r w:rsidR="00F831DF" w:rsidRPr="006029E7">
              <w:rPr>
                <w:rFonts w:cs="Arial"/>
                <w:b w:val="0"/>
                <w:bCs/>
                <w:sz w:val="20"/>
              </w:rPr>
              <w:t>27</w:t>
            </w:r>
            <w:r w:rsidR="00993ED1">
              <w:rPr>
                <w:rFonts w:cs="Arial"/>
                <w:b w:val="0"/>
                <w:bCs/>
                <w:sz w:val="20"/>
              </w:rPr>
              <w:t>,</w:t>
            </w:r>
            <w:r w:rsidR="00F831DF" w:rsidRPr="006029E7">
              <w:rPr>
                <w:rFonts w:cs="Arial"/>
                <w:b w:val="0"/>
                <w:bCs/>
                <w:sz w:val="20"/>
              </w:rPr>
              <w:t xml:space="preserve"> </w:t>
            </w:r>
            <w:r w:rsidR="00993ED1">
              <w:rPr>
                <w:rFonts w:cs="Arial"/>
                <w:b w:val="0"/>
                <w:bCs/>
                <w:sz w:val="20"/>
              </w:rPr>
              <w:t>so</w:t>
            </w:r>
            <w:r w:rsidR="00993ED1" w:rsidRPr="006029E7">
              <w:rPr>
                <w:rFonts w:cs="Arial"/>
                <w:b w:val="0"/>
                <w:bCs/>
                <w:sz w:val="20"/>
              </w:rPr>
              <w:t xml:space="preserve"> </w:t>
            </w:r>
            <w:r w:rsidR="00F831DF" w:rsidRPr="006029E7">
              <w:rPr>
                <w:rFonts w:cs="Arial"/>
                <w:b w:val="0"/>
                <w:bCs/>
                <w:sz w:val="20"/>
              </w:rPr>
              <w:t>it would be premature to take decisions at WRC</w:t>
            </w:r>
            <w:r w:rsidR="00001B3E">
              <w:rPr>
                <w:rFonts w:cs="Arial"/>
                <w:b w:val="0"/>
                <w:bCs/>
                <w:sz w:val="20"/>
              </w:rPr>
              <w:t>-</w:t>
            </w:r>
            <w:r w:rsidR="00F831DF" w:rsidRPr="006029E7">
              <w:rPr>
                <w:rFonts w:cs="Arial"/>
                <w:b w:val="0"/>
                <w:bCs/>
                <w:sz w:val="20"/>
              </w:rPr>
              <w:t>23.</w:t>
            </w:r>
          </w:p>
          <w:p w14:paraId="60FD631E" w14:textId="77777777" w:rsidR="00CF18E3" w:rsidRPr="00CF18E3" w:rsidRDefault="00CF18E3" w:rsidP="00263FFB">
            <w:pPr>
              <w:pStyle w:val="ECCLetterHead"/>
              <w:rPr>
                <w:rFonts w:cs="Arial"/>
                <w:sz w:val="20"/>
              </w:rPr>
            </w:pPr>
          </w:p>
        </w:tc>
      </w:tr>
    </w:tbl>
    <w:p w14:paraId="2A1C0EC9" w14:textId="05FA9AF4" w:rsidR="00DD5136" w:rsidRPr="00C32C20" w:rsidRDefault="00DD5136" w:rsidP="00DD5136">
      <w:pPr>
        <w:pStyle w:val="ECCHeadingnonumbering"/>
        <w:rPr>
          <w:lang w:val="en-US"/>
        </w:rPr>
      </w:pPr>
    </w:p>
    <w:sectPr w:rsidR="00DD5136" w:rsidRPr="00C32C20" w:rsidSect="00797DEE">
      <w:headerReference w:type="even" r:id="rId9"/>
      <w:headerReference w:type="default" r:id="rId10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78A3A" w14:textId="77777777" w:rsidR="00C57CA8" w:rsidRDefault="00C57CA8" w:rsidP="00DB17F9">
      <w:r>
        <w:separator/>
      </w:r>
    </w:p>
    <w:p w14:paraId="686EB081" w14:textId="77777777" w:rsidR="00C57CA8" w:rsidRDefault="00C57CA8"/>
  </w:endnote>
  <w:endnote w:type="continuationSeparator" w:id="0">
    <w:p w14:paraId="466D2F91" w14:textId="77777777" w:rsidR="00C57CA8" w:rsidRDefault="00C57CA8" w:rsidP="00DB17F9">
      <w:r>
        <w:continuationSeparator/>
      </w:r>
    </w:p>
    <w:p w14:paraId="65C6ADF5" w14:textId="77777777" w:rsidR="00C57CA8" w:rsidRDefault="00C57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64D37" w14:textId="77777777" w:rsidR="00C57CA8" w:rsidRPr="00F51BD6" w:rsidRDefault="00C57CA8" w:rsidP="00CD07E7">
      <w:pPr>
        <w:spacing w:before="120" w:after="0"/>
      </w:pPr>
      <w:r>
        <w:separator/>
      </w:r>
    </w:p>
  </w:footnote>
  <w:footnote w:type="continuationSeparator" w:id="0">
    <w:p w14:paraId="6EC869ED" w14:textId="77777777" w:rsidR="00C57CA8" w:rsidRDefault="00C57CA8" w:rsidP="00CD07E7">
      <w:pPr>
        <w:spacing w:before="120" w:after="0"/>
      </w:pPr>
      <w:r>
        <w:continuationSeparator/>
      </w:r>
    </w:p>
  </w:footnote>
  <w:footnote w:type="continuationNotice" w:id="1">
    <w:p w14:paraId="72A674F7" w14:textId="77777777" w:rsidR="00C57CA8" w:rsidRPr="00CD07E7" w:rsidRDefault="00C57CA8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A45BD" w14:textId="77777777"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F9A8" w14:textId="77777777" w:rsidR="00102172" w:rsidRPr="00714F0F" w:rsidRDefault="00102172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231A0F">
      <w:rPr>
        <w:noProof/>
      </w:rPr>
      <w:t>2</w:t>
    </w:r>
    <w:r w:rsidRPr="00714F0F">
      <w:fldChar w:fldCharType="end"/>
    </w:r>
  </w:p>
  <w:p w14:paraId="74496E01" w14:textId="77777777" w:rsidR="00E11D7E" w:rsidRDefault="00E11D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225.75pt;height:59.25pt" o:bullet="t">
        <v:imagedata r:id="rId1" o:title="Editor's Note"/>
      </v:shape>
    </w:pict>
  </w:numPicBullet>
  <w:abstractNum w:abstractNumId="0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4" w15:restartNumberingAfterBreak="0">
    <w:nsid w:val="3D163F7A"/>
    <w:multiLevelType w:val="multilevel"/>
    <w:tmpl w:val="C51432D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A2701E"/>
    <w:multiLevelType w:val="hybridMultilevel"/>
    <w:tmpl w:val="83F81F62"/>
    <w:lvl w:ilvl="0" w:tplc="E146E34C">
      <w:numFmt w:val="bullet"/>
      <w:lvlText w:val=""/>
      <w:lvlJc w:val="left"/>
      <w:pPr>
        <w:ind w:left="930" w:hanging="57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66BAF"/>
    <w:multiLevelType w:val="hybridMultilevel"/>
    <w:tmpl w:val="754EBC3C"/>
    <w:lvl w:ilvl="0" w:tplc="ED6607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2"/>
  </w:num>
  <w:num w:numId="10">
    <w:abstractNumId w:val="8"/>
  </w:num>
  <w:num w:numId="1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trackRevisions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50"/>
    <w:rsid w:val="00001B3E"/>
    <w:rsid w:val="0001112E"/>
    <w:rsid w:val="00012E3B"/>
    <w:rsid w:val="000136F4"/>
    <w:rsid w:val="00023DA0"/>
    <w:rsid w:val="00030194"/>
    <w:rsid w:val="00041A18"/>
    <w:rsid w:val="00043EC0"/>
    <w:rsid w:val="0004622B"/>
    <w:rsid w:val="00046B34"/>
    <w:rsid w:val="00054877"/>
    <w:rsid w:val="00055306"/>
    <w:rsid w:val="00065B20"/>
    <w:rsid w:val="00067793"/>
    <w:rsid w:val="000719FB"/>
    <w:rsid w:val="00076FF9"/>
    <w:rsid w:val="00080D4D"/>
    <w:rsid w:val="00082CC2"/>
    <w:rsid w:val="00082DD7"/>
    <w:rsid w:val="0008414E"/>
    <w:rsid w:val="00095620"/>
    <w:rsid w:val="0009579A"/>
    <w:rsid w:val="000967B9"/>
    <w:rsid w:val="000A3940"/>
    <w:rsid w:val="000B6099"/>
    <w:rsid w:val="000B6D45"/>
    <w:rsid w:val="000C028F"/>
    <w:rsid w:val="000D1710"/>
    <w:rsid w:val="000D43BB"/>
    <w:rsid w:val="000E3E4D"/>
    <w:rsid w:val="000E42F5"/>
    <w:rsid w:val="000E4D74"/>
    <w:rsid w:val="000F0594"/>
    <w:rsid w:val="000F0CA8"/>
    <w:rsid w:val="000F24F5"/>
    <w:rsid w:val="000F2C1B"/>
    <w:rsid w:val="000F2ED9"/>
    <w:rsid w:val="001006CA"/>
    <w:rsid w:val="00100F8B"/>
    <w:rsid w:val="00102172"/>
    <w:rsid w:val="00110652"/>
    <w:rsid w:val="001240A1"/>
    <w:rsid w:val="00135445"/>
    <w:rsid w:val="001526A2"/>
    <w:rsid w:val="00154F16"/>
    <w:rsid w:val="00156314"/>
    <w:rsid w:val="00172B28"/>
    <w:rsid w:val="00183FE0"/>
    <w:rsid w:val="0018553F"/>
    <w:rsid w:val="00186D5B"/>
    <w:rsid w:val="00196537"/>
    <w:rsid w:val="001A01CA"/>
    <w:rsid w:val="001A39F7"/>
    <w:rsid w:val="001A5E16"/>
    <w:rsid w:val="001A6051"/>
    <w:rsid w:val="001B0583"/>
    <w:rsid w:val="001C0F8B"/>
    <w:rsid w:val="001C30A8"/>
    <w:rsid w:val="001C685F"/>
    <w:rsid w:val="001D1C1B"/>
    <w:rsid w:val="001F4EDC"/>
    <w:rsid w:val="0020079A"/>
    <w:rsid w:val="00222F9E"/>
    <w:rsid w:val="002302A9"/>
    <w:rsid w:val="00231A0F"/>
    <w:rsid w:val="002458F6"/>
    <w:rsid w:val="00246B09"/>
    <w:rsid w:val="00247B0B"/>
    <w:rsid w:val="00247E14"/>
    <w:rsid w:val="00250F36"/>
    <w:rsid w:val="00251438"/>
    <w:rsid w:val="00256D10"/>
    <w:rsid w:val="00263FFB"/>
    <w:rsid w:val="00265029"/>
    <w:rsid w:val="00265F50"/>
    <w:rsid w:val="00274F84"/>
    <w:rsid w:val="0027787F"/>
    <w:rsid w:val="0028060B"/>
    <w:rsid w:val="0028120C"/>
    <w:rsid w:val="00283417"/>
    <w:rsid w:val="00290524"/>
    <w:rsid w:val="00295827"/>
    <w:rsid w:val="00295F16"/>
    <w:rsid w:val="00296C44"/>
    <w:rsid w:val="002A033F"/>
    <w:rsid w:val="002A5EC4"/>
    <w:rsid w:val="002B3467"/>
    <w:rsid w:val="002C6DC3"/>
    <w:rsid w:val="002D1FA9"/>
    <w:rsid w:val="002D50A3"/>
    <w:rsid w:val="002D67D0"/>
    <w:rsid w:val="002E5730"/>
    <w:rsid w:val="002F0E95"/>
    <w:rsid w:val="002F2C20"/>
    <w:rsid w:val="002F5CF7"/>
    <w:rsid w:val="002F65D6"/>
    <w:rsid w:val="002F70E6"/>
    <w:rsid w:val="003007C0"/>
    <w:rsid w:val="00307A79"/>
    <w:rsid w:val="00310F62"/>
    <w:rsid w:val="003204D5"/>
    <w:rsid w:val="00320ED0"/>
    <w:rsid w:val="00322E6A"/>
    <w:rsid w:val="00323219"/>
    <w:rsid w:val="003314A0"/>
    <w:rsid w:val="00335831"/>
    <w:rsid w:val="00336831"/>
    <w:rsid w:val="00344131"/>
    <w:rsid w:val="003504A7"/>
    <w:rsid w:val="00355A5E"/>
    <w:rsid w:val="00356175"/>
    <w:rsid w:val="00376836"/>
    <w:rsid w:val="00381169"/>
    <w:rsid w:val="0038287C"/>
    <w:rsid w:val="0038358E"/>
    <w:rsid w:val="00386C0E"/>
    <w:rsid w:val="003875E6"/>
    <w:rsid w:val="00387DDE"/>
    <w:rsid w:val="00391A01"/>
    <w:rsid w:val="0039279E"/>
    <w:rsid w:val="003A0EB5"/>
    <w:rsid w:val="003A4F2C"/>
    <w:rsid w:val="003A5711"/>
    <w:rsid w:val="003B123F"/>
    <w:rsid w:val="003B20CA"/>
    <w:rsid w:val="003B254A"/>
    <w:rsid w:val="003C0DCA"/>
    <w:rsid w:val="003C2B29"/>
    <w:rsid w:val="003C64D9"/>
    <w:rsid w:val="003D3E2C"/>
    <w:rsid w:val="003E1D2A"/>
    <w:rsid w:val="003E2E42"/>
    <w:rsid w:val="003E70E0"/>
    <w:rsid w:val="0040047D"/>
    <w:rsid w:val="00403CE6"/>
    <w:rsid w:val="0040453A"/>
    <w:rsid w:val="004110CA"/>
    <w:rsid w:val="0041160E"/>
    <w:rsid w:val="00411910"/>
    <w:rsid w:val="004124BC"/>
    <w:rsid w:val="0042761F"/>
    <w:rsid w:val="00431162"/>
    <w:rsid w:val="00436921"/>
    <w:rsid w:val="004404E7"/>
    <w:rsid w:val="00441EE0"/>
    <w:rsid w:val="00443482"/>
    <w:rsid w:val="00450308"/>
    <w:rsid w:val="004532B5"/>
    <w:rsid w:val="00457AD1"/>
    <w:rsid w:val="0046427F"/>
    <w:rsid w:val="00467D0A"/>
    <w:rsid w:val="00476431"/>
    <w:rsid w:val="0048093B"/>
    <w:rsid w:val="00485665"/>
    <w:rsid w:val="00491977"/>
    <w:rsid w:val="004929F6"/>
    <w:rsid w:val="00495B43"/>
    <w:rsid w:val="004969EF"/>
    <w:rsid w:val="004A1329"/>
    <w:rsid w:val="004A28B6"/>
    <w:rsid w:val="004A3901"/>
    <w:rsid w:val="004A4897"/>
    <w:rsid w:val="004B22F3"/>
    <w:rsid w:val="004B5AB0"/>
    <w:rsid w:val="004C1A87"/>
    <w:rsid w:val="004C4A2E"/>
    <w:rsid w:val="004C7ED6"/>
    <w:rsid w:val="004D7173"/>
    <w:rsid w:val="004E057E"/>
    <w:rsid w:val="004E44C8"/>
    <w:rsid w:val="004E53BE"/>
    <w:rsid w:val="004E6E21"/>
    <w:rsid w:val="004E7F82"/>
    <w:rsid w:val="004F3EA9"/>
    <w:rsid w:val="004F7AFC"/>
    <w:rsid w:val="00501992"/>
    <w:rsid w:val="005026AC"/>
    <w:rsid w:val="005038C6"/>
    <w:rsid w:val="00510AE7"/>
    <w:rsid w:val="00520EFD"/>
    <w:rsid w:val="0053062A"/>
    <w:rsid w:val="00535050"/>
    <w:rsid w:val="00536F3C"/>
    <w:rsid w:val="0054260E"/>
    <w:rsid w:val="005437D5"/>
    <w:rsid w:val="0055007C"/>
    <w:rsid w:val="00550D79"/>
    <w:rsid w:val="005559AC"/>
    <w:rsid w:val="00555FB3"/>
    <w:rsid w:val="005572B0"/>
    <w:rsid w:val="00557B5A"/>
    <w:rsid w:val="005611D0"/>
    <w:rsid w:val="00563E4E"/>
    <w:rsid w:val="00566BD4"/>
    <w:rsid w:val="00567FA6"/>
    <w:rsid w:val="00576411"/>
    <w:rsid w:val="00577CAF"/>
    <w:rsid w:val="00580223"/>
    <w:rsid w:val="00594186"/>
    <w:rsid w:val="005A05D1"/>
    <w:rsid w:val="005A53B8"/>
    <w:rsid w:val="005A62DD"/>
    <w:rsid w:val="005B202B"/>
    <w:rsid w:val="005C10EB"/>
    <w:rsid w:val="005C2301"/>
    <w:rsid w:val="005C5A96"/>
    <w:rsid w:val="005D371D"/>
    <w:rsid w:val="005D56BC"/>
    <w:rsid w:val="005E062E"/>
    <w:rsid w:val="005E7495"/>
    <w:rsid w:val="006029E7"/>
    <w:rsid w:val="00621C12"/>
    <w:rsid w:val="00623E18"/>
    <w:rsid w:val="00625C5D"/>
    <w:rsid w:val="00631E27"/>
    <w:rsid w:val="00635A22"/>
    <w:rsid w:val="00642083"/>
    <w:rsid w:val="0065550D"/>
    <w:rsid w:val="00664295"/>
    <w:rsid w:val="00665364"/>
    <w:rsid w:val="00667B35"/>
    <w:rsid w:val="006713EB"/>
    <w:rsid w:val="00673A9B"/>
    <w:rsid w:val="00675CFD"/>
    <w:rsid w:val="00681E2B"/>
    <w:rsid w:val="00684A22"/>
    <w:rsid w:val="00686AB7"/>
    <w:rsid w:val="006876A8"/>
    <w:rsid w:val="006A0826"/>
    <w:rsid w:val="006A3B77"/>
    <w:rsid w:val="006A49E3"/>
    <w:rsid w:val="006B1EFD"/>
    <w:rsid w:val="006C14E4"/>
    <w:rsid w:val="006C5FC6"/>
    <w:rsid w:val="006C6DA8"/>
    <w:rsid w:val="006C6DDF"/>
    <w:rsid w:val="006C7DDE"/>
    <w:rsid w:val="006C7F61"/>
    <w:rsid w:val="006D0AC2"/>
    <w:rsid w:val="006D11CC"/>
    <w:rsid w:val="006D1A78"/>
    <w:rsid w:val="006D407F"/>
    <w:rsid w:val="006E2515"/>
    <w:rsid w:val="006F0442"/>
    <w:rsid w:val="00705C9E"/>
    <w:rsid w:val="00714F0F"/>
    <w:rsid w:val="007160BE"/>
    <w:rsid w:val="00722F65"/>
    <w:rsid w:val="007257CD"/>
    <w:rsid w:val="00734A4F"/>
    <w:rsid w:val="007414C6"/>
    <w:rsid w:val="0074216E"/>
    <w:rsid w:val="0074347C"/>
    <w:rsid w:val="0075003F"/>
    <w:rsid w:val="00761836"/>
    <w:rsid w:val="00762BCC"/>
    <w:rsid w:val="00763BA3"/>
    <w:rsid w:val="00765B66"/>
    <w:rsid w:val="00767BB2"/>
    <w:rsid w:val="0077159C"/>
    <w:rsid w:val="00776D23"/>
    <w:rsid w:val="00780376"/>
    <w:rsid w:val="00780EE3"/>
    <w:rsid w:val="00791AAC"/>
    <w:rsid w:val="00795099"/>
    <w:rsid w:val="00797D4C"/>
    <w:rsid w:val="00797DEE"/>
    <w:rsid w:val="007A086F"/>
    <w:rsid w:val="007C0971"/>
    <w:rsid w:val="007C0E7E"/>
    <w:rsid w:val="007C4098"/>
    <w:rsid w:val="007D015C"/>
    <w:rsid w:val="007D17C5"/>
    <w:rsid w:val="007D27DA"/>
    <w:rsid w:val="007D2C92"/>
    <w:rsid w:val="007D3E5F"/>
    <w:rsid w:val="007D52EC"/>
    <w:rsid w:val="007D7859"/>
    <w:rsid w:val="007D7A9A"/>
    <w:rsid w:val="007E1A57"/>
    <w:rsid w:val="007E4D11"/>
    <w:rsid w:val="007F1CEE"/>
    <w:rsid w:val="00805F0F"/>
    <w:rsid w:val="008066A0"/>
    <w:rsid w:val="00807C77"/>
    <w:rsid w:val="00811F82"/>
    <w:rsid w:val="00815B3C"/>
    <w:rsid w:val="00837537"/>
    <w:rsid w:val="00842766"/>
    <w:rsid w:val="0084466F"/>
    <w:rsid w:val="00850679"/>
    <w:rsid w:val="00850B55"/>
    <w:rsid w:val="00854EBF"/>
    <w:rsid w:val="0086094D"/>
    <w:rsid w:val="0086590E"/>
    <w:rsid w:val="0086731C"/>
    <w:rsid w:val="00872382"/>
    <w:rsid w:val="00873963"/>
    <w:rsid w:val="00886906"/>
    <w:rsid w:val="008912FE"/>
    <w:rsid w:val="00891FEA"/>
    <w:rsid w:val="008A245D"/>
    <w:rsid w:val="008A41B4"/>
    <w:rsid w:val="008A4409"/>
    <w:rsid w:val="008A54FC"/>
    <w:rsid w:val="008B48F7"/>
    <w:rsid w:val="008B70CD"/>
    <w:rsid w:val="008C3856"/>
    <w:rsid w:val="008D141C"/>
    <w:rsid w:val="008D2C13"/>
    <w:rsid w:val="008E6109"/>
    <w:rsid w:val="008F05F2"/>
    <w:rsid w:val="008F47AB"/>
    <w:rsid w:val="00907A34"/>
    <w:rsid w:val="00916CCC"/>
    <w:rsid w:val="009170EA"/>
    <w:rsid w:val="0092076F"/>
    <w:rsid w:val="00930439"/>
    <w:rsid w:val="00930D00"/>
    <w:rsid w:val="0093374F"/>
    <w:rsid w:val="00937AEB"/>
    <w:rsid w:val="00947315"/>
    <w:rsid w:val="00947E0A"/>
    <w:rsid w:val="0095208E"/>
    <w:rsid w:val="009662E3"/>
    <w:rsid w:val="00966DD9"/>
    <w:rsid w:val="00986677"/>
    <w:rsid w:val="0098692A"/>
    <w:rsid w:val="00993ED1"/>
    <w:rsid w:val="0099421C"/>
    <w:rsid w:val="009960BF"/>
    <w:rsid w:val="009A2F3A"/>
    <w:rsid w:val="009A7A45"/>
    <w:rsid w:val="009B07C6"/>
    <w:rsid w:val="009B0AF7"/>
    <w:rsid w:val="009B6A33"/>
    <w:rsid w:val="009C3803"/>
    <w:rsid w:val="009D0FD1"/>
    <w:rsid w:val="009D2C13"/>
    <w:rsid w:val="009D3BA5"/>
    <w:rsid w:val="009D4BA1"/>
    <w:rsid w:val="009D7D5A"/>
    <w:rsid w:val="009E0103"/>
    <w:rsid w:val="009E47EB"/>
    <w:rsid w:val="009E7211"/>
    <w:rsid w:val="009F09C6"/>
    <w:rsid w:val="009F1895"/>
    <w:rsid w:val="009F3A37"/>
    <w:rsid w:val="009F6EA2"/>
    <w:rsid w:val="00A02090"/>
    <w:rsid w:val="00A02EAB"/>
    <w:rsid w:val="00A03731"/>
    <w:rsid w:val="00A061CE"/>
    <w:rsid w:val="00A076B5"/>
    <w:rsid w:val="00A17F69"/>
    <w:rsid w:val="00A23870"/>
    <w:rsid w:val="00A267E0"/>
    <w:rsid w:val="00A274DB"/>
    <w:rsid w:val="00A41E1E"/>
    <w:rsid w:val="00A53FCF"/>
    <w:rsid w:val="00A63442"/>
    <w:rsid w:val="00A6411D"/>
    <w:rsid w:val="00A673EB"/>
    <w:rsid w:val="00A73293"/>
    <w:rsid w:val="00A73298"/>
    <w:rsid w:val="00A751C0"/>
    <w:rsid w:val="00A839E9"/>
    <w:rsid w:val="00A95ACB"/>
    <w:rsid w:val="00A97942"/>
    <w:rsid w:val="00AA079B"/>
    <w:rsid w:val="00AA086A"/>
    <w:rsid w:val="00AA61E2"/>
    <w:rsid w:val="00AB509C"/>
    <w:rsid w:val="00AB634D"/>
    <w:rsid w:val="00AC0EA5"/>
    <w:rsid w:val="00AC2686"/>
    <w:rsid w:val="00AD1BE1"/>
    <w:rsid w:val="00AD7257"/>
    <w:rsid w:val="00AE0CAB"/>
    <w:rsid w:val="00AE5CC5"/>
    <w:rsid w:val="00AF0889"/>
    <w:rsid w:val="00AF2D0C"/>
    <w:rsid w:val="00AF4C0E"/>
    <w:rsid w:val="00AF7E03"/>
    <w:rsid w:val="00B001B2"/>
    <w:rsid w:val="00B10AA6"/>
    <w:rsid w:val="00B14E5E"/>
    <w:rsid w:val="00B16DC2"/>
    <w:rsid w:val="00B25910"/>
    <w:rsid w:val="00B26973"/>
    <w:rsid w:val="00B26A01"/>
    <w:rsid w:val="00B30D3B"/>
    <w:rsid w:val="00B317F8"/>
    <w:rsid w:val="00B3242B"/>
    <w:rsid w:val="00B405A8"/>
    <w:rsid w:val="00B432D4"/>
    <w:rsid w:val="00B5315C"/>
    <w:rsid w:val="00B576D7"/>
    <w:rsid w:val="00B61400"/>
    <w:rsid w:val="00B74B38"/>
    <w:rsid w:val="00B80892"/>
    <w:rsid w:val="00B813CA"/>
    <w:rsid w:val="00B82735"/>
    <w:rsid w:val="00B85C96"/>
    <w:rsid w:val="00B917BA"/>
    <w:rsid w:val="00B92306"/>
    <w:rsid w:val="00B92861"/>
    <w:rsid w:val="00B9399F"/>
    <w:rsid w:val="00BA7A69"/>
    <w:rsid w:val="00BB15E2"/>
    <w:rsid w:val="00BB3A83"/>
    <w:rsid w:val="00BC4DA2"/>
    <w:rsid w:val="00BD28DF"/>
    <w:rsid w:val="00BD6876"/>
    <w:rsid w:val="00BD6BCF"/>
    <w:rsid w:val="00BE0A8D"/>
    <w:rsid w:val="00BE0B23"/>
    <w:rsid w:val="00BE11ED"/>
    <w:rsid w:val="00BE2864"/>
    <w:rsid w:val="00BF04B5"/>
    <w:rsid w:val="00C00565"/>
    <w:rsid w:val="00C05796"/>
    <w:rsid w:val="00C06E0A"/>
    <w:rsid w:val="00C076BF"/>
    <w:rsid w:val="00C079D1"/>
    <w:rsid w:val="00C212B5"/>
    <w:rsid w:val="00C24982"/>
    <w:rsid w:val="00C25F81"/>
    <w:rsid w:val="00C27F02"/>
    <w:rsid w:val="00C32C20"/>
    <w:rsid w:val="00C44908"/>
    <w:rsid w:val="00C45A51"/>
    <w:rsid w:val="00C504F4"/>
    <w:rsid w:val="00C512DE"/>
    <w:rsid w:val="00C53CB9"/>
    <w:rsid w:val="00C56521"/>
    <w:rsid w:val="00C57AF4"/>
    <w:rsid w:val="00C57CA8"/>
    <w:rsid w:val="00C57E85"/>
    <w:rsid w:val="00C601B5"/>
    <w:rsid w:val="00C65BB4"/>
    <w:rsid w:val="00C71698"/>
    <w:rsid w:val="00C73E59"/>
    <w:rsid w:val="00C8071C"/>
    <w:rsid w:val="00C815C8"/>
    <w:rsid w:val="00C816CB"/>
    <w:rsid w:val="00C82461"/>
    <w:rsid w:val="00C83C95"/>
    <w:rsid w:val="00C85734"/>
    <w:rsid w:val="00C91E3B"/>
    <w:rsid w:val="00C9510F"/>
    <w:rsid w:val="00CA07CC"/>
    <w:rsid w:val="00CA25B5"/>
    <w:rsid w:val="00CA4FCE"/>
    <w:rsid w:val="00CA5F8F"/>
    <w:rsid w:val="00CC5A6F"/>
    <w:rsid w:val="00CC5E28"/>
    <w:rsid w:val="00CD07E7"/>
    <w:rsid w:val="00CD4C0D"/>
    <w:rsid w:val="00CE271A"/>
    <w:rsid w:val="00CE6FF5"/>
    <w:rsid w:val="00CF18E3"/>
    <w:rsid w:val="00CF3A9B"/>
    <w:rsid w:val="00CF5245"/>
    <w:rsid w:val="00D0280D"/>
    <w:rsid w:val="00D06683"/>
    <w:rsid w:val="00D07B1A"/>
    <w:rsid w:val="00D1101B"/>
    <w:rsid w:val="00D1167E"/>
    <w:rsid w:val="00D17150"/>
    <w:rsid w:val="00D234E7"/>
    <w:rsid w:val="00D25BD2"/>
    <w:rsid w:val="00D27531"/>
    <w:rsid w:val="00D30E46"/>
    <w:rsid w:val="00D336CF"/>
    <w:rsid w:val="00D3663D"/>
    <w:rsid w:val="00D4349F"/>
    <w:rsid w:val="00D47EF6"/>
    <w:rsid w:val="00D47F83"/>
    <w:rsid w:val="00D50AC8"/>
    <w:rsid w:val="00D523FB"/>
    <w:rsid w:val="00D60A44"/>
    <w:rsid w:val="00D66E29"/>
    <w:rsid w:val="00D7390F"/>
    <w:rsid w:val="00D74F04"/>
    <w:rsid w:val="00D80ED5"/>
    <w:rsid w:val="00D845D3"/>
    <w:rsid w:val="00D90913"/>
    <w:rsid w:val="00D92BEC"/>
    <w:rsid w:val="00DA18F2"/>
    <w:rsid w:val="00DB17F9"/>
    <w:rsid w:val="00DB2B0C"/>
    <w:rsid w:val="00DC4452"/>
    <w:rsid w:val="00DD5136"/>
    <w:rsid w:val="00DD68EB"/>
    <w:rsid w:val="00DD6973"/>
    <w:rsid w:val="00DF2C67"/>
    <w:rsid w:val="00DF3AE2"/>
    <w:rsid w:val="00DF3AEA"/>
    <w:rsid w:val="00DF7D21"/>
    <w:rsid w:val="00E009EC"/>
    <w:rsid w:val="00E00B97"/>
    <w:rsid w:val="00E01AD2"/>
    <w:rsid w:val="00E03771"/>
    <w:rsid w:val="00E03F1C"/>
    <w:rsid w:val="00E059C5"/>
    <w:rsid w:val="00E11D7E"/>
    <w:rsid w:val="00E14334"/>
    <w:rsid w:val="00E2303A"/>
    <w:rsid w:val="00E343BD"/>
    <w:rsid w:val="00E348D9"/>
    <w:rsid w:val="00E36601"/>
    <w:rsid w:val="00E42729"/>
    <w:rsid w:val="00E46600"/>
    <w:rsid w:val="00E60351"/>
    <w:rsid w:val="00E668CE"/>
    <w:rsid w:val="00E71AE7"/>
    <w:rsid w:val="00E72987"/>
    <w:rsid w:val="00E73F00"/>
    <w:rsid w:val="00E752E6"/>
    <w:rsid w:val="00E869AE"/>
    <w:rsid w:val="00E87723"/>
    <w:rsid w:val="00EA2ED5"/>
    <w:rsid w:val="00EA6088"/>
    <w:rsid w:val="00EA634E"/>
    <w:rsid w:val="00EC1A2C"/>
    <w:rsid w:val="00ED2C10"/>
    <w:rsid w:val="00ED57D7"/>
    <w:rsid w:val="00EE1F36"/>
    <w:rsid w:val="00F113FC"/>
    <w:rsid w:val="00F11542"/>
    <w:rsid w:val="00F1482A"/>
    <w:rsid w:val="00F17DA7"/>
    <w:rsid w:val="00F212EB"/>
    <w:rsid w:val="00F21467"/>
    <w:rsid w:val="00F2153C"/>
    <w:rsid w:val="00F21DFB"/>
    <w:rsid w:val="00F23D13"/>
    <w:rsid w:val="00F32BE8"/>
    <w:rsid w:val="00F32DEC"/>
    <w:rsid w:val="00F43E24"/>
    <w:rsid w:val="00F45561"/>
    <w:rsid w:val="00F465D3"/>
    <w:rsid w:val="00F5154C"/>
    <w:rsid w:val="00F51BD6"/>
    <w:rsid w:val="00F56F06"/>
    <w:rsid w:val="00F56F62"/>
    <w:rsid w:val="00F62D48"/>
    <w:rsid w:val="00F7215A"/>
    <w:rsid w:val="00F73815"/>
    <w:rsid w:val="00F7770D"/>
    <w:rsid w:val="00F831DF"/>
    <w:rsid w:val="00F905E7"/>
    <w:rsid w:val="00F916D1"/>
    <w:rsid w:val="00F91FDD"/>
    <w:rsid w:val="00F93115"/>
    <w:rsid w:val="00FA1722"/>
    <w:rsid w:val="00FA444F"/>
    <w:rsid w:val="00FA4E32"/>
    <w:rsid w:val="00FA5792"/>
    <w:rsid w:val="00FA6D7C"/>
    <w:rsid w:val="00FB04BE"/>
    <w:rsid w:val="00FB200D"/>
    <w:rsid w:val="00FB3571"/>
    <w:rsid w:val="00FB4F1D"/>
    <w:rsid w:val="00FB58BA"/>
    <w:rsid w:val="00FB65CD"/>
    <w:rsid w:val="00FC0F6F"/>
    <w:rsid w:val="00FC5856"/>
    <w:rsid w:val="00FD384F"/>
    <w:rsid w:val="00FE7EEC"/>
    <w:rsid w:val="00FF0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,"/>
  <w:listSeparator w:val=";"/>
  <w14:docId w14:val="41C373E8"/>
  <w15:docId w15:val="{9D7B6B4A-B33B-448E-B501-9DF3F3D5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0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Titre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Titre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Titre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Titre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Titre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Titre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CBulletsLv1">
    <w:name w:val="ECC Bullets Lv1"/>
    <w:basedOn w:val="Normal"/>
    <w:qFormat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En-tte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M1">
    <w:name w:val="toc 1"/>
    <w:aliases w:val="ECC Index 1"/>
    <w:basedOn w:val="Normal"/>
    <w:link w:val="TM1C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Notedebasdepage">
    <w:name w:val="footnote text"/>
    <w:aliases w:val="ECC Footnote"/>
    <w:basedOn w:val="Normal"/>
    <w:link w:val="NotedebasdepageC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M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M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M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Policepardfau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NotedebasdepageCar">
    <w:name w:val="Note de bas de page Car"/>
    <w:aliases w:val="ECC Footnote Car"/>
    <w:basedOn w:val="Policepardfaut"/>
    <w:link w:val="Notedebasdepage"/>
    <w:rsid w:val="001526A2"/>
    <w:rPr>
      <w:rFonts w:eastAsia="Calibri"/>
      <w:sz w:val="16"/>
      <w:szCs w:val="16"/>
      <w14:cntxtAlts/>
    </w:rPr>
  </w:style>
  <w:style w:type="character" w:styleId="Appelnotedebasdep">
    <w:name w:val="footnote reference"/>
    <w:aliases w:val="ECC Footnote number"/>
    <w:basedOn w:val="Policepardfaut"/>
    <w:rsid w:val="00DB17F9"/>
    <w:rPr>
      <w:rFonts w:ascii="Arial" w:hAnsi="Arial"/>
      <w:sz w:val="20"/>
      <w:vertAlign w:val="superscript"/>
    </w:rPr>
  </w:style>
  <w:style w:type="paragraph" w:styleId="Lgende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Policepardfau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lev"/>
    <w:uiPriority w:val="1"/>
    <w:qFormat/>
    <w:rsid w:val="0038287C"/>
    <w:rPr>
      <w:b/>
      <w:bCs/>
    </w:rPr>
  </w:style>
  <w:style w:type="character" w:styleId="Accentuation">
    <w:name w:val="Emphasis"/>
    <w:aliases w:val="ECC HL italics"/>
    <w:basedOn w:val="Policepardfaut"/>
    <w:uiPriority w:val="1"/>
    <w:qFormat/>
    <w:rsid w:val="00DB17F9"/>
    <w:rPr>
      <w:i/>
    </w:rPr>
  </w:style>
  <w:style w:type="character" w:customStyle="1" w:styleId="TM1Car">
    <w:name w:val="TM 1 Car"/>
    <w:aliases w:val="ECC Index 1 Car"/>
    <w:basedOn w:val="Policepardfaut"/>
    <w:link w:val="TM1"/>
    <w:uiPriority w:val="39"/>
    <w:semiHidden/>
    <w:rsid w:val="00D3663D"/>
    <w:rPr>
      <w:rFonts w:eastAsia="Calibri"/>
      <w:b/>
      <w:noProof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Policepardfau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Policepardfau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Policepardfau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Policepardfau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Paragraphedeliste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Policepardfau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Policepardfau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Policepardfau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Lienhypertexte">
    <w:name w:val="Hyperlink"/>
    <w:aliases w:val="ECC Hyperlink"/>
    <w:basedOn w:val="Policepardfau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Titre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Policepardfau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Grillecouleur">
    <w:name w:val="Colorful Grid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ausimple1">
    <w:name w:val="Table Simple 1"/>
    <w:basedOn w:val="Tableau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Grillecouleur-Accent6">
    <w:name w:val="Colorful Grid Accent 6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Grilledutableau">
    <w:name w:val="Table Grid"/>
    <w:basedOn w:val="Tableau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Policepardfaut"/>
    <w:link w:val="ECCBreak"/>
    <w:rsid w:val="0042761F"/>
    <w:rPr>
      <w:b/>
      <w:bCs/>
      <w:iCs/>
      <w:caps/>
      <w:szCs w:val="28"/>
    </w:rPr>
  </w:style>
  <w:style w:type="paragraph" w:styleId="Rvision">
    <w:name w:val="Revision"/>
    <w:hidden/>
    <w:uiPriority w:val="99"/>
    <w:semiHidden/>
    <w:rsid w:val="00344131"/>
    <w:pPr>
      <w:spacing w:before="0" w:after="0"/>
      <w:jc w:val="left"/>
    </w:pPr>
    <w:rPr>
      <w:rFonts w:eastAsia="Calibri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0136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locked/>
    <w:rsid w:val="000136F4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136F4"/>
    <w:rPr>
      <w:rFonts w:eastAsia="Calibr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0136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36F4"/>
    <w:rPr>
      <w:rFonts w:eastAsia="Calibr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A58443-431D-42E6-949D-F7CA96B9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3</TotalTime>
  <Pages>2</Pages>
  <Words>918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XXX(YY)XX - Source - Content</vt:lpstr>
      <vt:lpstr>XXX(YY)XX - Source - Content</vt:lpstr>
    </vt:vector>
  </TitlesOfParts>
  <Manager>ECC</Manager>
  <Company>ECO</Company>
  <LinksUpToDate>false</LinksUpToDate>
  <CharactersWithSpaces>5957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ECC</dc:creator>
  <dc:description>This template is used as guidance to draft generic contributions to ECC groups</dc:description>
  <cp:lastModifiedBy>DEVIES Christel</cp:lastModifiedBy>
  <cp:revision>3</cp:revision>
  <cp:lastPrinted>2016-10-04T08:55:00Z</cp:lastPrinted>
  <dcterms:created xsi:type="dcterms:W3CDTF">2023-07-18T12:56:00Z</dcterms:created>
  <dcterms:modified xsi:type="dcterms:W3CDTF">2023-07-18T12:56:00Z</dcterms:modified>
  <cp:category>protected templates</cp:category>
  <cp:contentStatus>Template ECC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c748a0-2ff9-441a-82d5-30ac767f9d6f_Enabled">
    <vt:lpwstr>true</vt:lpwstr>
  </property>
  <property fmtid="{D5CDD505-2E9C-101B-9397-08002B2CF9AE}" pid="3" name="MSIP_Label_80c748a0-2ff9-441a-82d5-30ac767f9d6f_SetDate">
    <vt:lpwstr>2023-07-16T12:43:21Z</vt:lpwstr>
  </property>
  <property fmtid="{D5CDD505-2E9C-101B-9397-08002B2CF9AE}" pid="4" name="MSIP_Label_80c748a0-2ff9-441a-82d5-30ac767f9d6f_Method">
    <vt:lpwstr>Standard</vt:lpwstr>
  </property>
  <property fmtid="{D5CDD505-2E9C-101B-9397-08002B2CF9AE}" pid="5" name="MSIP_Label_80c748a0-2ff9-441a-82d5-30ac767f9d6f_Name">
    <vt:lpwstr>OneWeb Proprietary</vt:lpwstr>
  </property>
  <property fmtid="{D5CDD505-2E9C-101B-9397-08002B2CF9AE}" pid="6" name="MSIP_Label_80c748a0-2ff9-441a-82d5-30ac767f9d6f_SiteId">
    <vt:lpwstr>d81db6ff-4c7d-4a1d-b562-81e85431d5ba</vt:lpwstr>
  </property>
  <property fmtid="{D5CDD505-2E9C-101B-9397-08002B2CF9AE}" pid="7" name="MSIP_Label_80c748a0-2ff9-441a-82d5-30ac767f9d6f_ActionId">
    <vt:lpwstr>8cf3a276-8e14-4d1a-9f13-a0aba6d8a172</vt:lpwstr>
  </property>
  <property fmtid="{D5CDD505-2E9C-101B-9397-08002B2CF9AE}" pid="8" name="MSIP_Label_80c748a0-2ff9-441a-82d5-30ac767f9d6f_ContentBits">
    <vt:lpwstr>0</vt:lpwstr>
  </property>
</Properties>
</file>