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50"/>
        <w:gridCol w:w="3078"/>
        <w:gridCol w:w="54"/>
        <w:gridCol w:w="4999"/>
      </w:tblGrid>
      <w:tr w:rsidR="00065E51" w:rsidRPr="00AC0201" w14:paraId="25333CD0" w14:textId="77777777" w:rsidTr="00122A9A">
        <w:trPr>
          <w:cantSplit/>
          <w:trHeight w:val="1240"/>
        </w:trPr>
        <w:tc>
          <w:tcPr>
            <w:tcW w:w="4782" w:type="dxa"/>
            <w:gridSpan w:val="3"/>
            <w:tcBorders>
              <w:top w:val="nil"/>
              <w:left w:val="nil"/>
              <w:bottom w:val="nil"/>
              <w:right w:val="nil"/>
            </w:tcBorders>
          </w:tcPr>
          <w:p w14:paraId="7F199EBB" w14:textId="77777777" w:rsidR="00065E51" w:rsidRPr="00BD4E12" w:rsidRDefault="00065E51" w:rsidP="00065E51">
            <w:pPr>
              <w:pStyle w:val="ECCLetterHead"/>
            </w:pPr>
          </w:p>
        </w:tc>
        <w:tc>
          <w:tcPr>
            <w:tcW w:w="4999" w:type="dxa"/>
            <w:tcBorders>
              <w:top w:val="nil"/>
              <w:left w:val="nil"/>
              <w:bottom w:val="nil"/>
              <w:right w:val="nil"/>
            </w:tcBorders>
          </w:tcPr>
          <w:p w14:paraId="347B9839" w14:textId="499C050E" w:rsidR="00122A9A" w:rsidRPr="00122A9A" w:rsidRDefault="00122A9A" w:rsidP="00122A9A">
            <w:pPr>
              <w:pStyle w:val="ECCLetterHead"/>
            </w:pPr>
            <w:r>
              <w:tab/>
            </w:r>
            <w:r w:rsidRPr="00122A9A">
              <w:t xml:space="preserve">Doc. </w:t>
            </w:r>
            <w:r w:rsidR="002D6524">
              <w:t>CPG(17)024</w:t>
            </w:r>
            <w:r w:rsidRPr="00122A9A">
              <w:t xml:space="preserve"> ANNEX IV-09B</w:t>
            </w:r>
          </w:p>
          <w:p w14:paraId="14EB629F" w14:textId="3D8A66AD" w:rsidR="00065E51" w:rsidRPr="00122A9A" w:rsidRDefault="00122A9A" w:rsidP="002D6524">
            <w:pPr>
              <w:pStyle w:val="ECCLetterHead"/>
            </w:pPr>
            <w:r w:rsidRPr="00122A9A">
              <w:tab/>
            </w:r>
          </w:p>
        </w:tc>
      </w:tr>
      <w:tr w:rsidR="00D61D29" w:rsidRPr="00DD6CE9" w14:paraId="4D3EE688" w14:textId="77777777" w:rsidTr="00B30C20">
        <w:tblPrEx>
          <w:tblCellMar>
            <w:left w:w="108" w:type="dxa"/>
            <w:right w:w="108" w:type="dxa"/>
          </w:tblCellMar>
        </w:tblPrEx>
        <w:trPr>
          <w:cantSplit/>
          <w:trHeight w:val="405"/>
        </w:trPr>
        <w:tc>
          <w:tcPr>
            <w:tcW w:w="9781" w:type="dxa"/>
            <w:gridSpan w:val="4"/>
            <w:tcBorders>
              <w:top w:val="nil"/>
              <w:left w:val="nil"/>
              <w:bottom w:val="nil"/>
              <w:right w:val="nil"/>
            </w:tcBorders>
            <w:shd w:val="clear" w:color="auto" w:fill="auto"/>
          </w:tcPr>
          <w:p w14:paraId="39B0C33E" w14:textId="72174CF8" w:rsidR="00D61D29" w:rsidRPr="00D61D29" w:rsidRDefault="00C8637B" w:rsidP="000100A6">
            <w:pPr>
              <w:pStyle w:val="ECCLetterHead"/>
            </w:pPr>
            <w:r>
              <w:t>CPG19-4</w:t>
            </w:r>
          </w:p>
        </w:tc>
      </w:tr>
      <w:tr w:rsidR="00D61D29" w:rsidRPr="00DD6CE9" w14:paraId="16C7944B" w14:textId="77777777" w:rsidTr="00B30C20">
        <w:tblPrEx>
          <w:tblCellMar>
            <w:left w:w="108" w:type="dxa"/>
            <w:right w:w="108" w:type="dxa"/>
          </w:tblCellMar>
        </w:tblPrEx>
        <w:trPr>
          <w:cantSplit/>
          <w:trHeight w:val="405"/>
        </w:trPr>
        <w:tc>
          <w:tcPr>
            <w:tcW w:w="9781" w:type="dxa"/>
            <w:gridSpan w:val="4"/>
            <w:tcBorders>
              <w:top w:val="nil"/>
              <w:left w:val="nil"/>
              <w:bottom w:val="nil"/>
              <w:right w:val="nil"/>
            </w:tcBorders>
          </w:tcPr>
          <w:p w14:paraId="011ED46A" w14:textId="0B03EF0B" w:rsidR="00D61D29" w:rsidRPr="00D61D29" w:rsidRDefault="00C8637B" w:rsidP="00D61D29">
            <w:pPr>
              <w:pStyle w:val="ECCLetterHead"/>
            </w:pPr>
            <w:r w:rsidRPr="00C8637B">
              <w:t>Cluj-Napoca, Romania, 4</w:t>
            </w:r>
            <w:r w:rsidRPr="00C8637B">
              <w:rPr>
                <w:rStyle w:val="ECCHLsuperscript"/>
              </w:rPr>
              <w:t>th</w:t>
            </w:r>
            <w:r w:rsidRPr="00C8637B">
              <w:t xml:space="preserve"> - 7</w:t>
            </w:r>
            <w:r w:rsidRPr="00C8637B">
              <w:rPr>
                <w:rStyle w:val="ECCHLsuperscript"/>
              </w:rPr>
              <w:t>th</w:t>
            </w:r>
            <w:r w:rsidRPr="00C8637B">
              <w:t xml:space="preserve"> July 2017</w:t>
            </w:r>
          </w:p>
        </w:tc>
      </w:tr>
      <w:tr w:rsidR="00065E51" w:rsidRPr="00DD6CE9" w14:paraId="7A258A42" w14:textId="77777777" w:rsidTr="00122A9A">
        <w:tblPrEx>
          <w:tblCellMar>
            <w:left w:w="108" w:type="dxa"/>
            <w:right w:w="108" w:type="dxa"/>
          </w:tblCellMar>
        </w:tblPrEx>
        <w:trPr>
          <w:cantSplit/>
          <w:trHeight w:hRule="exact" w:val="79"/>
        </w:trPr>
        <w:tc>
          <w:tcPr>
            <w:tcW w:w="4728" w:type="dxa"/>
            <w:gridSpan w:val="2"/>
            <w:tcBorders>
              <w:top w:val="nil"/>
              <w:left w:val="nil"/>
              <w:bottom w:val="nil"/>
              <w:right w:val="nil"/>
            </w:tcBorders>
            <w:vAlign w:val="center"/>
          </w:tcPr>
          <w:p w14:paraId="0190B40E" w14:textId="77777777" w:rsidR="00065E51" w:rsidRPr="00DD6CE9" w:rsidRDefault="00065E51" w:rsidP="00065E51">
            <w:pPr>
              <w:pStyle w:val="ECCLetterHead"/>
            </w:pPr>
          </w:p>
        </w:tc>
        <w:tc>
          <w:tcPr>
            <w:tcW w:w="5053" w:type="dxa"/>
            <w:gridSpan w:val="2"/>
            <w:tcBorders>
              <w:top w:val="nil"/>
              <w:left w:val="nil"/>
              <w:bottom w:val="nil"/>
              <w:right w:val="nil"/>
            </w:tcBorders>
            <w:vAlign w:val="center"/>
          </w:tcPr>
          <w:p w14:paraId="27581B8C" w14:textId="77777777" w:rsidR="00065E51" w:rsidRPr="00DD6CE9" w:rsidRDefault="00065E51" w:rsidP="00065E51">
            <w:pPr>
              <w:pStyle w:val="ECCLetterHead"/>
            </w:pPr>
          </w:p>
        </w:tc>
      </w:tr>
      <w:tr w:rsidR="00065E51" w:rsidRPr="00DD6CE9" w14:paraId="70DA6779" w14:textId="77777777" w:rsidTr="00122A9A">
        <w:tblPrEx>
          <w:tblCellMar>
            <w:left w:w="108" w:type="dxa"/>
            <w:right w:w="108" w:type="dxa"/>
          </w:tblCellMar>
        </w:tblPrEx>
        <w:trPr>
          <w:cantSplit/>
          <w:trHeight w:val="405"/>
        </w:trPr>
        <w:tc>
          <w:tcPr>
            <w:tcW w:w="1650" w:type="dxa"/>
            <w:tcBorders>
              <w:top w:val="nil"/>
              <w:left w:val="nil"/>
              <w:bottom w:val="nil"/>
              <w:right w:val="nil"/>
            </w:tcBorders>
            <w:vAlign w:val="center"/>
          </w:tcPr>
          <w:p w14:paraId="0D36031C" w14:textId="77777777" w:rsidR="00065E51" w:rsidRPr="00065E51" w:rsidRDefault="00065E51" w:rsidP="00065E51">
            <w:pPr>
              <w:pStyle w:val="ECCLetterHead"/>
            </w:pPr>
            <w:r w:rsidRPr="00DD6CE9">
              <w:t xml:space="preserve">Date issued: </w:t>
            </w:r>
          </w:p>
        </w:tc>
        <w:tc>
          <w:tcPr>
            <w:tcW w:w="8131" w:type="dxa"/>
            <w:gridSpan w:val="3"/>
            <w:tcBorders>
              <w:top w:val="nil"/>
              <w:left w:val="nil"/>
              <w:bottom w:val="nil"/>
              <w:right w:val="nil"/>
            </w:tcBorders>
            <w:vAlign w:val="center"/>
          </w:tcPr>
          <w:p w14:paraId="6C2209AF" w14:textId="267E88D9" w:rsidR="00065E51" w:rsidRPr="00065E51" w:rsidRDefault="00C8637B" w:rsidP="00C8637B">
            <w:pPr>
              <w:pStyle w:val="ECCLetterHead"/>
            </w:pPr>
            <w:r>
              <w:t>7</w:t>
            </w:r>
            <w:r w:rsidRPr="00C8637B">
              <w:rPr>
                <w:vertAlign w:val="superscript"/>
              </w:rPr>
              <w:t>th</w:t>
            </w:r>
            <w:r>
              <w:t xml:space="preserve"> July</w:t>
            </w:r>
            <w:r w:rsidR="00580991" w:rsidRPr="00580991">
              <w:t xml:space="preserve"> 2017</w:t>
            </w:r>
          </w:p>
        </w:tc>
      </w:tr>
      <w:tr w:rsidR="00065E51" w:rsidRPr="007C1E98" w14:paraId="0DCF9E4D" w14:textId="77777777" w:rsidTr="00122A9A">
        <w:tblPrEx>
          <w:tblCellMar>
            <w:left w:w="108" w:type="dxa"/>
            <w:right w:w="108" w:type="dxa"/>
          </w:tblCellMar>
        </w:tblPrEx>
        <w:trPr>
          <w:cantSplit/>
          <w:trHeight w:val="405"/>
        </w:trPr>
        <w:tc>
          <w:tcPr>
            <w:tcW w:w="1650" w:type="dxa"/>
            <w:tcBorders>
              <w:top w:val="nil"/>
              <w:left w:val="nil"/>
              <w:bottom w:val="nil"/>
              <w:right w:val="nil"/>
            </w:tcBorders>
            <w:vAlign w:val="center"/>
          </w:tcPr>
          <w:p w14:paraId="05C07230" w14:textId="77777777" w:rsidR="00065E51" w:rsidRPr="00065E51" w:rsidRDefault="00065E51" w:rsidP="00065E51">
            <w:pPr>
              <w:pStyle w:val="ECCLetterHead"/>
            </w:pPr>
            <w:r w:rsidRPr="00DD6CE9">
              <w:t xml:space="preserve">Source: </w:t>
            </w:r>
          </w:p>
        </w:tc>
        <w:tc>
          <w:tcPr>
            <w:tcW w:w="8131" w:type="dxa"/>
            <w:gridSpan w:val="3"/>
            <w:tcBorders>
              <w:top w:val="nil"/>
              <w:left w:val="nil"/>
              <w:bottom w:val="nil"/>
              <w:right w:val="nil"/>
            </w:tcBorders>
            <w:vAlign w:val="center"/>
          </w:tcPr>
          <w:p w14:paraId="42E95E33" w14:textId="4CAF61D2" w:rsidR="00065E51" w:rsidRPr="00065E51" w:rsidRDefault="00D93E29" w:rsidP="00065E51">
            <w:pPr>
              <w:pStyle w:val="ECCLetterHead"/>
            </w:pPr>
            <w:r>
              <w:t xml:space="preserve">Minutes </w:t>
            </w:r>
            <w:r w:rsidR="00C8637B">
              <w:t>CPG19-4</w:t>
            </w:r>
            <w:r w:rsidR="00CB2599">
              <w:t xml:space="preserve"> </w:t>
            </w:r>
          </w:p>
        </w:tc>
      </w:tr>
      <w:tr w:rsidR="00065E51" w:rsidRPr="00DD6CE9" w14:paraId="29F98103" w14:textId="77777777" w:rsidTr="00122A9A">
        <w:trPr>
          <w:cantSplit/>
          <w:trHeight w:val="405"/>
        </w:trPr>
        <w:tc>
          <w:tcPr>
            <w:tcW w:w="1650" w:type="dxa"/>
            <w:tcBorders>
              <w:top w:val="nil"/>
              <w:left w:val="nil"/>
              <w:bottom w:val="nil"/>
              <w:right w:val="nil"/>
            </w:tcBorders>
            <w:vAlign w:val="center"/>
          </w:tcPr>
          <w:p w14:paraId="70F8A64B" w14:textId="77777777" w:rsidR="00065E51" w:rsidRPr="00065E51" w:rsidRDefault="00065E51" w:rsidP="00065E51">
            <w:pPr>
              <w:pStyle w:val="ECCLetterHead"/>
            </w:pPr>
            <w:r w:rsidRPr="00DD6CE9">
              <w:t xml:space="preserve">Subject: </w:t>
            </w:r>
          </w:p>
        </w:tc>
        <w:tc>
          <w:tcPr>
            <w:tcW w:w="8131" w:type="dxa"/>
            <w:gridSpan w:val="3"/>
            <w:tcBorders>
              <w:top w:val="nil"/>
              <w:left w:val="nil"/>
              <w:bottom w:val="nil"/>
              <w:right w:val="nil"/>
            </w:tcBorders>
            <w:vAlign w:val="center"/>
          </w:tcPr>
          <w:p w14:paraId="0E107F8A" w14:textId="77777777" w:rsidR="00065E51" w:rsidRPr="00065E51" w:rsidRDefault="00065E51" w:rsidP="00065E51">
            <w:pPr>
              <w:pStyle w:val="ECCLetterHead"/>
            </w:pPr>
            <w:r w:rsidRPr="00DD6CE9">
              <w:t>Draft CEPT Brief on WRC-1</w:t>
            </w:r>
            <w:r w:rsidRPr="00065E51">
              <w:t>9 Agenda Item 1.</w:t>
            </w:r>
            <w:r>
              <w:t>9.2</w:t>
            </w:r>
          </w:p>
        </w:tc>
      </w:tr>
      <w:tr w:rsidR="003771D5" w:rsidRPr="00EA4393" w14:paraId="15EBA8EB" w14:textId="77777777" w:rsidTr="00122A9A">
        <w:trPr>
          <w:cantSplit/>
          <w:trHeight w:hRule="exact" w:val="74"/>
        </w:trPr>
        <w:tc>
          <w:tcPr>
            <w:tcW w:w="9781" w:type="dxa"/>
            <w:gridSpan w:val="4"/>
            <w:tcBorders>
              <w:top w:val="nil"/>
              <w:left w:val="nil"/>
              <w:bottom w:val="single" w:sz="6" w:space="0" w:color="C00000"/>
              <w:right w:val="nil"/>
            </w:tcBorders>
            <w:vAlign w:val="center"/>
          </w:tcPr>
          <w:p w14:paraId="63D72C8D" w14:textId="77777777" w:rsidR="003771D5" w:rsidRPr="00630661" w:rsidRDefault="003771D5" w:rsidP="00BD4E12">
            <w:pPr>
              <w:rPr>
                <w:rStyle w:val="ECCParagraph"/>
              </w:rPr>
            </w:pPr>
          </w:p>
          <w:p w14:paraId="50D4FC9B" w14:textId="77777777" w:rsidR="003771D5" w:rsidRPr="00EA4393" w:rsidRDefault="003771D5" w:rsidP="00BD4E12">
            <w:pPr>
              <w:pStyle w:val="ECCLetterHead"/>
              <w:rPr>
                <w:lang w:val="en-US"/>
              </w:rPr>
            </w:pPr>
          </w:p>
        </w:tc>
      </w:tr>
      <w:tr w:rsidR="003771D5" w:rsidRPr="00E0497E" w14:paraId="2199BDEB" w14:textId="77777777" w:rsidTr="00122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4"/>
            <w:tcBorders>
              <w:top w:val="single" w:sz="6" w:space="0" w:color="C00000"/>
              <w:left w:val="single" w:sz="6" w:space="0" w:color="C00000"/>
              <w:bottom w:val="nil"/>
              <w:right w:val="single" w:sz="6" w:space="0" w:color="C00000"/>
            </w:tcBorders>
            <w:vAlign w:val="center"/>
          </w:tcPr>
          <w:p w14:paraId="0CBBF459" w14:textId="77777777" w:rsidR="003771D5" w:rsidRPr="00E0497E" w:rsidRDefault="00EA4393" w:rsidP="003A68D5">
            <w:pPr>
              <w:pStyle w:val="ECCLetterHead"/>
              <w:rPr>
                <w:lang w:val="ru-RU"/>
              </w:rPr>
            </w:pPr>
            <w:r>
              <w:t>Summary</w:t>
            </w:r>
            <w:r w:rsidR="003771D5" w:rsidRPr="00E0497E">
              <w:rPr>
                <w:lang w:val="ru-RU"/>
              </w:rPr>
              <w:t xml:space="preserve">: </w:t>
            </w:r>
          </w:p>
        </w:tc>
      </w:tr>
      <w:tr w:rsidR="003771D5" w:rsidRPr="0018554F" w14:paraId="0263C5E6" w14:textId="77777777" w:rsidTr="00122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4"/>
            <w:tcBorders>
              <w:top w:val="nil"/>
              <w:left w:val="single" w:sz="6" w:space="0" w:color="C00000"/>
              <w:bottom w:val="single" w:sz="6" w:space="0" w:color="C00000"/>
              <w:right w:val="single" w:sz="6" w:space="0" w:color="C00000"/>
            </w:tcBorders>
          </w:tcPr>
          <w:p w14:paraId="2217B411" w14:textId="77777777" w:rsidR="003771D5" w:rsidRPr="0018554F" w:rsidRDefault="003771D5" w:rsidP="001C6A34">
            <w:pPr>
              <w:pStyle w:val="ECCTabletext"/>
            </w:pPr>
          </w:p>
        </w:tc>
      </w:tr>
      <w:tr w:rsidR="003771D5" w:rsidRPr="00D16D8F" w14:paraId="7E2E5E07" w14:textId="77777777" w:rsidTr="00122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4"/>
            <w:tcBorders>
              <w:top w:val="single" w:sz="6" w:space="0" w:color="C00000"/>
              <w:left w:val="single" w:sz="6" w:space="0" w:color="C00000"/>
              <w:bottom w:val="nil"/>
              <w:right w:val="single" w:sz="6" w:space="0" w:color="C00000"/>
            </w:tcBorders>
            <w:vAlign w:val="center"/>
          </w:tcPr>
          <w:p w14:paraId="48ABB43D" w14:textId="77777777" w:rsidR="003771D5" w:rsidRPr="00E0497E" w:rsidRDefault="00EA4393" w:rsidP="003A68D5">
            <w:pPr>
              <w:pStyle w:val="ECCLetterHead"/>
              <w:rPr>
                <w:lang w:val="ru-RU"/>
              </w:rPr>
            </w:pPr>
            <w:r>
              <w:t>Proposals</w:t>
            </w:r>
            <w:r w:rsidR="003771D5" w:rsidRPr="00E0497E">
              <w:rPr>
                <w:lang w:val="ru-RU"/>
              </w:rPr>
              <w:t>:</w:t>
            </w:r>
          </w:p>
        </w:tc>
      </w:tr>
      <w:tr w:rsidR="003771D5" w:rsidRPr="001C6A34" w14:paraId="73780AF6" w14:textId="77777777" w:rsidTr="00122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4"/>
            <w:tcBorders>
              <w:top w:val="nil"/>
              <w:left w:val="single" w:sz="6" w:space="0" w:color="C00000"/>
              <w:bottom w:val="single" w:sz="6" w:space="0" w:color="C00000"/>
              <w:right w:val="single" w:sz="6" w:space="0" w:color="C00000"/>
            </w:tcBorders>
          </w:tcPr>
          <w:p w14:paraId="53DA2987" w14:textId="77777777" w:rsidR="003771D5" w:rsidRPr="001C6A34" w:rsidRDefault="003771D5" w:rsidP="00DE3EEE">
            <w:pPr>
              <w:pStyle w:val="ECCTabletext"/>
            </w:pPr>
          </w:p>
        </w:tc>
      </w:tr>
    </w:tbl>
    <w:p w14:paraId="5F498749" w14:textId="77777777" w:rsidR="003771D5" w:rsidRPr="00630661" w:rsidRDefault="003771D5" w:rsidP="00BD4E12">
      <w:pPr>
        <w:rPr>
          <w:rStyle w:val="ECCParagraph"/>
        </w:rPr>
      </w:pPr>
      <w:r w:rsidRPr="00630661">
        <w:rPr>
          <w:rStyle w:val="ECCParagraph"/>
        </w:rPr>
        <w:br w:type="page"/>
      </w:r>
    </w:p>
    <w:p w14:paraId="22D7E864" w14:textId="77777777" w:rsidR="003771D5" w:rsidRPr="00051365" w:rsidRDefault="001C6A34" w:rsidP="003A68D5">
      <w:pPr>
        <w:pStyle w:val="ECCHeadingnonumbering"/>
        <w:rPr>
          <w:lang w:val="en-GB"/>
        </w:rPr>
      </w:pPr>
      <w:r w:rsidRPr="00051365">
        <w:rPr>
          <w:lang w:val="en-GB"/>
        </w:rPr>
        <w:lastRenderedPageBreak/>
        <w:t xml:space="preserve">DRAFT CEPT BRIEF ON AGENDA ITEM </w:t>
      </w:r>
      <w:r w:rsidR="00CB19E6" w:rsidRPr="00051365">
        <w:rPr>
          <w:lang w:val="en-GB"/>
        </w:rPr>
        <w:t>1.</w:t>
      </w:r>
      <w:r w:rsidR="00877449" w:rsidRPr="00051365">
        <w:rPr>
          <w:lang w:val="en-GB"/>
        </w:rPr>
        <w:t>9.2</w:t>
      </w:r>
      <w:r w:rsidR="00777CD7" w:rsidRPr="00051365">
        <w:rPr>
          <w:lang w:val="en-GB"/>
        </w:rPr>
        <w:t xml:space="preserve"> </w:t>
      </w:r>
    </w:p>
    <w:p w14:paraId="4FFB1B3F" w14:textId="671F935A" w:rsidR="003771D5" w:rsidRPr="00630661" w:rsidRDefault="00E0497E" w:rsidP="00BD4E12">
      <w:pPr>
        <w:rPr>
          <w:rStyle w:val="ECCParagraph"/>
        </w:rPr>
      </w:pPr>
      <w:r w:rsidRPr="00630661">
        <w:rPr>
          <w:rStyle w:val="ECCParagraph"/>
        </w:rPr>
        <w:t>1.</w:t>
      </w:r>
      <w:r w:rsidR="002F1999" w:rsidRPr="00630661">
        <w:rPr>
          <w:rStyle w:val="ECCParagraph"/>
        </w:rPr>
        <w:t>9.2</w:t>
      </w:r>
      <w:r w:rsidR="003771D5" w:rsidRPr="00630661">
        <w:rPr>
          <w:rStyle w:val="ECCParagraph"/>
        </w:rPr>
        <w:tab/>
      </w:r>
      <w:r w:rsidR="00CB2599">
        <w:rPr>
          <w:rStyle w:val="ECCParagraph"/>
        </w:rPr>
        <w:t>t</w:t>
      </w:r>
      <w:r w:rsidR="001C6A34" w:rsidRPr="00630661">
        <w:rPr>
          <w:rStyle w:val="ECCParagraph"/>
        </w:rPr>
        <w:t xml:space="preserve">o consider, based on the results of ITU-R studies modifications of the Radio Regulations, including new spectrum allocations to the maritime mobile-satellite service (Earth-to-space and space-to-Earth), preferably within the frequency bands 156.0125-157.4375 MHz and 160.6125-162.0375 MHz of Appendix 18, to enable a new VHF data exchange system (VDES) satellite component, while ensuring that this component will not degrade the current terrestrial VDES components, applications specific messages (ASM) and AIS operations and not impose any additional constraints on existing services in these and adjacent frequency bands as stated in recognizing d) and e) of Resolution </w:t>
      </w:r>
      <w:r w:rsidR="001C6A34" w:rsidRPr="00A46770">
        <w:rPr>
          <w:rStyle w:val="ECCHLbold"/>
        </w:rPr>
        <w:t>360 (Rev.WRC-15)</w:t>
      </w:r>
      <w:r w:rsidR="001C6A34" w:rsidRPr="00630661">
        <w:rPr>
          <w:rStyle w:val="ECCParagraph"/>
        </w:rPr>
        <w:t xml:space="preserve">.   </w:t>
      </w:r>
    </w:p>
    <w:p w14:paraId="6F510E56" w14:textId="77777777" w:rsidR="003771D5" w:rsidRPr="00E0497E" w:rsidRDefault="001C6A34" w:rsidP="00BD4E12">
      <w:pPr>
        <w:pStyle w:val="Heading1"/>
        <w:rPr>
          <w:lang w:val="ru-RU"/>
        </w:rPr>
      </w:pPr>
      <w:r>
        <w:t>ISSUE</w:t>
      </w:r>
    </w:p>
    <w:p w14:paraId="139FD9E7" w14:textId="531827CD" w:rsidR="00AA49BB" w:rsidRPr="00630661" w:rsidRDefault="001C6A34" w:rsidP="00AA49BB">
      <w:pPr>
        <w:rPr>
          <w:rStyle w:val="ECCParagraph"/>
        </w:rPr>
      </w:pPr>
      <w:r w:rsidRPr="00630661">
        <w:rPr>
          <w:rStyle w:val="ECCParagraph"/>
        </w:rPr>
        <w:t xml:space="preserve">This </w:t>
      </w:r>
      <w:r w:rsidR="00CB2599">
        <w:rPr>
          <w:rStyle w:val="ECCParagraph"/>
        </w:rPr>
        <w:t>A</w:t>
      </w:r>
      <w:r w:rsidRPr="00630661">
        <w:rPr>
          <w:rStyle w:val="ECCParagraph"/>
        </w:rPr>
        <w:t>genda item requires:</w:t>
      </w:r>
      <w:r w:rsidR="00AA49BB" w:rsidRPr="00630661">
        <w:rPr>
          <w:rStyle w:val="ECCParagraph"/>
        </w:rPr>
        <w:t xml:space="preserve"> </w:t>
      </w:r>
    </w:p>
    <w:p w14:paraId="76773287" w14:textId="77777777" w:rsidR="00CB19E6" w:rsidRPr="001C6A34" w:rsidRDefault="001C6A34" w:rsidP="00630661">
      <w:pPr>
        <w:pStyle w:val="ECCBulletsLv1"/>
        <w:rPr>
          <w:lang w:val="en-US" w:eastAsia="ru-RU"/>
        </w:rPr>
      </w:pPr>
      <w:r w:rsidRPr="001C6A34">
        <w:rPr>
          <w:lang w:val="en-US"/>
        </w:rPr>
        <w:t>to conduct, as a matter of urgency, and in time for WRC-19, sharing and compatibility studies between VDES satellite components and incumbent services in the same and adjacent frequency bands specified in recognizing d) and e) to determine potential regulatory actions, including spectrum allocations to the MMSS (Earth-to-space and space-to-Earth) for VDES applications</w:t>
      </w:r>
      <w:r>
        <w:t>.</w:t>
      </w:r>
      <w:r w:rsidRPr="001C6A34">
        <w:rPr>
          <w:lang w:val="en-US"/>
        </w:rPr>
        <w:t xml:space="preserve"> </w:t>
      </w:r>
    </w:p>
    <w:p w14:paraId="55DA6D69" w14:textId="77777777" w:rsidR="003771D5" w:rsidRPr="001C6A34" w:rsidRDefault="001C6A34" w:rsidP="00BD4E12">
      <w:pPr>
        <w:pStyle w:val="Heading1"/>
        <w:rPr>
          <w:lang w:val="en-US"/>
        </w:rPr>
      </w:pPr>
      <w:r>
        <w:t>PRELIMINARY CEPT POSITION</w:t>
      </w:r>
    </w:p>
    <w:p w14:paraId="37A44576" w14:textId="2FE15586" w:rsidR="00250FF7" w:rsidRPr="00630661" w:rsidRDefault="001C6A34" w:rsidP="00250FF7">
      <w:pPr>
        <w:rPr>
          <w:rStyle w:val="ECCParagraph"/>
        </w:rPr>
      </w:pPr>
      <w:r w:rsidRPr="00630661">
        <w:rPr>
          <w:rStyle w:val="ECCParagraph"/>
        </w:rPr>
        <w:t xml:space="preserve">CEPT supports </w:t>
      </w:r>
      <w:r w:rsidR="00373CE7" w:rsidRPr="00630661">
        <w:rPr>
          <w:rStyle w:val="ECCParagraph"/>
        </w:rPr>
        <w:t xml:space="preserve">sharing </w:t>
      </w:r>
      <w:r w:rsidR="00373CE7">
        <w:rPr>
          <w:rStyle w:val="ECCParagraph"/>
        </w:rPr>
        <w:t xml:space="preserve">and compatibility </w:t>
      </w:r>
      <w:r w:rsidRPr="00630661">
        <w:rPr>
          <w:rStyle w:val="ECCParagraph"/>
        </w:rPr>
        <w:t xml:space="preserve">studies between the proposed VDES satellite component and the systems in the </w:t>
      </w:r>
      <w:proofErr w:type="spellStart"/>
      <w:r w:rsidRPr="00630661">
        <w:rPr>
          <w:rStyle w:val="ECCParagraph"/>
        </w:rPr>
        <w:t>radiocommunication</w:t>
      </w:r>
      <w:proofErr w:type="spellEnd"/>
      <w:r w:rsidRPr="00630661">
        <w:rPr>
          <w:rStyle w:val="ECCParagraph"/>
        </w:rPr>
        <w:t xml:space="preserve"> services allocated in the same and in adjacent frequency bands.</w:t>
      </w:r>
      <w:r w:rsidR="0029638F" w:rsidRPr="00630661">
        <w:rPr>
          <w:rStyle w:val="ECCParagraph"/>
        </w:rPr>
        <w:t xml:space="preserve"> </w:t>
      </w:r>
    </w:p>
    <w:p w14:paraId="3409A46C" w14:textId="51936C85" w:rsidR="00D61D29" w:rsidRDefault="001C6A34" w:rsidP="00D61D29">
      <w:pPr>
        <w:rPr>
          <w:rStyle w:val="ECCParagraph"/>
        </w:rPr>
      </w:pPr>
      <w:r w:rsidRPr="00630661">
        <w:rPr>
          <w:rStyle w:val="ECCParagraph"/>
        </w:rPr>
        <w:t xml:space="preserve">CEPT </w:t>
      </w:r>
      <w:r w:rsidR="00B50A87">
        <w:rPr>
          <w:rStyle w:val="ECCParagraph"/>
        </w:rPr>
        <w:t>is of the view</w:t>
      </w:r>
      <w:r w:rsidR="00B50A87" w:rsidRPr="00630661">
        <w:rPr>
          <w:rStyle w:val="ECCParagraph"/>
        </w:rPr>
        <w:t xml:space="preserve"> </w:t>
      </w:r>
      <w:r w:rsidRPr="00630661">
        <w:rPr>
          <w:rStyle w:val="ECCParagraph"/>
        </w:rPr>
        <w:t xml:space="preserve">that </w:t>
      </w:r>
      <w:proofErr w:type="spellStart"/>
      <w:r w:rsidRPr="00630661">
        <w:rPr>
          <w:rStyle w:val="ECCParagraph"/>
        </w:rPr>
        <w:t>implementability</w:t>
      </w:r>
      <w:proofErr w:type="spellEnd"/>
      <w:r w:rsidRPr="00630661">
        <w:rPr>
          <w:rStyle w:val="ECCParagraph"/>
        </w:rPr>
        <w:t xml:space="preserve"> of the VDES satellite component and feasibility of its sharing </w:t>
      </w:r>
      <w:r w:rsidR="00373CE7">
        <w:rPr>
          <w:rStyle w:val="ECCParagraph"/>
        </w:rPr>
        <w:t xml:space="preserve">and compatibility </w:t>
      </w:r>
      <w:r w:rsidRPr="00630661">
        <w:rPr>
          <w:rStyle w:val="ECCParagraph"/>
        </w:rPr>
        <w:t xml:space="preserve">with the systems in the </w:t>
      </w:r>
      <w:proofErr w:type="spellStart"/>
      <w:r w:rsidRPr="00630661">
        <w:rPr>
          <w:rStyle w:val="ECCParagraph"/>
        </w:rPr>
        <w:t>radiocommunication</w:t>
      </w:r>
      <w:proofErr w:type="spellEnd"/>
      <w:r w:rsidRPr="00630661">
        <w:rPr>
          <w:rStyle w:val="ECCParagraph"/>
        </w:rPr>
        <w:t xml:space="preserve"> services allocated in the same and adjacent frequency bands without imposing any limitations on those services</w:t>
      </w:r>
      <w:r w:rsidR="00D61D29" w:rsidRPr="00D61D29">
        <w:rPr>
          <w:rStyle w:val="ECCParagraph"/>
        </w:rPr>
        <w:t xml:space="preserve"> </w:t>
      </w:r>
      <w:r w:rsidR="00D61D29">
        <w:rPr>
          <w:rStyle w:val="ECCParagraph"/>
        </w:rPr>
        <w:t>shall be confirmed by appropriate study results</w:t>
      </w:r>
      <w:r w:rsidR="00D61D29" w:rsidRPr="00630661">
        <w:rPr>
          <w:rStyle w:val="ECCParagraph"/>
        </w:rPr>
        <w:t>.</w:t>
      </w:r>
    </w:p>
    <w:p w14:paraId="46A30FE6" w14:textId="00DA5D02" w:rsidR="00D74A2B" w:rsidRDefault="00D74A2B" w:rsidP="00D74A2B">
      <w:pPr>
        <w:rPr>
          <w:rStyle w:val="ECCParagraph"/>
        </w:rPr>
      </w:pPr>
      <w:r>
        <w:rPr>
          <w:rStyle w:val="ECCParagraph"/>
        </w:rPr>
        <w:t>Subject to the results of relevant studies, CEPT is considering two options:</w:t>
      </w:r>
    </w:p>
    <w:p w14:paraId="78A5CCC8" w14:textId="75AD08D0" w:rsidR="00D74A2B" w:rsidRPr="00E6719F" w:rsidRDefault="00305B3F" w:rsidP="00122A9A">
      <w:pPr>
        <w:pStyle w:val="ECCLetteredList"/>
        <w:rPr>
          <w:lang w:val="en-US"/>
        </w:rPr>
      </w:pPr>
      <w:r>
        <w:rPr>
          <w:rStyle w:val="ECCParagraph"/>
        </w:rPr>
        <w:t xml:space="preserve"> </w:t>
      </w:r>
      <w:r w:rsidR="00D74A2B">
        <w:rPr>
          <w:rStyle w:val="ECCParagraph"/>
        </w:rPr>
        <w:t xml:space="preserve">the introduction of a new maritime mobile-satellite </w:t>
      </w:r>
      <w:r w:rsidR="00D74A2B" w:rsidRPr="00D74A2B">
        <w:rPr>
          <w:rStyle w:val="ECCParagraph"/>
        </w:rPr>
        <w:t xml:space="preserve">(space-to-Earth) service allocation within the frequency bands </w:t>
      </w:r>
      <w:r w:rsidR="00D74A2B" w:rsidRPr="00E6719F">
        <w:rPr>
          <w:lang w:val="en-US"/>
        </w:rPr>
        <w:t xml:space="preserve">160.9625-161.4875 MHz which is not channelized in RR Appendix </w:t>
      </w:r>
      <w:r w:rsidR="00D74A2B" w:rsidRPr="00E6719F">
        <w:rPr>
          <w:rStyle w:val="ECCHLbold"/>
          <w:lang w:val="en-US"/>
        </w:rPr>
        <w:t xml:space="preserve">18 </w:t>
      </w:r>
      <w:r w:rsidR="00D74A2B" w:rsidRPr="00E6719F">
        <w:rPr>
          <w:lang w:val="en-US"/>
        </w:rPr>
        <w:t>and</w:t>
      </w:r>
      <w:r w:rsidR="00D74A2B" w:rsidRPr="00D74A2B">
        <w:rPr>
          <w:rStyle w:val="ECCParagraph"/>
        </w:rPr>
        <w:t xml:space="preserve"> the introduction of a new maritime mobile-satellite (Earth-to-space) service allocation for the channels 24, 84, 25, 85, 26 and 86 of </w:t>
      </w:r>
      <w:r w:rsidR="00D74A2B" w:rsidRPr="00E6719F">
        <w:rPr>
          <w:lang w:val="en-US"/>
        </w:rPr>
        <w:t xml:space="preserve">RR Appendix </w:t>
      </w:r>
      <w:r w:rsidR="00D74A2B" w:rsidRPr="00E6719F">
        <w:rPr>
          <w:rStyle w:val="ECCHLbold"/>
          <w:lang w:val="en-US"/>
        </w:rPr>
        <w:t>18</w:t>
      </w:r>
    </w:p>
    <w:p w14:paraId="3123A4EE" w14:textId="0A3810B2" w:rsidR="00D74A2B" w:rsidRPr="00E6719F" w:rsidRDefault="00D74A2B" w:rsidP="00122A9A">
      <w:pPr>
        <w:pStyle w:val="ECCLetteredList"/>
        <w:rPr>
          <w:lang w:val="en-US"/>
        </w:rPr>
      </w:pPr>
      <w:r w:rsidRPr="00E6719F">
        <w:rPr>
          <w:lang w:val="en-US"/>
        </w:rPr>
        <w:t xml:space="preserve">the introduction of a new maritime mobile satellite service for the channels 1024, 1084, 1025, 1085, 1026, 1086 (Earth-to-space) of RR Appendix </w:t>
      </w:r>
      <w:r w:rsidRPr="00E6719F">
        <w:rPr>
          <w:rStyle w:val="ECCHLbold"/>
          <w:lang w:val="en-US"/>
        </w:rPr>
        <w:t>18</w:t>
      </w:r>
      <w:r w:rsidRPr="00E6719F">
        <w:rPr>
          <w:lang w:val="en-US"/>
        </w:rPr>
        <w:t xml:space="preserve"> and for the channels 2024, 2084, 2025, 2085, 2026 and 2086 (space-to-Earth) of RR Appendix </w:t>
      </w:r>
      <w:r w:rsidRPr="00E6719F">
        <w:rPr>
          <w:rStyle w:val="ECCHLbold"/>
          <w:lang w:val="en-US"/>
        </w:rPr>
        <w:t>18</w:t>
      </w:r>
      <w:r w:rsidRPr="00E6719F">
        <w:rPr>
          <w:lang w:val="en-US"/>
        </w:rPr>
        <w:t>;</w:t>
      </w:r>
    </w:p>
    <w:p w14:paraId="678E36E2" w14:textId="32CDCF96" w:rsidR="00A86864" w:rsidRPr="00CF0B18" w:rsidRDefault="00CF0B18" w:rsidP="004633F4">
      <w:pPr>
        <w:rPr>
          <w:rStyle w:val="ECCParagraph"/>
        </w:rPr>
      </w:pPr>
      <w:r w:rsidRPr="004633F4">
        <w:t>F</w:t>
      </w:r>
      <w:r w:rsidR="00221721" w:rsidRPr="004633F4">
        <w:t>or both option</w:t>
      </w:r>
      <w:r w:rsidRPr="004633F4">
        <w:t>s</w:t>
      </w:r>
      <w:r w:rsidR="00221721" w:rsidRPr="004633F4">
        <w:t xml:space="preserve"> </w:t>
      </w:r>
      <w:r w:rsidR="00A86864" w:rsidRPr="004633F4">
        <w:t xml:space="preserve">the </w:t>
      </w:r>
      <w:proofErr w:type="spellStart"/>
      <w:r w:rsidR="00A86864" w:rsidRPr="004633F4">
        <w:t>pfd</w:t>
      </w:r>
      <w:proofErr w:type="spellEnd"/>
      <w:r w:rsidR="00A86864" w:rsidRPr="004633F4">
        <w:t xml:space="preserve"> mask defined in Recommendation ITU-R M.2092, </w:t>
      </w:r>
      <w:r w:rsidRPr="004633F4">
        <w:t xml:space="preserve">applies </w:t>
      </w:r>
      <w:r w:rsidR="00A86864" w:rsidRPr="004633F4">
        <w:t>to the satellite component of VDES in order to ensure protection of the terrestrial services</w:t>
      </w:r>
      <w:r w:rsidR="00141AC0">
        <w:t>.</w:t>
      </w:r>
    </w:p>
    <w:p w14:paraId="76458D30" w14:textId="77777777" w:rsidR="003771D5" w:rsidRDefault="001C6A34" w:rsidP="003A68D5">
      <w:pPr>
        <w:pStyle w:val="Heading1"/>
      </w:pPr>
      <w:r>
        <w:t>BackGrOuNd</w:t>
      </w:r>
      <w:r w:rsidR="003771D5" w:rsidRPr="00E0497E">
        <w:rPr>
          <w:lang w:val="ru-RU"/>
        </w:rPr>
        <w:t xml:space="preserve"> </w:t>
      </w:r>
    </w:p>
    <w:p w14:paraId="65467102" w14:textId="77777777" w:rsidR="0041358C" w:rsidRPr="00630661" w:rsidRDefault="001C6A34" w:rsidP="0041358C">
      <w:pPr>
        <w:rPr>
          <w:rStyle w:val="ECCParagraph"/>
        </w:rPr>
      </w:pPr>
      <w:r w:rsidRPr="00630661">
        <w:rPr>
          <w:rStyle w:val="ECCParagraph"/>
        </w:rPr>
        <w:t xml:space="preserve">The studies associated with WRC-15 AI 1.16 resulted in elaboration of a concept for the VHF data exchange system (VDES) reflected in Recommendation ITU-R </w:t>
      </w:r>
      <w:r w:rsidR="0041358C" w:rsidRPr="00630661">
        <w:rPr>
          <w:rStyle w:val="ECCParagraph"/>
        </w:rPr>
        <w:t>M.2092-0</w:t>
      </w:r>
      <w:r w:rsidR="001353EE" w:rsidRPr="00630661">
        <w:rPr>
          <w:rStyle w:val="ECCParagraph"/>
        </w:rPr>
        <w:t>.</w:t>
      </w:r>
      <w:r w:rsidRPr="00630661">
        <w:rPr>
          <w:rStyle w:val="ECCParagraph"/>
        </w:rPr>
        <w:t xml:space="preserve"> </w:t>
      </w:r>
      <w:r w:rsidR="001353EE" w:rsidRPr="00630661">
        <w:rPr>
          <w:rStyle w:val="ECCParagraph"/>
        </w:rPr>
        <w:t>The system</w:t>
      </w:r>
      <w:r w:rsidRPr="00630661">
        <w:rPr>
          <w:rStyle w:val="ECCParagraph"/>
        </w:rPr>
        <w:t xml:space="preserve"> combine</w:t>
      </w:r>
      <w:r w:rsidR="001353EE" w:rsidRPr="00630661">
        <w:rPr>
          <w:rStyle w:val="ECCParagraph"/>
        </w:rPr>
        <w:t>s</w:t>
      </w:r>
      <w:r w:rsidRPr="00630661">
        <w:rPr>
          <w:rStyle w:val="ECCParagraph"/>
        </w:rPr>
        <w:t xml:space="preserve"> the current Automatic Identification System (AIS)</w:t>
      </w:r>
      <w:r w:rsidR="0041358C" w:rsidRPr="00630661">
        <w:rPr>
          <w:rStyle w:val="ECCParagraph"/>
        </w:rPr>
        <w:t xml:space="preserve">, </w:t>
      </w:r>
      <w:r w:rsidRPr="00630661">
        <w:rPr>
          <w:rStyle w:val="ECCParagraph"/>
        </w:rPr>
        <w:t xml:space="preserve">applications specific messages (ASM) as well as data exchange terrestrial and satellite components. Therewith VDES satellite uplink was proposed to operate in the frequency band </w:t>
      </w:r>
      <w:r w:rsidR="0041358C" w:rsidRPr="00630661">
        <w:rPr>
          <w:rStyle w:val="ECCParagraph"/>
        </w:rPr>
        <w:t>157</w:t>
      </w:r>
      <w:r w:rsidRPr="00630661">
        <w:rPr>
          <w:rStyle w:val="ECCParagraph"/>
        </w:rPr>
        <w:t>.</w:t>
      </w:r>
      <w:r w:rsidR="0041358C" w:rsidRPr="00630661">
        <w:rPr>
          <w:rStyle w:val="ECCParagraph"/>
        </w:rPr>
        <w:t>1875</w:t>
      </w:r>
      <w:r w:rsidR="00FE2CDE">
        <w:rPr>
          <w:rStyle w:val="ECCParagraph"/>
        </w:rPr>
        <w:t>-</w:t>
      </w:r>
      <w:r w:rsidR="0041358C" w:rsidRPr="00630661">
        <w:rPr>
          <w:rStyle w:val="ECCParagraph"/>
        </w:rPr>
        <w:t>157</w:t>
      </w:r>
      <w:r w:rsidRPr="00630661">
        <w:rPr>
          <w:rStyle w:val="ECCParagraph"/>
        </w:rPr>
        <w:t>.</w:t>
      </w:r>
      <w:r w:rsidR="0041358C" w:rsidRPr="00630661">
        <w:rPr>
          <w:rStyle w:val="ECCParagraph"/>
        </w:rPr>
        <w:t xml:space="preserve">3375 </w:t>
      </w:r>
      <w:r w:rsidRPr="00630661">
        <w:rPr>
          <w:rStyle w:val="ECCParagraph"/>
        </w:rPr>
        <w:t xml:space="preserve">MHz with downlink in the frequency band </w:t>
      </w:r>
      <w:r w:rsidR="0041358C" w:rsidRPr="00630661">
        <w:rPr>
          <w:rStyle w:val="ECCParagraph"/>
        </w:rPr>
        <w:t>161</w:t>
      </w:r>
      <w:r w:rsidRPr="00630661">
        <w:rPr>
          <w:rStyle w:val="ECCParagraph"/>
        </w:rPr>
        <w:t>.</w:t>
      </w:r>
      <w:r w:rsidR="0041358C" w:rsidRPr="00630661">
        <w:rPr>
          <w:rStyle w:val="ECCParagraph"/>
        </w:rPr>
        <w:t>7875</w:t>
      </w:r>
      <w:r w:rsidR="00FE2CDE">
        <w:rPr>
          <w:rStyle w:val="ECCParagraph"/>
        </w:rPr>
        <w:t>-</w:t>
      </w:r>
      <w:r w:rsidR="0041358C" w:rsidRPr="00630661">
        <w:rPr>
          <w:rStyle w:val="ECCParagraph"/>
        </w:rPr>
        <w:t>161</w:t>
      </w:r>
      <w:r w:rsidRPr="00630661">
        <w:rPr>
          <w:rStyle w:val="ECCParagraph"/>
        </w:rPr>
        <w:t>.</w:t>
      </w:r>
      <w:r w:rsidR="0041358C" w:rsidRPr="00630661">
        <w:rPr>
          <w:rStyle w:val="ECCParagraph"/>
        </w:rPr>
        <w:t xml:space="preserve">9375 </w:t>
      </w:r>
      <w:proofErr w:type="spellStart"/>
      <w:r w:rsidRPr="00630661">
        <w:rPr>
          <w:rStyle w:val="ECCParagraph"/>
        </w:rPr>
        <w:t>MHz</w:t>
      </w:r>
      <w:r w:rsidR="0041358C" w:rsidRPr="00630661">
        <w:rPr>
          <w:rStyle w:val="ECCParagraph"/>
        </w:rPr>
        <w:t>.</w:t>
      </w:r>
      <w:proofErr w:type="spellEnd"/>
    </w:p>
    <w:p w14:paraId="5A6A3C42" w14:textId="77777777" w:rsidR="00D61D29" w:rsidRPr="00051365" w:rsidRDefault="001C6A34" w:rsidP="00D61D29">
      <w:r w:rsidRPr="00630661">
        <w:rPr>
          <w:rStyle w:val="ECCParagraph"/>
        </w:rPr>
        <w:t xml:space="preserve">WRC decisions provided for implementation of this concept in Appendix 18 frequency bands except for the data exchange system satellite component. The reason of those decisions consisted in the incomplete studies in sharing with incumbent services in the frequency bands proposed for operation of the VDES satellite component. Therefore the decision was made to conduct further studies on the problem in WRC-19 AI 1.9.2 subject to Resolution </w:t>
      </w:r>
      <w:r w:rsidRPr="00FE2CDE">
        <w:rPr>
          <w:rStyle w:val="ECCHLbold"/>
        </w:rPr>
        <w:t>360 (Rev. WRC-15)</w:t>
      </w:r>
      <w:r w:rsidRPr="00630661">
        <w:rPr>
          <w:rStyle w:val="ECCParagraph"/>
        </w:rPr>
        <w:t>.</w:t>
      </w:r>
      <w:r w:rsidR="00D61D29" w:rsidRPr="00D61D29">
        <w:t xml:space="preserve"> </w:t>
      </w:r>
    </w:p>
    <w:p w14:paraId="38968459" w14:textId="5E4D7A6F" w:rsidR="001C6A34" w:rsidRPr="00630661" w:rsidRDefault="00D61D29" w:rsidP="0041358C">
      <w:pPr>
        <w:rPr>
          <w:rStyle w:val="ECCParagraph"/>
        </w:rPr>
      </w:pPr>
      <w:r>
        <w:lastRenderedPageBreak/>
        <w:t>At WP5B meeting in November 2016</w:t>
      </w:r>
      <w:r w:rsidR="00AC0201">
        <w:t>,</w:t>
      </w:r>
      <w:r>
        <w:t xml:space="preserve"> IALA proposed an alternative frequency plan for VDES satellite component </w:t>
      </w:r>
      <w:r w:rsidRPr="00D61D29">
        <w:t>(</w:t>
      </w:r>
      <w:r>
        <w:t>Doc</w:t>
      </w:r>
      <w:r w:rsidRPr="00D61D29">
        <w:t xml:space="preserve">. </w:t>
      </w:r>
      <w:r w:rsidR="005747E7" w:rsidRPr="005747E7">
        <w:t>5B/195/Annex 26</w:t>
      </w:r>
      <w:r w:rsidRPr="00D61D29">
        <w:t>).</w:t>
      </w:r>
      <w:r>
        <w:t xml:space="preserve"> Subject to the new concept</w:t>
      </w:r>
      <w:r w:rsidR="00AC0201">
        <w:t>,</w:t>
      </w:r>
      <w:r>
        <w:t xml:space="preserve"> channels </w:t>
      </w:r>
      <w:r w:rsidRPr="00D61D29">
        <w:t>1026, 1086, 2026, 2086 (157</w:t>
      </w:r>
      <w:r>
        <w:t>.</w:t>
      </w:r>
      <w:r w:rsidR="00CB2599">
        <w:t>2875-</w:t>
      </w:r>
      <w:r w:rsidRPr="00D61D29">
        <w:t>157</w:t>
      </w:r>
      <w:r>
        <w:t>.</w:t>
      </w:r>
      <w:r w:rsidRPr="00D61D29">
        <w:t xml:space="preserve">3375 </w:t>
      </w:r>
      <w:r>
        <w:t>MHz</w:t>
      </w:r>
      <w:r w:rsidRPr="00D61D29">
        <w:t xml:space="preserve"> </w:t>
      </w:r>
      <w:r>
        <w:t>and</w:t>
      </w:r>
      <w:r w:rsidRPr="00D61D29">
        <w:t xml:space="preserve"> 161</w:t>
      </w:r>
      <w:r>
        <w:t>.</w:t>
      </w:r>
      <w:r w:rsidR="00CB2599">
        <w:t>8875-</w:t>
      </w:r>
      <w:r w:rsidRPr="00D61D29">
        <w:t>161</w:t>
      </w:r>
      <w:r>
        <w:t>.</w:t>
      </w:r>
      <w:r w:rsidRPr="00D61D29">
        <w:t xml:space="preserve">9375 </w:t>
      </w:r>
      <w:proofErr w:type="spellStart"/>
      <w:r w:rsidRPr="00D61D29">
        <w:t>М</w:t>
      </w:r>
      <w:r w:rsidR="005747E7">
        <w:t>Hz</w:t>
      </w:r>
      <w:proofErr w:type="spellEnd"/>
      <w:r w:rsidR="005747E7">
        <w:t>)</w:t>
      </w:r>
      <w:r w:rsidRPr="00D61D29">
        <w:t xml:space="preserve"> </w:t>
      </w:r>
      <w:r>
        <w:t xml:space="preserve">are proposed to be used for uplink and to use the frequency band </w:t>
      </w:r>
      <w:r w:rsidR="00CB2599">
        <w:t>160.9625-</w:t>
      </w:r>
      <w:r w:rsidRPr="00D61D29">
        <w:t xml:space="preserve">161.4875 </w:t>
      </w:r>
      <w:r>
        <w:t>MHz for downlink where channels are not identified yet. With this</w:t>
      </w:r>
      <w:r w:rsidR="00AC0201">
        <w:t>,</w:t>
      </w:r>
      <w:r>
        <w:t xml:space="preserve"> the satellite would be allowed to listen to</w:t>
      </w:r>
      <w:r w:rsidRPr="00D20F7D">
        <w:t xml:space="preserve"> </w:t>
      </w:r>
      <w:r>
        <w:t xml:space="preserve">channels </w:t>
      </w:r>
      <w:r w:rsidRPr="00D61D29">
        <w:t>1024, 1084, 1025, 1085, 2024, 2084, 2025, 2085 (157</w:t>
      </w:r>
      <w:r>
        <w:t>.</w:t>
      </w:r>
      <w:r w:rsidR="00CB2599">
        <w:t>1875-</w:t>
      </w:r>
      <w:r w:rsidRPr="00D61D29">
        <w:t>157</w:t>
      </w:r>
      <w:r>
        <w:t>.</w:t>
      </w:r>
      <w:r w:rsidRPr="00D61D29">
        <w:t xml:space="preserve">2875 </w:t>
      </w:r>
      <w:r>
        <w:t>MHz</w:t>
      </w:r>
      <w:r w:rsidRPr="00D61D29">
        <w:t xml:space="preserve"> </w:t>
      </w:r>
      <w:r>
        <w:t>and</w:t>
      </w:r>
      <w:r w:rsidRPr="00D61D29">
        <w:t xml:space="preserve"> 161</w:t>
      </w:r>
      <w:r>
        <w:t>.</w:t>
      </w:r>
      <w:r w:rsidR="00CB2599">
        <w:t>7875-</w:t>
      </w:r>
      <w:r w:rsidRPr="00D61D29">
        <w:t>161</w:t>
      </w:r>
      <w:r>
        <w:t>.</w:t>
      </w:r>
      <w:r w:rsidRPr="00D61D29">
        <w:t xml:space="preserve">8875 </w:t>
      </w:r>
      <w:r>
        <w:t>MHz</w:t>
      </w:r>
      <w:r w:rsidRPr="00D61D29">
        <w:t xml:space="preserve">) </w:t>
      </w:r>
      <w:r>
        <w:t xml:space="preserve">used by VDES terrestrial component similar to operation of AIS1 and AIS 2 channels. </w:t>
      </w:r>
    </w:p>
    <w:p w14:paraId="0160120B" w14:textId="77777777" w:rsidR="003771D5" w:rsidRDefault="001C6A34" w:rsidP="00BD4E12">
      <w:pPr>
        <w:pStyle w:val="Heading1"/>
      </w:pPr>
      <w:r>
        <w:t>LIST Of reLevant DocUMeNts</w:t>
      </w:r>
      <w:r w:rsidR="00777CD7" w:rsidRPr="001C6A34">
        <w:rPr>
          <w:lang w:val="en-US"/>
        </w:rPr>
        <w:t xml:space="preserve"> </w:t>
      </w:r>
    </w:p>
    <w:p w14:paraId="5DA0DCF4" w14:textId="0771536A" w:rsidR="0041358C" w:rsidRPr="00DE3EEE" w:rsidRDefault="001C6A34" w:rsidP="00630661">
      <w:pPr>
        <w:pStyle w:val="ECCBulletsLv1"/>
        <w:rPr>
          <w:lang w:val="en-US"/>
        </w:rPr>
      </w:pPr>
      <w:r w:rsidRPr="001C6A34">
        <w:t>Recommendation</w:t>
      </w:r>
      <w:r w:rsidRPr="00DE3EEE">
        <w:rPr>
          <w:lang w:val="en-US"/>
        </w:rPr>
        <w:t xml:space="preserve"> </w:t>
      </w:r>
      <w:r w:rsidRPr="001C6A34">
        <w:t>ITU</w:t>
      </w:r>
      <w:r w:rsidRPr="00DE3EEE">
        <w:rPr>
          <w:lang w:val="en-US"/>
        </w:rPr>
        <w:t>-</w:t>
      </w:r>
      <w:r w:rsidRPr="001C6A34">
        <w:t>R</w:t>
      </w:r>
      <w:r w:rsidR="0041358C" w:rsidRPr="00DE3EEE">
        <w:rPr>
          <w:lang w:val="en-US"/>
        </w:rPr>
        <w:t xml:space="preserve"> </w:t>
      </w:r>
      <w:r w:rsidR="0041358C" w:rsidRPr="0041358C">
        <w:t>M</w:t>
      </w:r>
      <w:r w:rsidR="0041358C" w:rsidRPr="00DE3EEE">
        <w:rPr>
          <w:lang w:val="en-US"/>
        </w:rPr>
        <w:t>.2092-0</w:t>
      </w:r>
      <w:r w:rsidRPr="00DE3EEE">
        <w:rPr>
          <w:lang w:val="en-US"/>
        </w:rPr>
        <w:t>.</w:t>
      </w:r>
      <w:r w:rsidR="0041358C" w:rsidRPr="00DE3EEE">
        <w:rPr>
          <w:lang w:val="en-US"/>
        </w:rPr>
        <w:t xml:space="preserve"> </w:t>
      </w:r>
      <w:r>
        <w:t>Technical</w:t>
      </w:r>
      <w:r w:rsidRPr="00DE3EEE">
        <w:rPr>
          <w:lang w:val="en-US"/>
        </w:rPr>
        <w:t xml:space="preserve"> </w:t>
      </w:r>
      <w:r>
        <w:t>characteristics</w:t>
      </w:r>
      <w:r w:rsidRPr="00DE3EEE">
        <w:rPr>
          <w:lang w:val="en-US"/>
        </w:rPr>
        <w:t xml:space="preserve"> </w:t>
      </w:r>
      <w:r>
        <w:t>for</w:t>
      </w:r>
      <w:r w:rsidRPr="00DE3EEE">
        <w:rPr>
          <w:lang w:val="en-US"/>
        </w:rPr>
        <w:t xml:space="preserve">  </w:t>
      </w:r>
      <w:r w:rsidRPr="001C6A34">
        <w:t>the</w:t>
      </w:r>
      <w:r w:rsidRPr="00DE3EEE">
        <w:rPr>
          <w:lang w:val="en-US"/>
        </w:rPr>
        <w:t xml:space="preserve"> </w:t>
      </w:r>
      <w:r w:rsidRPr="001C6A34">
        <w:t>VHF</w:t>
      </w:r>
      <w:r w:rsidRPr="00DE3EEE">
        <w:rPr>
          <w:lang w:val="en-US"/>
        </w:rPr>
        <w:t xml:space="preserve"> </w:t>
      </w:r>
      <w:r w:rsidRPr="001C6A34">
        <w:t>data</w:t>
      </w:r>
      <w:r w:rsidRPr="00DE3EEE">
        <w:rPr>
          <w:lang w:val="en-US"/>
        </w:rPr>
        <w:t xml:space="preserve"> </w:t>
      </w:r>
      <w:r w:rsidRPr="001C6A34">
        <w:t>exchange</w:t>
      </w:r>
      <w:r w:rsidRPr="00DE3EEE">
        <w:rPr>
          <w:lang w:val="en-US"/>
        </w:rPr>
        <w:t xml:space="preserve"> </w:t>
      </w:r>
      <w:r w:rsidRPr="001C6A34">
        <w:t>system</w:t>
      </w:r>
      <w:r w:rsidRPr="00DE3EEE">
        <w:rPr>
          <w:lang w:val="en-US"/>
        </w:rPr>
        <w:t xml:space="preserve"> </w:t>
      </w:r>
      <w:r w:rsidRPr="001C6A34">
        <w:t>in</w:t>
      </w:r>
      <w:r w:rsidRPr="00DE3EEE">
        <w:rPr>
          <w:lang w:val="en-US"/>
        </w:rPr>
        <w:t xml:space="preserve"> </w:t>
      </w:r>
      <w:r w:rsidRPr="001C6A34">
        <w:t>the</w:t>
      </w:r>
      <w:r w:rsidRPr="00DE3EEE">
        <w:rPr>
          <w:lang w:val="en-US"/>
        </w:rPr>
        <w:t xml:space="preserve"> </w:t>
      </w:r>
      <w:r w:rsidRPr="001C6A34">
        <w:t>VHF</w:t>
      </w:r>
      <w:r w:rsidRPr="00DE3EEE">
        <w:rPr>
          <w:lang w:val="en-US"/>
        </w:rPr>
        <w:t xml:space="preserve"> </w:t>
      </w:r>
      <w:r w:rsidRPr="001C6A34">
        <w:t>maritime</w:t>
      </w:r>
      <w:r w:rsidRPr="00DE3EEE">
        <w:rPr>
          <w:lang w:val="en-US"/>
        </w:rPr>
        <w:t xml:space="preserve"> </w:t>
      </w:r>
      <w:r w:rsidRPr="001C6A34">
        <w:t>mobile</w:t>
      </w:r>
      <w:r w:rsidRPr="00DE3EEE">
        <w:rPr>
          <w:lang w:val="en-US"/>
        </w:rPr>
        <w:t xml:space="preserve"> </w:t>
      </w:r>
      <w:r w:rsidRPr="001C6A34">
        <w:t>band</w:t>
      </w:r>
      <w:r w:rsidR="00AC0201">
        <w:t>;</w:t>
      </w:r>
    </w:p>
    <w:p w14:paraId="7F4955E1" w14:textId="04ACD0DC" w:rsidR="0041358C" w:rsidRPr="001C6A34" w:rsidRDefault="001C6A34" w:rsidP="00630661">
      <w:pPr>
        <w:pStyle w:val="ECCBulletsLv1"/>
        <w:rPr>
          <w:lang w:val="en-US"/>
        </w:rPr>
      </w:pPr>
      <w:r w:rsidRPr="00385DE1">
        <w:t>Working</w:t>
      </w:r>
      <w:r w:rsidRPr="001C6A34">
        <w:rPr>
          <w:lang w:val="en-US"/>
        </w:rPr>
        <w:t xml:space="preserve"> </w:t>
      </w:r>
      <w:r w:rsidRPr="00385DE1">
        <w:t>document</w:t>
      </w:r>
      <w:r w:rsidRPr="001C6A34">
        <w:rPr>
          <w:lang w:val="en-US"/>
        </w:rPr>
        <w:t xml:space="preserve"> </w:t>
      </w:r>
      <w:r w:rsidRPr="00385DE1">
        <w:t>towards</w:t>
      </w:r>
      <w:r w:rsidRPr="001C6A34">
        <w:rPr>
          <w:lang w:val="en-US"/>
        </w:rPr>
        <w:t xml:space="preserve"> </w:t>
      </w:r>
      <w:r>
        <w:t>a</w:t>
      </w:r>
      <w:r w:rsidRPr="001C6A34">
        <w:rPr>
          <w:lang w:val="en-US"/>
        </w:rPr>
        <w:t xml:space="preserve"> </w:t>
      </w:r>
      <w:r>
        <w:t>Preliminary</w:t>
      </w:r>
      <w:r w:rsidRPr="001C6A34">
        <w:rPr>
          <w:lang w:val="en-US"/>
        </w:rPr>
        <w:t xml:space="preserve"> </w:t>
      </w:r>
      <w:r>
        <w:t>Draft</w:t>
      </w:r>
      <w:r w:rsidRPr="001C6A34">
        <w:rPr>
          <w:lang w:val="en-US"/>
        </w:rPr>
        <w:t xml:space="preserve"> </w:t>
      </w:r>
      <w:r>
        <w:t>New</w:t>
      </w:r>
      <w:r w:rsidRPr="001C6A34">
        <w:rPr>
          <w:lang w:val="en-US"/>
        </w:rPr>
        <w:t xml:space="preserve"> </w:t>
      </w:r>
      <w:r>
        <w:t>Report</w:t>
      </w:r>
      <w:r w:rsidRPr="001C6A34">
        <w:rPr>
          <w:lang w:val="en-US"/>
        </w:rPr>
        <w:t xml:space="preserve"> </w:t>
      </w:r>
      <w:r w:rsidRPr="001C6A34">
        <w:t>ITU</w:t>
      </w:r>
      <w:r w:rsidRPr="001C6A34">
        <w:rPr>
          <w:lang w:val="en-US"/>
        </w:rPr>
        <w:t>-</w:t>
      </w:r>
      <w:r w:rsidRPr="001C6A34">
        <w:t>R</w:t>
      </w:r>
      <w:r w:rsidRPr="001C6A34">
        <w:rPr>
          <w:lang w:val="en-US"/>
        </w:rPr>
        <w:t xml:space="preserve"> </w:t>
      </w:r>
      <w:r w:rsidRPr="001C6A34">
        <w:t>M</w:t>
      </w:r>
      <w:proofErr w:type="gramStart"/>
      <w:r w:rsidRPr="001C6A34">
        <w:rPr>
          <w:lang w:val="en-US"/>
        </w:rPr>
        <w:t>.[</w:t>
      </w:r>
      <w:proofErr w:type="gramEnd"/>
      <w:r w:rsidRPr="001C6A34">
        <w:t>VDES</w:t>
      </w:r>
      <w:r w:rsidRPr="001C6A34">
        <w:rPr>
          <w:lang w:val="en-US"/>
        </w:rPr>
        <w:t>-</w:t>
      </w:r>
      <w:r w:rsidRPr="001C6A34">
        <w:t>SAT</w:t>
      </w:r>
      <w:r w:rsidRPr="001C6A34">
        <w:rPr>
          <w:lang w:val="en-US"/>
        </w:rPr>
        <w:t>]</w:t>
      </w:r>
      <w:r>
        <w:t xml:space="preserve">. </w:t>
      </w:r>
      <w:r w:rsidRPr="00385DE1">
        <w:t xml:space="preserve">Technical characteristics of the satellite component for the VHF data </w:t>
      </w:r>
      <w:r w:rsidRPr="001C6A34">
        <w:t>exchange system in the VHF maritime mobile band</w:t>
      </w:r>
      <w:r>
        <w:t xml:space="preserve"> (Annex </w:t>
      </w:r>
      <w:r w:rsidR="00D61D29">
        <w:t xml:space="preserve">26 </w:t>
      </w:r>
      <w:r>
        <w:t>to Document 5B/</w:t>
      </w:r>
      <w:r w:rsidR="00D61D29">
        <w:t>195</w:t>
      </w:r>
      <w:r>
        <w:t>)</w:t>
      </w:r>
      <w:r w:rsidR="00AC0201">
        <w:t>;</w:t>
      </w:r>
    </w:p>
    <w:p w14:paraId="3B708ADB" w14:textId="74D5412A" w:rsidR="00D61D29" w:rsidRPr="00051365" w:rsidRDefault="001C6A34" w:rsidP="00D61D29">
      <w:pPr>
        <w:pStyle w:val="ECCBulletsLv1"/>
      </w:pPr>
      <w:r>
        <w:t>Working</w:t>
      </w:r>
      <w:r w:rsidRPr="001C6A34">
        <w:rPr>
          <w:lang w:val="en-US"/>
        </w:rPr>
        <w:t xml:space="preserve"> </w:t>
      </w:r>
      <w:r>
        <w:t>document</w:t>
      </w:r>
      <w:r w:rsidRPr="001C6A34">
        <w:rPr>
          <w:lang w:val="en-US"/>
        </w:rPr>
        <w:t xml:space="preserve"> </w:t>
      </w:r>
      <w:r>
        <w:t>to</w:t>
      </w:r>
      <w:r w:rsidRPr="001C6A34">
        <w:rPr>
          <w:lang w:val="en-US"/>
        </w:rPr>
        <w:t xml:space="preserve"> </w:t>
      </w:r>
      <w:r>
        <w:t>draft</w:t>
      </w:r>
      <w:r w:rsidRPr="001C6A34">
        <w:rPr>
          <w:lang w:val="en-US"/>
        </w:rPr>
        <w:t xml:space="preserve"> </w:t>
      </w:r>
      <w:r>
        <w:t>CPM</w:t>
      </w:r>
      <w:r w:rsidRPr="001C6A34">
        <w:rPr>
          <w:lang w:val="en-US"/>
        </w:rPr>
        <w:t xml:space="preserve"> </w:t>
      </w:r>
      <w:r>
        <w:t>Report</w:t>
      </w:r>
      <w:r w:rsidRPr="001C6A34">
        <w:rPr>
          <w:lang w:val="en-US"/>
        </w:rPr>
        <w:t xml:space="preserve"> </w:t>
      </w:r>
      <w:r>
        <w:t>text</w:t>
      </w:r>
      <w:r w:rsidRPr="001C6A34">
        <w:rPr>
          <w:lang w:val="en-US"/>
        </w:rPr>
        <w:t xml:space="preserve"> </w:t>
      </w:r>
      <w:r>
        <w:t>on</w:t>
      </w:r>
      <w:r w:rsidRPr="001C6A34">
        <w:rPr>
          <w:lang w:val="en-US"/>
        </w:rPr>
        <w:t xml:space="preserve"> </w:t>
      </w:r>
      <w:r w:rsidR="00A46770">
        <w:t>WRC-19 Agenda i</w:t>
      </w:r>
      <w:r>
        <w:t>tem</w:t>
      </w:r>
      <w:r w:rsidR="0029638F" w:rsidRPr="001C6A34">
        <w:rPr>
          <w:lang w:val="en-US"/>
        </w:rPr>
        <w:t xml:space="preserve"> 1.9.2 </w:t>
      </w:r>
      <w:r>
        <w:t>(Annex 5 to Document 5B/</w:t>
      </w:r>
      <w:r w:rsidR="00D61D29">
        <w:t>195</w:t>
      </w:r>
      <w:r>
        <w:t>)</w:t>
      </w:r>
      <w:r w:rsidR="00AC0201">
        <w:t>;</w:t>
      </w:r>
    </w:p>
    <w:p w14:paraId="678BBF9C" w14:textId="77777777" w:rsidR="0041358C" w:rsidRPr="00D61D29" w:rsidRDefault="00D61D29" w:rsidP="00630661">
      <w:pPr>
        <w:pStyle w:val="ECCBulletsLv1"/>
        <w:rPr>
          <w:lang w:val="en-US"/>
        </w:rPr>
      </w:pPr>
      <w:r w:rsidRPr="00D61D29">
        <w:t>Revised work plan for WRC-19 Agenda item 1.9.2 (Annex 6 to Document 5B/195)</w:t>
      </w:r>
      <w:r w:rsidR="00AC0201">
        <w:t>.</w:t>
      </w:r>
    </w:p>
    <w:p w14:paraId="7742AB85" w14:textId="77777777" w:rsidR="003771D5" w:rsidRDefault="001C6A34" w:rsidP="00BD4E12">
      <w:pPr>
        <w:pStyle w:val="Heading1"/>
      </w:pPr>
      <w:r w:rsidRPr="009B009E">
        <w:t>Actions to be taken</w:t>
      </w:r>
    </w:p>
    <w:p w14:paraId="53BB0414" w14:textId="3B2F922C" w:rsidR="0041358C" w:rsidRPr="00DE3EEE" w:rsidRDefault="001C6A34" w:rsidP="00A46770">
      <w:pPr>
        <w:pStyle w:val="ECCBulletsLv2"/>
        <w:rPr>
          <w:lang w:val="en-US"/>
        </w:rPr>
      </w:pPr>
      <w:r w:rsidRPr="00E6719F">
        <w:rPr>
          <w:lang w:val="en-US"/>
        </w:rPr>
        <w:t xml:space="preserve">To conduct, subject to Resolution </w:t>
      </w:r>
      <w:r w:rsidRPr="00A46770">
        <w:rPr>
          <w:rStyle w:val="ECCHLbold"/>
        </w:rPr>
        <w:t>360 (Rev. WRC-15)</w:t>
      </w:r>
      <w:r w:rsidRPr="00E6719F">
        <w:rPr>
          <w:lang w:val="en-US"/>
        </w:rPr>
        <w:t>, sharing and compatibility studies between VDES satellite components and incumbent services in the same and adjacent frequency bands, (</w:t>
      </w:r>
      <w:r>
        <w:t xml:space="preserve">in </w:t>
      </w:r>
      <w:r w:rsidRPr="00E6719F">
        <w:rPr>
          <w:lang w:val="en-US"/>
        </w:rPr>
        <w:t>the lower</w:t>
      </w:r>
      <w:r>
        <w:t xml:space="preserve"> </w:t>
      </w:r>
      <w:r w:rsidRPr="00E6719F">
        <w:rPr>
          <w:lang w:val="en-US"/>
        </w:rPr>
        <w:t>adjacent band f</w:t>
      </w:r>
      <w:r>
        <w:t xml:space="preserve">rom 154 MHz to 156 MHz and in the upper adjacent frequency band from 162 MHz to 164 MHz) including studies in compatibility with </w:t>
      </w:r>
      <w:r w:rsidRPr="001C6A34">
        <w:t>the space surveillance radars operating in the frequency band 154-156</w:t>
      </w:r>
      <w:r w:rsidR="00CB2599">
        <w:t xml:space="preserve"> in line with </w:t>
      </w:r>
      <w:r w:rsidR="00A46770">
        <w:t>No</w:t>
      </w:r>
      <w:r>
        <w:t xml:space="preserve"> </w:t>
      </w:r>
      <w:r w:rsidRPr="00CB2599">
        <w:rPr>
          <w:rStyle w:val="ECCHLbold"/>
        </w:rPr>
        <w:t>5225A</w:t>
      </w:r>
      <w:r>
        <w:t>.</w:t>
      </w:r>
    </w:p>
    <w:p w14:paraId="271DB490" w14:textId="77777777" w:rsidR="00C35F5D" w:rsidRPr="00E6719F" w:rsidRDefault="00C35F5D" w:rsidP="00C35F5D">
      <w:pPr>
        <w:pStyle w:val="Heading1"/>
        <w:rPr>
          <w:lang w:val="en-US"/>
        </w:rPr>
      </w:pPr>
      <w:r w:rsidRPr="00E6719F">
        <w:rPr>
          <w:lang w:val="en-US"/>
        </w:rPr>
        <w:t>information from outside CEPT (examples of these are below)</w:t>
      </w:r>
    </w:p>
    <w:p w14:paraId="39A4AF3C" w14:textId="77777777" w:rsidR="00C35F5D" w:rsidRPr="00E6719F" w:rsidRDefault="00C35F5D" w:rsidP="00C35F5D">
      <w:pPr>
        <w:pStyle w:val="Heading2"/>
        <w:rPr>
          <w:lang w:val="en-US"/>
        </w:rPr>
      </w:pPr>
      <w:r w:rsidRPr="00E6719F">
        <w:rPr>
          <w:lang w:val="en-US"/>
        </w:rPr>
        <w:t>European Union (date of proposal)</w:t>
      </w:r>
    </w:p>
    <w:p w14:paraId="7DE3701A" w14:textId="77777777" w:rsidR="00C35F5D" w:rsidRPr="00C35F5D" w:rsidRDefault="00C35F5D" w:rsidP="00C35F5D">
      <w:pPr>
        <w:rPr>
          <w:rStyle w:val="ECCParagraph"/>
        </w:rPr>
      </w:pPr>
      <w:r w:rsidRPr="00C35F5D">
        <w:rPr>
          <w:rStyle w:val="ECCParagraph"/>
        </w:rPr>
        <w:t>[TBD]</w:t>
      </w:r>
    </w:p>
    <w:p w14:paraId="19509773" w14:textId="77777777" w:rsidR="00C35F5D" w:rsidRPr="00C35F5D" w:rsidRDefault="00C35F5D" w:rsidP="00C35F5D">
      <w:pPr>
        <w:pStyle w:val="Heading2"/>
      </w:pPr>
      <w:r w:rsidRPr="00C35F5D">
        <w:t>Regional telecommunication organisations:</w:t>
      </w:r>
    </w:p>
    <w:p w14:paraId="43CECFF3" w14:textId="77777777" w:rsidR="00C35F5D" w:rsidRPr="00C35F5D" w:rsidRDefault="00C35F5D" w:rsidP="00C35F5D">
      <w:pPr>
        <w:pStyle w:val="ECCBreak"/>
      </w:pPr>
      <w:r w:rsidRPr="00C35F5D">
        <w:t>APT (date of proposal)</w:t>
      </w:r>
    </w:p>
    <w:p w14:paraId="700C6774" w14:textId="77777777" w:rsidR="00C35F5D" w:rsidRPr="00C35F5D" w:rsidRDefault="00C35F5D" w:rsidP="00C35F5D">
      <w:pPr>
        <w:rPr>
          <w:rStyle w:val="ECCParagraph"/>
        </w:rPr>
      </w:pPr>
      <w:r w:rsidRPr="00C35F5D">
        <w:rPr>
          <w:rStyle w:val="ECCParagraph"/>
        </w:rPr>
        <w:t>TBD</w:t>
      </w:r>
    </w:p>
    <w:p w14:paraId="26E9C69A" w14:textId="77777777" w:rsidR="00C35F5D" w:rsidRPr="00C35F5D" w:rsidRDefault="00C35F5D" w:rsidP="00C35F5D">
      <w:pPr>
        <w:pStyle w:val="ECCBreak"/>
      </w:pPr>
      <w:r w:rsidRPr="00C35F5D">
        <w:t>ATU (date of proposal)</w:t>
      </w:r>
    </w:p>
    <w:p w14:paraId="7174C65A" w14:textId="77777777" w:rsidR="00C35F5D" w:rsidRPr="00C35F5D" w:rsidRDefault="00C35F5D" w:rsidP="00C35F5D">
      <w:pPr>
        <w:rPr>
          <w:rStyle w:val="ECCParagraph"/>
        </w:rPr>
      </w:pPr>
      <w:r w:rsidRPr="00C35F5D">
        <w:rPr>
          <w:rStyle w:val="ECCParagraph"/>
        </w:rPr>
        <w:t>TBD</w:t>
      </w:r>
    </w:p>
    <w:p w14:paraId="27EA64AE" w14:textId="6A700E70" w:rsidR="00C35F5D" w:rsidRPr="00912C78" w:rsidRDefault="00C35F5D" w:rsidP="00C35F5D">
      <w:pPr>
        <w:pStyle w:val="ECCBreak"/>
        <w:rPr>
          <w:lang w:val="en-US"/>
        </w:rPr>
      </w:pPr>
      <w:r w:rsidRPr="00912C78">
        <w:rPr>
          <w:lang w:val="en-US"/>
        </w:rPr>
        <w:t>Arab Group (April 2017)</w:t>
      </w:r>
    </w:p>
    <w:p w14:paraId="662535F5" w14:textId="67E6DED0" w:rsidR="00C35F5D" w:rsidRPr="00C35F5D" w:rsidRDefault="00C35F5D" w:rsidP="00C35F5D">
      <w:pPr>
        <w:rPr>
          <w:rStyle w:val="ECCParagraph"/>
        </w:rPr>
      </w:pPr>
      <w:r w:rsidRPr="00C35F5D">
        <w:rPr>
          <w:rStyle w:val="ECCParagraph"/>
        </w:rPr>
        <w:t>Support the ongoing studies in ITU-R on the development of the necessary protection criteria for the satellite receiving equipment of VDES system while ensuring the protection of services allocated to the candidate frequency bands and adjacent bands.</w:t>
      </w:r>
    </w:p>
    <w:p w14:paraId="017AD5E9" w14:textId="77777777" w:rsidR="00912C78" w:rsidRDefault="00912C78" w:rsidP="00E6719F">
      <w:pPr>
        <w:rPr>
          <w:rStyle w:val="ECCHLbold"/>
        </w:rPr>
      </w:pPr>
    </w:p>
    <w:p w14:paraId="606D0DBB" w14:textId="77777777" w:rsidR="00912C78" w:rsidRDefault="00912C78" w:rsidP="00E6719F">
      <w:pPr>
        <w:rPr>
          <w:rStyle w:val="ECCHLbold"/>
        </w:rPr>
      </w:pPr>
    </w:p>
    <w:p w14:paraId="02EF1ED1" w14:textId="1EFEC2A2" w:rsidR="00C8637B" w:rsidRDefault="00C35F5D" w:rsidP="00E6719F">
      <w:pPr>
        <w:rPr>
          <w:rStyle w:val="ECCHLbold"/>
        </w:rPr>
      </w:pPr>
      <w:r w:rsidRPr="00C8637B">
        <w:rPr>
          <w:rStyle w:val="ECCHLbold"/>
        </w:rPr>
        <w:lastRenderedPageBreak/>
        <w:t>CITEL (</w:t>
      </w:r>
      <w:r w:rsidR="00C8637B">
        <w:rPr>
          <w:rStyle w:val="ECCHLbold"/>
        </w:rPr>
        <w:t>July 2017</w:t>
      </w:r>
      <w:r w:rsidRPr="00C8637B">
        <w:rPr>
          <w:rStyle w:val="ECCHLbold"/>
        </w:rPr>
        <w:t>)</w:t>
      </w:r>
    </w:p>
    <w:p w14:paraId="180E226C" w14:textId="092531FE" w:rsidR="00C8637B" w:rsidRDefault="00C8637B" w:rsidP="00C8637B">
      <w:r w:rsidRPr="00C8637B">
        <w:t>CAN</w:t>
      </w:r>
    </w:p>
    <w:p w14:paraId="7E3C4F70" w14:textId="714B3BA9" w:rsidR="00C8637B" w:rsidRPr="00C8637B" w:rsidRDefault="00C8637B" w:rsidP="00C8637B">
      <w:r w:rsidRPr="00C8637B">
        <w:t xml:space="preserve">Noting that the proposed alternatives are being discussed, Canada believes that other alternative channel plans must be explored.  In order to establish a comprehensive VDES channel plan for all VDES components, Autonomous Maritime Radio Devices (AMRDs) operating within the same frequency band must also be taken into account.  </w:t>
      </w:r>
    </w:p>
    <w:p w14:paraId="6AC08720" w14:textId="77777777" w:rsidR="00C8637B" w:rsidRPr="00C8637B" w:rsidRDefault="00C8637B" w:rsidP="00C8637B">
      <w:r w:rsidRPr="00C8637B">
        <w:t>These devices may use AIS technology; digital selective calling (DSC) technology; or transmit synthetic voice messages. Combinations of these technologies can be found in equipment already available on the market.  AMRDs are being addressed under Agenda Item 1.9.1.  In view of this, VDES channel plans should take into account frequencies for AMRDs.</w:t>
      </w:r>
    </w:p>
    <w:p w14:paraId="6E3CA599" w14:textId="37E93864" w:rsidR="00C8637B" w:rsidRDefault="00C8637B" w:rsidP="00C8637B">
      <w:r w:rsidRPr="00C8637B">
        <w:t>USA</w:t>
      </w:r>
    </w:p>
    <w:p w14:paraId="42CE125C" w14:textId="27A9CB4E" w:rsidR="00C8637B" w:rsidRPr="00C8637B" w:rsidRDefault="00C8637B" w:rsidP="00C8637B">
      <w:r w:rsidRPr="00C8637B">
        <w:t>The United States supports the ITU-R studies prescribed in Resolution 360 (Rev. WRC-15) and these studies should also take into account the protection of existing terrestrial services which operate in these and adjacent frequency bands.</w:t>
      </w:r>
    </w:p>
    <w:p w14:paraId="41524AD8" w14:textId="1E7165DA" w:rsidR="00C35F5D" w:rsidRPr="00E6719F" w:rsidRDefault="00C35F5D" w:rsidP="00C35F5D">
      <w:pPr>
        <w:pStyle w:val="ECCBreak"/>
        <w:rPr>
          <w:lang w:val="en-US"/>
        </w:rPr>
      </w:pPr>
      <w:r w:rsidRPr="00E6719F">
        <w:rPr>
          <w:lang w:val="en-US"/>
        </w:rPr>
        <w:t>R</w:t>
      </w:r>
      <w:r w:rsidRPr="00C35F5D">
        <w:t>СС</w:t>
      </w:r>
      <w:r w:rsidRPr="00E6719F">
        <w:rPr>
          <w:lang w:val="en-US"/>
        </w:rPr>
        <w:t xml:space="preserve"> (April 2017)</w:t>
      </w:r>
    </w:p>
    <w:p w14:paraId="0D0E22B4" w14:textId="77777777" w:rsidR="00C35F5D" w:rsidRPr="00C35F5D" w:rsidRDefault="00C35F5D" w:rsidP="00C35F5D">
      <w:pPr>
        <w:rPr>
          <w:rStyle w:val="ECCParagraph"/>
        </w:rPr>
      </w:pPr>
      <w:r w:rsidRPr="00C35F5D">
        <w:t>The RCC Administrations consider that introduction of the VDES satellite component shall not result in imposing constraints on existing and planned systems of services which have allocations in the common and adjacent frequency bands.</w:t>
      </w:r>
    </w:p>
    <w:p w14:paraId="72560BE2" w14:textId="77777777" w:rsidR="00C35F5D" w:rsidRPr="00C35F5D" w:rsidRDefault="00C35F5D" w:rsidP="00C35F5D">
      <w:pPr>
        <w:pStyle w:val="Heading2"/>
      </w:pPr>
      <w:r w:rsidRPr="00C35F5D">
        <w:t>INTERNATIONAL  ORGANIZATIONS</w:t>
      </w:r>
    </w:p>
    <w:p w14:paraId="6A12DBA7" w14:textId="77777777" w:rsidR="00C35F5D" w:rsidRPr="00C35F5D" w:rsidRDefault="00C35F5D" w:rsidP="00C35F5D">
      <w:pPr>
        <w:pStyle w:val="ECCBreak"/>
      </w:pPr>
      <w:r w:rsidRPr="00C35F5D">
        <w:t>IATA (date of proposal)</w:t>
      </w:r>
    </w:p>
    <w:p w14:paraId="70818DED" w14:textId="77777777" w:rsidR="00C35F5D" w:rsidRPr="00C35F5D" w:rsidRDefault="00C35F5D" w:rsidP="00C35F5D">
      <w:pPr>
        <w:rPr>
          <w:rStyle w:val="ECCParagraph"/>
        </w:rPr>
      </w:pPr>
      <w:r w:rsidRPr="00C35F5D">
        <w:rPr>
          <w:rStyle w:val="ECCParagraph"/>
        </w:rPr>
        <w:t>TBD</w:t>
      </w:r>
    </w:p>
    <w:p w14:paraId="352EAB65" w14:textId="77777777" w:rsidR="00C35F5D" w:rsidRPr="00C35F5D" w:rsidRDefault="00C35F5D" w:rsidP="00C35F5D">
      <w:pPr>
        <w:pStyle w:val="ECCBreak"/>
      </w:pPr>
      <w:r w:rsidRPr="00C35F5D">
        <w:t>ICAO (September 2016)</w:t>
      </w:r>
    </w:p>
    <w:p w14:paraId="5A72038D" w14:textId="77777777" w:rsidR="00C35F5D" w:rsidRPr="00C35F5D" w:rsidRDefault="00C35F5D" w:rsidP="00C35F5D">
      <w:pPr>
        <w:rPr>
          <w:rStyle w:val="ECCParagraph"/>
        </w:rPr>
      </w:pPr>
      <w:r w:rsidRPr="00C35F5D">
        <w:t xml:space="preserve">To ensure that any change to the regulatory provisions and spectrum allocations resulting from this Agenda item do not adversely impact aviation systems, including the capability of search and rescue aircraft to effectively communicate with vessels during disaster relief operations. </w:t>
      </w:r>
    </w:p>
    <w:p w14:paraId="62FF2B76" w14:textId="77777777" w:rsidR="00C35F5D" w:rsidRPr="00E6719F" w:rsidRDefault="00C35F5D" w:rsidP="00C35F5D">
      <w:pPr>
        <w:pStyle w:val="ECCBreak"/>
        <w:rPr>
          <w:lang w:val="en-US"/>
        </w:rPr>
      </w:pPr>
      <w:r w:rsidRPr="00E6719F">
        <w:rPr>
          <w:lang w:val="en-US"/>
        </w:rPr>
        <w:t>IMO (August 2016)</w:t>
      </w:r>
    </w:p>
    <w:p w14:paraId="723335A4" w14:textId="77777777" w:rsidR="00C35F5D" w:rsidRPr="00C35F5D" w:rsidRDefault="00C35F5D" w:rsidP="00C35F5D">
      <w:r w:rsidRPr="00C35F5D">
        <w:t>1.</w:t>
      </w:r>
      <w:r w:rsidRPr="00C35F5D">
        <w:tab/>
        <w:t>Recognizing that the VDES satellite component should not bring any harmful interference:</w:t>
      </w:r>
    </w:p>
    <w:p w14:paraId="319DC45F" w14:textId="77777777" w:rsidR="00C35F5D" w:rsidRPr="00C35F5D" w:rsidRDefault="00C35F5D" w:rsidP="00C35F5D">
      <w:r w:rsidRPr="00C35F5D">
        <w:t>1.1</w:t>
      </w:r>
      <w:r w:rsidRPr="00C35F5D">
        <w:tab/>
        <w:t xml:space="preserve">modifications should not be required to existing AIS equipment on board existing vessels; and </w:t>
      </w:r>
    </w:p>
    <w:p w14:paraId="0C834AA7" w14:textId="77777777" w:rsidR="00C35F5D" w:rsidRPr="00C35F5D" w:rsidRDefault="00C35F5D" w:rsidP="00C35F5D">
      <w:r w:rsidRPr="00C35F5D">
        <w:t>1.2</w:t>
      </w:r>
      <w:r w:rsidRPr="00C35F5D">
        <w:tab/>
      </w:r>
      <w:proofErr w:type="gramStart"/>
      <w:r w:rsidRPr="00C35F5D">
        <w:t>an</w:t>
      </w:r>
      <w:proofErr w:type="gramEnd"/>
      <w:r w:rsidRPr="00C35F5D">
        <w:t xml:space="preserve"> identification of the frequencies for the VDES satellite component should protect the integrity of the original operational purpose of AIS on the existing AIS frequencies. </w:t>
      </w:r>
    </w:p>
    <w:p w14:paraId="23D3AFDA" w14:textId="77777777" w:rsidR="00C35F5D" w:rsidRPr="00C35F5D" w:rsidRDefault="00C35F5D" w:rsidP="00C35F5D">
      <w:pPr>
        <w:rPr>
          <w:rStyle w:val="ECCParagraph"/>
        </w:rPr>
      </w:pPr>
      <w:r w:rsidRPr="00C35F5D">
        <w:t>2.</w:t>
      </w:r>
      <w:r w:rsidRPr="00C35F5D">
        <w:tab/>
        <w:t>IMO supports the VDES concept, without committing the Organization regarding future requirements on the use of the VHF frequency band.</w:t>
      </w:r>
    </w:p>
    <w:p w14:paraId="0B0E071B" w14:textId="77777777" w:rsidR="00C35F5D" w:rsidRPr="00C35F5D" w:rsidRDefault="00C35F5D" w:rsidP="00C35F5D">
      <w:pPr>
        <w:pStyle w:val="ECCBreak"/>
      </w:pPr>
      <w:r w:rsidRPr="00C35F5D">
        <w:t>SFCG (December 2016)</w:t>
      </w:r>
    </w:p>
    <w:p w14:paraId="3433402C" w14:textId="77777777" w:rsidR="00C35F5D" w:rsidRPr="00C35F5D" w:rsidRDefault="00C35F5D" w:rsidP="00C35F5D">
      <w:pPr>
        <w:rPr>
          <w:rStyle w:val="ECCParagraph"/>
        </w:rPr>
      </w:pPr>
      <w:r w:rsidRPr="00C35F5D">
        <w:rPr>
          <w:rStyle w:val="ECCParagraph"/>
        </w:rPr>
        <w:t>TBD</w:t>
      </w:r>
    </w:p>
    <w:p w14:paraId="52B4A0B7" w14:textId="77777777" w:rsidR="00912C78" w:rsidRDefault="00912C78" w:rsidP="00C35F5D">
      <w:pPr>
        <w:pStyle w:val="ECCBreak"/>
      </w:pPr>
    </w:p>
    <w:p w14:paraId="2D3195A7" w14:textId="77777777" w:rsidR="00C35F5D" w:rsidRPr="00C35F5D" w:rsidRDefault="00C35F5D" w:rsidP="00C35F5D">
      <w:pPr>
        <w:pStyle w:val="ECCBreak"/>
      </w:pPr>
      <w:bookmarkStart w:id="0" w:name="_GoBack"/>
      <w:bookmarkEnd w:id="0"/>
      <w:r w:rsidRPr="00C35F5D">
        <w:lastRenderedPageBreak/>
        <w:t>WMO and EUMETNET (December 2016)</w:t>
      </w:r>
    </w:p>
    <w:p w14:paraId="6246EDF3" w14:textId="77777777" w:rsidR="00C35F5D" w:rsidRPr="00C35F5D" w:rsidRDefault="00C35F5D" w:rsidP="00C35F5D">
      <w:pPr>
        <w:rPr>
          <w:rStyle w:val="ECCParagraph"/>
        </w:rPr>
      </w:pPr>
      <w:r w:rsidRPr="00C35F5D">
        <w:rPr>
          <w:rStyle w:val="ECCParagraph"/>
        </w:rPr>
        <w:t>TBD</w:t>
      </w:r>
    </w:p>
    <w:p w14:paraId="56236BA7" w14:textId="77777777" w:rsidR="00C35F5D" w:rsidRPr="00C35F5D" w:rsidRDefault="00C35F5D" w:rsidP="00C35F5D">
      <w:pPr>
        <w:pStyle w:val="Heading2"/>
      </w:pPr>
      <w:r w:rsidRPr="00C35F5D">
        <w:t>REGIONAL ORGANIZATIONS</w:t>
      </w:r>
    </w:p>
    <w:p w14:paraId="27E5C07C" w14:textId="77777777" w:rsidR="00C35F5D" w:rsidRPr="00C35F5D" w:rsidRDefault="00C35F5D" w:rsidP="00C35F5D">
      <w:pPr>
        <w:pStyle w:val="ECCBreak"/>
      </w:pPr>
      <w:r w:rsidRPr="00C35F5D">
        <w:t>ESA (date of proposal)</w:t>
      </w:r>
    </w:p>
    <w:p w14:paraId="34160E38" w14:textId="77777777" w:rsidR="00C35F5D" w:rsidRPr="00C35F5D" w:rsidRDefault="00C35F5D" w:rsidP="00C35F5D">
      <w:pPr>
        <w:rPr>
          <w:rStyle w:val="ECCParagraph"/>
        </w:rPr>
      </w:pPr>
      <w:r w:rsidRPr="00C35F5D">
        <w:rPr>
          <w:rStyle w:val="ECCParagraph"/>
        </w:rPr>
        <w:t>TBD</w:t>
      </w:r>
    </w:p>
    <w:p w14:paraId="4D2C4486" w14:textId="77777777" w:rsidR="00C35F5D" w:rsidRPr="00C35F5D" w:rsidRDefault="00C35F5D" w:rsidP="00C35F5D">
      <w:pPr>
        <w:pStyle w:val="ECCBreak"/>
      </w:pPr>
      <w:r w:rsidRPr="00C35F5D">
        <w:t>Eurocontrol (date of proposal)</w:t>
      </w:r>
    </w:p>
    <w:p w14:paraId="364D9BC7" w14:textId="77777777" w:rsidR="00C35F5D" w:rsidRPr="00C35F5D" w:rsidRDefault="00C35F5D" w:rsidP="00C35F5D">
      <w:pPr>
        <w:rPr>
          <w:rStyle w:val="ECCParagraph"/>
        </w:rPr>
      </w:pPr>
      <w:r w:rsidRPr="00C35F5D">
        <w:rPr>
          <w:rStyle w:val="ECCParagraph"/>
        </w:rPr>
        <w:t>TBD</w:t>
      </w:r>
    </w:p>
    <w:p w14:paraId="5A5DE5A0" w14:textId="77777777" w:rsidR="00C35F5D" w:rsidRPr="00C35F5D" w:rsidRDefault="00C35F5D" w:rsidP="00C35F5D">
      <w:pPr>
        <w:pStyle w:val="Heading2"/>
      </w:pPr>
      <w:r w:rsidRPr="00C35F5D">
        <w:t xml:space="preserve">OTHER INTERNATIONAL AND REGIONAL ORGANISATIONS </w:t>
      </w:r>
    </w:p>
    <w:p w14:paraId="5F3F1E23" w14:textId="77777777" w:rsidR="00C35F5D" w:rsidRPr="00C35F5D" w:rsidRDefault="00C35F5D" w:rsidP="00C35F5D">
      <w:pPr>
        <w:pStyle w:val="ECCBreak"/>
      </w:pPr>
      <w:r w:rsidRPr="00C35F5D">
        <w:t>EBU (date of proposal)</w:t>
      </w:r>
    </w:p>
    <w:p w14:paraId="13741DF4" w14:textId="77777777" w:rsidR="00C35F5D" w:rsidRPr="00C35F5D" w:rsidRDefault="00C35F5D" w:rsidP="00C35F5D">
      <w:pPr>
        <w:rPr>
          <w:rStyle w:val="ECCParagraph"/>
        </w:rPr>
      </w:pPr>
      <w:r w:rsidRPr="00C35F5D">
        <w:rPr>
          <w:rStyle w:val="ECCParagraph"/>
        </w:rPr>
        <w:t>TBD</w:t>
      </w:r>
    </w:p>
    <w:p w14:paraId="68ADC911" w14:textId="77777777" w:rsidR="00C35F5D" w:rsidRPr="00C35F5D" w:rsidRDefault="00C35F5D" w:rsidP="00C35F5D">
      <w:pPr>
        <w:pStyle w:val="ECCBreak"/>
      </w:pPr>
      <w:r w:rsidRPr="00C35F5D">
        <w:t>GSMA (date of proposal)</w:t>
      </w:r>
    </w:p>
    <w:p w14:paraId="6E07908D" w14:textId="77777777" w:rsidR="00C35F5D" w:rsidRPr="00C35F5D" w:rsidRDefault="00C35F5D" w:rsidP="00C35F5D">
      <w:pPr>
        <w:rPr>
          <w:rStyle w:val="ECCParagraph"/>
        </w:rPr>
      </w:pPr>
      <w:r w:rsidRPr="00C35F5D">
        <w:rPr>
          <w:rStyle w:val="ECCParagraph"/>
        </w:rPr>
        <w:t>TBD</w:t>
      </w:r>
    </w:p>
    <w:p w14:paraId="33416955" w14:textId="34597B2D" w:rsidR="00C35F5D" w:rsidRPr="00C35F5D" w:rsidRDefault="00C35F5D" w:rsidP="00C35F5D">
      <w:pPr>
        <w:pStyle w:val="ECCBreak"/>
      </w:pPr>
      <w:r w:rsidRPr="00C35F5D">
        <w:t>CRAF (July 2017)</w:t>
      </w:r>
    </w:p>
    <w:p w14:paraId="1F4AD055" w14:textId="20954823" w:rsidR="003A68D5" w:rsidRPr="00630661" w:rsidRDefault="00C35F5D" w:rsidP="00C35F5D">
      <w:pPr>
        <w:rPr>
          <w:rStyle w:val="ECCParagraph"/>
        </w:rPr>
      </w:pPr>
      <w:r w:rsidRPr="00C35F5D">
        <w:rPr>
          <w:rStyle w:val="ECCParagraph"/>
        </w:rPr>
        <w:t xml:space="preserve">This is the AI 1.16 of WRC-15, which was postponed to WRC-19 due to the lack of sufficient studies. CRAF supported the Method C2 and C1 of the CPM15-2 report as long as an attenuation of 85 dB and the </w:t>
      </w:r>
      <w:proofErr w:type="spellStart"/>
      <w:r w:rsidRPr="00C35F5D">
        <w:rPr>
          <w:rStyle w:val="ECCParagraph"/>
        </w:rPr>
        <w:t>pfd</w:t>
      </w:r>
      <w:proofErr w:type="spellEnd"/>
      <w:r w:rsidRPr="00C35F5D">
        <w:rPr>
          <w:rStyle w:val="ECCParagraph"/>
        </w:rPr>
        <w:t xml:space="preserve"> mask described in section 3/1.16/4.3 of the report as proposed by the MMSS are implemented for the nearby radio astronomy band. Under such conditions compatibility between MMSS in the band 161.7875-161.9375 MHz and the RAS in the band 150.05-153 MHz will be feasible.</w:t>
      </w:r>
    </w:p>
    <w:sectPr w:rsidR="003A68D5" w:rsidRPr="00630661"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C97B7" w14:textId="77777777" w:rsidR="00CB5E29" w:rsidRDefault="00CB5E29" w:rsidP="00D0121B">
      <w:r>
        <w:separator/>
      </w:r>
    </w:p>
    <w:p w14:paraId="36152CC9" w14:textId="77777777" w:rsidR="00CB5E29" w:rsidRDefault="00CB5E29"/>
    <w:p w14:paraId="6563E4AC" w14:textId="77777777" w:rsidR="00CB5E29" w:rsidRDefault="00CB5E29"/>
  </w:endnote>
  <w:endnote w:type="continuationSeparator" w:id="0">
    <w:p w14:paraId="2DD0E13A" w14:textId="77777777" w:rsidR="00CB5E29" w:rsidRDefault="00CB5E29" w:rsidP="00D0121B">
      <w:r>
        <w:continuationSeparator/>
      </w:r>
    </w:p>
    <w:p w14:paraId="415D381A" w14:textId="77777777" w:rsidR="00CB5E29" w:rsidRDefault="00CB5E29"/>
    <w:p w14:paraId="303E029B" w14:textId="77777777" w:rsidR="00CB5E29" w:rsidRDefault="00CB5E29"/>
  </w:endnote>
  <w:endnote w:type="continuationNotice" w:id="1">
    <w:p w14:paraId="7652905D" w14:textId="77777777" w:rsidR="00CB5E29" w:rsidRDefault="00CB5E2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2C427" w14:textId="77777777" w:rsidR="00630661" w:rsidRDefault="00630661">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3259E" w14:textId="77777777" w:rsidR="00630661" w:rsidRDefault="00630661">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9C052" w14:textId="77777777" w:rsidR="00630661" w:rsidRDefault="00630661">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A4122" w14:textId="77777777" w:rsidR="00CB5E29" w:rsidRDefault="00CB5E29" w:rsidP="00D0121B">
      <w:r>
        <w:separator/>
      </w:r>
    </w:p>
    <w:p w14:paraId="5C3168C0" w14:textId="77777777" w:rsidR="00CB5E29" w:rsidRDefault="00CB5E29"/>
    <w:p w14:paraId="6E8C7ED0" w14:textId="77777777" w:rsidR="00CB5E29" w:rsidRDefault="00CB5E29"/>
  </w:footnote>
  <w:footnote w:type="continuationSeparator" w:id="0">
    <w:p w14:paraId="1079978B" w14:textId="77777777" w:rsidR="00CB5E29" w:rsidRDefault="00CB5E29" w:rsidP="00D0121B">
      <w:r>
        <w:continuationSeparator/>
      </w:r>
    </w:p>
    <w:p w14:paraId="23B75869" w14:textId="77777777" w:rsidR="00CB5E29" w:rsidRDefault="00CB5E29"/>
    <w:p w14:paraId="4BC76E5D" w14:textId="77777777" w:rsidR="00CB5E29" w:rsidRDefault="00CB5E29"/>
  </w:footnote>
  <w:footnote w:type="continuationNotice" w:id="1">
    <w:p w14:paraId="3C4785E0" w14:textId="77777777" w:rsidR="00CB5E29" w:rsidRDefault="00CB5E2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6FDBC" w14:textId="77777777" w:rsidR="00E06B29" w:rsidRPr="00CF2EC7" w:rsidRDefault="00630661" w:rsidP="003A68D5">
    <w:pPr>
      <w:pStyle w:val="ECCpageHeader"/>
      <w:rPr>
        <w:lang w:val="en-US"/>
      </w:rPr>
    </w:pPr>
    <w:r>
      <w:rPr>
        <w:lang w:val="en-US"/>
      </w:rPr>
      <w:t xml:space="preserve">Draft CEPT Brief on AI </w:t>
    </w:r>
    <w:r w:rsidRPr="00E6719F">
      <w:rPr>
        <w:lang w:val="en-US"/>
      </w:rPr>
      <w:t>1.9.2</w:t>
    </w:r>
    <w:r w:rsidR="003771D5"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912C78">
      <w:rPr>
        <w:noProof/>
        <w:lang w:val="en-US"/>
      </w:rPr>
      <w:t>2</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B8926" w14:textId="77777777" w:rsidR="00E06B29" w:rsidRPr="00CF2EC7" w:rsidRDefault="00D904D5" w:rsidP="003A68D5">
    <w:pPr>
      <w:pStyle w:val="ECCpageHeader"/>
      <w:rPr>
        <w:lang w:val="en-US"/>
      </w:rPr>
    </w:pPr>
    <w:r>
      <w:tab/>
    </w:r>
    <w:r>
      <w:tab/>
    </w:r>
    <w:r w:rsidR="00630661">
      <w:rPr>
        <w:lang w:val="en-US"/>
      </w:rPr>
      <w:t xml:space="preserve">Draft CEPT Brief on AI </w:t>
    </w:r>
    <w:r w:rsidR="00630661" w:rsidRPr="00E6719F">
      <w:rPr>
        <w:lang w:val="en-US"/>
      </w:rPr>
      <w:t>1.9.2</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912C78">
      <w:rPr>
        <w:noProof/>
        <w:lang w:val="en-US"/>
      </w:rPr>
      <w:t>3</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F3219" w14:textId="77777777" w:rsidR="005C10EB" w:rsidRDefault="003771D5" w:rsidP="003A68D5">
    <w:pPr>
      <w:pStyle w:val="ECCpageHeader"/>
    </w:pPr>
    <w:r w:rsidRPr="008742E3">
      <w:rPr>
        <w:noProof/>
        <w:lang w:val="en-US"/>
      </w:rPr>
      <w:drawing>
        <wp:inline distT="0" distB="0" distL="0" distR="0" wp14:anchorId="6CF5C2DE" wp14:editId="2B41B410">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12A59591" wp14:editId="7567A7A6">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19E1D761" w14:textId="77777777"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E604B62"/>
    <w:multiLevelType w:val="hybridMultilevel"/>
    <w:tmpl w:val="6142A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43C64D12"/>
    <w:multiLevelType w:val="multilevel"/>
    <w:tmpl w:val="4F12C446"/>
    <w:lvl w:ilvl="0">
      <w:start w:val="1"/>
      <w:numFmt w:val="decimal"/>
      <w:lvlText w:val="%1."/>
      <w:lvlJc w:val="left"/>
      <w:pPr>
        <w:ind w:left="870" w:hanging="510"/>
      </w:pPr>
      <w:rPr>
        <w:rFonts w:ascii="Times New Roman" w:eastAsia="Times New Roman" w:hAnsi="Times New Roman" w:cs="Times New Roman"/>
      </w:rPr>
    </w:lvl>
    <w:lvl w:ilvl="1">
      <w:start w:val="2"/>
      <w:numFmt w:val="decimal"/>
      <w:isLgl/>
      <w:lvlText w:val="%1.%2."/>
      <w:lvlJc w:val="left"/>
      <w:pPr>
        <w:ind w:left="1191" w:hanging="765"/>
      </w:pPr>
      <w:rPr>
        <w:rFonts w:hint="default"/>
      </w:rPr>
    </w:lvl>
    <w:lvl w:ilvl="2">
      <w:start w:val="1"/>
      <w:numFmt w:val="decimal"/>
      <w:isLgl/>
      <w:lvlText w:val="%1.%2.%3."/>
      <w:lvlJc w:val="left"/>
      <w:pPr>
        <w:ind w:left="1257" w:hanging="765"/>
      </w:pPr>
      <w:rPr>
        <w:rFonts w:hint="default"/>
      </w:rPr>
    </w:lvl>
    <w:lvl w:ilvl="3">
      <w:start w:val="1"/>
      <w:numFmt w:val="decimal"/>
      <w:isLgl/>
      <w:lvlText w:val="%1.%2.%3.%4."/>
      <w:lvlJc w:val="left"/>
      <w:pPr>
        <w:ind w:left="1323" w:hanging="76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BC28D1"/>
    <w:multiLevelType w:val="hybridMultilevel"/>
    <w:tmpl w:val="AB3EF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BE4C9A"/>
    <w:multiLevelType w:val="multilevel"/>
    <w:tmpl w:val="166A381A"/>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lang w:val="en-GB"/>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1">
    <w:nsid w:val="4F46046F"/>
    <w:multiLevelType w:val="hybridMultilevel"/>
    <w:tmpl w:val="C6567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A1242E"/>
    <w:multiLevelType w:val="hybridMultilevel"/>
    <w:tmpl w:val="DC74E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AD4450"/>
    <w:multiLevelType w:val="hybridMultilevel"/>
    <w:tmpl w:val="97AE8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1"/>
  </w:num>
  <w:num w:numId="4">
    <w:abstractNumId w:val="20"/>
  </w:num>
  <w:num w:numId="5">
    <w:abstractNumId w:val="15"/>
  </w:num>
  <w:num w:numId="6">
    <w:abstractNumId w:val="18"/>
  </w:num>
  <w:num w:numId="7">
    <w:abstractNumId w:val="16"/>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6"/>
  </w:num>
  <w:num w:numId="31">
    <w:abstractNumId w:val="20"/>
  </w:num>
  <w:num w:numId="32">
    <w:abstractNumId w:val="15"/>
  </w:num>
  <w:num w:numId="33">
    <w:abstractNumId w:val="18"/>
  </w:num>
  <w:num w:numId="34">
    <w:abstractNumId w:val="16"/>
  </w:num>
  <w:num w:numId="35">
    <w:abstractNumId w:val="16"/>
  </w:num>
  <w:num w:numId="36">
    <w:abstractNumId w:val="16"/>
  </w:num>
  <w:num w:numId="37">
    <w:abstractNumId w:val="17"/>
  </w:num>
  <w:num w:numId="38">
    <w:abstractNumId w:val="21"/>
  </w:num>
  <w:num w:numId="39">
    <w:abstractNumId w:val="19"/>
  </w:num>
  <w:num w:numId="40">
    <w:abstractNumId w:val="14"/>
  </w:num>
  <w:num w:numId="41">
    <w:abstractNumId w:val="23"/>
  </w:num>
  <w:num w:numId="42">
    <w:abstractNumId w:val="2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E4"/>
    <w:rsid w:val="000100A6"/>
    <w:rsid w:val="00012B67"/>
    <w:rsid w:val="00031791"/>
    <w:rsid w:val="00041A18"/>
    <w:rsid w:val="00051365"/>
    <w:rsid w:val="00052CAE"/>
    <w:rsid w:val="000611F2"/>
    <w:rsid w:val="00061762"/>
    <w:rsid w:val="00062CB1"/>
    <w:rsid w:val="00065E51"/>
    <w:rsid w:val="000660F5"/>
    <w:rsid w:val="00067793"/>
    <w:rsid w:val="000701A5"/>
    <w:rsid w:val="000702B4"/>
    <w:rsid w:val="00080D4D"/>
    <w:rsid w:val="000813EE"/>
    <w:rsid w:val="00082DD7"/>
    <w:rsid w:val="00095620"/>
    <w:rsid w:val="00097D7A"/>
    <w:rsid w:val="000A3940"/>
    <w:rsid w:val="000A6285"/>
    <w:rsid w:val="000B2156"/>
    <w:rsid w:val="000B5026"/>
    <w:rsid w:val="000C028F"/>
    <w:rsid w:val="000C5CB6"/>
    <w:rsid w:val="000D1710"/>
    <w:rsid w:val="000D7A37"/>
    <w:rsid w:val="000E42F5"/>
    <w:rsid w:val="000E4820"/>
    <w:rsid w:val="000F0594"/>
    <w:rsid w:val="000F1620"/>
    <w:rsid w:val="000F24F5"/>
    <w:rsid w:val="000F3F0B"/>
    <w:rsid w:val="001006CA"/>
    <w:rsid w:val="00100F8B"/>
    <w:rsid w:val="00113297"/>
    <w:rsid w:val="00122A9A"/>
    <w:rsid w:val="00127C29"/>
    <w:rsid w:val="001353EE"/>
    <w:rsid w:val="00141AC0"/>
    <w:rsid w:val="00171800"/>
    <w:rsid w:val="0017456E"/>
    <w:rsid w:val="00183FE0"/>
    <w:rsid w:val="0018553F"/>
    <w:rsid w:val="0018554F"/>
    <w:rsid w:val="00192D93"/>
    <w:rsid w:val="001C6A34"/>
    <w:rsid w:val="001D15AA"/>
    <w:rsid w:val="001D160C"/>
    <w:rsid w:val="001D334F"/>
    <w:rsid w:val="0020079A"/>
    <w:rsid w:val="0020250F"/>
    <w:rsid w:val="002162D7"/>
    <w:rsid w:val="00220194"/>
    <w:rsid w:val="00221721"/>
    <w:rsid w:val="00226070"/>
    <w:rsid w:val="00236978"/>
    <w:rsid w:val="00246BDB"/>
    <w:rsid w:val="00250FF7"/>
    <w:rsid w:val="002620A2"/>
    <w:rsid w:val="00271DBA"/>
    <w:rsid w:val="00273354"/>
    <w:rsid w:val="00274F84"/>
    <w:rsid w:val="0028060B"/>
    <w:rsid w:val="0028120C"/>
    <w:rsid w:val="00293920"/>
    <w:rsid w:val="00295827"/>
    <w:rsid w:val="00295F16"/>
    <w:rsid w:val="0029638F"/>
    <w:rsid w:val="002B0C53"/>
    <w:rsid w:val="002C5C63"/>
    <w:rsid w:val="002D1FA9"/>
    <w:rsid w:val="002D50A3"/>
    <w:rsid w:val="002D6524"/>
    <w:rsid w:val="002D6680"/>
    <w:rsid w:val="002E786C"/>
    <w:rsid w:val="002F1999"/>
    <w:rsid w:val="002F1E6A"/>
    <w:rsid w:val="003031DA"/>
    <w:rsid w:val="00305B3F"/>
    <w:rsid w:val="00307A79"/>
    <w:rsid w:val="00322E6A"/>
    <w:rsid w:val="003314A0"/>
    <w:rsid w:val="003419EF"/>
    <w:rsid w:val="00361E54"/>
    <w:rsid w:val="00373CE7"/>
    <w:rsid w:val="003771D5"/>
    <w:rsid w:val="0038358E"/>
    <w:rsid w:val="00391A01"/>
    <w:rsid w:val="003A12B5"/>
    <w:rsid w:val="003A5711"/>
    <w:rsid w:val="003A5FF9"/>
    <w:rsid w:val="003A68D5"/>
    <w:rsid w:val="003B2549"/>
    <w:rsid w:val="003B7070"/>
    <w:rsid w:val="003C43A9"/>
    <w:rsid w:val="003C64D9"/>
    <w:rsid w:val="003E70E0"/>
    <w:rsid w:val="003F33B1"/>
    <w:rsid w:val="00403CE6"/>
    <w:rsid w:val="004074CC"/>
    <w:rsid w:val="004110CA"/>
    <w:rsid w:val="0041358C"/>
    <w:rsid w:val="0042509E"/>
    <w:rsid w:val="00441BE4"/>
    <w:rsid w:val="00441EA7"/>
    <w:rsid w:val="00443482"/>
    <w:rsid w:val="00443912"/>
    <w:rsid w:val="00446E3E"/>
    <w:rsid w:val="00450308"/>
    <w:rsid w:val="00457AD1"/>
    <w:rsid w:val="004633F4"/>
    <w:rsid w:val="00463A49"/>
    <w:rsid w:val="0046427F"/>
    <w:rsid w:val="00470B70"/>
    <w:rsid w:val="00470D4B"/>
    <w:rsid w:val="004718C9"/>
    <w:rsid w:val="00474DC4"/>
    <w:rsid w:val="00485307"/>
    <w:rsid w:val="00491977"/>
    <w:rsid w:val="0049491B"/>
    <w:rsid w:val="004A1329"/>
    <w:rsid w:val="004A511D"/>
    <w:rsid w:val="004A7A81"/>
    <w:rsid w:val="004B4B91"/>
    <w:rsid w:val="004C4A2E"/>
    <w:rsid w:val="004D5EA3"/>
    <w:rsid w:val="004E44C8"/>
    <w:rsid w:val="004E53BE"/>
    <w:rsid w:val="004F16F4"/>
    <w:rsid w:val="004F3F81"/>
    <w:rsid w:val="004F6CA7"/>
    <w:rsid w:val="005028D4"/>
    <w:rsid w:val="0051571D"/>
    <w:rsid w:val="00535050"/>
    <w:rsid w:val="00536F3C"/>
    <w:rsid w:val="0054260E"/>
    <w:rsid w:val="00550D79"/>
    <w:rsid w:val="005559AC"/>
    <w:rsid w:val="00557B5A"/>
    <w:rsid w:val="005611D0"/>
    <w:rsid w:val="00564B93"/>
    <w:rsid w:val="00571A40"/>
    <w:rsid w:val="005736B2"/>
    <w:rsid w:val="005738A9"/>
    <w:rsid w:val="005747E7"/>
    <w:rsid w:val="0057797A"/>
    <w:rsid w:val="00577C0F"/>
    <w:rsid w:val="00580991"/>
    <w:rsid w:val="005817E4"/>
    <w:rsid w:val="00594186"/>
    <w:rsid w:val="005A53B8"/>
    <w:rsid w:val="005A72F0"/>
    <w:rsid w:val="005A73D2"/>
    <w:rsid w:val="005B12CB"/>
    <w:rsid w:val="005C10EB"/>
    <w:rsid w:val="005C4426"/>
    <w:rsid w:val="005D371D"/>
    <w:rsid w:val="005E7495"/>
    <w:rsid w:val="00621C12"/>
    <w:rsid w:val="00630661"/>
    <w:rsid w:val="00635A22"/>
    <w:rsid w:val="00642083"/>
    <w:rsid w:val="0065550D"/>
    <w:rsid w:val="00665364"/>
    <w:rsid w:val="0068085F"/>
    <w:rsid w:val="006867CA"/>
    <w:rsid w:val="006876A8"/>
    <w:rsid w:val="00687B43"/>
    <w:rsid w:val="006A49E3"/>
    <w:rsid w:val="006B1EFD"/>
    <w:rsid w:val="006C454C"/>
    <w:rsid w:val="006C5C1C"/>
    <w:rsid w:val="006C685A"/>
    <w:rsid w:val="006D1801"/>
    <w:rsid w:val="006E4888"/>
    <w:rsid w:val="006E7B3C"/>
    <w:rsid w:val="006F0442"/>
    <w:rsid w:val="00701286"/>
    <w:rsid w:val="007023A3"/>
    <w:rsid w:val="00703D72"/>
    <w:rsid w:val="00703FC0"/>
    <w:rsid w:val="007160BE"/>
    <w:rsid w:val="00721539"/>
    <w:rsid w:val="00722F65"/>
    <w:rsid w:val="00726836"/>
    <w:rsid w:val="00734A4F"/>
    <w:rsid w:val="00762BCC"/>
    <w:rsid w:val="00763BA3"/>
    <w:rsid w:val="00765B66"/>
    <w:rsid w:val="00767BB2"/>
    <w:rsid w:val="00777CD7"/>
    <w:rsid w:val="00780376"/>
    <w:rsid w:val="00791AAC"/>
    <w:rsid w:val="0079410C"/>
    <w:rsid w:val="00797D4C"/>
    <w:rsid w:val="007B52C8"/>
    <w:rsid w:val="007C0E7E"/>
    <w:rsid w:val="007C288A"/>
    <w:rsid w:val="007C5A3B"/>
    <w:rsid w:val="007D17C5"/>
    <w:rsid w:val="007D52EC"/>
    <w:rsid w:val="007F1CEE"/>
    <w:rsid w:val="008037E4"/>
    <w:rsid w:val="008062AC"/>
    <w:rsid w:val="00837537"/>
    <w:rsid w:val="0086094D"/>
    <w:rsid w:val="008706A6"/>
    <w:rsid w:val="00872382"/>
    <w:rsid w:val="008742E3"/>
    <w:rsid w:val="00877449"/>
    <w:rsid w:val="008A1315"/>
    <w:rsid w:val="008A38A9"/>
    <w:rsid w:val="008A54FC"/>
    <w:rsid w:val="008B2C3B"/>
    <w:rsid w:val="008B70CD"/>
    <w:rsid w:val="008B7CE5"/>
    <w:rsid w:val="008E6109"/>
    <w:rsid w:val="009065E5"/>
    <w:rsid w:val="00912C78"/>
    <w:rsid w:val="009170EA"/>
    <w:rsid w:val="00917D1C"/>
    <w:rsid w:val="0092076F"/>
    <w:rsid w:val="009241EC"/>
    <w:rsid w:val="00927833"/>
    <w:rsid w:val="00930439"/>
    <w:rsid w:val="00930BDF"/>
    <w:rsid w:val="00936055"/>
    <w:rsid w:val="00937FE5"/>
    <w:rsid w:val="009434C3"/>
    <w:rsid w:val="00947A5A"/>
    <w:rsid w:val="009770CA"/>
    <w:rsid w:val="00986677"/>
    <w:rsid w:val="0099421C"/>
    <w:rsid w:val="009A6359"/>
    <w:rsid w:val="009B0A78"/>
    <w:rsid w:val="009B2FD0"/>
    <w:rsid w:val="009D3496"/>
    <w:rsid w:val="009D4BA1"/>
    <w:rsid w:val="009D7D5A"/>
    <w:rsid w:val="009E47EB"/>
    <w:rsid w:val="009E6DC3"/>
    <w:rsid w:val="009F0B56"/>
    <w:rsid w:val="009F1974"/>
    <w:rsid w:val="009F3A37"/>
    <w:rsid w:val="00A02090"/>
    <w:rsid w:val="00A076B5"/>
    <w:rsid w:val="00A07E92"/>
    <w:rsid w:val="00A23870"/>
    <w:rsid w:val="00A24CDF"/>
    <w:rsid w:val="00A30AF9"/>
    <w:rsid w:val="00A31525"/>
    <w:rsid w:val="00A43BD3"/>
    <w:rsid w:val="00A46770"/>
    <w:rsid w:val="00A569DF"/>
    <w:rsid w:val="00A73298"/>
    <w:rsid w:val="00A86864"/>
    <w:rsid w:val="00A95ACB"/>
    <w:rsid w:val="00A95DD6"/>
    <w:rsid w:val="00A97942"/>
    <w:rsid w:val="00AA079B"/>
    <w:rsid w:val="00AA086A"/>
    <w:rsid w:val="00AA49BB"/>
    <w:rsid w:val="00AB1AD6"/>
    <w:rsid w:val="00AB1C16"/>
    <w:rsid w:val="00AB2EA8"/>
    <w:rsid w:val="00AB3C46"/>
    <w:rsid w:val="00AC0201"/>
    <w:rsid w:val="00AC6F0E"/>
    <w:rsid w:val="00AD066B"/>
    <w:rsid w:val="00AD7257"/>
    <w:rsid w:val="00AE372A"/>
    <w:rsid w:val="00AE6811"/>
    <w:rsid w:val="00AF2D0C"/>
    <w:rsid w:val="00AF4480"/>
    <w:rsid w:val="00B2563E"/>
    <w:rsid w:val="00B27488"/>
    <w:rsid w:val="00B3042F"/>
    <w:rsid w:val="00B30C20"/>
    <w:rsid w:val="00B30D3B"/>
    <w:rsid w:val="00B432D4"/>
    <w:rsid w:val="00B453ED"/>
    <w:rsid w:val="00B460E4"/>
    <w:rsid w:val="00B50A87"/>
    <w:rsid w:val="00B576D7"/>
    <w:rsid w:val="00B80892"/>
    <w:rsid w:val="00B82735"/>
    <w:rsid w:val="00B92861"/>
    <w:rsid w:val="00BA15A8"/>
    <w:rsid w:val="00BA2E30"/>
    <w:rsid w:val="00BA524C"/>
    <w:rsid w:val="00BA7A69"/>
    <w:rsid w:val="00BC3CA5"/>
    <w:rsid w:val="00BD28DF"/>
    <w:rsid w:val="00BD4E12"/>
    <w:rsid w:val="00BD7669"/>
    <w:rsid w:val="00BE2864"/>
    <w:rsid w:val="00BF3831"/>
    <w:rsid w:val="00C0561A"/>
    <w:rsid w:val="00C076BF"/>
    <w:rsid w:val="00C10C10"/>
    <w:rsid w:val="00C27F02"/>
    <w:rsid w:val="00C33A7C"/>
    <w:rsid w:val="00C35F5D"/>
    <w:rsid w:val="00C414B5"/>
    <w:rsid w:val="00C44519"/>
    <w:rsid w:val="00C504F4"/>
    <w:rsid w:val="00C51C03"/>
    <w:rsid w:val="00C57E85"/>
    <w:rsid w:val="00C65BB4"/>
    <w:rsid w:val="00C8071C"/>
    <w:rsid w:val="00C816CB"/>
    <w:rsid w:val="00C82461"/>
    <w:rsid w:val="00C8341B"/>
    <w:rsid w:val="00C8426E"/>
    <w:rsid w:val="00C8637B"/>
    <w:rsid w:val="00CA07CC"/>
    <w:rsid w:val="00CA4FCE"/>
    <w:rsid w:val="00CA5F8F"/>
    <w:rsid w:val="00CB19E6"/>
    <w:rsid w:val="00CB2599"/>
    <w:rsid w:val="00CB5E29"/>
    <w:rsid w:val="00CC5A6F"/>
    <w:rsid w:val="00CD58B7"/>
    <w:rsid w:val="00CE271A"/>
    <w:rsid w:val="00CE6FF5"/>
    <w:rsid w:val="00CF0B18"/>
    <w:rsid w:val="00CF2EC7"/>
    <w:rsid w:val="00CF5245"/>
    <w:rsid w:val="00CF60D9"/>
    <w:rsid w:val="00D0121B"/>
    <w:rsid w:val="00D04BA8"/>
    <w:rsid w:val="00D06479"/>
    <w:rsid w:val="00D06CA9"/>
    <w:rsid w:val="00D076EE"/>
    <w:rsid w:val="00D07B1A"/>
    <w:rsid w:val="00D16D8F"/>
    <w:rsid w:val="00D2325E"/>
    <w:rsid w:val="00D24CD0"/>
    <w:rsid w:val="00D30E46"/>
    <w:rsid w:val="00D50AC8"/>
    <w:rsid w:val="00D61D29"/>
    <w:rsid w:val="00D74A2B"/>
    <w:rsid w:val="00D86342"/>
    <w:rsid w:val="00D904D5"/>
    <w:rsid w:val="00D93E29"/>
    <w:rsid w:val="00DA0026"/>
    <w:rsid w:val="00DA444C"/>
    <w:rsid w:val="00DC34E2"/>
    <w:rsid w:val="00DD14C5"/>
    <w:rsid w:val="00DD4DCB"/>
    <w:rsid w:val="00DD6CE9"/>
    <w:rsid w:val="00DE3EEE"/>
    <w:rsid w:val="00DF2C67"/>
    <w:rsid w:val="00DF2C96"/>
    <w:rsid w:val="00DF3AE2"/>
    <w:rsid w:val="00DF7D21"/>
    <w:rsid w:val="00E0497E"/>
    <w:rsid w:val="00E059C5"/>
    <w:rsid w:val="00E06B29"/>
    <w:rsid w:val="00E06C22"/>
    <w:rsid w:val="00E074EC"/>
    <w:rsid w:val="00E26BAC"/>
    <w:rsid w:val="00E4781B"/>
    <w:rsid w:val="00E51F8B"/>
    <w:rsid w:val="00E60351"/>
    <w:rsid w:val="00E64B5A"/>
    <w:rsid w:val="00E6719F"/>
    <w:rsid w:val="00E71AE7"/>
    <w:rsid w:val="00E752E6"/>
    <w:rsid w:val="00E955BC"/>
    <w:rsid w:val="00E97060"/>
    <w:rsid w:val="00EA4393"/>
    <w:rsid w:val="00EA6088"/>
    <w:rsid w:val="00EC1A2C"/>
    <w:rsid w:val="00F02E8A"/>
    <w:rsid w:val="00F07F20"/>
    <w:rsid w:val="00F10E1F"/>
    <w:rsid w:val="00F2065C"/>
    <w:rsid w:val="00F212EB"/>
    <w:rsid w:val="00F224FB"/>
    <w:rsid w:val="00F268C0"/>
    <w:rsid w:val="00F338E3"/>
    <w:rsid w:val="00F465D3"/>
    <w:rsid w:val="00F569C9"/>
    <w:rsid w:val="00F56F06"/>
    <w:rsid w:val="00F73815"/>
    <w:rsid w:val="00F7770D"/>
    <w:rsid w:val="00F85984"/>
    <w:rsid w:val="00F868C9"/>
    <w:rsid w:val="00F93115"/>
    <w:rsid w:val="00F97DAD"/>
    <w:rsid w:val="00FA5792"/>
    <w:rsid w:val="00FA5B5D"/>
    <w:rsid w:val="00FA63DC"/>
    <w:rsid w:val="00FB200D"/>
    <w:rsid w:val="00FD52EA"/>
    <w:rsid w:val="00FE2CDE"/>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9241EC"/>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uiPriority w:val="99"/>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uiPriority w:val="99"/>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ListParagraph">
    <w:name w:val="List Paragraph"/>
    <w:basedOn w:val="Normal"/>
    <w:uiPriority w:val="34"/>
    <w:semiHidden/>
    <w:qFormat/>
    <w:locked/>
    <w:rsid w:val="00E0497E"/>
    <w:pPr>
      <w:ind w:left="720"/>
      <w:contextualSpacing/>
    </w:pPr>
  </w:style>
  <w:style w:type="paragraph" w:styleId="Footer">
    <w:name w:val="footer"/>
    <w:basedOn w:val="Normal"/>
    <w:link w:val="FooterChar"/>
    <w:uiPriority w:val="99"/>
    <w:semiHidden/>
    <w:unhideWhenUsed/>
    <w:locked/>
    <w:rsid w:val="00630661"/>
    <w:pPr>
      <w:tabs>
        <w:tab w:val="center" w:pos="4536"/>
        <w:tab w:val="right" w:pos="9072"/>
      </w:tabs>
      <w:spacing w:before="0" w:after="0"/>
    </w:pPr>
  </w:style>
  <w:style w:type="character" w:customStyle="1" w:styleId="FooterChar">
    <w:name w:val="Footer Char"/>
    <w:basedOn w:val="DefaultParagraphFont"/>
    <w:link w:val="Footer"/>
    <w:uiPriority w:val="99"/>
    <w:semiHidden/>
    <w:rsid w:val="00630661"/>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9241EC"/>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uiPriority w:val="99"/>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uiPriority w:val="99"/>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ListParagraph">
    <w:name w:val="List Paragraph"/>
    <w:basedOn w:val="Normal"/>
    <w:uiPriority w:val="34"/>
    <w:semiHidden/>
    <w:qFormat/>
    <w:locked/>
    <w:rsid w:val="00E0497E"/>
    <w:pPr>
      <w:ind w:left="720"/>
      <w:contextualSpacing/>
    </w:pPr>
  </w:style>
  <w:style w:type="paragraph" w:styleId="Footer">
    <w:name w:val="footer"/>
    <w:basedOn w:val="Normal"/>
    <w:link w:val="FooterChar"/>
    <w:uiPriority w:val="99"/>
    <w:semiHidden/>
    <w:unhideWhenUsed/>
    <w:locked/>
    <w:rsid w:val="00630661"/>
    <w:pPr>
      <w:tabs>
        <w:tab w:val="center" w:pos="4536"/>
        <w:tab w:val="right" w:pos="9072"/>
      </w:tabs>
      <w:spacing w:before="0" w:after="0"/>
    </w:pPr>
  </w:style>
  <w:style w:type="character" w:customStyle="1" w:styleId="FooterChar">
    <w:name w:val="Footer Char"/>
    <w:basedOn w:val="DefaultParagraphFont"/>
    <w:link w:val="Footer"/>
    <w:uiPriority w:val="99"/>
    <w:semiHidden/>
    <w:rsid w:val="00630661"/>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452358">
      <w:bodyDiv w:val="1"/>
      <w:marLeft w:val="0"/>
      <w:marRight w:val="0"/>
      <w:marTop w:val="0"/>
      <w:marBottom w:val="0"/>
      <w:divBdr>
        <w:top w:val="none" w:sz="0" w:space="0" w:color="auto"/>
        <w:left w:val="none" w:sz="0" w:space="0" w:color="auto"/>
        <w:bottom w:val="none" w:sz="0" w:space="0" w:color="auto"/>
        <w:right w:val="none" w:sz="0" w:space="0" w:color="auto"/>
      </w:divBdr>
    </w:div>
    <w:div w:id="1265385703">
      <w:bodyDiv w:val="1"/>
      <w:marLeft w:val="0"/>
      <w:marRight w:val="0"/>
      <w:marTop w:val="0"/>
      <w:marBottom w:val="0"/>
      <w:divBdr>
        <w:top w:val="none" w:sz="0" w:space="0" w:color="auto"/>
        <w:left w:val="none" w:sz="0" w:space="0" w:color="auto"/>
        <w:bottom w:val="none" w:sz="0" w:space="0" w:color="auto"/>
        <w:right w:val="none" w:sz="0" w:space="0" w:color="auto"/>
      </w:divBdr>
    </w:div>
    <w:div w:id="1323509830">
      <w:bodyDiv w:val="1"/>
      <w:marLeft w:val="0"/>
      <w:marRight w:val="0"/>
      <w:marTop w:val="0"/>
      <w:marBottom w:val="0"/>
      <w:divBdr>
        <w:top w:val="none" w:sz="0" w:space="0" w:color="auto"/>
        <w:left w:val="none" w:sz="0" w:space="0" w:color="auto"/>
        <w:bottom w:val="none" w:sz="0" w:space="0" w:color="auto"/>
        <w:right w:val="none" w:sz="0" w:space="0" w:color="auto"/>
      </w:divBdr>
    </w:div>
    <w:div w:id="164226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F132D-7516-471E-93F4-9A1A2717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1292</Words>
  <Characters>7371</Characters>
  <Application>Microsoft Office Word</Application>
  <DocSecurity>0</DocSecurity>
  <Lines>61</Lines>
  <Paragraphs>17</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Draft CEPT Brief on AI XX</vt:lpstr>
      <vt:lpstr>Draft CEPT Brief on AI XX</vt:lpstr>
      <vt:lpstr>Draft CEPT Brief on AI XX</vt:lpstr>
    </vt:vector>
  </TitlesOfParts>
  <Manager>stella.lyubchenko@eco.cept.org</Manager>
  <Company>ECO</Company>
  <LinksUpToDate>false</LinksUpToDate>
  <CharactersWithSpaces>8646</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PTC</dc:creator>
  <cp:keywords>CEPT Brief</cp:keywords>
  <dc:description>Output CPG19-3</dc:description>
  <cp:lastModifiedBy>CPG19-4</cp:lastModifiedBy>
  <cp:revision>2</cp:revision>
  <cp:lastPrinted>1901-01-01T00:00:00Z</cp:lastPrinted>
  <dcterms:created xsi:type="dcterms:W3CDTF">2017-07-19T08:19:00Z</dcterms:created>
  <dcterms:modified xsi:type="dcterms:W3CDTF">2017-07-19T08:19:00Z</dcterms:modified>
  <cp:category>protected templates</cp:category>
  <cp:contentStatus>Draft</cp:contentStatus>
</cp:coreProperties>
</file>