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917EC1" w:rsidRPr="000B290B" w:rsidTr="002B397F">
        <w:trPr>
          <w:cantSplit/>
          <w:trHeight w:val="1240"/>
        </w:trPr>
        <w:tc>
          <w:tcPr>
            <w:tcW w:w="4785" w:type="dxa"/>
            <w:gridSpan w:val="2"/>
            <w:tcBorders>
              <w:top w:val="nil"/>
              <w:left w:val="nil"/>
              <w:bottom w:val="nil"/>
              <w:right w:val="nil"/>
            </w:tcBorders>
          </w:tcPr>
          <w:p w:rsidR="00917EC1" w:rsidRPr="000B290B" w:rsidRDefault="00917EC1" w:rsidP="000B290B">
            <w:pPr>
              <w:pStyle w:val="ECCLetterHead"/>
            </w:pPr>
          </w:p>
        </w:tc>
        <w:tc>
          <w:tcPr>
            <w:tcW w:w="4996" w:type="dxa"/>
            <w:tcBorders>
              <w:top w:val="nil"/>
              <w:left w:val="nil"/>
              <w:bottom w:val="nil"/>
              <w:right w:val="nil"/>
            </w:tcBorders>
          </w:tcPr>
          <w:p w:rsidR="00917EC1" w:rsidRPr="000B290B" w:rsidRDefault="00E448AC" w:rsidP="00226CD0">
            <w:pPr>
              <w:pStyle w:val="ECCLetterHead"/>
            </w:pPr>
            <w:r w:rsidRPr="000B290B">
              <w:tab/>
            </w:r>
            <w:r w:rsidR="003573A9" w:rsidRPr="000B290B">
              <w:t xml:space="preserve">Doc. </w:t>
            </w:r>
            <w:r w:rsidR="00ED18B5" w:rsidRPr="000B290B">
              <w:t>CPG(17)0</w:t>
            </w:r>
            <w:r w:rsidR="00534BD5" w:rsidRPr="000B290B">
              <w:t>24</w:t>
            </w:r>
            <w:r w:rsidR="00ED18B5" w:rsidRPr="000B290B">
              <w:t xml:space="preserve"> A</w:t>
            </w:r>
            <w:r w:rsidR="00D71055" w:rsidRPr="000B290B">
              <w:t>NNEX</w:t>
            </w:r>
            <w:r w:rsidR="00ED18B5" w:rsidRPr="000B290B">
              <w:t xml:space="preserve"> IV-21C</w:t>
            </w:r>
          </w:p>
        </w:tc>
      </w:tr>
      <w:tr w:rsidR="003A270E" w:rsidTr="003A270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3A270E" w:rsidRDefault="00ED18B5" w:rsidP="00767A9A">
            <w:pPr>
              <w:pStyle w:val="ECCLetterHead"/>
            </w:pPr>
            <w:r w:rsidRPr="00ED18B5">
              <w:t>CPG19-3</w:t>
            </w:r>
          </w:p>
        </w:tc>
      </w:tr>
      <w:tr w:rsidR="00BD016A" w:rsidTr="003A270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BD016A" w:rsidRDefault="000B290B" w:rsidP="000B290B">
            <w:pPr>
              <w:pStyle w:val="ECCLetterHead"/>
            </w:pPr>
            <w:r>
              <w:t>Cluj-Napoca</w:t>
            </w:r>
            <w:r w:rsidR="00ED18B5" w:rsidRPr="00ED18B5">
              <w:t xml:space="preserve">, </w:t>
            </w:r>
            <w:r>
              <w:t>Romania</w:t>
            </w:r>
            <w:r w:rsidR="00ED18B5" w:rsidRPr="00ED18B5">
              <w:t>,</w:t>
            </w:r>
            <w:r>
              <w:t xml:space="preserve"> 0</w:t>
            </w:r>
            <w:r w:rsidR="00ED18B5">
              <w:t>4</w:t>
            </w:r>
            <w:r w:rsidR="000B0383" w:rsidRPr="000B0383">
              <w:rPr>
                <w:rStyle w:val="ECCHLsuperscript"/>
              </w:rPr>
              <w:t>th</w:t>
            </w:r>
            <w:r w:rsidR="000B0383" w:rsidRPr="000B0383">
              <w:t xml:space="preserve"> - </w:t>
            </w:r>
            <w:r w:rsidR="00ED18B5">
              <w:t>7</w:t>
            </w:r>
            <w:r w:rsidR="000B0383" w:rsidRPr="000B0383">
              <w:rPr>
                <w:rStyle w:val="ECCHLsuperscript"/>
              </w:rPr>
              <w:t>th</w:t>
            </w:r>
            <w:r w:rsidR="000B0383" w:rsidRPr="000B0383">
              <w:t xml:space="preserve"> </w:t>
            </w:r>
            <w:r>
              <w:t>July</w:t>
            </w:r>
            <w:r w:rsidR="000B0383" w:rsidRPr="000B0383">
              <w:t xml:space="preserve"> 2017</w:t>
            </w:r>
          </w:p>
        </w:tc>
      </w:tr>
      <w:tr w:rsidR="00917EC1" w:rsidTr="003A270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17EC1" w:rsidRDefault="00917EC1">
            <w:pPr>
              <w:pStyle w:val="ECCLetterHead"/>
            </w:pPr>
          </w:p>
        </w:tc>
        <w:tc>
          <w:tcPr>
            <w:tcW w:w="4996" w:type="dxa"/>
            <w:tcBorders>
              <w:top w:val="nil"/>
              <w:left w:val="nil"/>
              <w:bottom w:val="nil"/>
              <w:right w:val="nil"/>
            </w:tcBorders>
            <w:vAlign w:val="center"/>
          </w:tcPr>
          <w:p w:rsidR="00917EC1" w:rsidRDefault="00917EC1">
            <w:pPr>
              <w:pStyle w:val="ECCLetterHead"/>
            </w:pP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Pr="00753A8A" w:rsidRDefault="00E448AC" w:rsidP="00753A8A">
            <w:pPr>
              <w:pStyle w:val="ECCLetterHead"/>
            </w:pPr>
            <w:r w:rsidRPr="00753A8A">
              <w:t xml:space="preserve">Date issued: </w:t>
            </w:r>
          </w:p>
        </w:tc>
        <w:tc>
          <w:tcPr>
            <w:tcW w:w="8087" w:type="dxa"/>
            <w:gridSpan w:val="2"/>
            <w:tcBorders>
              <w:top w:val="nil"/>
              <w:left w:val="nil"/>
              <w:bottom w:val="nil"/>
              <w:right w:val="nil"/>
            </w:tcBorders>
            <w:vAlign w:val="center"/>
          </w:tcPr>
          <w:p w:rsidR="00917EC1" w:rsidRPr="00BD016A" w:rsidRDefault="000B290B" w:rsidP="00551799">
            <w:pPr>
              <w:pStyle w:val="ECCLetterHead"/>
            </w:pPr>
            <w:r w:rsidRPr="000B290B">
              <w:t>7</w:t>
            </w:r>
            <w:r w:rsidRPr="000B290B">
              <w:rPr>
                <w:rStyle w:val="ECCHLsuperscript"/>
              </w:rPr>
              <w:t>th</w:t>
            </w:r>
            <w:r w:rsidRPr="000B290B">
              <w:t xml:space="preserve"> July 2017</w:t>
            </w: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Source: </w:t>
            </w:r>
          </w:p>
        </w:tc>
        <w:tc>
          <w:tcPr>
            <w:tcW w:w="8087" w:type="dxa"/>
            <w:gridSpan w:val="2"/>
            <w:tcBorders>
              <w:top w:val="nil"/>
              <w:left w:val="nil"/>
              <w:bottom w:val="nil"/>
              <w:right w:val="nil"/>
            </w:tcBorders>
            <w:vAlign w:val="center"/>
          </w:tcPr>
          <w:p w:rsidR="00917EC1" w:rsidRDefault="000B290B" w:rsidP="000B290B">
            <w:pPr>
              <w:pStyle w:val="ECCLetterHead"/>
            </w:pPr>
            <w:r>
              <w:t xml:space="preserve">Minutes </w:t>
            </w:r>
            <w:r w:rsidR="001653B3">
              <w:t>CPG19-</w:t>
            </w:r>
            <w:r>
              <w:t>4</w:t>
            </w: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Subject: </w:t>
            </w:r>
          </w:p>
        </w:tc>
        <w:tc>
          <w:tcPr>
            <w:tcW w:w="8087" w:type="dxa"/>
            <w:gridSpan w:val="2"/>
            <w:tcBorders>
              <w:top w:val="nil"/>
              <w:left w:val="nil"/>
              <w:bottom w:val="nil"/>
              <w:right w:val="nil"/>
            </w:tcBorders>
            <w:vAlign w:val="center"/>
          </w:tcPr>
          <w:p w:rsidR="00917EC1" w:rsidRDefault="00E448AC" w:rsidP="00697641">
            <w:pPr>
              <w:pStyle w:val="ECCLetterHead"/>
            </w:pPr>
            <w:r>
              <w:t xml:space="preserve">Draft CEPT Brief on Agenda </w:t>
            </w:r>
            <w:r w:rsidR="003B7598">
              <w:t>Item 9.1 i</w:t>
            </w:r>
            <w:r>
              <w:t>ssue 9.1.3</w:t>
            </w:r>
          </w:p>
        </w:tc>
      </w:tr>
      <w:tr w:rsidR="00917EC1" w:rsidTr="003A270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17EC1" w:rsidRDefault="00917EC1">
            <w:pPr>
              <w:rPr>
                <w:rStyle w:val="ECCParagraph"/>
              </w:rPr>
            </w:pPr>
          </w:p>
          <w:p w:rsidR="00917EC1" w:rsidRDefault="00917EC1">
            <w:pPr>
              <w:pStyle w:val="ECCLetterHead"/>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 xml:space="preserve">Summary: </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D07AAF" w:rsidRPr="00D07AAF" w:rsidRDefault="00D07AAF" w:rsidP="000B290B">
            <w:pPr>
              <w:pStyle w:val="ECCTabletext"/>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Proposal:</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17EC1" w:rsidRDefault="00917EC1">
            <w:pPr>
              <w:pStyle w:val="ECCTabletext"/>
            </w:pPr>
          </w:p>
        </w:tc>
      </w:tr>
    </w:tbl>
    <w:p w:rsidR="00917EC1" w:rsidRDefault="000B0383" w:rsidP="00534BD5">
      <w:pPr>
        <w:pStyle w:val="ECCEditorsNote"/>
        <w:rPr>
          <w:rStyle w:val="ECCParagraph"/>
        </w:rPr>
      </w:pPr>
      <w:r w:rsidRPr="00E36929">
        <w:rPr>
          <w:lang w:val="en-GB"/>
        </w:rPr>
        <w:t>The following pages are intended to be compiled in one CEPT Brief on AI 9</w:t>
      </w:r>
      <w:r w:rsidR="00E448AC">
        <w:rPr>
          <w:rStyle w:val="ECCParagraph"/>
        </w:rPr>
        <w:br w:type="page"/>
      </w:r>
    </w:p>
    <w:p w:rsidR="00942135" w:rsidRDefault="00942135" w:rsidP="000457A7"/>
    <w:p w:rsidR="000457A7" w:rsidRPr="000457A7" w:rsidRDefault="000457A7" w:rsidP="000457A7">
      <w:r w:rsidRPr="000457A7">
        <w:t>9</w:t>
      </w:r>
      <w:r w:rsidRPr="000457A7">
        <w:tab/>
        <w:t xml:space="preserve">to consider and approve the Report of the Director of the </w:t>
      </w:r>
      <w:proofErr w:type="spellStart"/>
      <w:r w:rsidRPr="000457A7">
        <w:t>Radiocommunication</w:t>
      </w:r>
      <w:proofErr w:type="spellEnd"/>
      <w:r w:rsidRPr="000457A7">
        <w:t xml:space="preserve"> Bureau, in accordance with Article 7 of the Convention:</w:t>
      </w:r>
    </w:p>
    <w:p w:rsidR="000457A7" w:rsidRPr="000457A7" w:rsidRDefault="000457A7" w:rsidP="000457A7">
      <w:r w:rsidRPr="000457A7">
        <w:t>9.1</w:t>
      </w:r>
      <w:r w:rsidRPr="000457A7">
        <w:tab/>
      </w:r>
      <w:proofErr w:type="gramStart"/>
      <w:r w:rsidRPr="000457A7">
        <w:t>on</w:t>
      </w:r>
      <w:proofErr w:type="gramEnd"/>
      <w:r w:rsidRPr="000457A7">
        <w:t xml:space="preserve"> the activities of the </w:t>
      </w:r>
      <w:proofErr w:type="spellStart"/>
      <w:r w:rsidRPr="000457A7">
        <w:t>Radiocommunication</w:t>
      </w:r>
      <w:proofErr w:type="spellEnd"/>
      <w:r w:rsidRPr="000457A7">
        <w:t xml:space="preserve"> Sector since WRC</w:t>
      </w:r>
      <w:r w:rsidRPr="000457A7">
        <w:noBreakHyphen/>
        <w:t>15.</w:t>
      </w:r>
    </w:p>
    <w:p w:rsidR="000457A7" w:rsidRPr="000457A7" w:rsidRDefault="000457A7" w:rsidP="000457A7">
      <w:pPr>
        <w:pStyle w:val="Heading1"/>
        <w:rPr>
          <w:lang w:val="en-GB"/>
        </w:rPr>
      </w:pPr>
      <w:r w:rsidRPr="000457A7">
        <w:t>ISSUE</w:t>
      </w:r>
    </w:p>
    <w:p w:rsidR="000457A7" w:rsidRPr="000457A7" w:rsidRDefault="000457A7" w:rsidP="000457A7">
      <w:r w:rsidRPr="000457A7">
        <w:rPr>
          <w:rStyle w:val="ECCHLbold"/>
        </w:rPr>
        <w:t>Resolution 157 (WRC</w:t>
      </w:r>
      <w:r w:rsidRPr="000457A7">
        <w:rPr>
          <w:rStyle w:val="ECCHLbold"/>
        </w:rPr>
        <w:noBreakHyphen/>
        <w:t>15)</w:t>
      </w:r>
      <w:r w:rsidRPr="000457A7">
        <w:t xml:space="preserve"> “Study of technical and operational issues and regulatory provisions for new non-geostationary-satellite orbit systems in the 3</w:t>
      </w:r>
      <w:r w:rsidR="00BA2B7C">
        <w:t xml:space="preserve"> </w:t>
      </w:r>
      <w:r w:rsidRPr="000457A7">
        <w:t>700-4</w:t>
      </w:r>
      <w:r w:rsidR="00BA2B7C">
        <w:t xml:space="preserve"> </w:t>
      </w:r>
      <w:r w:rsidRPr="000457A7">
        <w:t>200 MHz, 4</w:t>
      </w:r>
      <w:r w:rsidR="00BA2B7C">
        <w:t xml:space="preserve"> </w:t>
      </w:r>
      <w:r w:rsidRPr="000457A7">
        <w:t>500-4</w:t>
      </w:r>
      <w:r w:rsidR="00BA2B7C">
        <w:t xml:space="preserve"> </w:t>
      </w:r>
      <w:r w:rsidRPr="000457A7">
        <w:t>800 MHz, 5</w:t>
      </w:r>
      <w:r w:rsidR="00BA2B7C">
        <w:t xml:space="preserve"> </w:t>
      </w:r>
      <w:r w:rsidRPr="000457A7">
        <w:t>925-6</w:t>
      </w:r>
      <w:r w:rsidR="00BA2B7C">
        <w:t xml:space="preserve"> </w:t>
      </w:r>
      <w:r w:rsidRPr="000457A7">
        <w:t>425 MHz and 6</w:t>
      </w:r>
      <w:r w:rsidR="00BA2B7C">
        <w:t xml:space="preserve"> </w:t>
      </w:r>
      <w:r w:rsidRPr="000457A7">
        <w:t>725-7</w:t>
      </w:r>
      <w:r w:rsidR="00BA2B7C">
        <w:t xml:space="preserve"> </w:t>
      </w:r>
      <w:r w:rsidRPr="000457A7">
        <w:t>025 MHz frequency bands allocated to the fixed-satellite service”</w:t>
      </w:r>
    </w:p>
    <w:p w:rsidR="000457A7" w:rsidRPr="000457A7" w:rsidRDefault="000457A7" w:rsidP="000457A7">
      <w:pPr>
        <w:rPr>
          <w:rStyle w:val="Emphasis"/>
        </w:rPr>
      </w:pPr>
      <w:proofErr w:type="gramStart"/>
      <w:r w:rsidRPr="000457A7">
        <w:rPr>
          <w:rStyle w:val="Emphasis"/>
        </w:rPr>
        <w:t>resolves</w:t>
      </w:r>
      <w:proofErr w:type="gramEnd"/>
      <w:r w:rsidRPr="000457A7">
        <w:rPr>
          <w:rStyle w:val="Emphasis"/>
        </w:rPr>
        <w:t xml:space="preserve"> to invite the ITU </w:t>
      </w:r>
      <w:proofErr w:type="spellStart"/>
      <w:r w:rsidRPr="000457A7">
        <w:rPr>
          <w:rStyle w:val="Emphasis"/>
        </w:rPr>
        <w:t>Radiocommunication</w:t>
      </w:r>
      <w:proofErr w:type="spellEnd"/>
      <w:r w:rsidRPr="000457A7">
        <w:rPr>
          <w:rStyle w:val="Emphasis"/>
        </w:rPr>
        <w:t xml:space="preserve"> Sector</w:t>
      </w:r>
    </w:p>
    <w:p w:rsidR="000457A7" w:rsidRPr="000457A7" w:rsidRDefault="000457A7" w:rsidP="000457A7">
      <w:proofErr w:type="gramStart"/>
      <w:r w:rsidRPr="000457A7">
        <w:t>to</w:t>
      </w:r>
      <w:proofErr w:type="gramEnd"/>
      <w:r w:rsidRPr="000457A7">
        <w:t xml:space="preserve"> study the following issues relating to non-GSO systems in the following frequency bands allocated to the FSS: </w:t>
      </w:r>
    </w:p>
    <w:p w:rsidR="000457A7" w:rsidRPr="00E36929" w:rsidRDefault="000457A7" w:rsidP="000457A7">
      <w:pPr>
        <w:pStyle w:val="ECCLetteredList"/>
        <w:rPr>
          <w:lang w:val="en-GB"/>
        </w:rPr>
      </w:pPr>
      <w:r w:rsidRPr="00E36929">
        <w:rPr>
          <w:lang w:val="en-GB"/>
        </w:rPr>
        <w:t xml:space="preserve">in the frequency band 3 700-4 200 MHz (space-to-Earth), identification of possible revision of Article </w:t>
      </w:r>
      <w:r w:rsidRPr="000C24BD">
        <w:rPr>
          <w:rStyle w:val="ECCHLbold"/>
          <w:lang w:val="en-US"/>
        </w:rPr>
        <w:t>21</w:t>
      </w:r>
      <w:r w:rsidRPr="00E36929">
        <w:rPr>
          <w:lang w:val="en-GB"/>
        </w:rPr>
        <w:t xml:space="preserve">, Table </w:t>
      </w:r>
      <w:r w:rsidRPr="000C24BD">
        <w:rPr>
          <w:rStyle w:val="ECCHLbold"/>
          <w:lang w:val="en-US"/>
        </w:rPr>
        <w:t>21-4</w:t>
      </w:r>
      <w:r w:rsidRPr="00E36929">
        <w:rPr>
          <w:lang w:val="en-GB"/>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0C24BD">
        <w:rPr>
          <w:rStyle w:val="ECCHLbold"/>
          <w:lang w:val="en-US"/>
        </w:rPr>
        <w:t>21</w:t>
      </w:r>
      <w:r w:rsidRPr="00E36929">
        <w:rPr>
          <w:lang w:val="en-GB"/>
        </w:rPr>
        <w:t xml:space="preserve"> </w:t>
      </w:r>
      <w:proofErr w:type="spellStart"/>
      <w:r w:rsidRPr="00E36929">
        <w:rPr>
          <w:lang w:val="en-GB"/>
        </w:rPr>
        <w:t>pfd</w:t>
      </w:r>
      <w:proofErr w:type="spellEnd"/>
      <w:r w:rsidRPr="00E36929">
        <w:rPr>
          <w:lang w:val="en-GB"/>
        </w:rPr>
        <w:t xml:space="preserve"> limits for GSO networks;</w:t>
      </w:r>
    </w:p>
    <w:p w:rsidR="000457A7" w:rsidRPr="00E36929" w:rsidRDefault="000457A7" w:rsidP="000457A7">
      <w:pPr>
        <w:pStyle w:val="ECCLetteredList"/>
        <w:rPr>
          <w:lang w:val="en-GB"/>
        </w:rPr>
      </w:pPr>
      <w:r w:rsidRPr="00E36929">
        <w:rPr>
          <w:lang w:val="en-GB"/>
        </w:rPr>
        <w:t>in the frequency bands 3 700-4 200 MHz (space-to-Earth) and 5 925-6 425 MHz (Earth</w:t>
      </w:r>
      <w:r w:rsidRPr="00E36929">
        <w:rPr>
          <w:lang w:val="en-GB"/>
        </w:rPr>
        <w:noBreakHyphen/>
        <w:t>to</w:t>
      </w:r>
      <w:r w:rsidRPr="00E36929">
        <w:rPr>
          <w:lang w:val="en-GB"/>
        </w:rPr>
        <w:noBreakHyphen/>
        <w:t xml:space="preserve">space), the Article 22 </w:t>
      </w:r>
      <w:proofErr w:type="spellStart"/>
      <w:r w:rsidRPr="00E36929">
        <w:rPr>
          <w:lang w:val="en-GB"/>
        </w:rPr>
        <w:t>epfd</w:t>
      </w:r>
      <w:proofErr w:type="spellEnd"/>
      <w:r w:rsidRPr="00E36929">
        <w:rPr>
          <w:lang w:val="en-GB"/>
        </w:rPr>
        <w:t xml:space="preserve">↓ limits and </w:t>
      </w:r>
      <w:proofErr w:type="spellStart"/>
      <w:r w:rsidRPr="00E36929">
        <w:rPr>
          <w:lang w:val="en-GB"/>
        </w:rPr>
        <w:t>epfd</w:t>
      </w:r>
      <w:proofErr w:type="spellEnd"/>
      <w:r w:rsidRPr="00E36929">
        <w:rPr>
          <w:lang w:val="en-GB"/>
        </w:rPr>
        <w:t>↑ limits applicable to non-GSO systems with a view to enabling additional non-GSO systems to operate in these frequency bands, while ensuring that GSO networks are protected from unaccepta</w:t>
      </w:r>
      <w:r w:rsidR="00BA2B7C">
        <w:rPr>
          <w:lang w:val="en-GB"/>
        </w:rPr>
        <w:t>ble interference pursuant to No</w:t>
      </w:r>
      <w:r w:rsidRPr="00E36929">
        <w:rPr>
          <w:lang w:val="en-GB"/>
        </w:rPr>
        <w:t xml:space="preserve"> </w:t>
      </w:r>
      <w:r w:rsidRPr="000C24BD">
        <w:rPr>
          <w:rStyle w:val="ECCHLbold"/>
          <w:lang w:val="en-US"/>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bands 4 500-4 800 MHz (space-to-Earth) and 6 725-7 025 MHz (Earth</w:t>
      </w:r>
      <w:r w:rsidRPr="00E36929">
        <w:rPr>
          <w:lang w:val="en-GB"/>
        </w:rPr>
        <w:noBreakHyphen/>
        <w:t>to</w:t>
      </w:r>
      <w:r w:rsidRPr="00E36929">
        <w:rPr>
          <w:lang w:val="en-GB"/>
        </w:rPr>
        <w:noBreakHyphen/>
        <w:t xml:space="preserve">space), the possible development of Article 22 </w:t>
      </w:r>
      <w:proofErr w:type="spellStart"/>
      <w:r w:rsidRPr="00E36929">
        <w:rPr>
          <w:lang w:val="en-GB"/>
        </w:rPr>
        <w:t>epfd</w:t>
      </w:r>
      <w:proofErr w:type="spellEnd"/>
      <w:r w:rsidRPr="00E36929">
        <w:rPr>
          <w:lang w:val="en-GB"/>
        </w:rPr>
        <w:t xml:space="preserve">↓ and </w:t>
      </w:r>
      <w:proofErr w:type="spellStart"/>
      <w:r w:rsidRPr="00E36929">
        <w:rPr>
          <w:lang w:val="en-GB"/>
        </w:rPr>
        <w:t>epfd</w:t>
      </w:r>
      <w:proofErr w:type="spellEnd"/>
      <w:r w:rsidRPr="00E36929">
        <w:rPr>
          <w:lang w:val="en-GB"/>
        </w:rPr>
        <w:t>↑ limits similar to those in other FSS frequency bands with a view to enabling non-GSO systems to operate in these frequency bands, while ensuring that GSO networks are protected from unacceptab</w:t>
      </w:r>
      <w:r w:rsidR="00BA2B7C">
        <w:rPr>
          <w:lang w:val="en-GB"/>
        </w:rPr>
        <w:t>le interference pursuant to No</w:t>
      </w:r>
      <w:r w:rsidR="00BA2B7C" w:rsidRPr="000C24BD">
        <w:rPr>
          <w:lang w:val="en-US"/>
        </w:rPr>
        <w:t xml:space="preserve"> </w:t>
      </w:r>
      <w:r w:rsidRPr="000C24BD">
        <w:rPr>
          <w:rStyle w:val="ECCHLbold"/>
          <w:lang w:val="en-US"/>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 6 700-7 025 MHz, the protection of feeder links for MSS systems operating in the space-to-Earth direction from unacceptable interference, pursuant to existing criteria, from non-GSO FSS system earth stations operating in the Earth-to-space direction;</w:t>
      </w:r>
    </w:p>
    <w:p w:rsidR="000457A7" w:rsidRPr="00E36929" w:rsidRDefault="000457A7" w:rsidP="000457A7">
      <w:pPr>
        <w:pStyle w:val="ECCLetteredList"/>
        <w:rPr>
          <w:lang w:val="en-GB"/>
        </w:rPr>
      </w:pPr>
      <w:r w:rsidRPr="00E36929">
        <w:rPr>
          <w:lang w:val="en-GB"/>
        </w:rPr>
        <w:t>in the frequency band 4 500-4 800 MHz (space-to-Earth), the development of appropriate regulatory provisions for non-GSO FSS systems to protect terrestrial services;</w:t>
      </w:r>
    </w:p>
    <w:p w:rsidR="000457A7" w:rsidRPr="00E36929" w:rsidRDefault="000457A7" w:rsidP="000457A7">
      <w:pPr>
        <w:pStyle w:val="ECCLetteredList"/>
        <w:rPr>
          <w:lang w:val="en-GB"/>
        </w:rPr>
      </w:pPr>
      <w:r w:rsidRPr="00E36929">
        <w:rPr>
          <w:lang w:val="en-GB"/>
        </w:rPr>
        <w:t>in the frequency bands 4 500-4 800 MHz (space-to-Earth) and 5 925-6 425 MHz (Earth</w:t>
      </w:r>
      <w:r w:rsidRPr="00E36929">
        <w:rPr>
          <w:lang w:val="en-GB"/>
        </w:rPr>
        <w:noBreakHyphen/>
        <w:t>to</w:t>
      </w:r>
      <w:r w:rsidRPr="00E36929">
        <w:rPr>
          <w:lang w:val="en-GB"/>
        </w:rPr>
        <w:noBreakHyphen/>
        <w:t>space), the development of regulatory</w:t>
      </w:r>
      <w:r w:rsidR="00BA2B7C">
        <w:rPr>
          <w:lang w:val="en-GB"/>
        </w:rPr>
        <w:t xml:space="preserve"> provisions to clarify that Nos</w:t>
      </w:r>
      <w:r w:rsidRPr="00E36929">
        <w:rPr>
          <w:lang w:val="en-GB"/>
        </w:rPr>
        <w:t xml:space="preserve"> </w:t>
      </w:r>
      <w:r w:rsidRPr="000C24BD">
        <w:rPr>
          <w:rStyle w:val="ECCHLbold"/>
          <w:lang w:val="en-US"/>
        </w:rPr>
        <w:t xml:space="preserve">5.440A </w:t>
      </w:r>
      <w:r w:rsidRPr="00E36929">
        <w:rPr>
          <w:lang w:val="en-GB"/>
        </w:rPr>
        <w:t xml:space="preserve">and </w:t>
      </w:r>
      <w:r w:rsidRPr="000C24BD">
        <w:rPr>
          <w:rStyle w:val="ECCHLbold"/>
          <w:lang w:val="en-US"/>
        </w:rPr>
        <w:t>5.457C</w:t>
      </w:r>
      <w:r w:rsidRPr="00E36929">
        <w:rPr>
          <w:lang w:val="en-GB"/>
        </w:rPr>
        <w:t xml:space="preserve"> would apply in a </w:t>
      </w:r>
      <w:r w:rsidRPr="000457A7">
        <w:rPr>
          <w:rStyle w:val="ECCParagraph"/>
        </w:rPr>
        <w:t>manner to ensure that non-GSO FSS systems do not cause harmful interference to, or claim protection from, AMT (aeronautical mobile telemetry) for</w:t>
      </w:r>
      <w:r w:rsidRPr="00E36929">
        <w:rPr>
          <w:lang w:val="en-GB"/>
        </w:rPr>
        <w:t xml:space="preserve"> flight testing by aircraft stations,</w:t>
      </w:r>
    </w:p>
    <w:p w:rsidR="000457A7" w:rsidRPr="000457A7" w:rsidRDefault="000457A7" w:rsidP="000457A7">
      <w:pPr>
        <w:rPr>
          <w:rStyle w:val="Emphasis"/>
        </w:rPr>
      </w:pPr>
      <w:proofErr w:type="gramStart"/>
      <w:r w:rsidRPr="000457A7">
        <w:rPr>
          <w:rStyle w:val="Emphasis"/>
        </w:rPr>
        <w:t>further</w:t>
      </w:r>
      <w:proofErr w:type="gramEnd"/>
      <w:r w:rsidRPr="000457A7">
        <w:rPr>
          <w:rStyle w:val="Emphasis"/>
        </w:rPr>
        <w:t xml:space="preserve"> resolves </w:t>
      </w:r>
    </w:p>
    <w:p w:rsidR="000457A7" w:rsidRPr="000457A7" w:rsidRDefault="000457A7" w:rsidP="000457A7">
      <w:pPr>
        <w:pStyle w:val="ECCNumberedList"/>
      </w:pPr>
      <w:r w:rsidRPr="000457A7">
        <w:t>that the results of studies referred to in the resolves above shall:</w:t>
      </w:r>
    </w:p>
    <w:p w:rsidR="000457A7" w:rsidRPr="000457A7" w:rsidRDefault="000457A7" w:rsidP="000457A7">
      <w:pPr>
        <w:pStyle w:val="ECCBulletsLv2"/>
      </w:pPr>
      <w:r w:rsidRPr="000457A7">
        <w:t>in no way change the protection criteria and protection levels defined in those criteria for the GSO FSS, the fixed service and the mobile service;</w:t>
      </w:r>
    </w:p>
    <w:p w:rsidR="000457A7" w:rsidRPr="000457A7" w:rsidRDefault="000457A7" w:rsidP="000457A7">
      <w:pPr>
        <w:pStyle w:val="ECCBulletsLv2"/>
      </w:pPr>
      <w:r w:rsidRPr="000457A7">
        <w:t>ensure protection of the existing non-GSO FSS systems with highly-elliptical orbits,</w:t>
      </w:r>
    </w:p>
    <w:p w:rsidR="000457A7" w:rsidRPr="000457A7" w:rsidRDefault="000457A7" w:rsidP="000457A7">
      <w:pPr>
        <w:pStyle w:val="ECCNumberedList"/>
      </w:pPr>
      <w:r w:rsidRPr="000457A7">
        <w:t>that new non-GSO systems that operate in FSS bands subject to the provisions of Appendix </w:t>
      </w:r>
      <w:r w:rsidRPr="00BA2B7C">
        <w:rPr>
          <w:rStyle w:val="ECCHLbold"/>
        </w:rPr>
        <w:t>30B</w:t>
      </w:r>
      <w:r w:rsidRPr="000457A7">
        <w:t xml:space="preserve"> shall ensure that the allotments appearing in the Plan and the assignments of the List of Appendix </w:t>
      </w:r>
      <w:r w:rsidRPr="00BA2B7C">
        <w:rPr>
          <w:rStyle w:val="ECCHLbold"/>
        </w:rPr>
        <w:t>30B</w:t>
      </w:r>
      <w:r w:rsidRPr="000457A7">
        <w:t xml:space="preserve"> will be fully protected,</w:t>
      </w:r>
    </w:p>
    <w:p w:rsidR="000457A7" w:rsidRPr="000457A7" w:rsidRDefault="000457A7" w:rsidP="000457A7">
      <w:pPr>
        <w:pStyle w:val="Heading1"/>
        <w:rPr>
          <w:lang w:val="en-GB"/>
        </w:rPr>
      </w:pPr>
      <w:r w:rsidRPr="000457A7">
        <w:lastRenderedPageBreak/>
        <w:t xml:space="preserve">Preliminary CEPT position </w:t>
      </w:r>
    </w:p>
    <w:p w:rsidR="000457A7" w:rsidRPr="000457A7" w:rsidRDefault="000457A7" w:rsidP="000457A7">
      <w:pPr>
        <w:rPr>
          <w:rStyle w:val="ECCParagraph"/>
        </w:rPr>
      </w:pPr>
      <w:r w:rsidRPr="000457A7">
        <w:rPr>
          <w:rStyle w:val="ECCParagraph"/>
        </w:rPr>
        <w:t xml:space="preserve">CEPT supports the study of technical and operational issues and regulatory provisions for new non-geostationary-satellite orbit systems in the 3 700-4 200 MHz, 4 500-4 800 MHz, 5 925-6 425 MHz and 6 725-7 025 MHz frequency bands under the terms of Resolution </w:t>
      </w:r>
      <w:r w:rsidRPr="00BA2B7C">
        <w:rPr>
          <w:rStyle w:val="ECCHLbold"/>
        </w:rPr>
        <w:t>157 (WRC-15)</w:t>
      </w:r>
      <w:r w:rsidRPr="000457A7">
        <w:rPr>
          <w:rStyle w:val="ECCParagraph"/>
        </w:rPr>
        <w:t>.</w:t>
      </w:r>
    </w:p>
    <w:p w:rsidR="000457A7" w:rsidRPr="000457A7" w:rsidRDefault="000457A7" w:rsidP="000457A7">
      <w:pPr>
        <w:rPr>
          <w:rStyle w:val="ECCParagraph"/>
        </w:rPr>
      </w:pPr>
      <w:r w:rsidRPr="000457A7">
        <w:rPr>
          <w:rStyle w:val="ECCParagraph"/>
        </w:rPr>
        <w:t xml:space="preserve">CEPT supports the protection of GSO/NGSO FSS, mobile and fixed services under these studies. No additional constrains should be applied to existing </w:t>
      </w:r>
      <w:r w:rsidR="001653B3">
        <w:rPr>
          <w:rStyle w:val="ECCParagraph"/>
        </w:rPr>
        <w:t xml:space="preserve">and future </w:t>
      </w:r>
      <w:r w:rsidRPr="000457A7">
        <w:rPr>
          <w:rStyle w:val="ECCParagraph"/>
        </w:rPr>
        <w:t xml:space="preserve">GSO and non-GSO FSS networks in the frequency bands 3 700-4 200 MHz (space-to-Earth) and 5 925-6 725 MHz (Earth-to-space), Furthermore, no additional constraint should apply to terrestrial services. </w:t>
      </w:r>
    </w:p>
    <w:p w:rsidR="000457A7" w:rsidRPr="000457A7" w:rsidRDefault="000457A7" w:rsidP="000457A7">
      <w:pPr>
        <w:rPr>
          <w:rStyle w:val="ECCParagraph"/>
        </w:rPr>
      </w:pPr>
      <w:r w:rsidRPr="000457A7">
        <w:rPr>
          <w:rStyle w:val="ECCParagraph"/>
        </w:rPr>
        <w:t xml:space="preserve">CEPT is of the view that when considering the Article </w:t>
      </w:r>
      <w:r w:rsidRPr="00BA2B7C">
        <w:rPr>
          <w:rStyle w:val="ECCHLbold"/>
        </w:rPr>
        <w:t xml:space="preserve">22 </w:t>
      </w:r>
      <w:proofErr w:type="spellStart"/>
      <w:r w:rsidRPr="000457A7">
        <w:rPr>
          <w:rStyle w:val="ECCParagraph"/>
        </w:rPr>
        <w:t>epfd</w:t>
      </w:r>
      <w:proofErr w:type="spellEnd"/>
      <w:r w:rsidRPr="000457A7">
        <w:rPr>
          <w:rStyle w:val="ECCParagraph"/>
        </w:rPr>
        <w:t xml:space="preserve">↓ limits and </w:t>
      </w:r>
      <w:proofErr w:type="spellStart"/>
      <w:r w:rsidRPr="000457A7">
        <w:rPr>
          <w:rStyle w:val="ECCParagraph"/>
        </w:rPr>
        <w:t>epfd</w:t>
      </w:r>
      <w:proofErr w:type="spellEnd"/>
      <w:r w:rsidRPr="000457A7">
        <w:rPr>
          <w:rStyle w:val="ECCParagraph"/>
        </w:rPr>
        <w:t>↑ limits applicable to non-GSO systems 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4</w:t>
      </w:r>
      <w:r w:rsidR="00BA2B7C">
        <w:rPr>
          <w:rStyle w:val="ECCParagraph"/>
        </w:rPr>
        <w:t> 5</w:t>
      </w:r>
      <w:r w:rsidRPr="000457A7">
        <w:rPr>
          <w:rStyle w:val="ECCParagraph"/>
        </w:rPr>
        <w:t>00-4</w:t>
      </w:r>
      <w:r w:rsidR="00BA2B7C">
        <w:rPr>
          <w:rStyle w:val="ECCParagraph"/>
        </w:rPr>
        <w:t xml:space="preserve"> </w:t>
      </w:r>
      <w:r w:rsidRPr="000457A7">
        <w:rPr>
          <w:rStyle w:val="ECCParagraph"/>
        </w:rPr>
        <w:t>800 MHz (space-to-Earth)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025 MHz (Earth-to-space) it is necessary to ensure the protection of GSO FSS networks from unacceptable interference pursuant to</w:t>
      </w:r>
      <w:r w:rsidR="003B7598">
        <w:rPr>
          <w:rStyle w:val="ECCParagraph"/>
        </w:rPr>
        <w:t xml:space="preserve"> No</w:t>
      </w:r>
      <w:r w:rsidRPr="000457A7">
        <w:rPr>
          <w:rStyle w:val="ECCParagraph"/>
        </w:rPr>
        <w:t xml:space="preserve"> </w:t>
      </w:r>
      <w:r w:rsidRPr="00BA2B7C">
        <w:rPr>
          <w:rStyle w:val="ECCHLbold"/>
        </w:rPr>
        <w:t>22.2</w:t>
      </w:r>
      <w:r w:rsidRPr="000457A7">
        <w:rPr>
          <w:rStyle w:val="ECCParagraph"/>
        </w:rPr>
        <w:t xml:space="preserve"> as applicable, including the allotments of the Plan and assignments in the Appendix </w:t>
      </w:r>
      <w:r w:rsidRPr="00BA2B7C">
        <w:rPr>
          <w:rStyle w:val="ECCHLbold"/>
        </w:rPr>
        <w:t xml:space="preserve">30B </w:t>
      </w:r>
      <w:r w:rsidRPr="000457A7">
        <w:rPr>
          <w:rStyle w:val="ECCParagraph"/>
        </w:rPr>
        <w:t>List.</w:t>
      </w:r>
    </w:p>
    <w:p w:rsidR="000457A7" w:rsidRPr="000457A7" w:rsidRDefault="000457A7" w:rsidP="000457A7">
      <w:pPr>
        <w:rPr>
          <w:rStyle w:val="ECCParagraph"/>
        </w:rPr>
      </w:pPr>
      <w:r w:rsidRPr="000457A7">
        <w:rPr>
          <w:rStyle w:val="ECCParagraph"/>
        </w:rPr>
        <w:t xml:space="preserve">CEPT </w:t>
      </w:r>
      <w:r w:rsidR="001653B3" w:rsidRPr="000457A7">
        <w:rPr>
          <w:rStyle w:val="ECCParagraph"/>
        </w:rPr>
        <w:t>s</w:t>
      </w:r>
      <w:r w:rsidR="001653B3">
        <w:rPr>
          <w:rStyle w:val="ECCParagraph"/>
        </w:rPr>
        <w:t xml:space="preserve">is of the view </w:t>
      </w:r>
      <w:r w:rsidRPr="000457A7">
        <w:rPr>
          <w:rStyle w:val="ECCParagraph"/>
        </w:rPr>
        <w:t>that studies should take into account that the protection of mobile service is ensured regardless of allocation status of the mobile service.</w:t>
      </w:r>
    </w:p>
    <w:p w:rsidR="000457A7" w:rsidRPr="000457A7" w:rsidRDefault="000457A7" w:rsidP="000457A7">
      <w:pPr>
        <w:rPr>
          <w:rStyle w:val="ECCParagraph"/>
        </w:rPr>
      </w:pPr>
      <w:r w:rsidRPr="000457A7">
        <w:rPr>
          <w:rStyle w:val="ECCParagraph"/>
        </w:rPr>
        <w:t>In the radio frequency band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 xml:space="preserve">200 MHz (space-to-Earth) CEPT does not object to a possible revision of Table </w:t>
      </w:r>
      <w:r w:rsidRPr="00BA2B7C">
        <w:rPr>
          <w:rStyle w:val="ECCHLbold"/>
        </w:rPr>
        <w:t>21-4</w:t>
      </w:r>
      <w:r w:rsidRPr="000457A7">
        <w:rPr>
          <w:rStyle w:val="ECCParagraph"/>
        </w:rPr>
        <w:t xml:space="preserve"> of Article </w:t>
      </w:r>
      <w:r w:rsidRPr="00BA2B7C">
        <w:rPr>
          <w:rStyle w:val="ECCHLbold"/>
        </w:rPr>
        <w:t>21</w:t>
      </w:r>
      <w:r w:rsidRPr="000457A7">
        <w:rPr>
          <w:rStyle w:val="ECCParagraph"/>
        </w:rPr>
        <w:t xml:space="preserve"> for non-GSO FSS satellites, while ensuring the protection of the mobile service and fixed service, and maintaining the existing Article</w:t>
      </w:r>
      <w:r w:rsidRPr="00BA2B7C">
        <w:rPr>
          <w:rStyle w:val="ECCHLbold"/>
        </w:rPr>
        <w:t> 21</w:t>
      </w:r>
      <w:r w:rsidRPr="000457A7">
        <w:rPr>
          <w:rStyle w:val="ECCParagraph"/>
        </w:rPr>
        <w:t xml:space="preserve"> </w:t>
      </w:r>
      <w:proofErr w:type="spellStart"/>
      <w:r w:rsidRPr="000457A7">
        <w:rPr>
          <w:rStyle w:val="ECCParagraph"/>
        </w:rPr>
        <w:t>pfd</w:t>
      </w:r>
      <w:proofErr w:type="spellEnd"/>
      <w:r w:rsidRPr="000457A7">
        <w:rPr>
          <w:rStyle w:val="ECCParagraph"/>
        </w:rPr>
        <w:t xml:space="preserve"> limits for GSO networks.</w:t>
      </w:r>
    </w:p>
    <w:p w:rsidR="000457A7" w:rsidRPr="000457A7" w:rsidRDefault="000457A7" w:rsidP="000457A7">
      <w:pPr>
        <w:rPr>
          <w:rStyle w:val="ECCParagraph"/>
        </w:rPr>
      </w:pPr>
      <w:r w:rsidRPr="000457A7">
        <w:rPr>
          <w:rStyle w:val="ECCParagraph"/>
        </w:rPr>
        <w:t>When developing technical and operational conditions and regulatory provisions for new systems of non-GSO FSS, there is a need to ensure protection of existing terrestrial services in the frequency bands 4</w:t>
      </w:r>
      <w:r w:rsidR="00BA2B7C">
        <w:rPr>
          <w:rStyle w:val="ECCParagraph"/>
        </w:rPr>
        <w:t xml:space="preserve"> </w:t>
      </w:r>
      <w:r w:rsidRPr="000457A7">
        <w:rPr>
          <w:rStyle w:val="ECCParagraph"/>
        </w:rPr>
        <w:t>500-4</w:t>
      </w:r>
      <w:r w:rsidR="00BA2B7C">
        <w:rPr>
          <w:rStyle w:val="ECCParagraph"/>
        </w:rPr>
        <w:t> </w:t>
      </w:r>
      <w:r w:rsidRPr="000457A7">
        <w:rPr>
          <w:rStyle w:val="ECCParagraph"/>
        </w:rPr>
        <w:t>800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075 MHz (Earth-to-space).</w:t>
      </w:r>
    </w:p>
    <w:p w:rsidR="000457A7" w:rsidRPr="000457A7" w:rsidRDefault="000457A7" w:rsidP="000457A7">
      <w:pPr>
        <w:pStyle w:val="Heading1"/>
      </w:pPr>
      <w:r w:rsidRPr="000457A7">
        <w:t>Background</w:t>
      </w:r>
    </w:p>
    <w:p w:rsidR="000457A7" w:rsidRPr="000457A7" w:rsidRDefault="000457A7" w:rsidP="000457A7">
      <w:pPr>
        <w:rPr>
          <w:rStyle w:val="ECCParagraph"/>
        </w:rPr>
      </w:pPr>
      <w:r w:rsidRPr="000457A7">
        <w:rPr>
          <w:rStyle w:val="ECCParagraph"/>
        </w:rPr>
        <w:t xml:space="preserve">Article </w:t>
      </w:r>
      <w:r w:rsidRPr="00BA2B7C">
        <w:rPr>
          <w:rStyle w:val="ECCHLbold"/>
        </w:rPr>
        <w:t>21</w:t>
      </w:r>
      <w:r w:rsidRPr="000457A7">
        <w:rPr>
          <w:rStyle w:val="ECCParagraph"/>
        </w:rPr>
        <w:t xml:space="preserve"> power flux-density (</w:t>
      </w:r>
      <w:proofErr w:type="spellStart"/>
      <w:r w:rsidRPr="000457A7">
        <w:rPr>
          <w:rStyle w:val="ECCParagraph"/>
        </w:rPr>
        <w:t>pfd</w:t>
      </w:r>
      <w:proofErr w:type="spellEnd"/>
      <w:r w:rsidRPr="000457A7">
        <w:rPr>
          <w:rStyle w:val="ECCParagraph"/>
        </w:rPr>
        <w:t>) limits and Article</w:t>
      </w:r>
      <w:r w:rsidRPr="00BA2B7C">
        <w:rPr>
          <w:rStyle w:val="ECCHLbold"/>
        </w:rPr>
        <w:t xml:space="preserve"> 22</w:t>
      </w:r>
      <w:r w:rsidRPr="000457A7">
        <w:rPr>
          <w:rStyle w:val="ECCParagraph"/>
        </w:rPr>
        <w:t xml:space="preserve"> equivalent power flux-density (</w:t>
      </w:r>
      <w:proofErr w:type="spellStart"/>
      <w:r w:rsidRPr="000457A7">
        <w:rPr>
          <w:rStyle w:val="ECCParagraph"/>
        </w:rPr>
        <w:t>epfd</w:t>
      </w:r>
      <w:proofErr w:type="spellEnd"/>
      <w:r w:rsidRPr="000457A7">
        <w:rPr>
          <w:rStyle w:val="ECCParagraph"/>
        </w:rPr>
        <w:t xml:space="preserve">↓) limits in the frequency band 3 700-4 200 MHz (space-to-Earth) and the Article </w:t>
      </w:r>
      <w:r w:rsidRPr="00BA2B7C">
        <w:rPr>
          <w:rStyle w:val="ECCHLbold"/>
        </w:rPr>
        <w:t>22</w:t>
      </w:r>
      <w:r w:rsidRPr="000457A7">
        <w:rPr>
          <w:rStyle w:val="ECCParagraph"/>
        </w:rPr>
        <w:t xml:space="preserve"> </w:t>
      </w:r>
      <w:proofErr w:type="spellStart"/>
      <w:r w:rsidRPr="000457A7">
        <w:rPr>
          <w:rStyle w:val="ECCParagraph"/>
        </w:rPr>
        <w:t>epfd</w:t>
      </w:r>
      <w:proofErr w:type="spellEnd"/>
      <w:r w:rsidRPr="000457A7">
        <w:rPr>
          <w:rStyle w:val="ECCParagraph"/>
        </w:rPr>
        <w:t>↑ limits in the frequency band 5 925-6 725 MHz (Earth-to-space) were developed at WRC-03.</w:t>
      </w:r>
    </w:p>
    <w:p w:rsidR="000457A7" w:rsidRPr="000457A7" w:rsidRDefault="000457A7" w:rsidP="000457A7">
      <w:pPr>
        <w:rPr>
          <w:rStyle w:val="ECCParagraph"/>
        </w:rPr>
      </w:pPr>
      <w:r w:rsidRPr="000457A7">
        <w:rPr>
          <w:rStyle w:val="ECCParagraph"/>
        </w:rPr>
        <w:t xml:space="preserve">Article </w:t>
      </w:r>
      <w:r w:rsidRPr="00BA2B7C">
        <w:rPr>
          <w:rStyle w:val="ECCHLbold"/>
        </w:rPr>
        <w:t>22</w:t>
      </w:r>
      <w:r w:rsidRPr="000457A7">
        <w:rPr>
          <w:rStyle w:val="ECCParagraph"/>
        </w:rPr>
        <w:t xml:space="preserve"> does not contain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xml:space="preserve">↑ limits for non-GSO systems in the frequency bands 4 500-4 800 MHz (space-to-Earth) and 6 725-7 025 MHz (Earth-to-space) allocated to the FSS, the use of which is subject to the provisions of Appendix </w:t>
      </w:r>
      <w:r w:rsidRPr="00BA2B7C">
        <w:rPr>
          <w:rStyle w:val="ECCHLbold"/>
        </w:rPr>
        <w:t>30B</w:t>
      </w:r>
      <w:r w:rsidRPr="000457A7">
        <w:rPr>
          <w:rStyle w:val="ECCParagraph"/>
        </w:rPr>
        <w:t>.</w:t>
      </w:r>
    </w:p>
    <w:p w:rsidR="000457A7" w:rsidRPr="000457A7" w:rsidRDefault="000457A7" w:rsidP="000457A7">
      <w:pPr>
        <w:rPr>
          <w:rStyle w:val="ECCParagraph"/>
        </w:rPr>
      </w:pPr>
      <w:r w:rsidRPr="000457A7">
        <w:rPr>
          <w:rStyle w:val="ECCParagraph"/>
        </w:rPr>
        <w:t>Working Party 4A has been identified by the Conference Preparatory Meeting as the responsible ITU-R group for the stud</w:t>
      </w:r>
      <w:r w:rsidR="00BA2B7C">
        <w:rPr>
          <w:rStyle w:val="ECCParagraph"/>
        </w:rPr>
        <w:t>ies on WRC-15 Agenda item 9.1, i</w:t>
      </w:r>
      <w:r w:rsidRPr="000457A7">
        <w:rPr>
          <w:rStyle w:val="ECCParagraph"/>
        </w:rPr>
        <w:t>ssue 9.1.3. At the first meeting, the group sent liaison statements to gather technical characteristics and protection criteria needed to perform the appropriate sharing studies with existing services. WP 4A also established work plans for the studies as well as for the development of the draft CPM text and started the development of working documents.</w:t>
      </w:r>
    </w:p>
    <w:p w:rsidR="000457A7" w:rsidRPr="00E36929" w:rsidRDefault="000457A7" w:rsidP="000457A7">
      <w:pPr>
        <w:pStyle w:val="Heading3"/>
        <w:rPr>
          <w:lang w:val="en-GB"/>
        </w:rPr>
      </w:pPr>
      <w:r w:rsidRPr="00E36929">
        <w:rPr>
          <w:lang w:val="en-GB"/>
        </w:rPr>
        <w:t>Sha</w:t>
      </w:r>
      <w:r w:rsidR="00BA2B7C">
        <w:rPr>
          <w:lang w:val="en-GB"/>
        </w:rPr>
        <w:t>ring with FS in the bands 3 700</w:t>
      </w:r>
      <w:r w:rsidR="00BA2B7C" w:rsidRPr="000C24BD">
        <w:rPr>
          <w:lang w:val="en-US"/>
        </w:rPr>
        <w:t>-</w:t>
      </w:r>
      <w:r w:rsidRPr="00E36929">
        <w:rPr>
          <w:lang w:val="en-GB"/>
        </w:rPr>
        <w:t>4 200 MHz and 5 925-6 425 MHz</w:t>
      </w:r>
    </w:p>
    <w:p w:rsidR="000457A7" w:rsidRPr="000457A7" w:rsidRDefault="00BA2B7C" w:rsidP="000457A7">
      <w:r>
        <w:t>[</w:t>
      </w:r>
      <w:r w:rsidR="000457A7" w:rsidRPr="000457A7">
        <w:t>TBD</w:t>
      </w:r>
      <w:r>
        <w:t>]</w:t>
      </w:r>
    </w:p>
    <w:p w:rsidR="000457A7" w:rsidRPr="00E36929" w:rsidRDefault="000457A7" w:rsidP="000457A7">
      <w:pPr>
        <w:pStyle w:val="Heading3"/>
        <w:rPr>
          <w:lang w:val="en-GB"/>
        </w:rPr>
      </w:pPr>
      <w:r w:rsidRPr="00E36929">
        <w:rPr>
          <w:lang w:val="en-GB"/>
        </w:rPr>
        <w:t>Shari</w:t>
      </w:r>
      <w:r w:rsidR="00BA2B7C">
        <w:rPr>
          <w:lang w:val="en-GB"/>
        </w:rPr>
        <w:t>ng with MS in the bands 3 700</w:t>
      </w:r>
      <w:r w:rsidR="00BA2B7C" w:rsidRPr="000C24BD">
        <w:rPr>
          <w:lang w:val="en-US"/>
        </w:rPr>
        <w:t>-</w:t>
      </w:r>
      <w:r w:rsidRPr="00E36929">
        <w:rPr>
          <w:lang w:val="en-GB"/>
        </w:rPr>
        <w:t>4 200 MHz and 5 925-6 425 MHz</w:t>
      </w:r>
    </w:p>
    <w:p w:rsidR="000457A7" w:rsidRPr="000457A7" w:rsidRDefault="000457A7" w:rsidP="000457A7">
      <w:pPr>
        <w:rPr>
          <w:rStyle w:val="ECCParagraph"/>
        </w:rPr>
      </w:pPr>
      <w:r w:rsidRPr="000457A7">
        <w:rPr>
          <w:rStyle w:val="ECCParagraph"/>
        </w:rPr>
        <w:t xml:space="preserve">It should be noted that in accordance with resolves a) of the </w:t>
      </w:r>
      <w:r w:rsidRPr="000457A7">
        <w:rPr>
          <w:rStyle w:val="ECCHLbold"/>
        </w:rPr>
        <w:t>Resolution 157 (WRC</w:t>
      </w:r>
      <w:r w:rsidRPr="000457A7">
        <w:rPr>
          <w:rStyle w:val="ECCHLbold"/>
        </w:rPr>
        <w:noBreakHyphen/>
        <w:t>15)</w:t>
      </w:r>
      <w:r w:rsidRPr="000457A7">
        <w:rPr>
          <w:rStyle w:val="ECCParagraph"/>
        </w:rPr>
        <w:t xml:space="preserve"> possible revision of Article </w:t>
      </w:r>
      <w:r w:rsidRPr="00BA2B7C">
        <w:rPr>
          <w:rStyle w:val="ECCHLbold"/>
        </w:rPr>
        <w:t>21</w:t>
      </w:r>
      <w:r w:rsidRPr="000457A7">
        <w:rPr>
          <w:rStyle w:val="ECCParagraph"/>
        </w:rPr>
        <w:t xml:space="preserve">, Table </w:t>
      </w:r>
      <w:r w:rsidRPr="00BA2B7C">
        <w:rPr>
          <w:rStyle w:val="ECCHLbold"/>
        </w:rPr>
        <w:t>21-4</w:t>
      </w:r>
      <w:r w:rsidRPr="000457A7">
        <w:rPr>
          <w:rStyle w:val="ECCParagraph"/>
        </w:rPr>
        <w:t xml:space="preserve"> in the frequency band 3 700-4 200 MHz (space-to-Earth) should ensure the protection of the existing primary services.</w:t>
      </w:r>
    </w:p>
    <w:p w:rsidR="000457A7" w:rsidRPr="00E36929" w:rsidRDefault="000457A7" w:rsidP="000457A7">
      <w:pPr>
        <w:pStyle w:val="Heading3"/>
        <w:rPr>
          <w:lang w:val="en-GB"/>
        </w:rPr>
      </w:pPr>
      <w:r w:rsidRPr="00E36929">
        <w:rPr>
          <w:lang w:val="en-GB"/>
        </w:rPr>
        <w:lastRenderedPageBreak/>
        <w:t>Shar</w:t>
      </w:r>
      <w:r w:rsidR="00BA2B7C">
        <w:rPr>
          <w:lang w:val="en-GB"/>
        </w:rPr>
        <w:t>ing with FSS in the bands 3 700</w:t>
      </w:r>
      <w:r w:rsidR="00B855E1" w:rsidRPr="000C24BD">
        <w:rPr>
          <w:lang w:val="en-US"/>
        </w:rPr>
        <w:t>-</w:t>
      </w:r>
      <w:r w:rsidRPr="00E36929">
        <w:rPr>
          <w:lang w:val="en-GB"/>
        </w:rPr>
        <w:t>4 200 MHz and 5 925-6 425 MHz</w:t>
      </w:r>
    </w:p>
    <w:p w:rsidR="000457A7" w:rsidRPr="000457A7" w:rsidRDefault="000457A7" w:rsidP="00BA2B7C">
      <w:pPr>
        <w:pStyle w:val="ECCBreak"/>
        <w:rPr>
          <w:rStyle w:val="ECCParagraph"/>
        </w:rPr>
      </w:pPr>
      <w:r w:rsidRPr="000457A7">
        <w:rPr>
          <w:rStyle w:val="ECCParagraph"/>
        </w:rPr>
        <w:t xml:space="preserve">Sharing with GSO FSS </w:t>
      </w:r>
    </w:p>
    <w:p w:rsidR="000457A7" w:rsidRPr="000457A7" w:rsidRDefault="00BA2B7C" w:rsidP="000457A7">
      <w:pPr>
        <w:rPr>
          <w:rStyle w:val="ECCParagraph"/>
        </w:rPr>
      </w:pPr>
      <w:r>
        <w:rPr>
          <w:rStyle w:val="ECCParagraph"/>
        </w:rPr>
        <w:t>[</w:t>
      </w:r>
      <w:r w:rsidR="000457A7" w:rsidRPr="000457A7">
        <w:rPr>
          <w:rStyle w:val="ECCParagraph"/>
        </w:rPr>
        <w:t>TBD</w:t>
      </w:r>
      <w:r>
        <w:rPr>
          <w:rStyle w:val="ECCParagraph"/>
        </w:rPr>
        <w:t>]</w:t>
      </w:r>
    </w:p>
    <w:p w:rsidR="000457A7" w:rsidRPr="000457A7" w:rsidRDefault="000457A7" w:rsidP="00BA2B7C">
      <w:pPr>
        <w:pStyle w:val="ECCBreak"/>
        <w:rPr>
          <w:rStyle w:val="ECCParagraph"/>
        </w:rPr>
      </w:pPr>
      <w:r w:rsidRPr="000457A7">
        <w:rPr>
          <w:rStyle w:val="ECCParagraph"/>
        </w:rPr>
        <w:t xml:space="preserve">Sharing with NGSO FSS </w:t>
      </w:r>
    </w:p>
    <w:p w:rsidR="000457A7" w:rsidRPr="000457A7" w:rsidRDefault="000457A7" w:rsidP="000457A7">
      <w:pPr>
        <w:rPr>
          <w:rStyle w:val="ECCParagraph"/>
        </w:rPr>
      </w:pPr>
      <w:r w:rsidRPr="000457A7">
        <w:rPr>
          <w:rStyle w:val="ECCParagraph"/>
        </w:rPr>
        <w:t>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and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 xml:space="preserve">425 MHz there are no coordination procedures on operation of the non-GSO FSS systems in the case of sharing with other services. The hard limits are intended to protect the GSO FSS and terrestrial services. </w:t>
      </w:r>
    </w:p>
    <w:p w:rsidR="000457A7" w:rsidRPr="000457A7" w:rsidRDefault="000457A7" w:rsidP="000457A7">
      <w:pPr>
        <w:rPr>
          <w:rStyle w:val="ECCParagraph"/>
        </w:rPr>
      </w:pPr>
      <w:r w:rsidRPr="000457A7">
        <w:rPr>
          <w:rStyle w:val="ECCParagraph"/>
        </w:rPr>
        <w:t>There are no regulatory procedures for shared operation of non-GSO FSS systems in the considered bands.</w:t>
      </w:r>
    </w:p>
    <w:p w:rsidR="000457A7" w:rsidRPr="000457A7" w:rsidRDefault="000457A7" w:rsidP="000457A7">
      <w:pPr>
        <w:rPr>
          <w:rStyle w:val="ECCParagraph"/>
        </w:rPr>
      </w:pPr>
      <w:r w:rsidRPr="000457A7">
        <w:rPr>
          <w:rStyle w:val="ECCParagraph"/>
        </w:rPr>
        <w:t>Regarding the protection of the HEO systems, direct simulation of the two systems (a victim HEO system and interfered new LEO system with a circular orbit) is one of the approaches to estimate compatibility and the operational limits for such compatibility.</w:t>
      </w:r>
    </w:p>
    <w:p w:rsidR="000457A7" w:rsidRPr="000457A7" w:rsidRDefault="000457A7" w:rsidP="000457A7">
      <w:pPr>
        <w:rPr>
          <w:rStyle w:val="ECCParagraph"/>
        </w:rPr>
      </w:pPr>
      <w:r w:rsidRPr="000457A7">
        <w:rPr>
          <w:rStyle w:val="ECCParagraph"/>
        </w:rPr>
        <w:t>However, for a number of objective reasons this approach cannot be applied by Bureau at the stage of the filing examination.</w:t>
      </w:r>
    </w:p>
    <w:p w:rsidR="000457A7" w:rsidRPr="000457A7" w:rsidRDefault="000457A7" w:rsidP="000457A7">
      <w:pPr>
        <w:rPr>
          <w:rStyle w:val="ECCParagraph"/>
        </w:rPr>
      </w:pPr>
      <w:r w:rsidRPr="000457A7">
        <w:rPr>
          <w:rStyle w:val="ECCParagraph"/>
        </w:rPr>
        <w:t>At the same time, such an approach can be applied</w:t>
      </w:r>
      <w:r w:rsidR="003B7598">
        <w:rPr>
          <w:rStyle w:val="ECCParagraph"/>
        </w:rPr>
        <w:t xml:space="preserve"> for coordination subject to No</w:t>
      </w:r>
      <w:r w:rsidRPr="000457A7">
        <w:rPr>
          <w:rStyle w:val="ECCParagraph"/>
        </w:rPr>
        <w:t xml:space="preserve"> </w:t>
      </w:r>
      <w:r w:rsidRPr="003B7598">
        <w:rPr>
          <w:rStyle w:val="ECCHLbold"/>
        </w:rPr>
        <w:t>9.12</w:t>
      </w:r>
      <w:r w:rsidRPr="000457A7">
        <w:rPr>
          <w:rStyle w:val="ECCParagraph"/>
        </w:rPr>
        <w:t>. In this case, Administrations can provide the detailed chara</w:t>
      </w:r>
      <w:r w:rsidR="00E36929">
        <w:rPr>
          <w:rStyle w:val="ECCParagraph"/>
        </w:rPr>
        <w:t xml:space="preserve">cteristics of the systems, and </w:t>
      </w:r>
      <w:r w:rsidRPr="000457A7">
        <w:rPr>
          <w:rStyle w:val="ECCParagraph"/>
        </w:rPr>
        <w:t>conduct joint calculations.</w:t>
      </w:r>
    </w:p>
    <w:p w:rsidR="000457A7" w:rsidRPr="000457A7" w:rsidRDefault="000457A7" w:rsidP="000457A7">
      <w:pPr>
        <w:rPr>
          <w:rStyle w:val="ECCParagraph"/>
        </w:rPr>
      </w:pPr>
      <w:r w:rsidRPr="000457A7">
        <w:rPr>
          <w:rStyle w:val="ECCParagraph"/>
        </w:rPr>
        <w:t>However, the studies carried out in ITU-R (WRC-2000) have shown that there are no coordination criteria and protection mitigation techniques between non-GSO FSS systems with high elliptical and circular orbits.</w:t>
      </w:r>
    </w:p>
    <w:p w:rsidR="000457A7" w:rsidRPr="000457A7" w:rsidRDefault="000457A7" w:rsidP="000457A7">
      <w:pPr>
        <w:rPr>
          <w:rStyle w:val="ECCParagraph"/>
        </w:rPr>
      </w:pPr>
      <w:r w:rsidRPr="000457A7">
        <w:rPr>
          <w:rStyle w:val="ECCParagraph"/>
        </w:rPr>
        <w:t>Therefore, during the current study period it is required to define the approaches for providing shared operation, to determine the coordination criteria and interference mitigation technics for the non-GSO FSS systems to ensure that non-GSO FSS systems with highly-elliptical orbits will be protected.</w:t>
      </w:r>
    </w:p>
    <w:p w:rsidR="000457A7" w:rsidRPr="00E36929" w:rsidRDefault="000457A7" w:rsidP="000457A7">
      <w:pPr>
        <w:pStyle w:val="Heading3"/>
        <w:rPr>
          <w:lang w:val="en-GB"/>
        </w:rPr>
      </w:pPr>
      <w:r w:rsidRPr="00E36929">
        <w:rPr>
          <w:lang w:val="en-GB"/>
        </w:rPr>
        <w:t>Shari</w:t>
      </w:r>
      <w:r w:rsidR="00BA2B7C">
        <w:rPr>
          <w:lang w:val="en-GB"/>
        </w:rPr>
        <w:t>ng with FS in the bands 4 500</w:t>
      </w:r>
      <w:r w:rsidR="00BA2B7C" w:rsidRPr="000C24BD">
        <w:rPr>
          <w:lang w:val="en-US"/>
        </w:rPr>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Heading3"/>
        <w:rPr>
          <w:lang w:val="en-GB"/>
        </w:rPr>
      </w:pPr>
      <w:r w:rsidRPr="00E36929">
        <w:rPr>
          <w:lang w:val="en-GB"/>
        </w:rPr>
        <w:t>Shari</w:t>
      </w:r>
      <w:r w:rsidR="00BA2B7C">
        <w:rPr>
          <w:lang w:val="en-GB"/>
        </w:rPr>
        <w:t>ng with MS in the bands 4 500</w:t>
      </w:r>
      <w:r w:rsidR="00BA2B7C" w:rsidRPr="000C24BD">
        <w:rPr>
          <w:lang w:val="en-US"/>
        </w:rPr>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Heading3"/>
        <w:rPr>
          <w:lang w:val="en-GB"/>
        </w:rPr>
      </w:pPr>
      <w:r w:rsidRPr="00E36929">
        <w:rPr>
          <w:lang w:val="en-GB"/>
        </w:rPr>
        <w:t>Sharing with FSS in the bands 4 500 – 4 800 MHz and 6 725-7 025 MHz</w:t>
      </w:r>
    </w:p>
    <w:p w:rsidR="000457A7" w:rsidRPr="000457A7" w:rsidRDefault="000457A7" w:rsidP="000457A7">
      <w:pPr>
        <w:rPr>
          <w:rStyle w:val="ECCParagraph"/>
        </w:rPr>
      </w:pPr>
      <w:r w:rsidRPr="000457A7">
        <w:rPr>
          <w:rStyle w:val="ECCParagraph"/>
        </w:rPr>
        <w:t xml:space="preserve">Sharing with FSS, the use of which is subject to the provisions of Appendix </w:t>
      </w:r>
      <w:r w:rsidRPr="003B7598">
        <w:rPr>
          <w:rStyle w:val="ECCHLbold"/>
        </w:rPr>
        <w:t>30B</w:t>
      </w:r>
    </w:p>
    <w:p w:rsidR="000457A7" w:rsidRPr="000457A7" w:rsidRDefault="000457A7" w:rsidP="00D00487">
      <w:pPr>
        <w:pStyle w:val="ECCEditorsNote"/>
        <w:rPr>
          <w:rStyle w:val="ECCParagraph"/>
        </w:rPr>
      </w:pPr>
      <w:r w:rsidRPr="000457A7">
        <w:rPr>
          <w:rStyle w:val="ECCParagraph"/>
        </w:rPr>
        <w:t>It shoul</w:t>
      </w:r>
      <w:r w:rsidR="000B290B">
        <w:rPr>
          <w:rStyle w:val="ECCParagraph"/>
        </w:rPr>
        <w:t>d be noted that according to No</w:t>
      </w:r>
      <w:r w:rsidRPr="000457A7">
        <w:rPr>
          <w:rStyle w:val="ECCParagraph"/>
        </w:rPr>
        <w:t xml:space="preserve"> 5.441 RR, the use of the bands 4 500</w:t>
      </w:r>
      <w:r w:rsidRPr="000457A7">
        <w:rPr>
          <w:rStyle w:val="ECCParagraph"/>
        </w:rPr>
        <w:noBreakHyphen/>
        <w:t>4 800 MHz (space-to-Earth) and 6 725-7 025 MHz (Earth-to-space) by the fixed satellite service shall be in accordance with the provisions of Appendix 30B, which is limited to the geostationary-satellite of the fixed-satellite service.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E36929" w:rsidRDefault="000457A7" w:rsidP="000457A7">
      <w:pPr>
        <w:pStyle w:val="Heading3"/>
        <w:rPr>
          <w:lang w:val="en-GB"/>
        </w:rPr>
      </w:pPr>
      <w:r w:rsidRPr="00E36929">
        <w:rPr>
          <w:lang w:val="en-GB"/>
        </w:rPr>
        <w:t>Sharing with FSS (s-E), the use of which is limited to feeder links for non-geostationary satellite systems of the mobile-satellite service</w:t>
      </w:r>
    </w:p>
    <w:p w:rsidR="000457A7" w:rsidRPr="000457A7" w:rsidRDefault="000457A7" w:rsidP="003B7598">
      <w:pPr>
        <w:pStyle w:val="ECCBreak"/>
        <w:rPr>
          <w:rStyle w:val="ECCParagraph"/>
        </w:rPr>
      </w:pPr>
      <w:r w:rsidRPr="000457A7">
        <w:rPr>
          <w:rStyle w:val="ECCParagraph"/>
        </w:rPr>
        <w:t>Spacecraft-to-spacecraft interference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0457A7" w:rsidRDefault="000457A7" w:rsidP="003B7598">
      <w:pPr>
        <w:pStyle w:val="ECCBreak"/>
        <w:rPr>
          <w:rStyle w:val="ECCParagraph"/>
        </w:rPr>
      </w:pPr>
      <w:r w:rsidRPr="000457A7">
        <w:rPr>
          <w:rStyle w:val="ECCParagraph"/>
        </w:rPr>
        <w:lastRenderedPageBreak/>
        <w:t>Earth station-to-earth station interference</w:t>
      </w:r>
    </w:p>
    <w:p w:rsidR="000457A7" w:rsidRPr="000457A7" w:rsidRDefault="000457A7" w:rsidP="000457A7">
      <w:pPr>
        <w:rPr>
          <w:rStyle w:val="ECCParagraph"/>
        </w:rPr>
      </w:pPr>
      <w:r w:rsidRPr="000457A7">
        <w:rPr>
          <w:rStyle w:val="ECCParagraph"/>
        </w:rPr>
        <w:t>The long-term and short-term analysis were made to estimate distances required for ensuring shared operation of FSS transmitting ES and receiving ES limited to feeder links of MSS systems in the frequency band 6</w:t>
      </w:r>
      <w:r w:rsidR="003B7598">
        <w:rPr>
          <w:rStyle w:val="ECCParagraph"/>
        </w:rPr>
        <w:t xml:space="preserve"> </w:t>
      </w:r>
      <w:r w:rsidRPr="000457A7">
        <w:rPr>
          <w:rStyle w:val="ECCParagraph"/>
        </w:rPr>
        <w:t>725-7</w:t>
      </w:r>
      <w:r w:rsidR="003B7598">
        <w:rPr>
          <w:rStyle w:val="ECCParagraph"/>
        </w:rPr>
        <w:t xml:space="preserve"> </w:t>
      </w:r>
      <w:r w:rsidRPr="000457A7">
        <w:rPr>
          <w:rStyle w:val="ECCParagraph"/>
        </w:rPr>
        <w:t>025 </w:t>
      </w:r>
      <w:proofErr w:type="spellStart"/>
      <w:r w:rsidRPr="000457A7">
        <w:rPr>
          <w:rStyle w:val="ECCParagraph"/>
        </w:rPr>
        <w:t>MHz.</w:t>
      </w:r>
      <w:proofErr w:type="spellEnd"/>
    </w:p>
    <w:p w:rsidR="000457A7" w:rsidRPr="000457A7" w:rsidRDefault="000457A7" w:rsidP="000457A7">
      <w:pPr>
        <w:rPr>
          <w:rStyle w:val="ECCParagraph"/>
        </w:rPr>
      </w:pPr>
      <w:r w:rsidRPr="000457A7">
        <w:rPr>
          <w:rStyle w:val="ECCParagraph"/>
        </w:rPr>
        <w:t>For long-term analysis, Lb (20%) the separation distance for protection o</w:t>
      </w:r>
      <w:bookmarkStart w:id="0" w:name="_GoBack"/>
      <w:bookmarkEnd w:id="0"/>
      <w:r w:rsidRPr="000457A7">
        <w:rPr>
          <w:rStyle w:val="ECCParagraph"/>
        </w:rPr>
        <w:t>f gateway ES can range from [26 km to 53.2 km] depending on the FSS ES interfering transmitter power.</w:t>
      </w:r>
    </w:p>
    <w:p w:rsidR="000457A7" w:rsidRPr="000457A7" w:rsidRDefault="000457A7" w:rsidP="000457A7">
      <w:pPr>
        <w:rPr>
          <w:rStyle w:val="ECCParagraph"/>
        </w:rPr>
      </w:pPr>
      <w:r w:rsidRPr="000457A7">
        <w:rPr>
          <w:rStyle w:val="ECCParagraph"/>
        </w:rPr>
        <w:t>For short term analysis, Lb (0.0017%) the coordination distances range from 169 km up to 389 km when flat terrain is used and depending on the FSS ES interfering transmitter power.</w:t>
      </w:r>
    </w:p>
    <w:p w:rsidR="000457A7" w:rsidRPr="000457A7" w:rsidRDefault="000457A7" w:rsidP="000457A7">
      <w:pPr>
        <w:rPr>
          <w:rStyle w:val="ECCParagraph"/>
        </w:rPr>
      </w:pPr>
      <w:r w:rsidRPr="000457A7">
        <w:rPr>
          <w:rStyle w:val="ECCParagraph"/>
        </w:rPr>
        <w:t xml:space="preserve">Annex </w:t>
      </w:r>
      <w:r w:rsidRPr="003B7598">
        <w:rPr>
          <w:rStyle w:val="ECCHLbold"/>
        </w:rPr>
        <w:t xml:space="preserve">7 </w:t>
      </w:r>
      <w:r w:rsidRPr="000457A7">
        <w:rPr>
          <w:rStyle w:val="ECCParagraph"/>
        </w:rPr>
        <w:t xml:space="preserve">of Appendix </w:t>
      </w:r>
      <w:r w:rsidRPr="003B7598">
        <w:rPr>
          <w:rStyle w:val="ECCHLbold"/>
        </w:rPr>
        <w:t>7</w:t>
      </w:r>
      <w:r w:rsidRPr="000457A7">
        <w:rPr>
          <w:rStyle w:val="ECCParagraph"/>
        </w:rPr>
        <w:t xml:space="preserve"> provides information on the parameters required for the determination of coordination distances for transmitting earth stations in bands shared directionally with receiving earth stations.</w:t>
      </w:r>
    </w:p>
    <w:p w:rsidR="000457A7" w:rsidRPr="000457A7" w:rsidRDefault="000457A7" w:rsidP="000457A7">
      <w:pPr>
        <w:pStyle w:val="Heading1"/>
      </w:pPr>
      <w:r w:rsidRPr="000457A7">
        <w:t>List of relevant documents</w:t>
      </w:r>
    </w:p>
    <w:p w:rsidR="000457A7" w:rsidRPr="000457A7" w:rsidRDefault="000457A7" w:rsidP="000457A7">
      <w:pPr>
        <w:pStyle w:val="ECCBreak"/>
      </w:pPr>
      <w:r w:rsidRPr="000457A7">
        <w:t>ITU-Documentation</w:t>
      </w:r>
    </w:p>
    <w:p w:rsidR="000457A7" w:rsidRPr="000457A7" w:rsidRDefault="000457A7" w:rsidP="000457A7">
      <w:pPr>
        <w:pStyle w:val="ECCBulletsLv1"/>
      </w:pPr>
      <w:r w:rsidRPr="000457A7">
        <w:t>Annex 11 to Document 4A/196 – Working document [towards a Preliminary Draft New Recommendation /Report] ITU-R S.[NGSO_6/4-GHz] on Technical and Regulatory Studies for 6/4 GHz GSO/Non-GSO FSS sharing</w:t>
      </w:r>
    </w:p>
    <w:p w:rsidR="000457A7" w:rsidRPr="000457A7" w:rsidRDefault="000457A7" w:rsidP="000457A7">
      <w:pPr>
        <w:pStyle w:val="ECCBulletsLv1"/>
      </w:pPr>
      <w:r w:rsidRPr="000457A7">
        <w:t>Annex 10 to Document 4A/196 – Working document towards a Preliminary Draft New Report ITU-R S.[NGSO FSS 6/4 GHz SHARING]</w:t>
      </w:r>
    </w:p>
    <w:p w:rsidR="000457A7" w:rsidRPr="000457A7" w:rsidRDefault="000457A7" w:rsidP="000457A7">
      <w:pPr>
        <w:pStyle w:val="ECCBulletsLv1"/>
      </w:pPr>
      <w:r w:rsidRPr="000457A7">
        <w:t>Annex 35 to Document 4A/196 – Working document towards elements for the draft Conference Preparatory Meeting Report</w:t>
      </w:r>
    </w:p>
    <w:p w:rsidR="000457A7" w:rsidRPr="000457A7" w:rsidRDefault="000457A7" w:rsidP="000457A7">
      <w:pPr>
        <w:pStyle w:val="ECCBulletsLv1"/>
      </w:pPr>
      <w:r w:rsidRPr="000457A7">
        <w:t>Annex 34 to Document 4A/196 – Work p</w:t>
      </w:r>
      <w:r w:rsidR="003B7598">
        <w:t>lan for WRC-19 agenda item 9.1 i</w:t>
      </w:r>
      <w:r w:rsidRPr="000457A7">
        <w:t>ssue 9.1.3</w:t>
      </w:r>
    </w:p>
    <w:p w:rsidR="000457A7" w:rsidRPr="000457A7" w:rsidRDefault="000457A7" w:rsidP="000457A7">
      <w:pPr>
        <w:pStyle w:val="ECCBulletsLv1"/>
      </w:pPr>
      <w:r w:rsidRPr="000457A7">
        <w:t xml:space="preserve">Recommendation ITU-R S.1323 – Maximum permissible levels of interference in a satellite network (GSO/FSS; non-GSO/FSS; non-GSO/MSS feeder links) in the fixed-satellite service caused by other </w:t>
      </w:r>
      <w:proofErr w:type="spellStart"/>
      <w:r w:rsidRPr="000457A7">
        <w:t>codirectional</w:t>
      </w:r>
      <w:proofErr w:type="spellEnd"/>
      <w:r w:rsidRPr="000457A7">
        <w:t xml:space="preserve"> FSS networks below 30 GHz</w:t>
      </w:r>
    </w:p>
    <w:p w:rsidR="000457A7" w:rsidRPr="000457A7" w:rsidRDefault="000457A7" w:rsidP="000457A7">
      <w:pPr>
        <w:pStyle w:val="ECCBulletsLv1"/>
      </w:pPr>
      <w:r w:rsidRPr="000457A7">
        <w:t>Recommendation ITU-R S.672-4 – Satellite antenna radiation pattern for use as a design objective in the fixed-satellite service employing geostationary satellites</w:t>
      </w:r>
    </w:p>
    <w:p w:rsidR="000457A7" w:rsidRPr="000457A7" w:rsidRDefault="000457A7" w:rsidP="000457A7">
      <w:pPr>
        <w:pStyle w:val="ECCBulletsLv1"/>
      </w:pPr>
      <w:r w:rsidRPr="000457A7">
        <w:t>Recommendation ITU-R S.1328 – Satellite system characteristics to be considered in frequency sharing analyses within the fixed-satellite service</w:t>
      </w:r>
    </w:p>
    <w:p w:rsidR="000457A7" w:rsidRPr="000457A7" w:rsidRDefault="000457A7" w:rsidP="000457A7">
      <w:pPr>
        <w:pStyle w:val="ECCBulletsLv1"/>
      </w:pPr>
      <w:r w:rsidRPr="000457A7">
        <w:t>Recommendation ITU-R F.1108 – Determination of the criteria to protect fixed service receivers from the emissions of space stations operating in non-geostationary orbits in shared frequency bands</w:t>
      </w:r>
    </w:p>
    <w:p w:rsidR="000457A7" w:rsidRPr="000457A7" w:rsidRDefault="000457A7" w:rsidP="000457A7">
      <w:pPr>
        <w:pStyle w:val="ECCBulletsLv1"/>
      </w:pPr>
      <w:r w:rsidRPr="000457A7">
        <w:t>Recommendation ITU-R F.758 – System parameters and considerations in the development of criteria for sharing or compatibility between digital fixed wireless systems in the fixed service and systems in other services and other sources of interference</w:t>
      </w:r>
    </w:p>
    <w:p w:rsidR="000457A7" w:rsidRPr="000457A7" w:rsidRDefault="000457A7" w:rsidP="000457A7">
      <w:pPr>
        <w:pStyle w:val="ECCBulletsLv1"/>
      </w:pPr>
      <w:r w:rsidRPr="000457A7">
        <w:t>Recommendation ITU-R F.1336 – Reference radiation patterns of omnidirectional, sectoral and other antennas in point-to-multipoint systems for use in sharing studies in the frequency range from 1 GHz to about 70 GHz</w:t>
      </w:r>
    </w:p>
    <w:p w:rsidR="000457A7" w:rsidRPr="000457A7" w:rsidRDefault="000457A7" w:rsidP="000457A7">
      <w:pPr>
        <w:pStyle w:val="ECCBulletsLv1"/>
      </w:pPr>
      <w:r w:rsidRPr="000457A7">
        <w:t>Recommendation ITU-R M.1459 – Protection criteria for telemetry systems in the aeronautical mobile service and mitigation techniques to facilitate sharing with geostationary broadcasting-satellite and mobile-satellite services in the frequency bands 1 452-1 525 MHz and 2 310</w:t>
      </w:r>
      <w:r w:rsidRPr="000457A7">
        <w:noBreakHyphen/>
        <w:t>2 360 MHz</w:t>
      </w:r>
    </w:p>
    <w:p w:rsidR="000457A7" w:rsidRPr="000457A7" w:rsidRDefault="000457A7" w:rsidP="000457A7">
      <w:pPr>
        <w:pStyle w:val="ECCBulletsLv1"/>
      </w:pPr>
      <w:r w:rsidRPr="000457A7">
        <w:t>Annex 13 to Document 5B/71 – WDPDN Rec. ITU-R M.[AMS 4.4-5GHz] – Technical characteristics of, and protection criteria for aeronautical mobile systems operating in the frequency band 4 400-4 990 MHz</w:t>
      </w:r>
    </w:p>
    <w:p w:rsidR="000457A7" w:rsidRPr="000457A7" w:rsidRDefault="000457A7" w:rsidP="000457A7">
      <w:pPr>
        <w:pStyle w:val="ECCBulletsLv1"/>
      </w:pPr>
      <w:r w:rsidRPr="000457A7">
        <w:rPr>
          <w:rStyle w:val="ECCParagraph"/>
        </w:rPr>
        <w:t xml:space="preserve">Report </w:t>
      </w:r>
      <w:r w:rsidRPr="000457A7">
        <w:t>ITU-R M.2119 – Sharing between aeronautical mobile telemetry systems for flight testing and other systems operating in the 4 400-4 940 and 5 925-6 700 MHz bands</w:t>
      </w:r>
    </w:p>
    <w:p w:rsidR="000457A7" w:rsidRPr="000457A7" w:rsidRDefault="000457A7" w:rsidP="000457A7">
      <w:pPr>
        <w:pStyle w:val="ECCBulletsLv1"/>
      </w:pPr>
      <w:r w:rsidRPr="000457A7">
        <w:t>Report ITU-R M.2109 – Sharing studies between IMT</w:t>
      </w:r>
      <w:r w:rsidRPr="000457A7">
        <w:noBreakHyphen/>
        <w:t>Advanced systems and geostationary satellite networks in the fixed-satellite service in the 3 400-4 200 and 4 500-4 800 MHz frequency bands</w:t>
      </w:r>
    </w:p>
    <w:p w:rsidR="000457A7" w:rsidRPr="000457A7" w:rsidRDefault="000457A7" w:rsidP="000457A7">
      <w:pPr>
        <w:pStyle w:val="ECCBulletsLv1"/>
      </w:pPr>
      <w:r w:rsidRPr="000457A7">
        <w:t>Report ITU-R S.2368 – Sharing studies between International Mobile Telecommunication-Advanced systems and geostationary satellite networks in the fixed-satellite service in the 3 400-4 200 MHz and 4 500-4 800 MHz frequency bands in the WRC study cycle leading to WRC-15</w:t>
      </w:r>
    </w:p>
    <w:p w:rsidR="000457A7" w:rsidRPr="00E36929" w:rsidRDefault="000457A7" w:rsidP="000457A7">
      <w:pPr>
        <w:pStyle w:val="ECCBreak"/>
        <w:rPr>
          <w:lang w:val="en-GB"/>
        </w:rPr>
      </w:pPr>
      <w:r w:rsidRPr="00E36929">
        <w:rPr>
          <w:lang w:val="en-GB"/>
        </w:rPr>
        <w:lastRenderedPageBreak/>
        <w:t>CEPT and/or ECC Documentation (Decisions, Recommendations, Reports)</w:t>
      </w:r>
    </w:p>
    <w:p w:rsidR="000457A7" w:rsidRPr="000457A7" w:rsidRDefault="0088291D" w:rsidP="000457A7">
      <w:pPr>
        <w:pStyle w:val="ECCBulletsLv1"/>
        <w:rPr>
          <w:rStyle w:val="ECCParagraph"/>
        </w:rPr>
      </w:pPr>
      <w:hyperlink r:id="rId9" w:tgtFrame="_blank" w:history="1">
        <w:r w:rsidR="000457A7" w:rsidRPr="000457A7">
          <w:rPr>
            <w:rStyle w:val="ECCParagraph"/>
          </w:rPr>
          <w:t>ECC/DEC/(05)09 The free circulation and use of Earth Stations on board Vessels operating in Fixed Satellite service networks in the frequency bands 5925-6425 MHz (Earth-to-space) and 3700-4200 MHz (space-to-Earth)</w:t>
        </w:r>
      </w:hyperlink>
    </w:p>
    <w:p w:rsidR="000457A7" w:rsidRPr="000457A7" w:rsidRDefault="0088291D" w:rsidP="000457A7">
      <w:pPr>
        <w:pStyle w:val="ECCBulletsLv1"/>
        <w:rPr>
          <w:rStyle w:val="ECCParagraph"/>
        </w:rPr>
      </w:pPr>
      <w:hyperlink r:id="rId10" w:tgtFrame="_blank" w:history="1">
        <w:r w:rsidR="000457A7" w:rsidRPr="000457A7">
          <w:rPr>
            <w:rStyle w:val="ECCParagraph"/>
          </w:rPr>
          <w:t>Commission Decision 2008/411/EC on the harmonisation of the 3400-3800 MHz frequency band for terrestrial systems</w:t>
        </w:r>
      </w:hyperlink>
    </w:p>
    <w:p w:rsidR="000457A7" w:rsidRPr="000457A7" w:rsidRDefault="0088291D" w:rsidP="000457A7">
      <w:pPr>
        <w:pStyle w:val="ECCBulletsLv1"/>
        <w:rPr>
          <w:rStyle w:val="ECCParagraph"/>
        </w:rPr>
      </w:pPr>
      <w:hyperlink r:id="rId11" w:tgtFrame="_blank" w:history="1">
        <w:r w:rsidR="000457A7" w:rsidRPr="000457A7">
          <w:rPr>
            <w:rStyle w:val="ECCParagraph"/>
          </w:rPr>
          <w:t>ECC/DEC/(11)06 Harmonised frequency arrangements for mobile/fixed communications networks (MFCN) operating in the bands 3400-3600 MHz and 3600-3800 MHz</w:t>
        </w:r>
      </w:hyperlink>
    </w:p>
    <w:p w:rsidR="000457A7" w:rsidRPr="000457A7" w:rsidRDefault="0088291D" w:rsidP="000457A7">
      <w:pPr>
        <w:pStyle w:val="ECCBulletsLv1"/>
        <w:rPr>
          <w:rStyle w:val="ECCParagraph"/>
        </w:rPr>
      </w:pPr>
      <w:hyperlink r:id="rId12" w:tgtFrame="_blank" w:history="1">
        <w:r w:rsidR="000457A7" w:rsidRPr="000457A7">
          <w:rPr>
            <w:rStyle w:val="ECCParagraph"/>
          </w:rPr>
          <w:t>CEPT Report 49: Technical conditions regarding spectrum harmonisation for terrestrial wireless systems in the 3400-3800 MHz frequency band</w:t>
        </w:r>
      </w:hyperlink>
    </w:p>
    <w:p w:rsidR="000457A7" w:rsidRPr="000457A7" w:rsidRDefault="0088291D" w:rsidP="000457A7">
      <w:pPr>
        <w:pStyle w:val="ECCBulletsLv1"/>
        <w:rPr>
          <w:rStyle w:val="ECCParagraph"/>
        </w:rPr>
      </w:pPr>
      <w:hyperlink r:id="rId13" w:tgtFrame="_blank" w:history="1">
        <w:r w:rsidR="000457A7" w:rsidRPr="000457A7">
          <w:rPr>
            <w:rStyle w:val="ECCParagraph"/>
          </w:rPr>
          <w:t>ECC/DEC/(07)02 Availability of frequency bands between 3400-3800 MHz for the Harmonised implementation of Broadband Wireless Access systems (BWA)</w:t>
        </w:r>
      </w:hyperlink>
    </w:p>
    <w:p w:rsidR="000457A7" w:rsidRPr="000457A7" w:rsidRDefault="0088291D" w:rsidP="000457A7">
      <w:pPr>
        <w:pStyle w:val="ECCBulletsLv1"/>
        <w:rPr>
          <w:rStyle w:val="ECCParagraph"/>
        </w:rPr>
      </w:pPr>
      <w:hyperlink r:id="rId14" w:tgtFrame="_blank" w:history="1">
        <w:r w:rsidR="000457A7" w:rsidRPr="000457A7">
          <w:rPr>
            <w:rStyle w:val="ECCParagraph"/>
          </w:rPr>
          <w:t>ECC Report 100 on Compatibility studies in the band 3400-3800 MHz between BWA systems and other services</w:t>
        </w:r>
      </w:hyperlink>
    </w:p>
    <w:p w:rsidR="000457A7" w:rsidRPr="000457A7" w:rsidRDefault="0088291D" w:rsidP="000457A7">
      <w:pPr>
        <w:pStyle w:val="ECCBulletsLv1"/>
        <w:rPr>
          <w:rStyle w:val="ECCParagraph"/>
        </w:rPr>
      </w:pPr>
      <w:hyperlink r:id="rId15" w:tgtFrame="_blank" w:history="1">
        <w:r w:rsidR="000457A7" w:rsidRPr="000457A7">
          <w:rPr>
            <w:rStyle w:val="ECCParagraph"/>
          </w:rPr>
          <w:t>ERC/REC 12-08 Harmonised radio frequency channel arrangements and block allocations for low, medium and high capacity systems in the band 3600 MHz to 4200 MHz</w:t>
        </w:r>
      </w:hyperlink>
    </w:p>
    <w:p w:rsidR="000457A7" w:rsidRPr="000457A7" w:rsidRDefault="0088291D" w:rsidP="000457A7">
      <w:pPr>
        <w:pStyle w:val="ECCBulletsLv1"/>
        <w:rPr>
          <w:rStyle w:val="ECCParagraph"/>
        </w:rPr>
      </w:pPr>
      <w:hyperlink r:id="rId16" w:tgtFrame="_blank" w:history="1">
        <w:r w:rsidR="000457A7" w:rsidRPr="000457A7">
          <w:rPr>
            <w:rStyle w:val="ECCParagraph"/>
          </w:rPr>
          <w:t>EN 302 217 Characteristics and requirements for point-to-point equipment and antennas</w:t>
        </w:r>
      </w:hyperlink>
    </w:p>
    <w:p w:rsidR="000457A7" w:rsidRPr="000457A7" w:rsidRDefault="000457A7" w:rsidP="000457A7">
      <w:pPr>
        <w:pStyle w:val="Heading1"/>
      </w:pPr>
      <w:r w:rsidRPr="000457A7">
        <w:t>Actions to be taken</w:t>
      </w:r>
    </w:p>
    <w:p w:rsidR="000457A7" w:rsidRPr="000457A7" w:rsidRDefault="000457A7" w:rsidP="000457A7">
      <w:pPr>
        <w:pStyle w:val="ECCBulletsLv2"/>
      </w:pPr>
      <w:r w:rsidRPr="000457A7">
        <w:t>To conduct studies and prepare proposals relating to ITU-R work on technical and regulatory studies for 6/4 GHz GSO and non-GSO FSS sharing</w:t>
      </w:r>
    </w:p>
    <w:p w:rsidR="000457A7" w:rsidRPr="000457A7" w:rsidRDefault="000457A7" w:rsidP="000457A7">
      <w:pPr>
        <w:pStyle w:val="ECCBulletsLv2"/>
      </w:pPr>
      <w:r w:rsidRPr="000457A7">
        <w:t>To conduct studies and prepare proposals relating to ITU-R work on Reports/Recommendations on Technical and Regulatory Studies for non-GSO FSS systems and other incumbent services at 6/4 GHz</w:t>
      </w:r>
    </w:p>
    <w:p w:rsidR="000457A7" w:rsidRPr="000457A7" w:rsidRDefault="000457A7" w:rsidP="000457A7">
      <w:pPr>
        <w:pStyle w:val="ECCBulletsLv2"/>
      </w:pPr>
      <w:r w:rsidRPr="000457A7">
        <w:t>To prepare proposals to the draft CPM Report</w:t>
      </w:r>
    </w:p>
    <w:p w:rsidR="000457A7" w:rsidRPr="000457A7" w:rsidRDefault="000457A7" w:rsidP="000457A7">
      <w:pPr>
        <w:pStyle w:val="ECCBulletsLv2"/>
      </w:pPr>
      <w:r w:rsidRPr="000457A7">
        <w:t xml:space="preserve">To develop draft ECP </w:t>
      </w:r>
    </w:p>
    <w:p w:rsidR="000457A7" w:rsidRPr="000457A7" w:rsidRDefault="000457A7" w:rsidP="000457A7">
      <w:pPr>
        <w:pStyle w:val="Heading1"/>
      </w:pPr>
      <w:r w:rsidRPr="000457A7">
        <w:t>Relevant information from outside CEPT</w:t>
      </w:r>
    </w:p>
    <w:p w:rsidR="000457A7" w:rsidRPr="000457A7" w:rsidRDefault="000457A7" w:rsidP="000457A7">
      <w:pPr>
        <w:pStyle w:val="Heading2"/>
        <w:rPr>
          <w:lang w:val="en-US"/>
        </w:rPr>
      </w:pPr>
      <w:r w:rsidRPr="00E36929">
        <w:rPr>
          <w:lang w:val="en-GB"/>
        </w:rPr>
        <w:t>European Union (date of proposal)</w:t>
      </w:r>
    </w:p>
    <w:p w:rsidR="000457A7" w:rsidRPr="000457A7" w:rsidRDefault="000457A7" w:rsidP="000457A7">
      <w:pPr>
        <w:rPr>
          <w:rStyle w:val="ECCParagraph"/>
        </w:rPr>
      </w:pPr>
    </w:p>
    <w:p w:rsidR="000457A7" w:rsidRPr="000457A7" w:rsidRDefault="000457A7" w:rsidP="000457A7">
      <w:pPr>
        <w:pStyle w:val="Heading2"/>
      </w:pPr>
      <w:r w:rsidRPr="000457A7">
        <w:t>Regional telecommunication organisations</w:t>
      </w:r>
    </w:p>
    <w:p w:rsidR="000457A7" w:rsidRPr="000457A7" w:rsidRDefault="000457A7" w:rsidP="000457A7">
      <w:pPr>
        <w:pStyle w:val="ECCBreak"/>
      </w:pPr>
      <w:r w:rsidRPr="000457A7">
        <w:t>APT (date of proposal)</w:t>
      </w:r>
    </w:p>
    <w:p w:rsidR="000457A7" w:rsidRPr="000457A7" w:rsidRDefault="000457A7" w:rsidP="000457A7">
      <w:pPr>
        <w:rPr>
          <w:rStyle w:val="ECCParagraph"/>
          <w:lang w:val="da-DK"/>
        </w:rPr>
      </w:pPr>
    </w:p>
    <w:p w:rsidR="000457A7" w:rsidRPr="000457A7" w:rsidRDefault="000457A7" w:rsidP="000457A7">
      <w:pPr>
        <w:pStyle w:val="ECCBreak"/>
      </w:pPr>
      <w:r w:rsidRPr="000457A7">
        <w:t>ATU (date of proposal)</w:t>
      </w:r>
    </w:p>
    <w:p w:rsidR="000457A7" w:rsidRPr="000457A7" w:rsidRDefault="000457A7" w:rsidP="000457A7">
      <w:pPr>
        <w:rPr>
          <w:rStyle w:val="ECCParagraph"/>
        </w:rPr>
      </w:pPr>
    </w:p>
    <w:p w:rsidR="000457A7" w:rsidRDefault="000457A7" w:rsidP="000457A7">
      <w:pPr>
        <w:pStyle w:val="ECCBreak"/>
      </w:pPr>
      <w:r w:rsidRPr="00E36929">
        <w:rPr>
          <w:lang w:val="en-GB"/>
        </w:rPr>
        <w:t>Arab Group (</w:t>
      </w:r>
      <w:r w:rsidR="00057BC8">
        <w:t>20 April, 2017</w:t>
      </w:r>
      <w:r w:rsidRPr="00E36929">
        <w:rPr>
          <w:lang w:val="en-GB"/>
        </w:rPr>
        <w:t>)</w:t>
      </w:r>
    </w:p>
    <w:p w:rsidR="00057BC8" w:rsidRPr="00057BC8" w:rsidRDefault="00057BC8" w:rsidP="00057BC8">
      <w:r>
        <w:t xml:space="preserve">The following was presented at the </w:t>
      </w:r>
      <w:r w:rsidRPr="00057BC8">
        <w:t>22nd ASMG Meeting of 15-20 April 2017</w:t>
      </w:r>
      <w:r w:rsidR="00152160">
        <w:t xml:space="preserve"> </w:t>
      </w:r>
      <w:r>
        <w:t xml:space="preserve">as the ASMG position on Issue 9.1.3 of Agenda Item 9.1 </w:t>
      </w:r>
    </w:p>
    <w:p w:rsidR="00057BC8" w:rsidRPr="00057BC8" w:rsidRDefault="00057BC8" w:rsidP="00534BD5">
      <w:pPr>
        <w:pStyle w:val="ECCBulletsLv1"/>
      </w:pPr>
      <w:r w:rsidRPr="00057BC8">
        <w:t>Protection of assignments and allotments of Appendix 30B and not to impose any restrictions for further deployment or current recordings.</w:t>
      </w:r>
    </w:p>
    <w:p w:rsidR="00057BC8" w:rsidRPr="00057BC8" w:rsidRDefault="00057BC8" w:rsidP="00534BD5">
      <w:pPr>
        <w:pStyle w:val="ECCBulletsLv1"/>
      </w:pPr>
      <w:r w:rsidRPr="00057BC8">
        <w:lastRenderedPageBreak/>
        <w:t xml:space="preserve">Not supporting the modification of the </w:t>
      </w:r>
      <w:proofErr w:type="spellStart"/>
      <w:r w:rsidRPr="00057BC8">
        <w:t>epfd</w:t>
      </w:r>
      <w:proofErr w:type="spellEnd"/>
      <w:r w:rsidRPr="00057BC8">
        <w:t xml:space="preserve"> spectrum density previously assigned to protect fixed satellite service systems in these bands.</w:t>
      </w:r>
    </w:p>
    <w:p w:rsidR="00057BC8" w:rsidRPr="00057BC8" w:rsidRDefault="00057BC8" w:rsidP="00534BD5">
      <w:pPr>
        <w:pStyle w:val="ECCBulletsLv1"/>
      </w:pPr>
      <w:r w:rsidRPr="00057BC8">
        <w:t xml:space="preserve">Not to support the designation of different </w:t>
      </w:r>
      <w:proofErr w:type="spellStart"/>
      <w:r w:rsidRPr="00057BC8">
        <w:t>epfd</w:t>
      </w:r>
      <w:proofErr w:type="spellEnd"/>
      <w:r w:rsidRPr="00057BC8">
        <w:t xml:space="preserve"> values ​​in radio regulations, to be considered to the extent of ITU recommendations regarding coordination procedures between GSO and NGSO.</w:t>
      </w:r>
    </w:p>
    <w:p w:rsidR="00057BC8" w:rsidRPr="00057BC8" w:rsidRDefault="00057BC8" w:rsidP="00534BD5">
      <w:pPr>
        <w:pStyle w:val="ECCBulletsLv1"/>
      </w:pPr>
      <w:r w:rsidRPr="00057BC8">
        <w:t>Follow up existing studies related to this issue.</w:t>
      </w:r>
    </w:p>
    <w:p w:rsidR="000457A7" w:rsidRPr="000457A7" w:rsidRDefault="00152160" w:rsidP="00534BD5">
      <w:pPr>
        <w:pStyle w:val="ECCBulletsLv1"/>
        <w:rPr>
          <w:rStyle w:val="ECCParagraph"/>
        </w:rPr>
      </w:pPr>
      <w:r>
        <w:t>I</w:t>
      </w:r>
      <w:r w:rsidR="00057BC8" w:rsidRPr="00057BC8">
        <w:t>nvite concerned working groups in ASMG to follow-up this issue in order to ensure the protection of fixed services, especially in adjacent bands.</w:t>
      </w:r>
    </w:p>
    <w:p w:rsidR="000457A7" w:rsidRPr="000457A7" w:rsidRDefault="000457A7" w:rsidP="000457A7">
      <w:pPr>
        <w:pStyle w:val="ECCBreak"/>
        <w:rPr>
          <w:lang w:val="en-US"/>
        </w:rPr>
      </w:pPr>
      <w:r w:rsidRPr="00E36929">
        <w:rPr>
          <w:lang w:val="en-GB"/>
        </w:rPr>
        <w:t>CITEL (</w:t>
      </w:r>
      <w:r w:rsidR="00993C96" w:rsidRPr="000C24BD">
        <w:rPr>
          <w:lang w:val="en-US"/>
        </w:rPr>
        <w:t>July 2017</w:t>
      </w:r>
      <w:r w:rsidRPr="00E36929">
        <w:rPr>
          <w:lang w:val="en-GB"/>
        </w:rPr>
        <w:t>)</w:t>
      </w:r>
    </w:p>
    <w:p w:rsidR="000457A7" w:rsidRPr="000457A7" w:rsidRDefault="000457A7" w:rsidP="000457A7">
      <w:pPr>
        <w:rPr>
          <w:rStyle w:val="Emphasis"/>
        </w:rPr>
      </w:pPr>
      <w:r w:rsidRPr="000457A7">
        <w:rPr>
          <w:rStyle w:val="Emphasis"/>
        </w:rPr>
        <w:t>Preliminary Views</w:t>
      </w:r>
    </w:p>
    <w:p w:rsidR="000457A7" w:rsidRPr="000457A7" w:rsidRDefault="000457A7" w:rsidP="000457A7">
      <w:pPr>
        <w:rPr>
          <w:rStyle w:val="Emphasis"/>
        </w:rPr>
      </w:pPr>
      <w:r w:rsidRPr="000457A7">
        <w:rPr>
          <w:rStyle w:val="Emphasis"/>
        </w:rPr>
        <w:t>Canada:</w:t>
      </w:r>
    </w:p>
    <w:p w:rsidR="000457A7" w:rsidRPr="000457A7" w:rsidRDefault="00993C96" w:rsidP="000457A7">
      <w:pPr>
        <w:rPr>
          <w:lang w:val="en-US"/>
        </w:rPr>
      </w:pPr>
      <w:r>
        <w:t>Canada s</w:t>
      </w:r>
      <w:r w:rsidR="000457A7" w:rsidRPr="000457A7">
        <w:t xml:space="preserve">upports the studies under Resolution 157 (WRC-15) for new non-GSO FSS satellite systems. Any modification to Article 22 for the inclusion of </w:t>
      </w:r>
      <w:proofErr w:type="spellStart"/>
      <w:r w:rsidR="000457A7" w:rsidRPr="000457A7">
        <w:t>epfd</w:t>
      </w:r>
      <w:proofErr w:type="spellEnd"/>
      <w:r w:rsidR="000457A7" w:rsidRPr="000457A7">
        <w:t xml:space="preserve"> limits for non-GSO FSS systems in the bands 4 500-4 800 MHz (space-to-Earth) and 6 725-7 025 MHz (Earth-to-space) to protect the geostationary FSS allotments in the Plan and the assignments in the Appendix 30B List can only be considered in conjunction with modifications to Article 5, including No. 5.441 to authorize use of these bands by non-GSO FSS systems. This footnote specifies that the use of the bands by the FSS shall be in accordance with Appendix 30B, which is limited to the geostationary-satellite of the fixed-satellite service. This is not the case in the bands 3 700-4 200 MHz and 5 925-6 425 MHz where non-GSO FSS are currently allowed without any restrictions in Article 5.  Similarly, the adoption of regulatory measures to protect terrestrial services in the band</w:t>
      </w:r>
      <w:r w:rsidR="000457A7" w:rsidRPr="000457A7">
        <w:br/>
        <w:t xml:space="preserve">4 500-4 800 MHz (space-to-Earth) can only </w:t>
      </w:r>
      <w:proofErr w:type="gramStart"/>
      <w:r w:rsidR="000457A7" w:rsidRPr="000457A7">
        <w:t>be</w:t>
      </w:r>
      <w:proofErr w:type="gramEnd"/>
      <w:r w:rsidR="000457A7" w:rsidRPr="000457A7">
        <w:t xml:space="preserve"> considered in conjunction with modifications to No. 5.441.</w:t>
      </w:r>
    </w:p>
    <w:p w:rsidR="000457A7" w:rsidRPr="000457A7" w:rsidRDefault="000457A7" w:rsidP="000457A7">
      <w:r w:rsidRPr="000457A7">
        <w:t xml:space="preserve">Canada also notes that under the current regulatory framework, the protection of the non-GSO MSS feeder link receiving earth station from non-GSO FSS transmitting earth station in the band 6 700 -6 725 MHz and 7 025- 7 075 MHz is ensured through the application of coordination procedures under No. 9.17A (see also Table 9a in Appendix 7). An extension of these coordination procedures to the band 6 725-7 025 MHz can only </w:t>
      </w:r>
      <w:proofErr w:type="gramStart"/>
      <w:r w:rsidRPr="000457A7">
        <w:t>be</w:t>
      </w:r>
      <w:proofErr w:type="gramEnd"/>
      <w:r w:rsidRPr="000457A7">
        <w:t xml:space="preserve"> achieved through modifications to No. 5.441 referred to above.</w:t>
      </w:r>
    </w:p>
    <w:p w:rsidR="00993C96" w:rsidRDefault="00993C96" w:rsidP="000457A7">
      <w:r>
        <w:rPr>
          <w:rStyle w:val="Emphasis"/>
        </w:rPr>
        <w:t>Brazil</w:t>
      </w:r>
      <w:r w:rsidR="000457A7" w:rsidRPr="000457A7">
        <w:t xml:space="preserve">: </w:t>
      </w:r>
    </w:p>
    <w:p w:rsidR="000457A7" w:rsidRDefault="00993C96" w:rsidP="000457A7">
      <w:r>
        <w:t>The Brazilian Administration i</w:t>
      </w:r>
      <w:r w:rsidR="000457A7" w:rsidRPr="000457A7">
        <w:t xml:space="preserve">s of the view that studies are necessary to ensure that the protection of GSO networks would not be reduced beyond that currently afforded by Article 22 </w:t>
      </w:r>
      <w:proofErr w:type="spellStart"/>
      <w:r w:rsidR="000457A7" w:rsidRPr="000457A7">
        <w:t>epfd</w:t>
      </w:r>
      <w:proofErr w:type="spellEnd"/>
      <w:r w:rsidR="000457A7" w:rsidRPr="000457A7">
        <w:t xml:space="preserve"> limits.</w:t>
      </w:r>
    </w:p>
    <w:p w:rsidR="00993C96" w:rsidRPr="00CA7662" w:rsidRDefault="00993C96" w:rsidP="00993C96">
      <w:r>
        <w:rPr>
          <w:rStyle w:val="Emphasis"/>
        </w:rPr>
        <w:t>USA:</w:t>
      </w:r>
    </w:p>
    <w:p w:rsidR="00993C96" w:rsidRDefault="00993C96" w:rsidP="00993C96">
      <w:r>
        <w:t>The United States supports the study of a regulatory framework, under the terms of Resolution 157 (WRC-15), to enable circular-orbit non-GSO FSS satellite systems to operate in the 3 700-4 200 MHz, 4 500-4 800 MHz, 5 925-6 425 MHz and 6 725-7 025 MHz frequency bands, while ensuring the protection of existing services and applications, and to take appropriate action based on the results of these studies.</w:t>
      </w:r>
    </w:p>
    <w:p w:rsidR="00A51B78" w:rsidRPr="000457A7" w:rsidRDefault="00A51B78" w:rsidP="00A51B78">
      <w:pPr>
        <w:rPr>
          <w:rStyle w:val="Emphasis"/>
        </w:rPr>
      </w:pPr>
      <w:r>
        <w:rPr>
          <w:rStyle w:val="Emphasis"/>
        </w:rPr>
        <w:t>Draft Inter-America Proposals</w:t>
      </w:r>
    </w:p>
    <w:p w:rsidR="00A51B78" w:rsidRPr="00A51B78" w:rsidRDefault="00A51B78" w:rsidP="00A51B78">
      <w:r>
        <w:rPr>
          <w:rStyle w:val="Emphasis"/>
        </w:rPr>
        <w:t>Brazil, Canada, Guatemala, Uruguay</w:t>
      </w:r>
      <w:r w:rsidRPr="00A51B78">
        <w:rPr>
          <w:rStyle w:val="Emphasis"/>
        </w:rPr>
        <w:t>:</w:t>
      </w:r>
    </w:p>
    <w:p w:rsidR="00A51B78" w:rsidRDefault="00A51B78" w:rsidP="00993C96">
      <w:r w:rsidRPr="00A51B78">
        <w:rPr>
          <w:lang w:val="x-none"/>
        </w:rPr>
        <w:t xml:space="preserve">ITU-R studies show that it would be very difficult to operate a non-GSO circular-orbit system for the purposes of a global broadband network in the 6/4 GHz frequency bands. Therefore, Canada supports no revision to Article 21, Table 21-4 for non-GSO FSS satellites in the frequency band 3700-4200 MHz (space-to-Earth) and no modifications to Article 22 </w:t>
      </w:r>
      <w:proofErr w:type="spellStart"/>
      <w:r w:rsidRPr="00A51B78">
        <w:rPr>
          <w:lang w:val="x-none"/>
        </w:rPr>
        <w:t>epfd</w:t>
      </w:r>
      <w:proofErr w:type="spellEnd"/>
      <w:r w:rsidRPr="00A51B78">
        <w:rPr>
          <w:lang w:val="x-none"/>
        </w:rPr>
        <w:t xml:space="preserve"> limits applicable to non-GSO systems in the bands 3700-4200 MHz (space-to-Earth) and 5925-6425 MHz (Earth-to-Space).  Similarly, Canada proposes no change to the bands 4500-4800 MHz (space-to-Earth) and 6725-7025 MHz (Earth-to-space).</w:t>
      </w:r>
    </w:p>
    <w:p w:rsidR="000457A7" w:rsidRPr="000457A7" w:rsidRDefault="000457A7" w:rsidP="000457A7">
      <w:pPr>
        <w:pStyle w:val="ECCBreak"/>
        <w:rPr>
          <w:lang w:val="en-US"/>
        </w:rPr>
      </w:pPr>
      <w:r w:rsidRPr="00E36929">
        <w:rPr>
          <w:lang w:val="en-GB"/>
        </w:rPr>
        <w:t>RCC (</w:t>
      </w:r>
      <w:r w:rsidR="00057BC8" w:rsidRPr="000C24BD">
        <w:rPr>
          <w:lang w:val="en-US"/>
        </w:rPr>
        <w:t>14 April, 2017</w:t>
      </w:r>
      <w:r w:rsidRPr="00E36929">
        <w:rPr>
          <w:lang w:val="en-GB"/>
        </w:rPr>
        <w:t>)</w:t>
      </w:r>
    </w:p>
    <w:p w:rsidR="000457A7" w:rsidRPr="000457A7" w:rsidRDefault="000457A7" w:rsidP="000457A7">
      <w:pPr>
        <w:rPr>
          <w:rStyle w:val="ECCParagraph"/>
        </w:rPr>
      </w:pPr>
      <w:r w:rsidRPr="000457A7">
        <w:rPr>
          <w:rStyle w:val="ECCParagraph"/>
        </w:rPr>
        <w:t xml:space="preserve">The RCC Administrations do not oppose possible revision of Article 21, Table 21-4 for non-GSO FSS satellites, with a view to enabling new non-GSO systems to operate in these FSS frequency bands, while </w:t>
      </w:r>
      <w:r w:rsidRPr="000457A7">
        <w:rPr>
          <w:rStyle w:val="ECCParagraph"/>
        </w:rPr>
        <w:lastRenderedPageBreak/>
        <w:t xml:space="preserve">ensuring that existing primary services, i.e. the mobile service and fixed service, are protected, and maintaining the existing Article 21 </w:t>
      </w:r>
      <w:proofErr w:type="spellStart"/>
      <w:r w:rsidRPr="000457A7">
        <w:rPr>
          <w:rStyle w:val="ECCParagraph"/>
        </w:rPr>
        <w:t>pfd</w:t>
      </w:r>
      <w:proofErr w:type="spellEnd"/>
      <w:r w:rsidRPr="000457A7">
        <w:rPr>
          <w:rStyle w:val="ECCParagraph"/>
        </w:rPr>
        <w:t xml:space="preserve"> limits </w:t>
      </w:r>
      <w:r w:rsidR="00057BC8" w:rsidRPr="00057BC8">
        <w:t xml:space="preserve">for GSO networks </w:t>
      </w:r>
      <w:r w:rsidRPr="000457A7">
        <w:rPr>
          <w:rStyle w:val="ECCParagraph"/>
        </w:rPr>
        <w:t>in the frequency band 3700−4200 MHz (space-to-Earth).</w:t>
      </w:r>
    </w:p>
    <w:p w:rsidR="000457A7" w:rsidRPr="000457A7" w:rsidRDefault="000457A7" w:rsidP="000457A7">
      <w:pPr>
        <w:rPr>
          <w:rStyle w:val="ECCParagraph"/>
        </w:rPr>
      </w:pPr>
      <w:r w:rsidRPr="000457A7">
        <w:rPr>
          <w:rStyle w:val="ECCParagraph"/>
        </w:rPr>
        <w:t xml:space="preserve">The RCC Administrations consider that when reviewing RR Article 22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30В List, without modification of their protection criteria.</w:t>
      </w:r>
    </w:p>
    <w:p w:rsidR="000457A7" w:rsidRDefault="000457A7" w:rsidP="000457A7">
      <w:pPr>
        <w:rPr>
          <w:rStyle w:val="ECCParagraph"/>
        </w:rPr>
      </w:pPr>
      <w:r w:rsidRPr="000457A7">
        <w:rPr>
          <w:rStyle w:val="ECCParagraph"/>
        </w:rPr>
        <w:t>The RCC Administrations consider that when determining operation conditions for new non-GSO FSS systems in the frequency bands 3700−4200 MHz (space-to-Earth), 5925−6425 MHz (Earth-to-space), it is necessary to protect existing non-GSO FSS systems in highly elliptical orbits.</w:t>
      </w:r>
    </w:p>
    <w:p w:rsidR="000457A7" w:rsidRPr="000457A7" w:rsidRDefault="000457A7" w:rsidP="000457A7">
      <w:pPr>
        <w:pStyle w:val="Heading2"/>
      </w:pPr>
      <w:r w:rsidRPr="000457A7">
        <w:t>International organisations</w:t>
      </w:r>
    </w:p>
    <w:p w:rsidR="000457A7" w:rsidRPr="000457A7" w:rsidRDefault="000457A7" w:rsidP="000457A7">
      <w:pPr>
        <w:pStyle w:val="ECCBreak"/>
      </w:pPr>
      <w:r w:rsidRPr="000457A7">
        <w:t>IATA (date of proposal)</w:t>
      </w:r>
    </w:p>
    <w:p w:rsidR="000457A7" w:rsidRPr="000457A7" w:rsidRDefault="000457A7" w:rsidP="000457A7">
      <w:pPr>
        <w:rPr>
          <w:rStyle w:val="ECCParagraph"/>
        </w:rPr>
      </w:pPr>
    </w:p>
    <w:p w:rsidR="000457A7" w:rsidRPr="000457A7" w:rsidRDefault="000457A7" w:rsidP="000457A7">
      <w:pPr>
        <w:pStyle w:val="ECCBreak"/>
      </w:pPr>
      <w:r w:rsidRPr="000457A7">
        <w:t>ICAO (15-16 September, 2016)</w:t>
      </w:r>
    </w:p>
    <w:p w:rsidR="000457A7" w:rsidRPr="000457A7" w:rsidRDefault="000457A7" w:rsidP="000457A7">
      <w:pPr>
        <w:rPr>
          <w:rStyle w:val="ECCParagraph"/>
        </w:rPr>
      </w:pPr>
      <w:r w:rsidRPr="000457A7">
        <w:rPr>
          <w:rStyle w:val="ECCParagraph"/>
        </w:rPr>
        <w:t xml:space="preserve">To oppose any new or changes to existing regulatory provisions in Article 21 of the ITU Radio Regulations for the frequency bands 3 700 – 4 200 MHz and 5 925-6 425 MHz unless it has been demonstrated through agreed ITU-R studies that there will be no impact from the potential introduction of new non-geostationary-satellites on aviation use in those bands.  </w:t>
      </w:r>
    </w:p>
    <w:p w:rsidR="000457A7" w:rsidRPr="000457A7" w:rsidRDefault="000457A7" w:rsidP="000457A7">
      <w:pPr>
        <w:rPr>
          <w:rStyle w:val="ECCParagraph"/>
        </w:rPr>
      </w:pPr>
      <w:r w:rsidRPr="000457A7">
        <w:rPr>
          <w:rStyle w:val="ECCParagraph"/>
        </w:rPr>
        <w:t xml:space="preserve">To oppose introduction of new non-geostationary-satellites in frequency bands near to the frequency band 4 200 – 4 400 MHz unless aviation use of that band is ensured through agreed ITU-R studies. </w:t>
      </w:r>
    </w:p>
    <w:p w:rsidR="000457A7" w:rsidRPr="00E36929" w:rsidRDefault="000457A7" w:rsidP="000457A7">
      <w:pPr>
        <w:pStyle w:val="ECCBreak"/>
        <w:rPr>
          <w:lang w:val="en-GB"/>
        </w:rPr>
      </w:pPr>
      <w:r w:rsidRPr="00E36929">
        <w:rPr>
          <w:lang w:val="en-GB"/>
        </w:rPr>
        <w:t>IMO (25 August, 2016)</w:t>
      </w:r>
    </w:p>
    <w:p w:rsidR="000457A7" w:rsidRPr="000457A7" w:rsidRDefault="000457A7" w:rsidP="000457A7">
      <w:pPr>
        <w:rPr>
          <w:rStyle w:val="ECCParagraph"/>
        </w:rPr>
      </w:pPr>
      <w:r w:rsidRPr="000457A7">
        <w:rPr>
          <w:rStyle w:val="ECCParagraph"/>
        </w:rPr>
        <w:t xml:space="preserve">Non-GSO systems shall not cause harmful interference to or claim protection from GSO FSS networks. </w:t>
      </w:r>
    </w:p>
    <w:p w:rsidR="000457A7" w:rsidRPr="00E36929" w:rsidRDefault="000457A7" w:rsidP="000457A7">
      <w:pPr>
        <w:pStyle w:val="ECCBreak"/>
        <w:rPr>
          <w:lang w:val="en-GB"/>
        </w:rPr>
      </w:pPr>
      <w:r w:rsidRPr="00E36929">
        <w:rPr>
          <w:lang w:val="en-GB"/>
        </w:rPr>
        <w:t>SFCG (date of proposal)</w:t>
      </w:r>
    </w:p>
    <w:p w:rsidR="000457A7" w:rsidRPr="000457A7" w:rsidRDefault="000457A7" w:rsidP="000457A7">
      <w:pPr>
        <w:rPr>
          <w:rStyle w:val="ECCParagraph"/>
        </w:rPr>
      </w:pPr>
    </w:p>
    <w:p w:rsidR="000457A7" w:rsidRPr="000457A7" w:rsidRDefault="000457A7" w:rsidP="000457A7">
      <w:pPr>
        <w:pStyle w:val="ECCBreak"/>
        <w:rPr>
          <w:lang w:val="en-US"/>
        </w:rPr>
      </w:pPr>
      <w:r w:rsidRPr="00E36929">
        <w:rPr>
          <w:lang w:val="en-GB"/>
        </w:rPr>
        <w:t>WMO and EUMETNET (date of proposal)</w:t>
      </w:r>
    </w:p>
    <w:p w:rsidR="000457A7" w:rsidRPr="000457A7" w:rsidRDefault="000457A7" w:rsidP="000457A7">
      <w:pPr>
        <w:rPr>
          <w:rStyle w:val="ECCParagraph"/>
        </w:rPr>
      </w:pPr>
    </w:p>
    <w:p w:rsidR="000457A7" w:rsidRPr="000457A7" w:rsidRDefault="000457A7" w:rsidP="000457A7">
      <w:pPr>
        <w:pStyle w:val="Heading2"/>
      </w:pPr>
      <w:r w:rsidRPr="000457A7">
        <w:t>Regional organisations</w:t>
      </w:r>
    </w:p>
    <w:p w:rsidR="000457A7" w:rsidRPr="000457A7" w:rsidRDefault="000457A7" w:rsidP="000457A7">
      <w:pPr>
        <w:pStyle w:val="ECCBreak"/>
      </w:pPr>
      <w:r w:rsidRPr="000457A7">
        <w:t>ESA (date of proposal)</w:t>
      </w:r>
    </w:p>
    <w:p w:rsidR="000457A7" w:rsidRPr="000457A7" w:rsidRDefault="000457A7" w:rsidP="000457A7">
      <w:pPr>
        <w:rPr>
          <w:rStyle w:val="ECCParagraph"/>
        </w:rPr>
      </w:pPr>
    </w:p>
    <w:p w:rsidR="000457A7" w:rsidRDefault="000457A7" w:rsidP="000457A7">
      <w:pPr>
        <w:pStyle w:val="ECCBreak"/>
      </w:pPr>
      <w:r w:rsidRPr="000457A7">
        <w:t>Eurocontrol (date of proposal)</w:t>
      </w:r>
    </w:p>
    <w:p w:rsidR="00242450" w:rsidRDefault="00242450" w:rsidP="00EA3BC2"/>
    <w:p w:rsidR="00242450" w:rsidRDefault="00242450" w:rsidP="00534BD5">
      <w:pPr>
        <w:pStyle w:val="ECCBreak"/>
      </w:pPr>
      <w:r>
        <w:t>NATO (23 June, 2017)</w:t>
      </w:r>
    </w:p>
    <w:p w:rsidR="00242450" w:rsidRPr="00242450" w:rsidRDefault="00242450" w:rsidP="00242450">
      <w:r w:rsidRPr="00242450">
        <w:lastRenderedPageBreak/>
        <w:t xml:space="preserve">This NATO military assessment summary is a common military assessment of the NATO Nations on the potential impacts and benefits of </w:t>
      </w:r>
      <w:r w:rsidR="000B290B" w:rsidRPr="000B290B">
        <w:t xml:space="preserve">Agenda Item 9.1 </w:t>
      </w:r>
      <w:r w:rsidRPr="00242450">
        <w:t>Issue 9.1.3. It does not constitute a commo</w:t>
      </w:r>
      <w:r>
        <w:t>n position of the NATO Nations.</w:t>
      </w:r>
    </w:p>
    <w:p w:rsidR="00242450" w:rsidRPr="00EA3BC2" w:rsidRDefault="00242450" w:rsidP="00EA3BC2">
      <w:r w:rsidRPr="00242450">
        <w:t xml:space="preserve">At the moment, it is not clear if NATO could benefit from non-GSO systems to operate in these bands allocated to FSS. But the existing military applications are relying on large portions of the bands under study. The risk that possible changes to the RR could downgrade military capabilities is high at the moment. Furthermore consistency in C-band (4 - 8 GHz) </w:t>
      </w:r>
      <w:proofErr w:type="spellStart"/>
      <w:r w:rsidRPr="00242450">
        <w:t>epfd</w:t>
      </w:r>
      <w:proofErr w:type="spellEnd"/>
      <w:r w:rsidRPr="00242450">
        <w:t xml:space="preserve"> requirements and limits with respect to Ku (12 - 18 GHz) and </w:t>
      </w:r>
      <w:proofErr w:type="spellStart"/>
      <w:r w:rsidRPr="00242450">
        <w:t>Ka</w:t>
      </w:r>
      <w:proofErr w:type="spellEnd"/>
      <w:r w:rsidRPr="00242450">
        <w:t xml:space="preserve"> (26.5 - 40 GHz) bands should be ensured.</w:t>
      </w:r>
    </w:p>
    <w:p w:rsidR="000457A7" w:rsidRPr="000457A7" w:rsidRDefault="000457A7" w:rsidP="000457A7">
      <w:pPr>
        <w:pStyle w:val="Heading2"/>
      </w:pPr>
      <w:r w:rsidRPr="000457A7">
        <w:t>OTHER INTERNATIONAL AND REGIONAL ORGANISATIONS</w:t>
      </w:r>
    </w:p>
    <w:p w:rsidR="000457A7" w:rsidRPr="000457A7" w:rsidRDefault="000457A7" w:rsidP="000457A7">
      <w:pPr>
        <w:pStyle w:val="ECCBreak"/>
      </w:pPr>
      <w:r w:rsidRPr="000457A7">
        <w:t>EBU (date of proposal)</w:t>
      </w:r>
    </w:p>
    <w:p w:rsidR="000457A7" w:rsidRPr="000457A7" w:rsidRDefault="000457A7" w:rsidP="000457A7">
      <w:pPr>
        <w:rPr>
          <w:rStyle w:val="ECCParagraph"/>
        </w:rPr>
      </w:pPr>
    </w:p>
    <w:p w:rsidR="000457A7" w:rsidRPr="000457A7" w:rsidRDefault="000457A7" w:rsidP="000457A7">
      <w:pPr>
        <w:pStyle w:val="ECCBreak"/>
      </w:pPr>
      <w:r w:rsidRPr="000457A7">
        <w:t>GSMA (date of proposal)</w:t>
      </w:r>
    </w:p>
    <w:p w:rsidR="000457A7" w:rsidRPr="000457A7" w:rsidRDefault="000457A7" w:rsidP="000457A7">
      <w:pPr>
        <w:rPr>
          <w:rStyle w:val="ECCParagraph"/>
        </w:rPr>
      </w:pPr>
    </w:p>
    <w:p w:rsidR="000457A7" w:rsidRPr="000457A7" w:rsidRDefault="000457A7" w:rsidP="000457A7">
      <w:pPr>
        <w:pStyle w:val="ECCBreak"/>
      </w:pPr>
      <w:r w:rsidRPr="000457A7">
        <w:t>CRAF (date of proposal)</w:t>
      </w:r>
    </w:p>
    <w:p w:rsidR="00917EC1" w:rsidRDefault="00917EC1">
      <w:pPr>
        <w:rPr>
          <w:rStyle w:val="ECCParagraph"/>
        </w:rPr>
      </w:pPr>
    </w:p>
    <w:sectPr w:rsidR="00917EC1" w:rsidSect="00C173D4">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1D" w:rsidRDefault="0088291D">
      <w:r>
        <w:separator/>
      </w:r>
    </w:p>
    <w:p w:rsidR="0088291D" w:rsidRDefault="0088291D"/>
    <w:p w:rsidR="0088291D" w:rsidRDefault="0088291D"/>
  </w:endnote>
  <w:endnote w:type="continuationSeparator" w:id="0">
    <w:p w:rsidR="0088291D" w:rsidRDefault="0088291D">
      <w:r>
        <w:continuationSeparator/>
      </w:r>
    </w:p>
    <w:p w:rsidR="0088291D" w:rsidRDefault="0088291D"/>
    <w:p w:rsidR="0088291D" w:rsidRDefault="0088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1D" w:rsidRDefault="0088291D">
      <w:r>
        <w:separator/>
      </w:r>
    </w:p>
    <w:p w:rsidR="0088291D" w:rsidRDefault="0088291D"/>
    <w:p w:rsidR="0088291D" w:rsidRDefault="0088291D"/>
  </w:footnote>
  <w:footnote w:type="continuationSeparator" w:id="0">
    <w:p w:rsidR="0088291D" w:rsidRDefault="0088291D">
      <w:r>
        <w:continuationSeparator/>
      </w:r>
    </w:p>
    <w:p w:rsidR="0088291D" w:rsidRDefault="0088291D"/>
    <w:p w:rsidR="0088291D" w:rsidRDefault="00882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rPr>
        <w:lang w:val="en-US"/>
      </w:rPr>
      <w:t>Draft CEPT Brief on AI</w:t>
    </w:r>
    <w:r w:rsidR="003B7598">
      <w:rPr>
        <w:lang w:val="en-GB"/>
      </w:rPr>
      <w:t xml:space="preserve"> 9.1 </w:t>
    </w:r>
    <w:r w:rsidR="003B7598" w:rsidRPr="000C24BD">
      <w:rPr>
        <w:lang w:val="en-US"/>
      </w:rPr>
      <w:t>issue</w:t>
    </w:r>
    <w:r w:rsidRPr="00E36929">
      <w:rPr>
        <w:lang w:val="en-GB"/>
      </w:rPr>
      <w:t xml:space="preserve"> 9.1.3</w:t>
    </w:r>
    <w:r>
      <w:rPr>
        <w:lang w:val="en-US"/>
      </w:rPr>
      <w:t xml:space="preserve"> - Page </w:t>
    </w:r>
    <w:r w:rsidR="00C173D4">
      <w:fldChar w:fldCharType="begin"/>
    </w:r>
    <w:r>
      <w:rPr>
        <w:lang w:val="en-US"/>
      </w:rPr>
      <w:instrText xml:space="preserve"> PAGE  \* Arabic  \* MERGEFORMAT </w:instrText>
    </w:r>
    <w:r w:rsidR="00C173D4">
      <w:fldChar w:fldCharType="separate"/>
    </w:r>
    <w:r w:rsidR="009D2DF3">
      <w:rPr>
        <w:noProof/>
        <w:lang w:val="en-US"/>
      </w:rPr>
      <w:t>8</w:t>
    </w:r>
    <w:r w:rsidR="00C173D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tab/>
    </w:r>
    <w:r>
      <w:tab/>
    </w:r>
    <w:r>
      <w:rPr>
        <w:lang w:val="en-US"/>
      </w:rPr>
      <w:t xml:space="preserve">Draft CEPT Brief on AI </w:t>
    </w:r>
    <w:r w:rsidRPr="00E36929">
      <w:rPr>
        <w:lang w:val="en-GB"/>
      </w:rPr>
      <w:t>9.1</w:t>
    </w:r>
    <w:r w:rsidR="003B7598">
      <w:rPr>
        <w:lang w:val="en-GB"/>
      </w:rPr>
      <w:t xml:space="preserve"> </w:t>
    </w:r>
    <w:r w:rsidR="003B7598" w:rsidRPr="000C24BD">
      <w:rPr>
        <w:lang w:val="en-US"/>
      </w:rPr>
      <w:t>issue</w:t>
    </w:r>
    <w:r w:rsidR="003D3D3E" w:rsidRPr="00E36929">
      <w:rPr>
        <w:lang w:val="en-GB"/>
      </w:rPr>
      <w:t xml:space="preserve"> 9.1</w:t>
    </w:r>
    <w:r w:rsidRPr="00E36929">
      <w:rPr>
        <w:lang w:val="en-GB"/>
      </w:rPr>
      <w:t>.3</w:t>
    </w:r>
    <w:r>
      <w:rPr>
        <w:lang w:val="en-US"/>
      </w:rPr>
      <w:t xml:space="preserve"> - Page </w:t>
    </w:r>
    <w:r w:rsidR="00C173D4">
      <w:fldChar w:fldCharType="begin"/>
    </w:r>
    <w:r>
      <w:rPr>
        <w:lang w:val="en-US"/>
      </w:rPr>
      <w:instrText xml:space="preserve"> PAGE  \* Arabic  \* MERGEFORMAT </w:instrText>
    </w:r>
    <w:r w:rsidR="00C173D4">
      <w:fldChar w:fldCharType="separate"/>
    </w:r>
    <w:r w:rsidR="009D2DF3">
      <w:rPr>
        <w:noProof/>
        <w:lang w:val="en-US"/>
      </w:rPr>
      <w:t>9</w:t>
    </w:r>
    <w:r w:rsidR="00C173D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pPr>
    <w:r>
      <w:rPr>
        <w:noProof/>
        <w:lang w:val="en-US"/>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Pr>
        <w:noProof/>
        <w:lang w:val="en-US"/>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917EC1" w:rsidRDefault="00917E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3F87DFC"/>
    <w:multiLevelType w:val="hybridMultilevel"/>
    <w:tmpl w:val="F7A03EC6"/>
    <w:lvl w:ilvl="0" w:tplc="9EEC39D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144CC2"/>
    <w:multiLevelType w:val="multilevel"/>
    <w:tmpl w:val="0EEE0F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1C66B9"/>
    <w:multiLevelType w:val="hybridMultilevel"/>
    <w:tmpl w:val="289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0"/>
  </w:num>
  <w:num w:numId="5">
    <w:abstractNumId w:val="17"/>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7"/>
  </w:num>
  <w:num w:numId="33">
    <w:abstractNumId w:val="19"/>
  </w:num>
  <w:num w:numId="34">
    <w:abstractNumId w:val="18"/>
  </w:num>
  <w:num w:numId="35">
    <w:abstractNumId w:val="18"/>
  </w:num>
  <w:num w:numId="36">
    <w:abstractNumId w:val="18"/>
  </w:num>
  <w:num w:numId="37">
    <w:abstractNumId w:val="12"/>
  </w:num>
  <w:num w:numId="38">
    <w:abstractNumId w:val="10"/>
  </w:num>
  <w:num w:numId="39">
    <w:abstractNumId w:val="11"/>
  </w:num>
  <w:num w:numId="4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E3MjA2NTAwMDJX0lEKTi0uzszPAykwNKoFAH3zn1EtAAAA"/>
  </w:docVars>
  <w:rsids>
    <w:rsidRoot w:val="00917EC1"/>
    <w:rsid w:val="00003A32"/>
    <w:rsid w:val="00007370"/>
    <w:rsid w:val="000121C0"/>
    <w:rsid w:val="000170E0"/>
    <w:rsid w:val="00023607"/>
    <w:rsid w:val="00044D7D"/>
    <w:rsid w:val="000457A7"/>
    <w:rsid w:val="00057BC8"/>
    <w:rsid w:val="00084BFE"/>
    <w:rsid w:val="000B0383"/>
    <w:rsid w:val="000B290B"/>
    <w:rsid w:val="000B40FD"/>
    <w:rsid w:val="000C24BD"/>
    <w:rsid w:val="000D64F9"/>
    <w:rsid w:val="000F6561"/>
    <w:rsid w:val="00152160"/>
    <w:rsid w:val="001653B3"/>
    <w:rsid w:val="0018136E"/>
    <w:rsid w:val="00185A53"/>
    <w:rsid w:val="001876CC"/>
    <w:rsid w:val="001903E3"/>
    <w:rsid w:val="001A2A8D"/>
    <w:rsid w:val="001D3652"/>
    <w:rsid w:val="001D69C7"/>
    <w:rsid w:val="001F3942"/>
    <w:rsid w:val="00226CD0"/>
    <w:rsid w:val="0023195D"/>
    <w:rsid w:val="0023309D"/>
    <w:rsid w:val="00242450"/>
    <w:rsid w:val="00267810"/>
    <w:rsid w:val="002739C4"/>
    <w:rsid w:val="00277AC2"/>
    <w:rsid w:val="002926B6"/>
    <w:rsid w:val="002B397F"/>
    <w:rsid w:val="002C2418"/>
    <w:rsid w:val="002E518D"/>
    <w:rsid w:val="003150FC"/>
    <w:rsid w:val="00320A91"/>
    <w:rsid w:val="00336833"/>
    <w:rsid w:val="00350EE6"/>
    <w:rsid w:val="003573A9"/>
    <w:rsid w:val="00364FB0"/>
    <w:rsid w:val="003779B5"/>
    <w:rsid w:val="003A270E"/>
    <w:rsid w:val="003B131C"/>
    <w:rsid w:val="003B7598"/>
    <w:rsid w:val="003C69DC"/>
    <w:rsid w:val="003D38C4"/>
    <w:rsid w:val="003D3D3E"/>
    <w:rsid w:val="003F1556"/>
    <w:rsid w:val="0040564E"/>
    <w:rsid w:val="00417C3C"/>
    <w:rsid w:val="00423BFE"/>
    <w:rsid w:val="0042544D"/>
    <w:rsid w:val="00431C12"/>
    <w:rsid w:val="004708C2"/>
    <w:rsid w:val="0047379F"/>
    <w:rsid w:val="00482ED2"/>
    <w:rsid w:val="00484C1B"/>
    <w:rsid w:val="004C7432"/>
    <w:rsid w:val="004F34D7"/>
    <w:rsid w:val="00530DF4"/>
    <w:rsid w:val="00534BD5"/>
    <w:rsid w:val="00551799"/>
    <w:rsid w:val="0055288D"/>
    <w:rsid w:val="005644A4"/>
    <w:rsid w:val="00595C0E"/>
    <w:rsid w:val="005968EA"/>
    <w:rsid w:val="005D4AB2"/>
    <w:rsid w:val="005F3102"/>
    <w:rsid w:val="006171A5"/>
    <w:rsid w:val="00647F74"/>
    <w:rsid w:val="00657C6D"/>
    <w:rsid w:val="006758F2"/>
    <w:rsid w:val="00691F89"/>
    <w:rsid w:val="00697641"/>
    <w:rsid w:val="006A6A1A"/>
    <w:rsid w:val="006C6724"/>
    <w:rsid w:val="00741C11"/>
    <w:rsid w:val="00753A8A"/>
    <w:rsid w:val="00767A9A"/>
    <w:rsid w:val="00774D0F"/>
    <w:rsid w:val="00780761"/>
    <w:rsid w:val="00790C78"/>
    <w:rsid w:val="007D0DFE"/>
    <w:rsid w:val="007D3757"/>
    <w:rsid w:val="007E1184"/>
    <w:rsid w:val="00817675"/>
    <w:rsid w:val="008644FD"/>
    <w:rsid w:val="00870B12"/>
    <w:rsid w:val="00872FE1"/>
    <w:rsid w:val="0088291D"/>
    <w:rsid w:val="00890B6B"/>
    <w:rsid w:val="00897939"/>
    <w:rsid w:val="008B3592"/>
    <w:rsid w:val="008B4DB9"/>
    <w:rsid w:val="0091670D"/>
    <w:rsid w:val="00917EC1"/>
    <w:rsid w:val="00942135"/>
    <w:rsid w:val="0094692A"/>
    <w:rsid w:val="00956DD0"/>
    <w:rsid w:val="00961B4E"/>
    <w:rsid w:val="009836A8"/>
    <w:rsid w:val="00993C96"/>
    <w:rsid w:val="009B4F02"/>
    <w:rsid w:val="009C6E71"/>
    <w:rsid w:val="009D2DF3"/>
    <w:rsid w:val="009F0039"/>
    <w:rsid w:val="00A23BC1"/>
    <w:rsid w:val="00A51B78"/>
    <w:rsid w:val="00A51BD0"/>
    <w:rsid w:val="00A52F63"/>
    <w:rsid w:val="00A8159A"/>
    <w:rsid w:val="00AC2137"/>
    <w:rsid w:val="00AD4011"/>
    <w:rsid w:val="00B302A8"/>
    <w:rsid w:val="00B43171"/>
    <w:rsid w:val="00B470A6"/>
    <w:rsid w:val="00B54E2D"/>
    <w:rsid w:val="00B855E1"/>
    <w:rsid w:val="00B90DD6"/>
    <w:rsid w:val="00BA2B7C"/>
    <w:rsid w:val="00BB79B3"/>
    <w:rsid w:val="00BC4168"/>
    <w:rsid w:val="00BC504F"/>
    <w:rsid w:val="00BD016A"/>
    <w:rsid w:val="00BD4514"/>
    <w:rsid w:val="00BE7E27"/>
    <w:rsid w:val="00C0197D"/>
    <w:rsid w:val="00C076F9"/>
    <w:rsid w:val="00C173D4"/>
    <w:rsid w:val="00C32419"/>
    <w:rsid w:val="00C35635"/>
    <w:rsid w:val="00C43A4C"/>
    <w:rsid w:val="00C96B19"/>
    <w:rsid w:val="00CB3522"/>
    <w:rsid w:val="00CC3B7C"/>
    <w:rsid w:val="00CD1C16"/>
    <w:rsid w:val="00CD2C93"/>
    <w:rsid w:val="00CD50A5"/>
    <w:rsid w:val="00CF37A3"/>
    <w:rsid w:val="00D00487"/>
    <w:rsid w:val="00D00F91"/>
    <w:rsid w:val="00D07AAF"/>
    <w:rsid w:val="00D61E8A"/>
    <w:rsid w:val="00D71055"/>
    <w:rsid w:val="00DA47DC"/>
    <w:rsid w:val="00DD33AB"/>
    <w:rsid w:val="00DD49C3"/>
    <w:rsid w:val="00DD51BA"/>
    <w:rsid w:val="00E36929"/>
    <w:rsid w:val="00E448AC"/>
    <w:rsid w:val="00E47F2F"/>
    <w:rsid w:val="00E61076"/>
    <w:rsid w:val="00E67F1E"/>
    <w:rsid w:val="00EA3BC2"/>
    <w:rsid w:val="00EC2236"/>
    <w:rsid w:val="00ED18B5"/>
    <w:rsid w:val="00ED2BF3"/>
    <w:rsid w:val="00F07553"/>
    <w:rsid w:val="00F90719"/>
    <w:rsid w:val="00FD7D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C173D4"/>
    <w:rPr>
      <w:rFonts w:eastAsia="Calibri"/>
      <w:szCs w:val="22"/>
      <w:lang w:val="en-GB"/>
    </w:rPr>
  </w:style>
  <w:style w:type="paragraph" w:styleId="Heading1">
    <w:name w:val="heading 1"/>
    <w:aliases w:val="ECC Heading 1"/>
    <w:next w:val="Normal"/>
    <w:qFormat/>
    <w:rsid w:val="00C173D4"/>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C173D4"/>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C173D4"/>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C173D4"/>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C173D4"/>
    <w:pPr>
      <w:numPr>
        <w:ilvl w:val="4"/>
        <w:numId w:val="36"/>
      </w:numPr>
      <w:outlineLvl w:val="4"/>
    </w:pPr>
    <w:rPr>
      <w:b/>
      <w:bCs/>
      <w:i/>
      <w:iCs/>
      <w:sz w:val="26"/>
      <w:szCs w:val="26"/>
    </w:rPr>
  </w:style>
  <w:style w:type="paragraph" w:styleId="Heading6">
    <w:name w:val="heading 6"/>
    <w:basedOn w:val="Normal"/>
    <w:next w:val="Normal"/>
    <w:semiHidden/>
    <w:qFormat/>
    <w:locked/>
    <w:rsid w:val="00C173D4"/>
    <w:pPr>
      <w:numPr>
        <w:ilvl w:val="5"/>
        <w:numId w:val="36"/>
      </w:numPr>
      <w:outlineLvl w:val="5"/>
    </w:pPr>
    <w:rPr>
      <w:b/>
      <w:bCs/>
      <w:sz w:val="22"/>
    </w:rPr>
  </w:style>
  <w:style w:type="paragraph" w:styleId="Heading7">
    <w:name w:val="heading 7"/>
    <w:basedOn w:val="Normal"/>
    <w:next w:val="Normal"/>
    <w:semiHidden/>
    <w:qFormat/>
    <w:locked/>
    <w:rsid w:val="00C173D4"/>
    <w:pPr>
      <w:numPr>
        <w:ilvl w:val="6"/>
        <w:numId w:val="36"/>
      </w:numPr>
      <w:outlineLvl w:val="6"/>
    </w:pPr>
    <w:rPr>
      <w:sz w:val="24"/>
    </w:rPr>
  </w:style>
  <w:style w:type="paragraph" w:styleId="Heading8">
    <w:name w:val="heading 8"/>
    <w:basedOn w:val="Normal"/>
    <w:next w:val="Normal"/>
    <w:semiHidden/>
    <w:qFormat/>
    <w:locked/>
    <w:rsid w:val="00C173D4"/>
    <w:pPr>
      <w:numPr>
        <w:ilvl w:val="7"/>
        <w:numId w:val="36"/>
      </w:numPr>
      <w:outlineLvl w:val="7"/>
    </w:pPr>
    <w:rPr>
      <w:i/>
      <w:iCs/>
      <w:sz w:val="24"/>
    </w:rPr>
  </w:style>
  <w:style w:type="paragraph" w:styleId="Heading9">
    <w:name w:val="heading 9"/>
    <w:basedOn w:val="Normal"/>
    <w:next w:val="Normal"/>
    <w:semiHidden/>
    <w:qFormat/>
    <w:locked/>
    <w:rsid w:val="00C173D4"/>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C173D4"/>
    <w:pPr>
      <w:numPr>
        <w:numId w:val="28"/>
      </w:numPr>
      <w:tabs>
        <w:tab w:val="left" w:pos="340"/>
      </w:tabs>
      <w:spacing w:before="60" w:after="0"/>
    </w:pPr>
  </w:style>
  <w:style w:type="paragraph" w:customStyle="1" w:styleId="ECCHeadingnonumbering">
    <w:name w:val="ECC Heading no numbering"/>
    <w:basedOn w:val="Heading1"/>
    <w:rsid w:val="00C173D4"/>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Normal"/>
    <w:rsid w:val="00C173D4"/>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C173D4"/>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173D4"/>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C173D4"/>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173D4"/>
    <w:rPr>
      <w:rFonts w:eastAsia="Calibri"/>
      <w:sz w:val="16"/>
      <w:szCs w:val="16"/>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Appel note de bas de p3"/>
    <w:basedOn w:val="DefaultParagraphFon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Normal"/>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Normal"/>
    <w:rsid w:val="00C173D4"/>
    <w:pPr>
      <w:numPr>
        <w:numId w:val="32"/>
      </w:numPr>
      <w:spacing w:after="0"/>
    </w:pPr>
    <w:rPr>
      <w:szCs w:val="20"/>
    </w:rPr>
  </w:style>
  <w:style w:type="paragraph" w:customStyle="1" w:styleId="ECCReference">
    <w:name w:val="ECC Reference"/>
    <w:basedOn w:val="Normal"/>
    <w:rsid w:val="00C173D4"/>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Normal"/>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C173D4"/>
    <w:pPr>
      <w:tabs>
        <w:tab w:val="right" w:pos="4750"/>
      </w:tabs>
      <w:spacing w:before="60"/>
    </w:pPr>
    <w:rPr>
      <w:b/>
      <w:sz w:val="22"/>
      <w:szCs w:val="20"/>
    </w:rPr>
  </w:style>
  <w:style w:type="character" w:customStyle="1" w:styleId="ECCHLyellow">
    <w:name w:val="ECC HL yellow"/>
    <w:basedOn w:val="DefaultParagraphFon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C173D4"/>
    <w:rPr>
      <w:b/>
      <w:bCs/>
    </w:rPr>
  </w:style>
  <w:style w:type="paragraph" w:customStyle="1" w:styleId="ECCTabletext">
    <w:name w:val="ECC Table text"/>
    <w:basedOn w:val="Normal"/>
    <w:qFormat/>
    <w:rsid w:val="00C173D4"/>
    <w:pPr>
      <w:spacing w:before="0"/>
    </w:pPr>
  </w:style>
  <w:style w:type="paragraph" w:styleId="Signature">
    <w:name w:val="Signature"/>
    <w:basedOn w:val="Normal"/>
    <w:link w:val="SignatureChar"/>
    <w:uiPriority w:val="99"/>
    <w:semiHidden/>
    <w:unhideWhenUsed/>
    <w:locked/>
    <w:rsid w:val="00C173D4"/>
    <w:pPr>
      <w:spacing w:before="0" w:after="0"/>
      <w:ind w:left="4252"/>
    </w:pPr>
  </w:style>
  <w:style w:type="character" w:customStyle="1" w:styleId="SignatureChar">
    <w:name w:val="Signature Char"/>
    <w:basedOn w:val="DefaultParagraphFont"/>
    <w:link w:val="Signature"/>
    <w:uiPriority w:val="99"/>
    <w:semiHidden/>
    <w:rsid w:val="00C173D4"/>
  </w:style>
  <w:style w:type="character" w:styleId="Emphasis">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TOC1Char">
    <w:name w:val="TOC 1 Char"/>
    <w:aliases w:val="ECC Index 1 Char"/>
    <w:basedOn w:val="DefaultParagraphFont"/>
    <w:link w:val="TOC1"/>
    <w:uiPriority w:val="39"/>
    <w:semiHidden/>
    <w:rsid w:val="00C173D4"/>
    <w:rPr>
      <w:rFonts w:eastAsia="Calibri"/>
      <w:b/>
      <w:noProof/>
    </w:rPr>
  </w:style>
  <w:style w:type="character" w:customStyle="1" w:styleId="ECCHLcyan">
    <w:name w:val="ECC HL cyan"/>
    <w:basedOn w:val="DefaultParagraphFont"/>
    <w:uiPriority w:val="1"/>
    <w:qFormat/>
    <w:rsid w:val="00C173D4"/>
    <w:rPr>
      <w:iCs w:val="0"/>
      <w:bdr w:val="none" w:sz="0" w:space="0" w:color="auto"/>
      <w:shd w:val="solid" w:color="00FFFF" w:fill="auto"/>
      <w:lang w:val="en-GB"/>
    </w:rPr>
  </w:style>
  <w:style w:type="character" w:customStyle="1" w:styleId="ECCHLorange">
    <w:name w:val="ECC HL orange"/>
    <w:basedOn w:val="DefaultParagraphFont"/>
    <w:uiPriority w:val="1"/>
    <w:qFormat/>
    <w:rsid w:val="00C173D4"/>
    <w:rPr>
      <w:bdr w:val="none" w:sz="0" w:space="0" w:color="auto"/>
      <w:shd w:val="solid" w:color="FFC000" w:fill="auto"/>
    </w:rPr>
  </w:style>
  <w:style w:type="character" w:customStyle="1" w:styleId="ECCHLblue">
    <w:name w:val="ECC HL blue"/>
    <w:basedOn w:val="DefaultParagraphFon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C173D4"/>
    <w:rPr>
      <w:rFonts w:eastAsia="Calibri"/>
      <w:b/>
      <w:sz w:val="22"/>
      <w:lang w:val="en-GB"/>
    </w:rPr>
  </w:style>
  <w:style w:type="character" w:customStyle="1" w:styleId="ECCHLmagenta">
    <w:name w:val="ECC HL magenta"/>
    <w:basedOn w:val="DefaultParagraphFont"/>
    <w:uiPriority w:val="1"/>
    <w:qFormat/>
    <w:rsid w:val="00C173D4"/>
    <w:rPr>
      <w:color w:val="auto"/>
      <w:bdr w:val="none" w:sz="0" w:space="0" w:color="auto"/>
      <w:shd w:val="solid" w:color="FF3399" w:fill="auto"/>
      <w:lang w:val="en-GB"/>
    </w:rPr>
  </w:style>
  <w:style w:type="character" w:customStyle="1" w:styleId="ECCHLbrown">
    <w:name w:val="ECC HL brown"/>
    <w:basedOn w:val="DefaultParagraphFont"/>
    <w:uiPriority w:val="1"/>
    <w:qFormat/>
    <w:rsid w:val="00C173D4"/>
    <w:rPr>
      <w:color w:val="D9D9D9" w:themeColor="background1" w:themeShade="D9"/>
      <w:bdr w:val="none" w:sz="0" w:space="0" w:color="auto"/>
      <w:shd w:val="solid" w:color="B95807" w:fill="auto"/>
    </w:rPr>
  </w:style>
  <w:style w:type="paragraph" w:customStyle="1" w:styleId="ECCBreak">
    <w:name w:val="ECC Break"/>
    <w:next w:val="Normal"/>
    <w:link w:val="ECCBreakZchn"/>
    <w:rsid w:val="00C173D4"/>
    <w:pPr>
      <w:spacing w:before="360"/>
      <w:jc w:val="left"/>
    </w:pPr>
    <w:rPr>
      <w:b/>
      <w:bCs/>
      <w:iCs/>
      <w:szCs w:val="28"/>
    </w:rPr>
  </w:style>
  <w:style w:type="character" w:customStyle="1" w:styleId="ECCBreakZchn">
    <w:name w:val="ECC Break Zchn"/>
    <w:basedOn w:val="DefaultParagraphFont"/>
    <w:link w:val="ECCBreak"/>
    <w:rsid w:val="00C173D4"/>
    <w:rPr>
      <w:b/>
      <w:bCs/>
      <w:iCs/>
      <w:szCs w:val="28"/>
    </w:rPr>
  </w:style>
  <w:style w:type="character" w:styleId="Hyperlink">
    <w:name w:val="Hyperlink"/>
    <w:aliases w:val="ECC Hyperlink"/>
    <w:basedOn w:val="DefaultParagraphFont"/>
    <w:uiPriority w:val="99"/>
    <w:rsid w:val="00C173D4"/>
    <w:rPr>
      <w:color w:val="0000FF" w:themeColor="hyperlink"/>
      <w:u w:val="single"/>
    </w:rPr>
  </w:style>
  <w:style w:type="paragraph" w:styleId="Caption">
    <w:name w:val="caption"/>
    <w:aliases w:val="ECC Caption"/>
    <w:next w:val="Normal"/>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leGrid">
    <w:name w:val="Table Grid"/>
    <w:basedOn w:val="TableNormal"/>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Normal"/>
    <w:rsid w:val="00C173D4"/>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C173D4"/>
    <w:pPr>
      <w:tabs>
        <w:tab w:val="center" w:pos="4677"/>
        <w:tab w:val="right" w:pos="9355"/>
      </w:tabs>
      <w:spacing w:before="0" w:after="0"/>
    </w:pPr>
  </w:style>
  <w:style w:type="character" w:customStyle="1" w:styleId="FooterChar">
    <w:name w:val="Footer Char"/>
    <w:basedOn w:val="DefaultParagraphFont"/>
    <w:link w:val="Footer"/>
    <w:uiPriority w:val="99"/>
    <w:semiHidden/>
    <w:rsid w:val="00C173D4"/>
    <w:rPr>
      <w:rFonts w:eastAsia="Calibri"/>
      <w:szCs w:val="22"/>
      <w:lang w:val="en-GB"/>
    </w:rPr>
  </w:style>
  <w:style w:type="paragraph" w:styleId="NormalWeb">
    <w:name w:val="Normal (Web)"/>
    <w:basedOn w:val="Normal"/>
    <w:uiPriority w:val="99"/>
    <w:semiHidden/>
    <w:unhideWhenUsed/>
    <w:locked/>
    <w:rsid w:val="00C173D4"/>
    <w:rPr>
      <w:rFonts w:ascii="Times New Roman" w:hAnsi="Times New Roman"/>
      <w:sz w:val="24"/>
      <w:szCs w:val="24"/>
    </w:rPr>
  </w:style>
  <w:style w:type="paragraph" w:styleId="ListParagraph">
    <w:name w:val="List Paragraph"/>
    <w:basedOn w:val="Normal"/>
    <w:uiPriority w:val="34"/>
    <w:semiHidden/>
    <w:qFormat/>
    <w:locked/>
    <w:rsid w:val="00277AC2"/>
    <w:pPr>
      <w:ind w:left="720"/>
      <w:contextualSpacing/>
    </w:pPr>
  </w:style>
  <w:style w:type="character" w:styleId="CommentReference">
    <w:name w:val="annotation reference"/>
    <w:basedOn w:val="DefaultParagraphFont"/>
    <w:uiPriority w:val="99"/>
    <w:semiHidden/>
    <w:unhideWhenUsed/>
    <w:locked/>
    <w:rsid w:val="00AD4011"/>
    <w:rPr>
      <w:sz w:val="16"/>
      <w:szCs w:val="16"/>
    </w:rPr>
  </w:style>
  <w:style w:type="paragraph" w:styleId="CommentText">
    <w:name w:val="annotation text"/>
    <w:basedOn w:val="Normal"/>
    <w:link w:val="CommentTextChar"/>
    <w:uiPriority w:val="99"/>
    <w:semiHidden/>
    <w:unhideWhenUsed/>
    <w:locked/>
    <w:rsid w:val="00AD4011"/>
    <w:rPr>
      <w:szCs w:val="20"/>
    </w:rPr>
  </w:style>
  <w:style w:type="character" w:customStyle="1" w:styleId="CommentTextChar">
    <w:name w:val="Comment Text Char"/>
    <w:basedOn w:val="DefaultParagraphFont"/>
    <w:link w:val="CommentText"/>
    <w:uiPriority w:val="99"/>
    <w:semiHidden/>
    <w:rsid w:val="00AD4011"/>
    <w:rPr>
      <w:rFonts w:eastAsia="Calibri"/>
      <w:lang w:val="en-GB"/>
    </w:rPr>
  </w:style>
  <w:style w:type="paragraph" w:styleId="CommentSubject">
    <w:name w:val="annotation subject"/>
    <w:basedOn w:val="CommentText"/>
    <w:next w:val="CommentText"/>
    <w:link w:val="CommentSubjectChar"/>
    <w:uiPriority w:val="99"/>
    <w:semiHidden/>
    <w:unhideWhenUsed/>
    <w:locked/>
    <w:rsid w:val="00AD4011"/>
    <w:rPr>
      <w:b/>
      <w:bCs/>
    </w:rPr>
  </w:style>
  <w:style w:type="character" w:customStyle="1" w:styleId="CommentSubjectChar">
    <w:name w:val="Comment Subject Char"/>
    <w:basedOn w:val="CommentTextChar"/>
    <w:link w:val="CommentSubject"/>
    <w:uiPriority w:val="99"/>
    <w:semiHidden/>
    <w:rsid w:val="00AD4011"/>
    <w:rPr>
      <w:rFonts w:eastAsia="Calibri"/>
      <w:b/>
      <w:bCs/>
      <w:lang w:val="en-GB"/>
    </w:rPr>
  </w:style>
  <w:style w:type="paragraph" w:styleId="Revision">
    <w:name w:val="Revision"/>
    <w:hidden/>
    <w:uiPriority w:val="99"/>
    <w:semiHidden/>
    <w:rsid w:val="00364FB0"/>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C173D4"/>
    <w:rPr>
      <w:rFonts w:eastAsia="Calibri"/>
      <w:szCs w:val="22"/>
      <w:lang w:val="en-GB"/>
    </w:rPr>
  </w:style>
  <w:style w:type="paragraph" w:styleId="Heading1">
    <w:name w:val="heading 1"/>
    <w:aliases w:val="ECC Heading 1"/>
    <w:next w:val="Normal"/>
    <w:qFormat/>
    <w:rsid w:val="00C173D4"/>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C173D4"/>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C173D4"/>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C173D4"/>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C173D4"/>
    <w:pPr>
      <w:numPr>
        <w:ilvl w:val="4"/>
        <w:numId w:val="36"/>
      </w:numPr>
      <w:outlineLvl w:val="4"/>
    </w:pPr>
    <w:rPr>
      <w:b/>
      <w:bCs/>
      <w:i/>
      <w:iCs/>
      <w:sz w:val="26"/>
      <w:szCs w:val="26"/>
    </w:rPr>
  </w:style>
  <w:style w:type="paragraph" w:styleId="Heading6">
    <w:name w:val="heading 6"/>
    <w:basedOn w:val="Normal"/>
    <w:next w:val="Normal"/>
    <w:semiHidden/>
    <w:qFormat/>
    <w:locked/>
    <w:rsid w:val="00C173D4"/>
    <w:pPr>
      <w:numPr>
        <w:ilvl w:val="5"/>
        <w:numId w:val="36"/>
      </w:numPr>
      <w:outlineLvl w:val="5"/>
    </w:pPr>
    <w:rPr>
      <w:b/>
      <w:bCs/>
      <w:sz w:val="22"/>
    </w:rPr>
  </w:style>
  <w:style w:type="paragraph" w:styleId="Heading7">
    <w:name w:val="heading 7"/>
    <w:basedOn w:val="Normal"/>
    <w:next w:val="Normal"/>
    <w:semiHidden/>
    <w:qFormat/>
    <w:locked/>
    <w:rsid w:val="00C173D4"/>
    <w:pPr>
      <w:numPr>
        <w:ilvl w:val="6"/>
        <w:numId w:val="36"/>
      </w:numPr>
      <w:outlineLvl w:val="6"/>
    </w:pPr>
    <w:rPr>
      <w:sz w:val="24"/>
    </w:rPr>
  </w:style>
  <w:style w:type="paragraph" w:styleId="Heading8">
    <w:name w:val="heading 8"/>
    <w:basedOn w:val="Normal"/>
    <w:next w:val="Normal"/>
    <w:semiHidden/>
    <w:qFormat/>
    <w:locked/>
    <w:rsid w:val="00C173D4"/>
    <w:pPr>
      <w:numPr>
        <w:ilvl w:val="7"/>
        <w:numId w:val="36"/>
      </w:numPr>
      <w:outlineLvl w:val="7"/>
    </w:pPr>
    <w:rPr>
      <w:i/>
      <w:iCs/>
      <w:sz w:val="24"/>
    </w:rPr>
  </w:style>
  <w:style w:type="paragraph" w:styleId="Heading9">
    <w:name w:val="heading 9"/>
    <w:basedOn w:val="Normal"/>
    <w:next w:val="Normal"/>
    <w:semiHidden/>
    <w:qFormat/>
    <w:locked/>
    <w:rsid w:val="00C173D4"/>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C173D4"/>
    <w:pPr>
      <w:numPr>
        <w:numId w:val="28"/>
      </w:numPr>
      <w:tabs>
        <w:tab w:val="left" w:pos="340"/>
      </w:tabs>
      <w:spacing w:before="60" w:after="0"/>
    </w:pPr>
  </w:style>
  <w:style w:type="paragraph" w:customStyle="1" w:styleId="ECCHeadingnonumbering">
    <w:name w:val="ECC Heading no numbering"/>
    <w:basedOn w:val="Heading1"/>
    <w:rsid w:val="00C173D4"/>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Normal"/>
    <w:rsid w:val="00C173D4"/>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C173D4"/>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173D4"/>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C173D4"/>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173D4"/>
    <w:rPr>
      <w:rFonts w:eastAsia="Calibri"/>
      <w:sz w:val="16"/>
      <w:szCs w:val="16"/>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Appel note de bas de p3"/>
    <w:basedOn w:val="DefaultParagraphFon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Normal"/>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Normal"/>
    <w:rsid w:val="00C173D4"/>
    <w:pPr>
      <w:numPr>
        <w:numId w:val="32"/>
      </w:numPr>
      <w:spacing w:after="0"/>
    </w:pPr>
    <w:rPr>
      <w:szCs w:val="20"/>
    </w:rPr>
  </w:style>
  <w:style w:type="paragraph" w:customStyle="1" w:styleId="ECCReference">
    <w:name w:val="ECC Reference"/>
    <w:basedOn w:val="Normal"/>
    <w:rsid w:val="00C173D4"/>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Normal"/>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C173D4"/>
    <w:pPr>
      <w:tabs>
        <w:tab w:val="right" w:pos="4750"/>
      </w:tabs>
      <w:spacing w:before="60"/>
    </w:pPr>
    <w:rPr>
      <w:b/>
      <w:sz w:val="22"/>
      <w:szCs w:val="20"/>
    </w:rPr>
  </w:style>
  <w:style w:type="character" w:customStyle="1" w:styleId="ECCHLyellow">
    <w:name w:val="ECC HL yellow"/>
    <w:basedOn w:val="DefaultParagraphFon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C173D4"/>
    <w:rPr>
      <w:b/>
      <w:bCs/>
    </w:rPr>
  </w:style>
  <w:style w:type="paragraph" w:customStyle="1" w:styleId="ECCTabletext">
    <w:name w:val="ECC Table text"/>
    <w:basedOn w:val="Normal"/>
    <w:qFormat/>
    <w:rsid w:val="00C173D4"/>
    <w:pPr>
      <w:spacing w:before="0"/>
    </w:pPr>
  </w:style>
  <w:style w:type="paragraph" w:styleId="Signature">
    <w:name w:val="Signature"/>
    <w:basedOn w:val="Normal"/>
    <w:link w:val="SignatureChar"/>
    <w:uiPriority w:val="99"/>
    <w:semiHidden/>
    <w:unhideWhenUsed/>
    <w:locked/>
    <w:rsid w:val="00C173D4"/>
    <w:pPr>
      <w:spacing w:before="0" w:after="0"/>
      <w:ind w:left="4252"/>
    </w:pPr>
  </w:style>
  <w:style w:type="character" w:customStyle="1" w:styleId="SignatureChar">
    <w:name w:val="Signature Char"/>
    <w:basedOn w:val="DefaultParagraphFont"/>
    <w:link w:val="Signature"/>
    <w:uiPriority w:val="99"/>
    <w:semiHidden/>
    <w:rsid w:val="00C173D4"/>
  </w:style>
  <w:style w:type="character" w:styleId="Emphasis">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TOC1Char">
    <w:name w:val="TOC 1 Char"/>
    <w:aliases w:val="ECC Index 1 Char"/>
    <w:basedOn w:val="DefaultParagraphFont"/>
    <w:link w:val="TOC1"/>
    <w:uiPriority w:val="39"/>
    <w:semiHidden/>
    <w:rsid w:val="00C173D4"/>
    <w:rPr>
      <w:rFonts w:eastAsia="Calibri"/>
      <w:b/>
      <w:noProof/>
    </w:rPr>
  </w:style>
  <w:style w:type="character" w:customStyle="1" w:styleId="ECCHLcyan">
    <w:name w:val="ECC HL cyan"/>
    <w:basedOn w:val="DefaultParagraphFont"/>
    <w:uiPriority w:val="1"/>
    <w:qFormat/>
    <w:rsid w:val="00C173D4"/>
    <w:rPr>
      <w:iCs w:val="0"/>
      <w:bdr w:val="none" w:sz="0" w:space="0" w:color="auto"/>
      <w:shd w:val="solid" w:color="00FFFF" w:fill="auto"/>
      <w:lang w:val="en-GB"/>
    </w:rPr>
  </w:style>
  <w:style w:type="character" w:customStyle="1" w:styleId="ECCHLorange">
    <w:name w:val="ECC HL orange"/>
    <w:basedOn w:val="DefaultParagraphFont"/>
    <w:uiPriority w:val="1"/>
    <w:qFormat/>
    <w:rsid w:val="00C173D4"/>
    <w:rPr>
      <w:bdr w:val="none" w:sz="0" w:space="0" w:color="auto"/>
      <w:shd w:val="solid" w:color="FFC000" w:fill="auto"/>
    </w:rPr>
  </w:style>
  <w:style w:type="character" w:customStyle="1" w:styleId="ECCHLblue">
    <w:name w:val="ECC HL blue"/>
    <w:basedOn w:val="DefaultParagraphFon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C173D4"/>
    <w:rPr>
      <w:rFonts w:eastAsia="Calibri"/>
      <w:b/>
      <w:sz w:val="22"/>
      <w:lang w:val="en-GB"/>
    </w:rPr>
  </w:style>
  <w:style w:type="character" w:customStyle="1" w:styleId="ECCHLmagenta">
    <w:name w:val="ECC HL magenta"/>
    <w:basedOn w:val="DefaultParagraphFont"/>
    <w:uiPriority w:val="1"/>
    <w:qFormat/>
    <w:rsid w:val="00C173D4"/>
    <w:rPr>
      <w:color w:val="auto"/>
      <w:bdr w:val="none" w:sz="0" w:space="0" w:color="auto"/>
      <w:shd w:val="solid" w:color="FF3399" w:fill="auto"/>
      <w:lang w:val="en-GB"/>
    </w:rPr>
  </w:style>
  <w:style w:type="character" w:customStyle="1" w:styleId="ECCHLbrown">
    <w:name w:val="ECC HL brown"/>
    <w:basedOn w:val="DefaultParagraphFont"/>
    <w:uiPriority w:val="1"/>
    <w:qFormat/>
    <w:rsid w:val="00C173D4"/>
    <w:rPr>
      <w:color w:val="D9D9D9" w:themeColor="background1" w:themeShade="D9"/>
      <w:bdr w:val="none" w:sz="0" w:space="0" w:color="auto"/>
      <w:shd w:val="solid" w:color="B95807" w:fill="auto"/>
    </w:rPr>
  </w:style>
  <w:style w:type="paragraph" w:customStyle="1" w:styleId="ECCBreak">
    <w:name w:val="ECC Break"/>
    <w:next w:val="Normal"/>
    <w:link w:val="ECCBreakZchn"/>
    <w:rsid w:val="00C173D4"/>
    <w:pPr>
      <w:spacing w:before="360"/>
      <w:jc w:val="left"/>
    </w:pPr>
    <w:rPr>
      <w:b/>
      <w:bCs/>
      <w:iCs/>
      <w:szCs w:val="28"/>
    </w:rPr>
  </w:style>
  <w:style w:type="character" w:customStyle="1" w:styleId="ECCBreakZchn">
    <w:name w:val="ECC Break Zchn"/>
    <w:basedOn w:val="DefaultParagraphFont"/>
    <w:link w:val="ECCBreak"/>
    <w:rsid w:val="00C173D4"/>
    <w:rPr>
      <w:b/>
      <w:bCs/>
      <w:iCs/>
      <w:szCs w:val="28"/>
    </w:rPr>
  </w:style>
  <w:style w:type="character" w:styleId="Hyperlink">
    <w:name w:val="Hyperlink"/>
    <w:aliases w:val="ECC Hyperlink"/>
    <w:basedOn w:val="DefaultParagraphFont"/>
    <w:uiPriority w:val="99"/>
    <w:rsid w:val="00C173D4"/>
    <w:rPr>
      <w:color w:val="0000FF" w:themeColor="hyperlink"/>
      <w:u w:val="single"/>
    </w:rPr>
  </w:style>
  <w:style w:type="paragraph" w:styleId="Caption">
    <w:name w:val="caption"/>
    <w:aliases w:val="ECC Caption"/>
    <w:next w:val="Normal"/>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leGrid">
    <w:name w:val="Table Grid"/>
    <w:basedOn w:val="TableNormal"/>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Normal"/>
    <w:rsid w:val="00C173D4"/>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C173D4"/>
    <w:pPr>
      <w:tabs>
        <w:tab w:val="center" w:pos="4677"/>
        <w:tab w:val="right" w:pos="9355"/>
      </w:tabs>
      <w:spacing w:before="0" w:after="0"/>
    </w:pPr>
  </w:style>
  <w:style w:type="character" w:customStyle="1" w:styleId="FooterChar">
    <w:name w:val="Footer Char"/>
    <w:basedOn w:val="DefaultParagraphFont"/>
    <w:link w:val="Footer"/>
    <w:uiPriority w:val="99"/>
    <w:semiHidden/>
    <w:rsid w:val="00C173D4"/>
    <w:rPr>
      <w:rFonts w:eastAsia="Calibri"/>
      <w:szCs w:val="22"/>
      <w:lang w:val="en-GB"/>
    </w:rPr>
  </w:style>
  <w:style w:type="paragraph" w:styleId="NormalWeb">
    <w:name w:val="Normal (Web)"/>
    <w:basedOn w:val="Normal"/>
    <w:uiPriority w:val="99"/>
    <w:semiHidden/>
    <w:unhideWhenUsed/>
    <w:locked/>
    <w:rsid w:val="00C173D4"/>
    <w:rPr>
      <w:rFonts w:ascii="Times New Roman" w:hAnsi="Times New Roman"/>
      <w:sz w:val="24"/>
      <w:szCs w:val="24"/>
    </w:rPr>
  </w:style>
  <w:style w:type="paragraph" w:styleId="ListParagraph">
    <w:name w:val="List Paragraph"/>
    <w:basedOn w:val="Normal"/>
    <w:uiPriority w:val="34"/>
    <w:semiHidden/>
    <w:qFormat/>
    <w:locked/>
    <w:rsid w:val="00277AC2"/>
    <w:pPr>
      <w:ind w:left="720"/>
      <w:contextualSpacing/>
    </w:pPr>
  </w:style>
  <w:style w:type="character" w:styleId="CommentReference">
    <w:name w:val="annotation reference"/>
    <w:basedOn w:val="DefaultParagraphFont"/>
    <w:uiPriority w:val="99"/>
    <w:semiHidden/>
    <w:unhideWhenUsed/>
    <w:locked/>
    <w:rsid w:val="00AD4011"/>
    <w:rPr>
      <w:sz w:val="16"/>
      <w:szCs w:val="16"/>
    </w:rPr>
  </w:style>
  <w:style w:type="paragraph" w:styleId="CommentText">
    <w:name w:val="annotation text"/>
    <w:basedOn w:val="Normal"/>
    <w:link w:val="CommentTextChar"/>
    <w:uiPriority w:val="99"/>
    <w:semiHidden/>
    <w:unhideWhenUsed/>
    <w:locked/>
    <w:rsid w:val="00AD4011"/>
    <w:rPr>
      <w:szCs w:val="20"/>
    </w:rPr>
  </w:style>
  <w:style w:type="character" w:customStyle="1" w:styleId="CommentTextChar">
    <w:name w:val="Comment Text Char"/>
    <w:basedOn w:val="DefaultParagraphFont"/>
    <w:link w:val="CommentText"/>
    <w:uiPriority w:val="99"/>
    <w:semiHidden/>
    <w:rsid w:val="00AD4011"/>
    <w:rPr>
      <w:rFonts w:eastAsia="Calibri"/>
      <w:lang w:val="en-GB"/>
    </w:rPr>
  </w:style>
  <w:style w:type="paragraph" w:styleId="CommentSubject">
    <w:name w:val="annotation subject"/>
    <w:basedOn w:val="CommentText"/>
    <w:next w:val="CommentText"/>
    <w:link w:val="CommentSubjectChar"/>
    <w:uiPriority w:val="99"/>
    <w:semiHidden/>
    <w:unhideWhenUsed/>
    <w:locked/>
    <w:rsid w:val="00AD4011"/>
    <w:rPr>
      <w:b/>
      <w:bCs/>
    </w:rPr>
  </w:style>
  <w:style w:type="character" w:customStyle="1" w:styleId="CommentSubjectChar">
    <w:name w:val="Comment Subject Char"/>
    <w:basedOn w:val="CommentTextChar"/>
    <w:link w:val="CommentSubject"/>
    <w:uiPriority w:val="99"/>
    <w:semiHidden/>
    <w:rsid w:val="00AD4011"/>
    <w:rPr>
      <w:rFonts w:eastAsia="Calibri"/>
      <w:b/>
      <w:bCs/>
      <w:lang w:val="en-GB"/>
    </w:rPr>
  </w:style>
  <w:style w:type="paragraph" w:styleId="Revision">
    <w:name w:val="Revision"/>
    <w:hidden/>
    <w:uiPriority w:val="99"/>
    <w:semiHidden/>
    <w:rsid w:val="00364FB0"/>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809">
      <w:bodyDiv w:val="1"/>
      <w:marLeft w:val="0"/>
      <w:marRight w:val="0"/>
      <w:marTop w:val="0"/>
      <w:marBottom w:val="0"/>
      <w:divBdr>
        <w:top w:val="none" w:sz="0" w:space="0" w:color="auto"/>
        <w:left w:val="none" w:sz="0" w:space="0" w:color="auto"/>
        <w:bottom w:val="none" w:sz="0" w:space="0" w:color="auto"/>
        <w:right w:val="none" w:sz="0" w:space="0" w:color="auto"/>
      </w:divBdr>
    </w:div>
    <w:div w:id="376978142">
      <w:bodyDiv w:val="1"/>
      <w:marLeft w:val="0"/>
      <w:marRight w:val="0"/>
      <w:marTop w:val="0"/>
      <w:marBottom w:val="0"/>
      <w:divBdr>
        <w:top w:val="none" w:sz="0" w:space="0" w:color="auto"/>
        <w:left w:val="none" w:sz="0" w:space="0" w:color="auto"/>
        <w:bottom w:val="none" w:sz="0" w:space="0" w:color="auto"/>
        <w:right w:val="none" w:sz="0" w:space="0" w:color="auto"/>
      </w:divBdr>
    </w:div>
    <w:div w:id="705368622">
      <w:bodyDiv w:val="1"/>
      <w:marLeft w:val="0"/>
      <w:marRight w:val="0"/>
      <w:marTop w:val="0"/>
      <w:marBottom w:val="0"/>
      <w:divBdr>
        <w:top w:val="none" w:sz="0" w:space="0" w:color="auto"/>
        <w:left w:val="none" w:sz="0" w:space="0" w:color="auto"/>
        <w:bottom w:val="none" w:sz="0" w:space="0" w:color="auto"/>
        <w:right w:val="none" w:sz="0" w:space="0" w:color="auto"/>
      </w:divBdr>
    </w:div>
    <w:div w:id="1028482011">
      <w:bodyDiv w:val="1"/>
      <w:marLeft w:val="0"/>
      <w:marRight w:val="0"/>
      <w:marTop w:val="0"/>
      <w:marBottom w:val="0"/>
      <w:divBdr>
        <w:top w:val="none" w:sz="0" w:space="0" w:color="auto"/>
        <w:left w:val="none" w:sz="0" w:space="0" w:color="auto"/>
        <w:bottom w:val="none" w:sz="0" w:space="0" w:color="auto"/>
        <w:right w:val="none" w:sz="0" w:space="0" w:color="auto"/>
      </w:divBdr>
    </w:div>
    <w:div w:id="1052465321">
      <w:bodyDiv w:val="1"/>
      <w:marLeft w:val="0"/>
      <w:marRight w:val="0"/>
      <w:marTop w:val="0"/>
      <w:marBottom w:val="0"/>
      <w:divBdr>
        <w:top w:val="none" w:sz="0" w:space="0" w:color="auto"/>
        <w:left w:val="none" w:sz="0" w:space="0" w:color="auto"/>
        <w:bottom w:val="none" w:sz="0" w:space="0" w:color="auto"/>
        <w:right w:val="none" w:sz="0" w:space="0" w:color="auto"/>
      </w:divBdr>
    </w:div>
    <w:div w:id="1272786491">
      <w:bodyDiv w:val="1"/>
      <w:marLeft w:val="0"/>
      <w:marRight w:val="0"/>
      <w:marTop w:val="0"/>
      <w:marBottom w:val="0"/>
      <w:divBdr>
        <w:top w:val="none" w:sz="0" w:space="0" w:color="auto"/>
        <w:left w:val="none" w:sz="0" w:space="0" w:color="auto"/>
        <w:bottom w:val="none" w:sz="0" w:space="0" w:color="auto"/>
        <w:right w:val="none" w:sz="0" w:space="0" w:color="auto"/>
      </w:divBdr>
    </w:div>
    <w:div w:id="1469586609">
      <w:bodyDiv w:val="1"/>
      <w:marLeft w:val="0"/>
      <w:marRight w:val="0"/>
      <w:marTop w:val="0"/>
      <w:marBottom w:val="0"/>
      <w:divBdr>
        <w:top w:val="none" w:sz="0" w:space="0" w:color="auto"/>
        <w:left w:val="none" w:sz="0" w:space="0" w:color="auto"/>
        <w:bottom w:val="none" w:sz="0" w:space="0" w:color="auto"/>
        <w:right w:val="none" w:sz="0" w:space="0" w:color="auto"/>
      </w:divBdr>
    </w:div>
    <w:div w:id="1582177373">
      <w:bodyDiv w:val="1"/>
      <w:marLeft w:val="0"/>
      <w:marRight w:val="0"/>
      <w:marTop w:val="0"/>
      <w:marBottom w:val="0"/>
      <w:divBdr>
        <w:top w:val="none" w:sz="0" w:space="0" w:color="auto"/>
        <w:left w:val="none" w:sz="0" w:space="0" w:color="auto"/>
        <w:bottom w:val="none" w:sz="0" w:space="0" w:color="auto"/>
        <w:right w:val="none" w:sz="0" w:space="0" w:color="auto"/>
      </w:divBdr>
    </w:div>
    <w:div w:id="1677731752">
      <w:bodyDiv w:val="1"/>
      <w:marLeft w:val="0"/>
      <w:marRight w:val="0"/>
      <w:marTop w:val="0"/>
      <w:marBottom w:val="0"/>
      <w:divBdr>
        <w:top w:val="none" w:sz="0" w:space="0" w:color="auto"/>
        <w:left w:val="none" w:sz="0" w:space="0" w:color="auto"/>
        <w:bottom w:val="none" w:sz="0" w:space="0" w:color="auto"/>
        <w:right w:val="none" w:sz="0" w:space="0" w:color="auto"/>
      </w:divBdr>
    </w:div>
    <w:div w:id="2021344876">
      <w:bodyDiv w:val="1"/>
      <w:marLeft w:val="0"/>
      <w:marRight w:val="0"/>
      <w:marTop w:val="0"/>
      <w:marBottom w:val="0"/>
      <w:divBdr>
        <w:top w:val="none" w:sz="0" w:space="0" w:color="auto"/>
        <w:left w:val="none" w:sz="0" w:space="0" w:color="auto"/>
        <w:bottom w:val="none" w:sz="0" w:space="0" w:color="auto"/>
        <w:right w:val="none" w:sz="0" w:space="0" w:color="auto"/>
      </w:divBdr>
    </w:div>
    <w:div w:id="2125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documents/2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fis.dk/documents/38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is.dk/documents/146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is.dk/documents/146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fis.dk/documents/3289" TargetMode="External"/><Relationship Id="rId23" Type="http://schemas.openxmlformats.org/officeDocument/2006/relationships/fontTable" Target="fontTable.xml"/><Relationship Id="rId10" Type="http://schemas.openxmlformats.org/officeDocument/2006/relationships/hyperlink" Target="http://www.efis.dk/documents/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is.dk/documents/240" TargetMode="External"/><Relationship Id="rId14" Type="http://schemas.openxmlformats.org/officeDocument/2006/relationships/hyperlink" Target="http://www.efis.dk/documents/11399"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ECC\PT_B\1M\draft%20briefs_PTB\CPG%20PTB(16)xyz%20-%20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A920-FD54-4129-80D4-DABD37D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 - Template for CEPT Brief on AI XX (WRC-19)</Template>
  <TotalTime>1</TotalTime>
  <Pages>1</Pages>
  <Words>3251</Words>
  <Characters>18534</Characters>
  <Application>Microsoft Office Word</Application>
  <DocSecurity>0</DocSecurity>
  <Lines>154</Lines>
  <Paragraphs>43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21742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CPG19-4</cp:lastModifiedBy>
  <cp:revision>4</cp:revision>
  <cp:lastPrinted>1901-01-01T00:00:00Z</cp:lastPrinted>
  <dcterms:created xsi:type="dcterms:W3CDTF">2017-07-14T12:24:00Z</dcterms:created>
  <dcterms:modified xsi:type="dcterms:W3CDTF">2017-07-14T12:25:00Z</dcterms:modified>
  <cp:category>protected templates</cp:category>
  <cp:contentStatus>Draft</cp:contentStatus>
</cp:coreProperties>
</file>