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235592" w:rsidTr="000146C9">
        <w:trPr>
          <w:cantSplit/>
          <w:trHeight w:val="1240"/>
        </w:trPr>
        <w:tc>
          <w:tcPr>
            <w:tcW w:w="4785" w:type="dxa"/>
            <w:gridSpan w:val="2"/>
            <w:tcBorders>
              <w:top w:val="nil"/>
              <w:left w:val="nil"/>
              <w:bottom w:val="nil"/>
              <w:right w:val="nil"/>
            </w:tcBorders>
          </w:tcPr>
          <w:p w:rsidR="003771D5" w:rsidRPr="00235592" w:rsidRDefault="003771D5" w:rsidP="00BD4E12">
            <w:pPr>
              <w:pStyle w:val="ECCLetterHead"/>
            </w:pPr>
          </w:p>
        </w:tc>
        <w:tc>
          <w:tcPr>
            <w:tcW w:w="4996" w:type="dxa"/>
            <w:tcBorders>
              <w:top w:val="nil"/>
              <w:left w:val="nil"/>
              <w:bottom w:val="nil"/>
              <w:right w:val="nil"/>
            </w:tcBorders>
          </w:tcPr>
          <w:p w:rsidR="003771D5" w:rsidRPr="00D01E94" w:rsidRDefault="000701A5" w:rsidP="00477984">
            <w:pPr>
              <w:pStyle w:val="ECCLetterHead"/>
              <w:rPr>
                <w:lang w:val="en-US"/>
              </w:rPr>
            </w:pPr>
            <w:r w:rsidRPr="00235592">
              <w:tab/>
            </w:r>
            <w:r w:rsidR="00D01E94">
              <w:t>Doc.</w:t>
            </w:r>
            <w:r w:rsidR="005662EC">
              <w:t xml:space="preserve"> CPG(17)024</w:t>
            </w:r>
            <w:r w:rsidR="00D01E94" w:rsidRPr="00D01E94">
              <w:t xml:space="preserve"> ANNEX IV-21J</w:t>
            </w:r>
          </w:p>
        </w:tc>
      </w:tr>
      <w:tr w:rsidR="00C11367" w:rsidRPr="00235592" w:rsidTr="00703E58">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C11367" w:rsidRPr="00235592" w:rsidRDefault="00C11367" w:rsidP="00D41CEA">
            <w:pPr>
              <w:pStyle w:val="ECCLetterHead"/>
            </w:pPr>
            <w:r w:rsidRPr="00EE1BA2">
              <w:t>CPG19-</w:t>
            </w:r>
            <w:r w:rsidR="00D41CEA">
              <w:t>4</w:t>
            </w:r>
          </w:p>
        </w:tc>
      </w:tr>
      <w:tr w:rsidR="00C11367" w:rsidRPr="00235592" w:rsidTr="00703E58">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C11367" w:rsidRPr="00235592" w:rsidRDefault="00D41CEA" w:rsidP="00D01E94">
            <w:pPr>
              <w:pStyle w:val="ECCLetterHead"/>
            </w:pPr>
            <w:proofErr w:type="spellStart"/>
            <w:r>
              <w:t>Cluj</w:t>
            </w:r>
            <w:proofErr w:type="spellEnd"/>
            <w:r>
              <w:t xml:space="preserve"> </w:t>
            </w:r>
            <w:proofErr w:type="spellStart"/>
            <w:r>
              <w:t>Napoca</w:t>
            </w:r>
            <w:proofErr w:type="spellEnd"/>
            <w:r w:rsidR="00C11367" w:rsidRPr="00EE1BA2">
              <w:t xml:space="preserve">, </w:t>
            </w:r>
            <w:r>
              <w:t>Romania</w:t>
            </w:r>
            <w:r w:rsidR="00C11367" w:rsidRPr="00EE1BA2">
              <w:t xml:space="preserve">, </w:t>
            </w:r>
            <w:r>
              <w:t>4</w:t>
            </w:r>
            <w:r w:rsidR="00D01E94" w:rsidRPr="00D01E94">
              <w:rPr>
                <w:rStyle w:val="ECCHLsuperscript"/>
              </w:rPr>
              <w:t>th</w:t>
            </w:r>
            <w:r w:rsidR="00C11367" w:rsidRPr="004E73AE">
              <w:t xml:space="preserve"> </w:t>
            </w:r>
            <w:r w:rsidR="00D01E94">
              <w:t>–</w:t>
            </w:r>
            <w:r w:rsidR="00C11367" w:rsidRPr="004E73AE">
              <w:t xml:space="preserve"> </w:t>
            </w:r>
            <w:r w:rsidR="00C11367">
              <w:t>7</w:t>
            </w:r>
            <w:r w:rsidR="00D01E94" w:rsidRPr="00D01E94">
              <w:rPr>
                <w:rStyle w:val="ECCHLsuperscript"/>
              </w:rPr>
              <w:t>th</w:t>
            </w:r>
            <w:r w:rsidR="00C11367" w:rsidRPr="004E73AE">
              <w:t xml:space="preserve"> </w:t>
            </w:r>
            <w:r>
              <w:t xml:space="preserve">July </w:t>
            </w:r>
            <w:r w:rsidR="00C11367" w:rsidRPr="004E73AE">
              <w:t>2017</w:t>
            </w:r>
          </w:p>
        </w:tc>
      </w:tr>
      <w:tr w:rsidR="003771D5" w:rsidRPr="00235592" w:rsidTr="00703E58">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3771D5" w:rsidRPr="00235592" w:rsidRDefault="003771D5" w:rsidP="00BD4E12">
            <w:pPr>
              <w:pStyle w:val="ECCLetterHead"/>
            </w:pPr>
          </w:p>
        </w:tc>
        <w:tc>
          <w:tcPr>
            <w:tcW w:w="4996" w:type="dxa"/>
            <w:tcBorders>
              <w:top w:val="nil"/>
              <w:left w:val="nil"/>
              <w:bottom w:val="nil"/>
              <w:right w:val="nil"/>
            </w:tcBorders>
            <w:vAlign w:val="center"/>
          </w:tcPr>
          <w:p w:rsidR="003771D5" w:rsidRPr="00235592" w:rsidRDefault="003771D5" w:rsidP="00BD4E12">
            <w:pPr>
              <w:pStyle w:val="ECCLetterHead"/>
            </w:pPr>
          </w:p>
        </w:tc>
      </w:tr>
      <w:tr w:rsidR="0087199B" w:rsidRPr="00235592" w:rsidTr="00703E58">
        <w:tblPrEx>
          <w:tblCellMar>
            <w:left w:w="108" w:type="dxa"/>
            <w:right w:w="108" w:type="dxa"/>
          </w:tblCellMar>
        </w:tblPrEx>
        <w:trPr>
          <w:cantSplit/>
          <w:trHeight w:val="405"/>
        </w:trPr>
        <w:tc>
          <w:tcPr>
            <w:tcW w:w="1694" w:type="dxa"/>
            <w:tcBorders>
              <w:top w:val="nil"/>
              <w:left w:val="nil"/>
              <w:bottom w:val="nil"/>
              <w:right w:val="nil"/>
            </w:tcBorders>
            <w:vAlign w:val="center"/>
          </w:tcPr>
          <w:p w:rsidR="0087199B" w:rsidRPr="0087199B" w:rsidRDefault="0087199B" w:rsidP="0087199B">
            <w:pPr>
              <w:pStyle w:val="ECCLetterHead"/>
            </w:pPr>
            <w:r w:rsidRPr="0087199B">
              <w:t xml:space="preserve">Date issued: </w:t>
            </w:r>
          </w:p>
        </w:tc>
        <w:tc>
          <w:tcPr>
            <w:tcW w:w="8087" w:type="dxa"/>
            <w:gridSpan w:val="2"/>
            <w:tcBorders>
              <w:top w:val="nil"/>
              <w:left w:val="nil"/>
              <w:bottom w:val="nil"/>
              <w:right w:val="nil"/>
            </w:tcBorders>
            <w:vAlign w:val="center"/>
          </w:tcPr>
          <w:p w:rsidR="0087199B" w:rsidRPr="0087199B" w:rsidRDefault="0087199B" w:rsidP="0087199B">
            <w:pPr>
              <w:pStyle w:val="ECCLetterHead"/>
            </w:pPr>
            <w:r w:rsidRPr="0087199B">
              <w:t>7</w:t>
            </w:r>
            <w:r w:rsidRPr="0087199B">
              <w:rPr>
                <w:rStyle w:val="ECCHLsuperscript"/>
              </w:rPr>
              <w:t>th</w:t>
            </w:r>
            <w:r w:rsidRPr="0087199B">
              <w:t xml:space="preserve"> July 2017</w:t>
            </w:r>
          </w:p>
        </w:tc>
      </w:tr>
      <w:tr w:rsidR="0087199B" w:rsidRPr="00235592" w:rsidTr="00703E58">
        <w:tblPrEx>
          <w:tblCellMar>
            <w:left w:w="108" w:type="dxa"/>
            <w:right w:w="108" w:type="dxa"/>
          </w:tblCellMar>
        </w:tblPrEx>
        <w:trPr>
          <w:cantSplit/>
          <w:trHeight w:val="405"/>
        </w:trPr>
        <w:tc>
          <w:tcPr>
            <w:tcW w:w="1694" w:type="dxa"/>
            <w:tcBorders>
              <w:top w:val="nil"/>
              <w:left w:val="nil"/>
              <w:bottom w:val="nil"/>
              <w:right w:val="nil"/>
            </w:tcBorders>
            <w:vAlign w:val="center"/>
          </w:tcPr>
          <w:p w:rsidR="0087199B" w:rsidRPr="0087199B" w:rsidRDefault="0087199B" w:rsidP="0087199B">
            <w:pPr>
              <w:pStyle w:val="ECCLetterHead"/>
            </w:pPr>
            <w:r w:rsidRPr="0087199B">
              <w:t xml:space="preserve">Source: </w:t>
            </w:r>
          </w:p>
        </w:tc>
        <w:tc>
          <w:tcPr>
            <w:tcW w:w="8087" w:type="dxa"/>
            <w:gridSpan w:val="2"/>
            <w:tcBorders>
              <w:top w:val="nil"/>
              <w:left w:val="nil"/>
              <w:bottom w:val="nil"/>
              <w:right w:val="nil"/>
            </w:tcBorders>
            <w:vAlign w:val="center"/>
          </w:tcPr>
          <w:p w:rsidR="0087199B" w:rsidRPr="0087199B" w:rsidRDefault="0087199B" w:rsidP="0087199B">
            <w:pPr>
              <w:pStyle w:val="ECCLetterHead"/>
            </w:pPr>
            <w:r w:rsidRPr="0087199B">
              <w:t>Minutes CPG19-4</w:t>
            </w:r>
          </w:p>
        </w:tc>
      </w:tr>
      <w:tr w:rsidR="00CA1492" w:rsidRPr="00235592" w:rsidTr="00703E58">
        <w:tblPrEx>
          <w:tblCellMar>
            <w:left w:w="108" w:type="dxa"/>
            <w:right w:w="108" w:type="dxa"/>
          </w:tblCellMar>
        </w:tblPrEx>
        <w:trPr>
          <w:cantSplit/>
          <w:trHeight w:val="405"/>
        </w:trPr>
        <w:tc>
          <w:tcPr>
            <w:tcW w:w="1694" w:type="dxa"/>
            <w:tcBorders>
              <w:top w:val="nil"/>
              <w:left w:val="nil"/>
              <w:bottom w:val="nil"/>
              <w:right w:val="nil"/>
            </w:tcBorders>
            <w:vAlign w:val="center"/>
          </w:tcPr>
          <w:p w:rsidR="00CA1492" w:rsidRPr="00CA1492" w:rsidRDefault="00CA1492" w:rsidP="00CA1492">
            <w:pPr>
              <w:pStyle w:val="ECCLetterHead"/>
            </w:pPr>
            <w:r w:rsidRPr="00235592">
              <w:t xml:space="preserve">Subject: </w:t>
            </w:r>
          </w:p>
        </w:tc>
        <w:tc>
          <w:tcPr>
            <w:tcW w:w="8087" w:type="dxa"/>
            <w:gridSpan w:val="2"/>
            <w:tcBorders>
              <w:top w:val="nil"/>
              <w:left w:val="nil"/>
              <w:bottom w:val="nil"/>
              <w:right w:val="nil"/>
            </w:tcBorders>
            <w:vAlign w:val="center"/>
          </w:tcPr>
          <w:p w:rsidR="00CA1492" w:rsidRPr="00CA1492" w:rsidRDefault="00CA1492" w:rsidP="00703E58">
            <w:pPr>
              <w:pStyle w:val="ECCLetterHead"/>
            </w:pPr>
            <w:r>
              <w:t xml:space="preserve">Draft CEPT Brief on WRC-19 Agenda Item 9.1 </w:t>
            </w:r>
            <w:r w:rsidR="00703E58">
              <w:t>i</w:t>
            </w:r>
            <w:r w:rsidRPr="00CA1492">
              <w:t>ssue 9.1.</w:t>
            </w:r>
            <w:r>
              <w:t>9</w:t>
            </w:r>
          </w:p>
        </w:tc>
      </w:tr>
      <w:tr w:rsidR="00CA1492" w:rsidRPr="00235592" w:rsidTr="00703E58">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CA1492" w:rsidRPr="00235592" w:rsidRDefault="00CA1492" w:rsidP="00CA1492">
            <w:pPr>
              <w:rPr>
                <w:rStyle w:val="ECCParagraph"/>
              </w:rPr>
            </w:pPr>
          </w:p>
          <w:p w:rsidR="00CA1492" w:rsidRPr="00235592" w:rsidRDefault="00CA1492" w:rsidP="00CA1492">
            <w:pPr>
              <w:pStyle w:val="ECCLetterHead"/>
            </w:pPr>
          </w:p>
        </w:tc>
      </w:tr>
      <w:tr w:rsidR="00CA1492" w:rsidRPr="00235592" w:rsidTr="00014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CA1492" w:rsidRPr="00CA1492" w:rsidRDefault="00CA1492" w:rsidP="00CA1492">
            <w:pPr>
              <w:pStyle w:val="ECCLetterHead"/>
            </w:pPr>
            <w:r w:rsidRPr="00235592">
              <w:t xml:space="preserve">Summary: </w:t>
            </w:r>
          </w:p>
        </w:tc>
      </w:tr>
      <w:tr w:rsidR="00CA1492" w:rsidRPr="00235592" w:rsidTr="00014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CA1492" w:rsidRPr="00703E58" w:rsidRDefault="00CA1492" w:rsidP="00703E58">
            <w:pPr>
              <w:pStyle w:val="ECCTabletext"/>
            </w:pPr>
          </w:p>
        </w:tc>
      </w:tr>
      <w:tr w:rsidR="00CA1492" w:rsidRPr="00235592" w:rsidTr="00014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CA1492" w:rsidRPr="00CA1492" w:rsidRDefault="00CA1492" w:rsidP="00CA1492">
            <w:pPr>
              <w:pStyle w:val="ECCLetterHead"/>
            </w:pPr>
            <w:r w:rsidRPr="00235592">
              <w:t>Proposal:</w:t>
            </w:r>
          </w:p>
        </w:tc>
      </w:tr>
      <w:tr w:rsidR="00CA1492" w:rsidRPr="00235592" w:rsidTr="00014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CA1492" w:rsidRPr="00235592" w:rsidRDefault="00CA1492" w:rsidP="00860C6B">
            <w:pPr>
              <w:pStyle w:val="ECCTabletext"/>
            </w:pPr>
          </w:p>
        </w:tc>
      </w:tr>
    </w:tbl>
    <w:p w:rsidR="00322323" w:rsidRPr="00E6519E" w:rsidRDefault="00322323" w:rsidP="00BD4E12">
      <w:pPr>
        <w:pStyle w:val="ECCEditorsNote"/>
        <w:rPr>
          <w:rStyle w:val="ECCParagraph"/>
        </w:rPr>
      </w:pPr>
      <w:r w:rsidRPr="00E6519E">
        <w:rPr>
          <w:lang w:val="en-GB"/>
        </w:rPr>
        <w:t>The following pages are intended to be compiled in one CEPT Brief on AI 9</w:t>
      </w:r>
    </w:p>
    <w:p w:rsidR="003771D5" w:rsidRPr="00235592" w:rsidRDefault="003771D5" w:rsidP="00BD4E12">
      <w:pPr>
        <w:rPr>
          <w:rStyle w:val="ECCParagraph"/>
        </w:rPr>
      </w:pPr>
      <w:r w:rsidRPr="00235592">
        <w:rPr>
          <w:rStyle w:val="ECCParagraph"/>
        </w:rPr>
        <w:br w:type="page"/>
      </w:r>
    </w:p>
    <w:p w:rsidR="003771D5" w:rsidRPr="00E6519E" w:rsidRDefault="003771D5" w:rsidP="00811A88">
      <w:pPr>
        <w:pStyle w:val="ECCHeadingnonumbering"/>
        <w:rPr>
          <w:lang w:val="en-GB"/>
        </w:rPr>
      </w:pPr>
      <w:r w:rsidRPr="00235592">
        <w:rPr>
          <w:lang w:val="en-GB"/>
        </w:rPr>
        <w:lastRenderedPageBreak/>
        <w:t xml:space="preserve">DRAFT </w:t>
      </w:r>
      <w:r w:rsidR="006E3E8B">
        <w:rPr>
          <w:lang w:val="en-GB"/>
        </w:rPr>
        <w:t xml:space="preserve">CEPT BRIEF ON AGENDA ITEM </w:t>
      </w:r>
      <w:r w:rsidR="006E3E8B" w:rsidRPr="00E6519E">
        <w:rPr>
          <w:lang w:val="en-GB"/>
        </w:rPr>
        <w:t xml:space="preserve">9.1 Issue 9.1.9 - </w:t>
      </w:r>
      <w:r w:rsidR="006E3E8B" w:rsidRPr="00E6519E">
        <w:rPr>
          <w:rStyle w:val="ECCHLbold"/>
          <w:b/>
          <w:bCs/>
          <w:lang w:val="en-GB"/>
        </w:rPr>
        <w:t>Resolution 162</w:t>
      </w:r>
      <w:proofErr w:type="gramStart"/>
      <w:r w:rsidR="006E3E8B" w:rsidRPr="00E6519E">
        <w:rPr>
          <w:rStyle w:val="ECCHLbold"/>
          <w:b/>
          <w:bCs/>
          <w:lang w:val="en-GB"/>
        </w:rPr>
        <w:t>  (</w:t>
      </w:r>
      <w:proofErr w:type="gramEnd"/>
      <w:r w:rsidR="006E3E8B" w:rsidRPr="00E6519E">
        <w:rPr>
          <w:rStyle w:val="ECCHLbold"/>
          <w:b/>
          <w:bCs/>
          <w:lang w:val="en-GB"/>
        </w:rPr>
        <w:t>WRC</w:t>
      </w:r>
      <w:r w:rsidR="006E3E8B" w:rsidRPr="00E6519E">
        <w:rPr>
          <w:rStyle w:val="ECCHLbold"/>
          <w:b/>
          <w:bCs/>
          <w:lang w:val="en-GB"/>
        </w:rPr>
        <w:noBreakHyphen/>
        <w:t>15)</w:t>
      </w:r>
    </w:p>
    <w:p w:rsidR="006E3E8B" w:rsidRDefault="006E3E8B" w:rsidP="006E3E8B">
      <w:r>
        <w:t>9</w:t>
      </w:r>
      <w:r>
        <w:tab/>
        <w:t xml:space="preserve">to consider and approve the Report of the Director of the </w:t>
      </w:r>
      <w:proofErr w:type="spellStart"/>
      <w:r>
        <w:t>Radiocommunication</w:t>
      </w:r>
      <w:proofErr w:type="spellEnd"/>
      <w:r>
        <w:t xml:space="preserve"> Bureau, in accordance with Article 7 of the Convention:</w:t>
      </w:r>
    </w:p>
    <w:p w:rsidR="003771D5" w:rsidRPr="00235592" w:rsidRDefault="006E3E8B" w:rsidP="00BD4E12">
      <w:pPr>
        <w:rPr>
          <w:rStyle w:val="ECCParagraph"/>
        </w:rPr>
      </w:pPr>
      <w:r>
        <w:t>9.1</w:t>
      </w:r>
      <w:r>
        <w:tab/>
      </w:r>
      <w:proofErr w:type="gramStart"/>
      <w:r>
        <w:t>on</w:t>
      </w:r>
      <w:proofErr w:type="gramEnd"/>
      <w:r>
        <w:t xml:space="preserve"> the activities of the </w:t>
      </w:r>
      <w:proofErr w:type="spellStart"/>
      <w:r>
        <w:t>Radiocommunication</w:t>
      </w:r>
      <w:proofErr w:type="spellEnd"/>
      <w:r>
        <w:t xml:space="preserve"> Sector since WRC</w:t>
      </w:r>
      <w:r>
        <w:noBreakHyphen/>
        <w:t>15.</w:t>
      </w:r>
    </w:p>
    <w:p w:rsidR="003771D5" w:rsidRPr="00235592" w:rsidRDefault="003771D5" w:rsidP="00BD4E12">
      <w:pPr>
        <w:pStyle w:val="Heading1"/>
        <w:rPr>
          <w:lang w:val="en-GB"/>
        </w:rPr>
      </w:pPr>
      <w:r w:rsidRPr="00235592">
        <w:rPr>
          <w:lang w:val="en-GB"/>
        </w:rPr>
        <w:t>ISSUE</w:t>
      </w:r>
    </w:p>
    <w:p w:rsidR="006E3E8B" w:rsidRDefault="00805C53" w:rsidP="006E3E8B">
      <w:r w:rsidRPr="00811A88">
        <w:rPr>
          <w:rStyle w:val="ECCParagraph"/>
        </w:rPr>
        <w:t>According to</w:t>
      </w:r>
      <w:r>
        <w:rPr>
          <w:rStyle w:val="ECCHLbold"/>
        </w:rPr>
        <w:t xml:space="preserve"> </w:t>
      </w:r>
      <w:r w:rsidR="006E3E8B">
        <w:rPr>
          <w:rStyle w:val="ECCHLbold"/>
        </w:rPr>
        <w:t>Resolution 162 (WRC</w:t>
      </w:r>
      <w:r w:rsidR="00C11367">
        <w:rPr>
          <w:rStyle w:val="ECCHLbold"/>
        </w:rPr>
        <w:t>-</w:t>
      </w:r>
      <w:r w:rsidR="006E3E8B">
        <w:rPr>
          <w:rStyle w:val="ECCHLbold"/>
        </w:rPr>
        <w:t>15)</w:t>
      </w:r>
      <w:r w:rsidR="006E3E8B">
        <w:t xml:space="preserve"> “Studies relating to spectrum needs and possible allocation of the frequency band 51.4-52.4 GHz to the fixed-satellite service (</w:t>
      </w:r>
      <w:proofErr w:type="gramStart"/>
      <w:r w:rsidR="006E3E8B">
        <w:t>Earth-to-space)”</w:t>
      </w:r>
      <w:r>
        <w:t xml:space="preserve"> to conduct</w:t>
      </w:r>
      <w:proofErr w:type="gramEnd"/>
      <w:r>
        <w:t>:</w:t>
      </w:r>
    </w:p>
    <w:p w:rsidR="006E3E8B" w:rsidRPr="006E3E8B" w:rsidRDefault="006E3E8B" w:rsidP="006E3E8B">
      <w:pPr>
        <w:pStyle w:val="ECCNumberedList"/>
      </w:pPr>
      <w:r>
        <w:t>studies considering additional spectrum needs for development of the fixed-satellite service, taking into account the frequency bands currently allocated to the fixed-satellite service, the technical conditions of their use, and the possibility of optimizing the use of these frequency bands with a view to increasing spectrum efficiency;</w:t>
      </w:r>
    </w:p>
    <w:p w:rsidR="006E3E8B" w:rsidRPr="006E3E8B" w:rsidRDefault="006E3E8B" w:rsidP="006E3E8B">
      <w:pPr>
        <w:pStyle w:val="ECCNumberedList"/>
      </w:pPr>
      <w:r>
        <w:t xml:space="preserve">subject to justification resulting from studies conducted under </w:t>
      </w:r>
      <w:r w:rsidRPr="006E3E8B">
        <w:rPr>
          <w:rStyle w:val="Emphasis"/>
        </w:rPr>
        <w:t>resolves to invite ITU</w:t>
      </w:r>
      <w:r w:rsidRPr="006E3E8B">
        <w:rPr>
          <w:rStyle w:val="Emphasis"/>
        </w:rPr>
        <w:noBreakHyphen/>
        <w:t>R</w:t>
      </w:r>
      <w:r w:rsidRPr="006E3E8B">
        <w:t> 1, sharing and compatibility studies with existing services, on a primary and secondary basis, including in adjacent bands as appropriate, to determine the suitability, including protection of fixed and mobile services, of new primary allocations to the FSS in the frequency band 51.4-52.4 GHz (Earth-to-space) limited to FSS feeder links for geostationary orbit use, and the possible associated regulatory actions;</w:t>
      </w:r>
    </w:p>
    <w:p w:rsidR="006E3E8B" w:rsidRPr="00703E58" w:rsidRDefault="006E3E8B" w:rsidP="00703E58">
      <w:pPr>
        <w:pStyle w:val="ECCNumberedList"/>
      </w:pPr>
      <w:r w:rsidRPr="00703E58">
        <w:t>studies towards possible revision of Resolution </w:t>
      </w:r>
      <w:r w:rsidRPr="00703E58">
        <w:rPr>
          <w:rStyle w:val="ECCHLbold"/>
        </w:rPr>
        <w:t>750 (Rev.WRC</w:t>
      </w:r>
      <w:r w:rsidR="00C11367" w:rsidRPr="00703E58">
        <w:rPr>
          <w:rStyle w:val="ECCHLbold"/>
        </w:rPr>
        <w:t>-</w:t>
      </w:r>
      <w:r w:rsidRPr="00703E58">
        <w:rPr>
          <w:rStyle w:val="ECCHLbold"/>
        </w:rPr>
        <w:t>12)</w:t>
      </w:r>
      <w:r w:rsidRPr="00703E58">
        <w:t xml:space="preserve"> so that systems operating in the passive frequency band 52.6-54.25 GHz are protected;</w:t>
      </w:r>
    </w:p>
    <w:p w:rsidR="006E3E8B" w:rsidRPr="006E3E8B" w:rsidRDefault="006E3E8B" w:rsidP="006E3E8B">
      <w:pPr>
        <w:pStyle w:val="ECCNumberedList"/>
      </w:pPr>
      <w:proofErr w:type="gramStart"/>
      <w:r>
        <w:t>studies</w:t>
      </w:r>
      <w:proofErr w:type="gramEnd"/>
      <w:r>
        <w:t xml:space="preserve"> regarding the protection of radio astronomy, as described in </w:t>
      </w:r>
      <w:r w:rsidRPr="006E3E8B">
        <w:rPr>
          <w:rStyle w:val="Emphasis"/>
        </w:rPr>
        <w:t>recognizing</w:t>
      </w:r>
      <w:r w:rsidRPr="006E3E8B">
        <w:t> c), including regu</w:t>
      </w:r>
      <w:r w:rsidR="00811A88">
        <w:t>latory measures, as appropriate.</w:t>
      </w:r>
    </w:p>
    <w:p w:rsidR="003771D5" w:rsidRPr="00235592" w:rsidRDefault="003771D5" w:rsidP="00BD4E12">
      <w:pPr>
        <w:pStyle w:val="Heading1"/>
        <w:rPr>
          <w:lang w:val="en-GB"/>
        </w:rPr>
      </w:pPr>
      <w:r w:rsidRPr="00235592">
        <w:rPr>
          <w:lang w:val="en-GB"/>
        </w:rPr>
        <w:t xml:space="preserve">Preliminary CEPT position </w:t>
      </w:r>
    </w:p>
    <w:p w:rsidR="006E3E8B" w:rsidRPr="00B63006" w:rsidRDefault="006E3E8B" w:rsidP="00703E58">
      <w:pPr>
        <w:rPr>
          <w:lang w:val="en-US"/>
        </w:rPr>
      </w:pPr>
      <w:r>
        <w:rPr>
          <w:rStyle w:val="ECCParagraph"/>
        </w:rPr>
        <w:t xml:space="preserve">CEPT supports studies on </w:t>
      </w:r>
      <w:r>
        <w:t xml:space="preserve">evaluation of additional spectrum needs for development of the fixed-satellite service in accordance with </w:t>
      </w:r>
      <w:r w:rsidRPr="00632B03">
        <w:rPr>
          <w:rStyle w:val="Emphasis"/>
        </w:rPr>
        <w:t>resolves to invite ITU</w:t>
      </w:r>
      <w:r w:rsidRPr="00632B03">
        <w:rPr>
          <w:rStyle w:val="Emphasis"/>
        </w:rPr>
        <w:noBreakHyphen/>
        <w:t>R</w:t>
      </w:r>
      <w:r>
        <w:t xml:space="preserve"> 1 of </w:t>
      </w:r>
      <w:r w:rsidRPr="00703E58">
        <w:rPr>
          <w:rStyle w:val="ECCParagraph"/>
        </w:rPr>
        <w:t>Resolution </w:t>
      </w:r>
      <w:r w:rsidR="00703E58">
        <w:rPr>
          <w:rStyle w:val="ECCHLbold"/>
        </w:rPr>
        <w:t>162 </w:t>
      </w:r>
      <w:r>
        <w:rPr>
          <w:rStyle w:val="ECCHLbold"/>
        </w:rPr>
        <w:t>(WRC</w:t>
      </w:r>
      <w:r>
        <w:rPr>
          <w:rStyle w:val="ECCHLbold"/>
        </w:rPr>
        <w:noBreakHyphen/>
        <w:t>15)</w:t>
      </w:r>
      <w:r>
        <w:t>.</w:t>
      </w:r>
      <w:r w:rsidR="00B63006">
        <w:t xml:space="preserve"> Such studies should be concluded before possible regulatory actions can be proposed under this issue of </w:t>
      </w:r>
      <w:r w:rsidR="00703E58">
        <w:t>A</w:t>
      </w:r>
      <w:r w:rsidR="00B63006">
        <w:t>genda item 9.1.</w:t>
      </w:r>
    </w:p>
    <w:p w:rsidR="006E3E8B" w:rsidRPr="00C75999" w:rsidRDefault="006E3E8B" w:rsidP="006E3E8B">
      <w:pPr>
        <w:rPr>
          <w:rStyle w:val="ECCHLyellow"/>
        </w:rPr>
      </w:pPr>
      <w:r>
        <w:rPr>
          <w:rStyle w:val="ECCParagraph"/>
        </w:rPr>
        <w:t>CEPT</w:t>
      </w:r>
      <w:r>
        <w:t xml:space="preserve"> </w:t>
      </w:r>
      <w:r w:rsidR="00B63006">
        <w:t xml:space="preserve">supports the </w:t>
      </w:r>
      <w:r>
        <w:t>sharing and compatibility studies with existing services</w:t>
      </w:r>
      <w:r w:rsidR="00B63006">
        <w:t xml:space="preserve"> for consideration </w:t>
      </w:r>
      <w:r>
        <w:t>of new primary allocation to the FSS in the frequency band 51.4-52.4 GHz (Earth-to-space) limited to FSS feeder links for geostationary orbit use.</w:t>
      </w:r>
    </w:p>
    <w:p w:rsidR="00DF0C0E" w:rsidRPr="00DF0C0E" w:rsidRDefault="00DF0C0E" w:rsidP="00DF0C0E">
      <w:r w:rsidRPr="00DF0C0E">
        <w:t>To ensure the protection of the EESS (passive), operating in the band 52.6-54</w:t>
      </w:r>
      <w:r w:rsidR="00703E58">
        <w:t xml:space="preserve">.25 GHz, CEPT supports to study the </w:t>
      </w:r>
      <w:r w:rsidRPr="00DF0C0E">
        <w:t>effects</w:t>
      </w:r>
      <w:r w:rsidR="00703E58">
        <w:t xml:space="preserve"> of aggregate interference from </w:t>
      </w:r>
      <w:r w:rsidRPr="00DF0C0E">
        <w:t>FSS GSO sate</w:t>
      </w:r>
      <w:r w:rsidR="00703E58">
        <w:t xml:space="preserve">llite networks in 51.4-52.4 GHz band and stations </w:t>
      </w:r>
      <w:r w:rsidRPr="00DF0C0E">
        <w:t>of existing terrestrial services allocated in 5</w:t>
      </w:r>
      <w:r w:rsidR="00E61C67">
        <w:t>1</w:t>
      </w:r>
      <w:r w:rsidRPr="00DF0C0E">
        <w:t>.4-52.6 GHz band.</w:t>
      </w:r>
    </w:p>
    <w:p w:rsidR="00DF0C0E" w:rsidRDefault="00DF0C0E" w:rsidP="006E3E8B">
      <w:r w:rsidRPr="00DF0C0E">
        <w:t>CEPT supports studies regarding the impact on radio astronomy observations in the band 51.4-54.25 GHz.</w:t>
      </w:r>
    </w:p>
    <w:p w:rsidR="003771D5" w:rsidRPr="00235592" w:rsidRDefault="003771D5" w:rsidP="003A68D5">
      <w:pPr>
        <w:pStyle w:val="Heading1"/>
        <w:rPr>
          <w:lang w:val="en-GB"/>
        </w:rPr>
      </w:pPr>
      <w:r w:rsidRPr="00235592">
        <w:rPr>
          <w:lang w:val="en-GB"/>
        </w:rPr>
        <w:t xml:space="preserve">Background </w:t>
      </w:r>
    </w:p>
    <w:p w:rsidR="00FC68FE" w:rsidRDefault="00FC68FE" w:rsidP="00FC68FE">
      <w:r w:rsidRPr="00FC68FE">
        <w:t xml:space="preserve">High throughput satellites are satellites that have many times the throughput of traditional FSS satellites for the same amount of allocated frequency on orbit. According to Report </w:t>
      </w:r>
      <w:r w:rsidR="00811A88" w:rsidRPr="00FC68FE">
        <w:t xml:space="preserve">ITU-R </w:t>
      </w:r>
      <w:r w:rsidRPr="00FC68FE">
        <w:t xml:space="preserve">S.2361, these systems aim at reducing the </w:t>
      </w:r>
      <w:proofErr w:type="spellStart"/>
      <w:r w:rsidRPr="00FC68FE">
        <w:t>Gbps</w:t>
      </w:r>
      <w:proofErr w:type="spellEnd"/>
      <w:r w:rsidRPr="00FC68FE">
        <w:t xml:space="preserve"> (Giga Bits per second) cost by optimizing the design of the satellite to take advantage of frequency reuse and spot beams to increase the bit rate throughpu</w:t>
      </w:r>
      <w:r>
        <w:t>t for the service area coverage</w:t>
      </w:r>
      <w:r w:rsidRPr="00FC68FE">
        <w:t xml:space="preserve"> in order to multiply the total amount of spectrum available for the HTS system as compared to a traditional satellite system.</w:t>
      </w:r>
    </w:p>
    <w:p w:rsidR="006E3E8B" w:rsidRPr="006E3E8B" w:rsidRDefault="00FC68FE" w:rsidP="006E3E8B">
      <w:r>
        <w:lastRenderedPageBreak/>
        <w:t xml:space="preserve">The first studies dealing with such type of systems were held in early 2000. </w:t>
      </w:r>
      <w:r w:rsidR="006E3E8B">
        <w:t xml:space="preserve">The first generation of High Throughput Satellites (HTS) is already bringing fast internet access directly to households from the geostationary orbit. </w:t>
      </w:r>
    </w:p>
    <w:p w:rsidR="006E3E8B" w:rsidRDefault="006E3E8B" w:rsidP="006E3E8B">
      <w:r>
        <w:t xml:space="preserve">The next generation of HTS systems needs to still improve its efficiency over previous ones. So, in order to increase their capacity, additional frequency bands are under study. Initial studies propose to utilize Q and V bands (i.e. 40 and 50 GHz frequency bands). The utilization of Q and V bands is of particular interest for very high speed gateways and it makes more </w:t>
      </w:r>
      <w:proofErr w:type="spellStart"/>
      <w:r>
        <w:t>Ka</w:t>
      </w:r>
      <w:proofErr w:type="spellEnd"/>
      <w:r>
        <w:t>-band available for user terminals.</w:t>
      </w:r>
    </w:p>
    <w:p w:rsidR="008605B4" w:rsidRDefault="00D757BB" w:rsidP="006E3E8B">
      <w:r w:rsidRPr="0038457B">
        <w:rPr>
          <w:rStyle w:val="ECCParagraph"/>
        </w:rPr>
        <w:t xml:space="preserve">Latest WP 4A meeting (28 September </w:t>
      </w:r>
      <w:r w:rsidR="00703E58">
        <w:rPr>
          <w:rStyle w:val="ECCParagraph"/>
        </w:rPr>
        <w:t>-</w:t>
      </w:r>
      <w:r w:rsidRPr="0038457B">
        <w:rPr>
          <w:rStyle w:val="ECCParagraph"/>
        </w:rPr>
        <w:t xml:space="preserve"> 06 October 2016, Geneva) received contributions,</w:t>
      </w:r>
      <w:r>
        <w:rPr>
          <w:rStyle w:val="ECCParagraph"/>
        </w:rPr>
        <w:t xml:space="preserve"> which contained </w:t>
      </w:r>
      <w:r w:rsidR="00B67025">
        <w:rPr>
          <w:rStyle w:val="ECCParagraph"/>
        </w:rPr>
        <w:t xml:space="preserve">example of HTS technical characteristics, some considerations on sharing studies with </w:t>
      </w:r>
      <w:r w:rsidR="00B67025">
        <w:t xml:space="preserve">incumbent services, including terrestrial and passive services, </w:t>
      </w:r>
      <w:r w:rsidR="008605B4">
        <w:t>p</w:t>
      </w:r>
      <w:r w:rsidR="008605B4" w:rsidRPr="008605B4">
        <w:t>ropagation analysis in Q/V band</w:t>
      </w:r>
      <w:r w:rsidR="008605B4">
        <w:t xml:space="preserve">, </w:t>
      </w:r>
      <w:r w:rsidR="00B67025">
        <w:t xml:space="preserve">and considerations </w:t>
      </w:r>
      <w:r>
        <w:rPr>
          <w:rStyle w:val="ECCParagraph"/>
        </w:rPr>
        <w:t xml:space="preserve">on </w:t>
      </w:r>
      <w:r>
        <w:t>spectrum needs</w:t>
      </w:r>
      <w:r w:rsidR="008605B4">
        <w:t>.</w:t>
      </w:r>
    </w:p>
    <w:p w:rsidR="00D757BB" w:rsidRDefault="00EE6A22" w:rsidP="006E3E8B">
      <w:r>
        <w:t xml:space="preserve">Currently </w:t>
      </w:r>
      <w:r w:rsidR="00F82828">
        <w:t xml:space="preserve">HTS </w:t>
      </w:r>
      <w:r>
        <w:t>systems seek</w:t>
      </w:r>
      <w:r w:rsidR="00F82828">
        <w:t xml:space="preserve"> for</w:t>
      </w:r>
      <w:r w:rsidR="00F82828" w:rsidRPr="004E6007">
        <w:t xml:space="preserve"> 5 GHz </w:t>
      </w:r>
      <w:r w:rsidR="00F82828">
        <w:t xml:space="preserve">spectrum </w:t>
      </w:r>
      <w:r w:rsidR="00F82828" w:rsidRPr="004E6007">
        <w:t>available for uplink and downlink</w:t>
      </w:r>
      <w:r w:rsidR="00F82828">
        <w:t xml:space="preserve"> </w:t>
      </w:r>
      <w:r w:rsidR="003E5122" w:rsidRPr="008605B4">
        <w:t>Q/V band</w:t>
      </w:r>
      <w:r w:rsidR="00F82828">
        <w:t xml:space="preserve">. </w:t>
      </w:r>
      <w:r w:rsidR="001A01BB">
        <w:t>It was noted</w:t>
      </w:r>
      <w:r w:rsidR="005F2C42">
        <w:t>, for HTS systems,</w:t>
      </w:r>
      <w:r w:rsidR="001A01BB">
        <w:t xml:space="preserve"> that </w:t>
      </w:r>
      <w:r w:rsidR="003B258B">
        <w:t xml:space="preserve">there are </w:t>
      </w:r>
      <w:r w:rsidR="001A01BB">
        <w:t>d</w:t>
      </w:r>
      <w:r w:rsidR="001A01BB" w:rsidRPr="001A01BB">
        <w:t xml:space="preserve">ifficulties </w:t>
      </w:r>
      <w:r w:rsidR="001A01BB">
        <w:t xml:space="preserve">of </w:t>
      </w:r>
      <w:r w:rsidR="001A01BB" w:rsidRPr="001A01BB">
        <w:t xml:space="preserve">simultaneous use of existing FSS </w:t>
      </w:r>
      <w:r w:rsidR="001A01BB">
        <w:t xml:space="preserve">allocations, having </w:t>
      </w:r>
      <w:r w:rsidR="001A01BB" w:rsidRPr="001A01BB">
        <w:t>opposite transmission directions in adjacent bands 37</w:t>
      </w:r>
      <w:r w:rsidR="001A01BB">
        <w:t>.</w:t>
      </w:r>
      <w:r w:rsidR="001A01BB" w:rsidRPr="001A01BB">
        <w:t>5-42</w:t>
      </w:r>
      <w:r w:rsidR="001A01BB">
        <w:t>.</w:t>
      </w:r>
      <w:r w:rsidR="001A01BB" w:rsidRPr="001A01BB">
        <w:t>5 GHz (space-to-Earth) and 42.5-43.5 GHz (Earth-to-space)</w:t>
      </w:r>
      <w:r w:rsidR="003B258B">
        <w:t>,</w:t>
      </w:r>
      <w:r w:rsidR="001A01BB" w:rsidRPr="001A01BB">
        <w:t xml:space="preserve"> and </w:t>
      </w:r>
      <w:r w:rsidR="00E74E04">
        <w:t xml:space="preserve">use </w:t>
      </w:r>
      <w:r w:rsidR="001A01BB" w:rsidRPr="001A01BB">
        <w:t>frequenc</w:t>
      </w:r>
      <w:r w:rsidR="001A01BB">
        <w:t>y bands 42.5-</w:t>
      </w:r>
      <w:r w:rsidR="001A01BB" w:rsidRPr="001A01BB">
        <w:t xml:space="preserve">43.5 GHz </w:t>
      </w:r>
      <w:r w:rsidR="001A01BB">
        <w:t xml:space="preserve">and </w:t>
      </w:r>
      <w:r w:rsidR="001A01BB" w:rsidRPr="001A01BB">
        <w:t>50</w:t>
      </w:r>
      <w:r w:rsidR="001A01BB">
        <w:t>.</w:t>
      </w:r>
      <w:r w:rsidR="001A01BB" w:rsidRPr="001A01BB">
        <w:t>4-51</w:t>
      </w:r>
      <w:r w:rsidR="001A01BB">
        <w:t xml:space="preserve">.4 GHz </w:t>
      </w:r>
      <w:r w:rsidR="001A01BB" w:rsidRPr="001A01BB">
        <w:t xml:space="preserve">for </w:t>
      </w:r>
      <w:r w:rsidR="001A01BB">
        <w:t>(</w:t>
      </w:r>
      <w:r w:rsidR="001A01BB" w:rsidRPr="001A01BB">
        <w:t>Earth-to-space</w:t>
      </w:r>
      <w:r w:rsidR="001A01BB">
        <w:t>)</w:t>
      </w:r>
      <w:r w:rsidR="00E74E04">
        <w:t xml:space="preserve"> in one system</w:t>
      </w:r>
      <w:r w:rsidR="001A01BB">
        <w:t>. Th</w:t>
      </w:r>
      <w:r w:rsidR="00E74E04">
        <w:t>ese</w:t>
      </w:r>
      <w:r w:rsidR="001A01BB">
        <w:t xml:space="preserve"> </w:t>
      </w:r>
      <w:r w:rsidR="00E74E04">
        <w:t>will lead</w:t>
      </w:r>
      <w:r w:rsidR="001A01BB">
        <w:t xml:space="preserve"> to </w:t>
      </w:r>
      <w:r w:rsidR="001A01BB" w:rsidRPr="001A01BB">
        <w:t xml:space="preserve">the increase </w:t>
      </w:r>
      <w:r w:rsidR="001A01BB">
        <w:t xml:space="preserve">of </w:t>
      </w:r>
      <w:r w:rsidR="001A01BB" w:rsidRPr="001A01BB">
        <w:t>complexit</w:t>
      </w:r>
      <w:r w:rsidR="001A01BB">
        <w:t>y</w:t>
      </w:r>
      <w:r w:rsidR="001A01BB" w:rsidRPr="001A01BB">
        <w:t xml:space="preserve"> and cost of manufacturing </w:t>
      </w:r>
      <w:r w:rsidR="008605B4">
        <w:t>wide</w:t>
      </w:r>
      <w:r w:rsidR="001A01BB" w:rsidRPr="001A01BB">
        <w:t xml:space="preserve"> bandwidth FSS satellites in specified frequency bands.</w:t>
      </w:r>
    </w:p>
    <w:p w:rsidR="00B87127" w:rsidRPr="00811A88" w:rsidRDefault="00B87127" w:rsidP="00811A88">
      <w:r w:rsidRPr="00811A88">
        <w:t>WP 4A also discussed the protection of passive servicers above 5</w:t>
      </w:r>
      <w:r w:rsidR="00DF0C0E" w:rsidRPr="00014F6F">
        <w:t>1</w:t>
      </w:r>
      <w:r w:rsidRPr="00DF0C0E">
        <w:t>.4 GHz</w:t>
      </w:r>
      <w:r w:rsidRPr="00811A88">
        <w:t xml:space="preserve">. </w:t>
      </w:r>
      <w:r w:rsidRPr="00703E58">
        <w:rPr>
          <w:rStyle w:val="ECCParagraph"/>
        </w:rPr>
        <w:t>Resolution</w:t>
      </w:r>
      <w:r w:rsidRPr="00811A88">
        <w:rPr>
          <w:rStyle w:val="ECCHLbold"/>
        </w:rPr>
        <w:t xml:space="preserve"> 750 (Rev.WRC-12)</w:t>
      </w:r>
      <w:r w:rsidRPr="00811A88">
        <w:t xml:space="preserve"> imposes out of band power limits to active services, in order to protect the EESS (passive) and the SRS (passive), which are allocated in the frequency band over 52.</w:t>
      </w:r>
      <w:r w:rsidR="00DF0C0E" w:rsidRPr="00014F6F">
        <w:t>6</w:t>
      </w:r>
      <w:r w:rsidRPr="00DF0C0E">
        <w:t xml:space="preserve"> GHz. It will be necessary to verify the compatibility with these services and to decide which out of band limits need to be implemented.</w:t>
      </w:r>
      <w:r w:rsidRPr="00811A88">
        <w:t xml:space="preserve"> The analysis of the unwanted (out of band) emission power limits in adjacent bands above 52.</w:t>
      </w:r>
      <w:r w:rsidR="00DF0C0E" w:rsidRPr="00014F6F">
        <w:t>6</w:t>
      </w:r>
      <w:r w:rsidRPr="00DF0C0E">
        <w:t> GHz should take into acc</w:t>
      </w:r>
      <w:r w:rsidRPr="00811A88">
        <w:t>ount the FSS networks deployment model, including the total number of FSS satellites and frequency reuse factor for the feeder link Earth stations transmitting in the same frequency bands</w:t>
      </w:r>
      <w:r w:rsidR="00DF0C0E" w:rsidRPr="00811A88">
        <w:t>, as well as effects of aggregate interference including impact from stations of existing terrestrial services allocated in the 5</w:t>
      </w:r>
      <w:r w:rsidR="00E61C67">
        <w:t>1</w:t>
      </w:r>
      <w:r w:rsidR="00DF0C0E" w:rsidRPr="00811A88">
        <w:t>.4-52.6 GHz band</w:t>
      </w:r>
      <w:r w:rsidRPr="00811A88">
        <w:t xml:space="preserve">. </w:t>
      </w:r>
    </w:p>
    <w:p w:rsidR="000826DC" w:rsidRPr="000826DC" w:rsidRDefault="00B67025" w:rsidP="000826DC">
      <w:pPr>
        <w:rPr>
          <w:rStyle w:val="ECCParagraph"/>
        </w:rPr>
      </w:pPr>
      <w:r>
        <w:rPr>
          <w:rStyle w:val="ECCParagraph"/>
        </w:rPr>
        <w:t>As a result</w:t>
      </w:r>
      <w:r w:rsidR="000826DC" w:rsidRPr="000826DC">
        <w:rPr>
          <w:rStyle w:val="ECCParagraph"/>
        </w:rPr>
        <w:t xml:space="preserve"> WP</w:t>
      </w:r>
      <w:r w:rsidR="00703E58">
        <w:rPr>
          <w:rStyle w:val="ECCParagraph"/>
        </w:rPr>
        <w:t xml:space="preserve"> </w:t>
      </w:r>
      <w:r w:rsidR="000826DC" w:rsidRPr="000826DC">
        <w:rPr>
          <w:rStyle w:val="ECCParagraph"/>
        </w:rPr>
        <w:t>4</w:t>
      </w:r>
      <w:r w:rsidR="000826DC" w:rsidRPr="000826DC">
        <w:rPr>
          <w:rStyle w:val="ECCParagraph"/>
          <w:rFonts w:hint="eastAsia"/>
        </w:rPr>
        <w:t>A</w:t>
      </w:r>
      <w:r w:rsidR="000826DC" w:rsidRPr="000826DC">
        <w:rPr>
          <w:rStyle w:val="ECCParagraph"/>
        </w:rPr>
        <w:t xml:space="preserve"> meeting updated:</w:t>
      </w:r>
    </w:p>
    <w:p w:rsidR="000826DC" w:rsidRPr="000826DC" w:rsidRDefault="000826DC" w:rsidP="000826DC">
      <w:pPr>
        <w:pStyle w:val="ECCBulletsLv1"/>
        <w:rPr>
          <w:rStyle w:val="ECCParagraph"/>
        </w:rPr>
      </w:pPr>
      <w:r>
        <w:t>Working Document [towards a Preliminary Draft new Report] on spectrum needs</w:t>
      </w:r>
      <w:r w:rsidRPr="000826DC">
        <w:rPr>
          <w:rStyle w:val="ECCParagraph"/>
        </w:rPr>
        <w:t xml:space="preserve">; </w:t>
      </w:r>
    </w:p>
    <w:p w:rsidR="000826DC" w:rsidRPr="000826DC" w:rsidRDefault="000826DC" w:rsidP="000826DC">
      <w:pPr>
        <w:pStyle w:val="ECCBulletsLv1"/>
        <w:rPr>
          <w:rStyle w:val="ECCHLbold"/>
        </w:rPr>
      </w:pPr>
      <w:r>
        <w:t xml:space="preserve">Working document </w:t>
      </w:r>
      <w:r w:rsidRPr="000826DC">
        <w:t>[towards a Preliminary Draft new Report] on sharing with incumbent services in the 51.4-52.4 GHz band and adjacent and nearby bands</w:t>
      </w:r>
      <w:r w:rsidRPr="000826DC">
        <w:rPr>
          <w:rStyle w:val="ECCParagraph"/>
        </w:rPr>
        <w:t>;</w:t>
      </w:r>
    </w:p>
    <w:p w:rsidR="00B67025" w:rsidRPr="00235592" w:rsidRDefault="000826DC" w:rsidP="000826DC">
      <w:pPr>
        <w:pStyle w:val="ECCBulletsLv1"/>
        <w:rPr>
          <w:rStyle w:val="ECCParagraph"/>
        </w:rPr>
      </w:pPr>
      <w:r>
        <w:t xml:space="preserve">Work plan for WRC-19 </w:t>
      </w:r>
      <w:r w:rsidR="00703E58">
        <w:t>A</w:t>
      </w:r>
      <w:r>
        <w:t xml:space="preserve">genda item 9.1 </w:t>
      </w:r>
      <w:proofErr w:type="gramStart"/>
      <w:r w:rsidR="00703E58">
        <w:t>i</w:t>
      </w:r>
      <w:r>
        <w:t>ssue</w:t>
      </w:r>
      <w:proofErr w:type="gramEnd"/>
      <w:r>
        <w:t xml:space="preserve"> 9.1.9</w:t>
      </w:r>
      <w:r w:rsidRPr="000826DC">
        <w:rPr>
          <w:rStyle w:val="ECCParagraph"/>
        </w:rPr>
        <w:t>.</w:t>
      </w:r>
    </w:p>
    <w:p w:rsidR="003771D5" w:rsidRPr="00235592" w:rsidRDefault="003771D5" w:rsidP="00BD4E12">
      <w:pPr>
        <w:pStyle w:val="Heading1"/>
        <w:rPr>
          <w:lang w:val="en-GB"/>
        </w:rPr>
      </w:pPr>
      <w:r w:rsidRPr="00235592">
        <w:rPr>
          <w:lang w:val="en-GB"/>
        </w:rPr>
        <w:t>List of relevant documents</w:t>
      </w:r>
    </w:p>
    <w:p w:rsidR="006E3E8B" w:rsidRPr="00703E58" w:rsidRDefault="006E3E8B" w:rsidP="00703E58">
      <w:pPr>
        <w:pStyle w:val="ECCBreak"/>
        <w:rPr>
          <w:rStyle w:val="ECCHLbold"/>
          <w:b/>
          <w:bCs/>
        </w:rPr>
      </w:pPr>
      <w:r w:rsidRPr="00703E58">
        <w:rPr>
          <w:rStyle w:val="ECCHLbold"/>
          <w:b/>
          <w:bCs/>
        </w:rPr>
        <w:t>ITU-R Documentation</w:t>
      </w:r>
    </w:p>
    <w:p w:rsidR="0026683B" w:rsidRDefault="0026683B" w:rsidP="00BB0214">
      <w:pPr>
        <w:pStyle w:val="ECCBulletsLv1"/>
      </w:pPr>
      <w:r w:rsidRPr="0026683B">
        <w:t>Document 4A/201</w:t>
      </w:r>
      <w:r>
        <w:t xml:space="preserve"> – Liaison statement to WP 4A from WP 7D on </w:t>
      </w:r>
      <w:r w:rsidR="00BB0214" w:rsidRPr="00BB0214">
        <w:t>the protection criteria for the RAS</w:t>
      </w:r>
      <w:r w:rsidR="00BB0214">
        <w:t xml:space="preserve"> i</w:t>
      </w:r>
      <w:r w:rsidR="00703E58">
        <w:t>n the band 51.4-</w:t>
      </w:r>
      <w:r w:rsidR="00BB0214" w:rsidRPr="00BB0214">
        <w:t>54.25 GHz</w:t>
      </w:r>
    </w:p>
    <w:p w:rsidR="00BB0214" w:rsidRDefault="00BB0214" w:rsidP="00BB0214">
      <w:pPr>
        <w:pStyle w:val="ECCBulletsLv1"/>
      </w:pPr>
      <w:r w:rsidRPr="0026683B">
        <w:t>Document 4A/2</w:t>
      </w:r>
      <w:r>
        <w:t>2</w:t>
      </w:r>
      <w:r w:rsidRPr="0026683B">
        <w:t>1</w:t>
      </w:r>
      <w:r>
        <w:t xml:space="preserve"> – Liaison statement to WP 4A from WP 5A on </w:t>
      </w:r>
      <w:r w:rsidRPr="00BB0214">
        <w:t>technical characteristics of systems in the</w:t>
      </w:r>
      <w:r>
        <w:t xml:space="preserve"> MS in the </w:t>
      </w:r>
      <w:r w:rsidRPr="00BB0214">
        <w:t>frequency band 51.4-52.4 GHz</w:t>
      </w:r>
    </w:p>
    <w:p w:rsidR="006E3E8B" w:rsidRPr="006E3E8B" w:rsidRDefault="006E3E8B" w:rsidP="006E3E8B">
      <w:pPr>
        <w:pStyle w:val="ECCBulletsLv1"/>
      </w:pPr>
      <w:r>
        <w:t xml:space="preserve">Annex </w:t>
      </w:r>
      <w:r w:rsidR="00885554">
        <w:t>12</w:t>
      </w:r>
      <w:r>
        <w:t xml:space="preserve"> to Document 4A/</w:t>
      </w:r>
      <w:r w:rsidR="00885554">
        <w:t>196</w:t>
      </w:r>
      <w:r>
        <w:t xml:space="preserve"> – Working document [towards a preliminary draft new Report] on spectrum needs</w:t>
      </w:r>
    </w:p>
    <w:p w:rsidR="006E3E8B" w:rsidRPr="006E3E8B" w:rsidRDefault="006E3E8B" w:rsidP="006E3E8B">
      <w:pPr>
        <w:pStyle w:val="ECCBulletsLv1"/>
      </w:pPr>
      <w:r>
        <w:t xml:space="preserve">Annex </w:t>
      </w:r>
      <w:r w:rsidR="00885554">
        <w:t>13</w:t>
      </w:r>
      <w:r>
        <w:t xml:space="preserve"> to Document 4A/</w:t>
      </w:r>
      <w:r w:rsidR="00885554">
        <w:t>196</w:t>
      </w:r>
      <w:r>
        <w:t xml:space="preserve"> – Working document [towards a preliminary draft new Report] on sharing with incumbent services in the 51.4-52.4 GHz band and adjacent and nearby bands</w:t>
      </w:r>
    </w:p>
    <w:p w:rsidR="006E3E8B" w:rsidRPr="006E3E8B" w:rsidRDefault="006E3E8B" w:rsidP="006E3E8B">
      <w:pPr>
        <w:pStyle w:val="ECCBulletsLv1"/>
      </w:pPr>
      <w:r>
        <w:t xml:space="preserve">Annex </w:t>
      </w:r>
      <w:r w:rsidR="00885554">
        <w:t>36</w:t>
      </w:r>
      <w:r>
        <w:t xml:space="preserve"> to Document 4A/</w:t>
      </w:r>
      <w:r w:rsidR="00885554">
        <w:t>19</w:t>
      </w:r>
      <w:r w:rsidR="000826DC">
        <w:t>6</w:t>
      </w:r>
      <w:r>
        <w:t xml:space="preserve"> – Work plan for WRC-19 </w:t>
      </w:r>
      <w:r w:rsidR="00703E58">
        <w:t>A</w:t>
      </w:r>
      <w:r>
        <w:t xml:space="preserve">genda item 9.1 </w:t>
      </w:r>
      <w:r w:rsidR="00703E58">
        <w:t>i</w:t>
      </w:r>
      <w:r>
        <w:t>ssue 9.1.9</w:t>
      </w:r>
    </w:p>
    <w:p w:rsidR="006E3E8B" w:rsidRPr="006E3E8B" w:rsidRDefault="006E3E8B" w:rsidP="006E3E8B">
      <w:pPr>
        <w:pStyle w:val="ECCBulletsLv1"/>
      </w:pPr>
      <w:r>
        <w:t>Recommendation ITU-R RS.515 – Frequency bands and bandwidths used for satellite passive remote sensing</w:t>
      </w:r>
    </w:p>
    <w:p w:rsidR="006E3E8B" w:rsidRPr="006E3E8B" w:rsidRDefault="006E3E8B" w:rsidP="006E3E8B">
      <w:pPr>
        <w:pStyle w:val="ECCBulletsLv1"/>
      </w:pPr>
      <w:r>
        <w:t>Recommendation ITU-R RS.1259 – Feasibility of sharing between space borne passive sensors and the fixed service from 50 to 60 GHz</w:t>
      </w:r>
    </w:p>
    <w:p w:rsidR="006E3E8B" w:rsidRPr="006E3E8B" w:rsidRDefault="006E3E8B" w:rsidP="006E3E8B">
      <w:pPr>
        <w:pStyle w:val="ECCBulletsLv1"/>
      </w:pPr>
      <w:r>
        <w:lastRenderedPageBreak/>
        <w:t>Recommendation ITU-R RS.1813 – Reference antenna pattern for passive sensors operating in the Earth exploration-satellite service (passive) to be used in compatibility analyses in the frequency range 1.4-100 GHz</w:t>
      </w:r>
    </w:p>
    <w:p w:rsidR="006E3E8B" w:rsidRPr="006E3E8B" w:rsidRDefault="006E3E8B" w:rsidP="006E3E8B">
      <w:pPr>
        <w:pStyle w:val="ECCBulletsLv1"/>
      </w:pPr>
      <w:r>
        <w:t>Recommendation ITU-R RS.1861 – Typical technical and operational characteristics of Earth exploration-satellite service (passive) systems using allocations between 1.4 and 275 GHz</w:t>
      </w:r>
    </w:p>
    <w:p w:rsidR="006E3E8B" w:rsidRPr="006E3E8B" w:rsidRDefault="006E3E8B" w:rsidP="006E3E8B">
      <w:pPr>
        <w:pStyle w:val="ECCBulletsLv1"/>
      </w:pPr>
      <w:r>
        <w:t>Recommendation ITU-R RS.2017 – Performance and interference criteria for satellite passive remote sensing</w:t>
      </w:r>
    </w:p>
    <w:p w:rsidR="006E3E8B" w:rsidRPr="006E3E8B" w:rsidRDefault="006E3E8B" w:rsidP="006E3E8B">
      <w:pPr>
        <w:pStyle w:val="ECCBulletsLv1"/>
      </w:pPr>
      <w:r>
        <w:t>Recommendation ITU-R RS.2064 – Typical technical and operating characteristics and frequency bands used by space research service (passive) observation systems</w:t>
      </w:r>
    </w:p>
    <w:p w:rsidR="006E3E8B" w:rsidRPr="006E3E8B" w:rsidRDefault="006E3E8B" w:rsidP="006E3E8B">
      <w:pPr>
        <w:pStyle w:val="ECCBulletsLv1"/>
      </w:pPr>
      <w:r>
        <w:t>Recommendation ITU-R SM.1542 – The protection of passive services from unwanted emissions</w:t>
      </w:r>
    </w:p>
    <w:p w:rsidR="006E3E8B" w:rsidRPr="006E3E8B" w:rsidRDefault="006E3E8B" w:rsidP="006E3E8B">
      <w:pPr>
        <w:pStyle w:val="ECCBulletsLv1"/>
      </w:pPr>
      <w:r>
        <w:t>Recommendation ITU-R SM.1633 – Compatibility analysis between a passive service and an active service allocated in adjacent and nearby bands</w:t>
      </w:r>
    </w:p>
    <w:p w:rsidR="006E3E8B" w:rsidRDefault="006E3E8B" w:rsidP="006E3E8B">
      <w:pPr>
        <w:pStyle w:val="ECCBulletsLv1"/>
      </w:pPr>
      <w:r w:rsidRPr="00122661">
        <w:rPr>
          <w:rStyle w:val="ECCParagraph"/>
        </w:rPr>
        <w:t>Report ITU-R</w:t>
      </w:r>
      <w:r w:rsidRPr="006E3E8B">
        <w:rPr>
          <w:rStyle w:val="ECCParagraph"/>
        </w:rPr>
        <w:t xml:space="preserve"> SM.2092 – </w:t>
      </w:r>
      <w:r w:rsidRPr="006E3E8B">
        <w:t>Studies related to the impact of active services allocated in adjacent or nearby bands on Earth exploration-satellite service (passive)</w:t>
      </w:r>
    </w:p>
    <w:p w:rsidR="006E3E8B" w:rsidRDefault="006E3E8B" w:rsidP="00703E58">
      <w:pPr>
        <w:pStyle w:val="ECCBreak"/>
        <w:rPr>
          <w:rStyle w:val="ECCParagraph"/>
        </w:rPr>
      </w:pPr>
      <w:r>
        <w:rPr>
          <w:rStyle w:val="ECCParagraph"/>
        </w:rPr>
        <w:t>CEPT and/or ECC Documentation (Decisions, Recommendations, Reports)</w:t>
      </w:r>
    </w:p>
    <w:p w:rsidR="00B60D5A" w:rsidRPr="00E6519E" w:rsidRDefault="00B60D5A" w:rsidP="00703E58">
      <w:pPr>
        <w:pStyle w:val="ECCBulletsLv1"/>
      </w:pPr>
    </w:p>
    <w:p w:rsidR="00B60D5A" w:rsidRPr="005662EC" w:rsidRDefault="00B60D5A" w:rsidP="00703E58">
      <w:pPr>
        <w:pStyle w:val="ECCBreak"/>
        <w:rPr>
          <w:lang w:val="en-US"/>
        </w:rPr>
      </w:pPr>
      <w:r w:rsidRPr="005662EC">
        <w:rPr>
          <w:lang w:val="en-US"/>
        </w:rPr>
        <w:t>EU Documentation (Directives, Decisions, Recommendations, other), if applicable</w:t>
      </w:r>
    </w:p>
    <w:p w:rsidR="00B60D5A" w:rsidRDefault="00B60D5A" w:rsidP="00703E58">
      <w:pPr>
        <w:pStyle w:val="ECCBulletsLv1"/>
        <w:rPr>
          <w:rStyle w:val="ECCParagraph"/>
        </w:rPr>
      </w:pPr>
    </w:p>
    <w:p w:rsidR="003771D5" w:rsidRPr="00235592" w:rsidRDefault="003771D5" w:rsidP="006E3E8B">
      <w:pPr>
        <w:pStyle w:val="Heading1"/>
        <w:rPr>
          <w:lang w:val="en-GB"/>
        </w:rPr>
      </w:pPr>
      <w:r w:rsidRPr="00235592">
        <w:rPr>
          <w:lang w:val="en-GB"/>
        </w:rPr>
        <w:t>Actions to be taken</w:t>
      </w:r>
    </w:p>
    <w:p w:rsidR="006E3E8B" w:rsidRDefault="006E3E8B" w:rsidP="006E3E8B">
      <w:pPr>
        <w:pStyle w:val="ECCBulletsLv1"/>
      </w:pPr>
      <w:r>
        <w:t xml:space="preserve">To conduct studies </w:t>
      </w:r>
      <w:r w:rsidRPr="006E3E8B">
        <w:t>with a view of demonstrating additional spectrum needs for development of the fixed-satellite service</w:t>
      </w:r>
    </w:p>
    <w:p w:rsidR="00E61C67" w:rsidRPr="006E3E8B" w:rsidRDefault="00E61C67" w:rsidP="006E3E8B">
      <w:pPr>
        <w:pStyle w:val="ECCBulletsLv1"/>
      </w:pPr>
      <w:r>
        <w:t>To finali</w:t>
      </w:r>
      <w:r w:rsidR="00315496">
        <w:t>s</w:t>
      </w:r>
      <w:r>
        <w:t>e the technical characteristics and deployment model required for the studies listed below</w:t>
      </w:r>
    </w:p>
    <w:p w:rsidR="00EA565A" w:rsidRPr="00481860" w:rsidRDefault="006E3E8B" w:rsidP="006E3E8B">
      <w:pPr>
        <w:pStyle w:val="ECCBulletsLv1"/>
        <w:rPr>
          <w:b/>
          <w:bCs/>
        </w:rPr>
      </w:pPr>
      <w:r>
        <w:t xml:space="preserve">To conduct sharing </w:t>
      </w:r>
      <w:r w:rsidR="00EA565A">
        <w:t xml:space="preserve">studies between FSS (Earth-to-space) limited to feeder links for GSO use and </w:t>
      </w:r>
      <w:r w:rsidR="00843477">
        <w:t>stations in the</w:t>
      </w:r>
      <w:r w:rsidR="00EA565A">
        <w:t xml:space="preserve"> </w:t>
      </w:r>
      <w:r w:rsidR="00703E58">
        <w:t>FS operating in the band 51.4-</w:t>
      </w:r>
      <w:r w:rsidR="00EA565A">
        <w:t>52.4 GHz</w:t>
      </w:r>
      <w:r w:rsidR="00B60D5A">
        <w:t>.</w:t>
      </w:r>
    </w:p>
    <w:p w:rsidR="0092098D" w:rsidRPr="00481860" w:rsidRDefault="00EA565A" w:rsidP="006E3E8B">
      <w:pPr>
        <w:pStyle w:val="ECCBulletsLv1"/>
        <w:rPr>
          <w:b/>
          <w:bCs/>
        </w:rPr>
      </w:pPr>
      <w:r>
        <w:t xml:space="preserve">To consider the information on characteristics </w:t>
      </w:r>
      <w:r w:rsidR="00B970BE">
        <w:t xml:space="preserve">and protection requirements </w:t>
      </w:r>
      <w:r>
        <w:t xml:space="preserve">of MS systems in the frequency band </w:t>
      </w:r>
      <w:r w:rsidRPr="00EA565A">
        <w:t>51.4</w:t>
      </w:r>
      <w:r w:rsidR="00703E58">
        <w:t>-</w:t>
      </w:r>
      <w:r w:rsidRPr="00EA565A">
        <w:t>52.4 GHz</w:t>
      </w:r>
      <w:r>
        <w:t xml:space="preserve"> and </w:t>
      </w:r>
      <w:r w:rsidR="00B970BE">
        <w:t xml:space="preserve">if available, </w:t>
      </w:r>
      <w:r>
        <w:t xml:space="preserve">conduct the sharing studies with </w:t>
      </w:r>
      <w:r w:rsidRPr="00EA565A">
        <w:t>FSS (Earth-to-space) limited to feeder links for GSO</w:t>
      </w:r>
      <w:r w:rsidR="00B970BE">
        <w:t xml:space="preserve"> use</w:t>
      </w:r>
    </w:p>
    <w:p w:rsidR="00DF0C0E" w:rsidRPr="00DF0C0E" w:rsidRDefault="0092098D" w:rsidP="00481860">
      <w:pPr>
        <w:pStyle w:val="ECCBulletsLv1"/>
        <w:numPr>
          <w:ilvl w:val="0"/>
          <w:numId w:val="0"/>
        </w:numPr>
        <w:ind w:left="360"/>
      </w:pPr>
      <w:r>
        <w:t>To conduct studies to determine the limits of unwanted emission power from GSO FSS earth stations limited to feeder links operating in the 51.4</w:t>
      </w:r>
      <w:r w:rsidR="00703E58">
        <w:t>-</w:t>
      </w:r>
      <w:r>
        <w:t>52.4 GHz band within the EESS (passive band) 52.6</w:t>
      </w:r>
      <w:r w:rsidR="00703E58">
        <w:t>-54.25 GHz band w</w:t>
      </w:r>
      <w:r w:rsidRPr="0092098D">
        <w:t xml:space="preserve">hen conducting </w:t>
      </w:r>
      <w:r w:rsidR="0028573D">
        <w:t>such</w:t>
      </w:r>
      <w:r w:rsidRPr="0092098D">
        <w:t xml:space="preserve"> studies </w:t>
      </w:r>
      <w:r>
        <w:t xml:space="preserve"> the</w:t>
      </w:r>
      <w:r w:rsidR="00DF0C0E" w:rsidRPr="00DF0C0E">
        <w:t xml:space="preserve"> effect </w:t>
      </w:r>
      <w:r>
        <w:t xml:space="preserve">of unwanted emissions from </w:t>
      </w:r>
      <w:r w:rsidR="00DF0C0E" w:rsidRPr="00DF0C0E">
        <w:t xml:space="preserve">stations of existing terrestrial services allocated in </w:t>
      </w:r>
      <w:r w:rsidR="003E3E06" w:rsidRPr="00DF0C0E">
        <w:t>5</w:t>
      </w:r>
      <w:r w:rsidR="003E3E06">
        <w:t>1</w:t>
      </w:r>
      <w:r w:rsidR="00DF0C0E" w:rsidRPr="00DF0C0E">
        <w:t>.4-52.6 GHz band</w:t>
      </w:r>
      <w:r w:rsidR="0028573D">
        <w:t xml:space="preserve"> should also be considered</w:t>
      </w:r>
    </w:p>
    <w:p w:rsidR="00DF0C0E" w:rsidRPr="0038487D" w:rsidRDefault="00811A88" w:rsidP="00703E58">
      <w:pPr>
        <w:pStyle w:val="ECCBulletsLv1"/>
      </w:pPr>
      <w:r>
        <w:t xml:space="preserve">To prepare proposals on revision of </w:t>
      </w:r>
      <w:r w:rsidR="00DF0C0E" w:rsidRPr="009C2DB8">
        <w:rPr>
          <w:rStyle w:val="ECCFiguregraphcenteredZchn"/>
          <w:lang w:val="en-US"/>
        </w:rPr>
        <w:t xml:space="preserve">Resolution </w:t>
      </w:r>
      <w:r w:rsidR="00DF0C0E" w:rsidRPr="00811A88">
        <w:rPr>
          <w:rStyle w:val="ECCHLbold"/>
        </w:rPr>
        <w:t>750 (Rev.WRC-15)</w:t>
      </w:r>
      <w:r>
        <w:t xml:space="preserve">, </w:t>
      </w:r>
      <w:r w:rsidR="00DF0C0E" w:rsidRPr="00DF0C0E">
        <w:t>based on</w:t>
      </w:r>
      <w:r>
        <w:t xml:space="preserve"> </w:t>
      </w:r>
      <w:r w:rsidR="00DF0C0E" w:rsidRPr="00DF0C0E">
        <w:t>studies of</w:t>
      </w:r>
      <w:r>
        <w:t xml:space="preserve"> </w:t>
      </w:r>
      <w:r w:rsidR="00DF0C0E" w:rsidRPr="00DF0C0E">
        <w:t>aggregate interference effects</w:t>
      </w:r>
      <w:r w:rsidR="00DF0C0E">
        <w:t xml:space="preserve"> </w:t>
      </w:r>
      <w:r w:rsidR="00DF0C0E" w:rsidRPr="00DF0C0E">
        <w:t>from FSS GSO satellite networks in 51.4-52.4 GHz band</w:t>
      </w:r>
      <w:r>
        <w:t xml:space="preserve"> </w:t>
      </w:r>
      <w:r w:rsidR="00DF0C0E" w:rsidRPr="00DF0C0E">
        <w:t>and</w:t>
      </w:r>
      <w:r>
        <w:t xml:space="preserve"> </w:t>
      </w:r>
      <w:r w:rsidR="00DF0C0E" w:rsidRPr="00DF0C0E">
        <w:t xml:space="preserve">stations of existing terrestrial services allocated in </w:t>
      </w:r>
      <w:r w:rsidR="00843477">
        <w:t xml:space="preserve">the </w:t>
      </w:r>
      <w:r w:rsidR="008109D9" w:rsidRPr="00DF0C0E">
        <w:t>5</w:t>
      </w:r>
      <w:r w:rsidR="008109D9">
        <w:t>1</w:t>
      </w:r>
      <w:r w:rsidR="00DF0C0E" w:rsidRPr="00DF0C0E">
        <w:t>.4-52.6 GHz</w:t>
      </w:r>
      <w:r w:rsidR="00DF0C0E">
        <w:t xml:space="preserve"> band</w:t>
      </w:r>
    </w:p>
    <w:p w:rsidR="00481860" w:rsidRPr="00811A88" w:rsidRDefault="00481860" w:rsidP="00481860">
      <w:pPr>
        <w:pStyle w:val="ECCBulletsLv1"/>
        <w:rPr>
          <w:rStyle w:val="ECCHLbold"/>
        </w:rPr>
      </w:pPr>
      <w:r>
        <w:t xml:space="preserve">To study the possible impact from FSS </w:t>
      </w:r>
      <w:r w:rsidRPr="00EA565A">
        <w:t xml:space="preserve">(Earth-to-space) </w:t>
      </w:r>
      <w:r>
        <w:t xml:space="preserve">on </w:t>
      </w:r>
      <w:r w:rsidRPr="00481860">
        <w:t xml:space="preserve">radio astronomy observations </w:t>
      </w:r>
      <w:r>
        <w:t xml:space="preserve">that may be </w:t>
      </w:r>
      <w:r w:rsidR="00DE40C4">
        <w:t xml:space="preserve">carried out </w:t>
      </w:r>
      <w:r w:rsidRPr="00481860">
        <w:t>under national arrangements</w:t>
      </w:r>
      <w:r>
        <w:t xml:space="preserve"> according to</w:t>
      </w:r>
      <w:r w:rsidR="00703E58">
        <w:t xml:space="preserve"> No</w:t>
      </w:r>
      <w:r>
        <w:t xml:space="preserve"> </w:t>
      </w:r>
      <w:r w:rsidRPr="0038487D">
        <w:rPr>
          <w:rStyle w:val="ECCHLbold"/>
        </w:rPr>
        <w:t>5.556</w:t>
      </w:r>
    </w:p>
    <w:p w:rsidR="006E3E8B" w:rsidRPr="006E3E8B" w:rsidRDefault="006E3E8B" w:rsidP="006E3E8B">
      <w:pPr>
        <w:pStyle w:val="ECCBulletsLv1"/>
      </w:pPr>
      <w:r>
        <w:t>To coordinate the activity with ECC PT1</w:t>
      </w:r>
    </w:p>
    <w:p w:rsidR="006E3E8B" w:rsidRPr="006E3E8B" w:rsidRDefault="006E3E8B" w:rsidP="006E3E8B">
      <w:pPr>
        <w:pStyle w:val="ECCBulletsLv1"/>
      </w:pPr>
      <w:r>
        <w:t>To prepare proposals to the draft CPM Report</w:t>
      </w:r>
    </w:p>
    <w:p w:rsidR="004A511D" w:rsidRPr="00235592" w:rsidRDefault="006E3E8B" w:rsidP="006E3E8B">
      <w:pPr>
        <w:pStyle w:val="ECCBulletsLv1"/>
      </w:pPr>
      <w:r>
        <w:t>To prepare proposals to ECP, if necessary</w:t>
      </w:r>
    </w:p>
    <w:p w:rsidR="003771D5" w:rsidRPr="00235592" w:rsidRDefault="003771D5" w:rsidP="00BD4E12">
      <w:pPr>
        <w:pStyle w:val="Heading1"/>
        <w:rPr>
          <w:lang w:val="en-GB"/>
        </w:rPr>
      </w:pPr>
      <w:r w:rsidRPr="00235592">
        <w:rPr>
          <w:lang w:val="en-GB"/>
        </w:rPr>
        <w:t>Relevant information from outside CEPT (examples of these are below)</w:t>
      </w:r>
    </w:p>
    <w:p w:rsidR="003771D5" w:rsidRPr="00235592" w:rsidRDefault="003771D5" w:rsidP="00BD4E12">
      <w:pPr>
        <w:pStyle w:val="Heading2"/>
        <w:rPr>
          <w:lang w:val="en-GB"/>
        </w:rPr>
      </w:pPr>
      <w:r w:rsidRPr="00235592">
        <w:rPr>
          <w:lang w:val="en-GB"/>
        </w:rPr>
        <w:t>European Union (date of proposal)</w:t>
      </w:r>
    </w:p>
    <w:p w:rsidR="004F16F4" w:rsidRPr="00235592" w:rsidRDefault="004F16F4" w:rsidP="004F16F4">
      <w:pPr>
        <w:rPr>
          <w:rStyle w:val="ECCParagraph"/>
        </w:rPr>
      </w:pPr>
    </w:p>
    <w:p w:rsidR="003771D5" w:rsidRPr="00235592" w:rsidRDefault="003771D5" w:rsidP="00BD4E12">
      <w:pPr>
        <w:pStyle w:val="Heading2"/>
        <w:rPr>
          <w:lang w:val="en-GB"/>
        </w:rPr>
      </w:pPr>
      <w:r w:rsidRPr="00235592">
        <w:rPr>
          <w:lang w:val="en-GB"/>
        </w:rPr>
        <w:lastRenderedPageBreak/>
        <w:t>Regional t</w:t>
      </w:r>
      <w:r w:rsidR="0057797A" w:rsidRPr="00235592">
        <w:rPr>
          <w:lang w:val="en-GB"/>
        </w:rPr>
        <w:t>elecommunication organisations</w:t>
      </w:r>
    </w:p>
    <w:p w:rsidR="003771D5" w:rsidRPr="00235592" w:rsidRDefault="003771D5" w:rsidP="003A68D5">
      <w:pPr>
        <w:pStyle w:val="ECCBreak"/>
        <w:rPr>
          <w:lang w:val="en-GB"/>
        </w:rPr>
      </w:pPr>
      <w:r w:rsidRPr="00235592">
        <w:rPr>
          <w:lang w:val="en-GB"/>
        </w:rPr>
        <w:t>APT (date of proposal)</w:t>
      </w:r>
    </w:p>
    <w:p w:rsidR="003771D5" w:rsidRPr="00235592" w:rsidRDefault="003771D5" w:rsidP="003A68D5">
      <w:pPr>
        <w:pStyle w:val="ECCBreak"/>
        <w:rPr>
          <w:lang w:val="en-GB"/>
        </w:rPr>
      </w:pPr>
      <w:r w:rsidRPr="00235592">
        <w:rPr>
          <w:lang w:val="en-GB"/>
        </w:rPr>
        <w:t>ATU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 xml:space="preserve">Arab Group </w:t>
      </w:r>
      <w:proofErr w:type="gramStart"/>
      <w:r w:rsidRPr="00235592">
        <w:rPr>
          <w:lang w:val="en-GB"/>
        </w:rPr>
        <w:t>(</w:t>
      </w:r>
      <w:r w:rsidR="004B6D45">
        <w:t xml:space="preserve"> </w:t>
      </w:r>
      <w:r w:rsidR="004B6D45" w:rsidRPr="004B6D45">
        <w:t>April</w:t>
      </w:r>
      <w:proofErr w:type="gramEnd"/>
      <w:r w:rsidR="004B6D45" w:rsidRPr="004B6D45">
        <w:t>, 2017</w:t>
      </w:r>
      <w:r w:rsidRPr="00235592">
        <w:rPr>
          <w:lang w:val="en-GB"/>
        </w:rPr>
        <w:t>)</w:t>
      </w:r>
    </w:p>
    <w:p w:rsidR="004B6D45" w:rsidRPr="004B6D45" w:rsidRDefault="004B6D45" w:rsidP="004B6D45">
      <w:r w:rsidRPr="004B6D45">
        <w:t>Follow up current studies on this item. Ensure the protection of existing services, especially the fixed and mobile services that may be used extensively in Arab states. Consult with satellite operators with respect to their needs of spectrum in the frequency range 52.4 - 51.4 GHz. Consultation with concerned groups in ASMG on the proposed allocation of this band for IMT.</w:t>
      </w:r>
    </w:p>
    <w:p w:rsidR="003771D5" w:rsidRPr="001F30E1" w:rsidRDefault="003771D5" w:rsidP="003A68D5">
      <w:pPr>
        <w:pStyle w:val="ECCBreak"/>
        <w:rPr>
          <w:lang w:val="en-US"/>
        </w:rPr>
      </w:pPr>
      <w:r w:rsidRPr="00235592">
        <w:rPr>
          <w:lang w:val="en-GB"/>
        </w:rPr>
        <w:t>CITEL (</w:t>
      </w:r>
      <w:r w:rsidR="003E0441" w:rsidRPr="001F30E1">
        <w:rPr>
          <w:lang w:val="en-US"/>
        </w:rPr>
        <w:t>July 2017</w:t>
      </w:r>
      <w:r w:rsidRPr="00235592">
        <w:rPr>
          <w:lang w:val="en-GB"/>
        </w:rPr>
        <w:t>)</w:t>
      </w:r>
    </w:p>
    <w:p w:rsidR="003E0441" w:rsidRPr="00BA2938" w:rsidRDefault="003E0441" w:rsidP="003E0441">
      <w:pPr>
        <w:rPr>
          <w:rStyle w:val="Emphasis"/>
          <w:lang w:val="en-US"/>
        </w:rPr>
      </w:pPr>
      <w:r w:rsidRPr="00BA2938">
        <w:rPr>
          <w:rStyle w:val="Emphasis"/>
          <w:lang w:val="en-CA"/>
        </w:rPr>
        <w:t>Preliminary Views</w:t>
      </w:r>
    </w:p>
    <w:p w:rsidR="003E0441" w:rsidRPr="003E0441" w:rsidRDefault="003E0441" w:rsidP="003E0441">
      <w:pPr>
        <w:rPr>
          <w:rStyle w:val="Emphasis"/>
          <w:lang w:val="en-US"/>
        </w:rPr>
      </w:pPr>
      <w:r w:rsidRPr="003E0441">
        <w:rPr>
          <w:rStyle w:val="Emphasis"/>
          <w:lang w:val="en-US"/>
        </w:rPr>
        <w:t>USA</w:t>
      </w:r>
    </w:p>
    <w:p w:rsidR="003E0441" w:rsidRPr="003E0441" w:rsidRDefault="003E0441" w:rsidP="003E0441">
      <w:pPr>
        <w:rPr>
          <w:lang w:val="en-US"/>
        </w:rPr>
      </w:pPr>
      <w:r w:rsidRPr="003E0441">
        <w:rPr>
          <w:lang w:val="en-US"/>
        </w:rPr>
        <w:t xml:space="preserve">The United States supports the study of all aspects of spectrum needs for the development of the fixed-satellite service under Resolves 1 of </w:t>
      </w:r>
      <w:r w:rsidRPr="003E0441">
        <w:rPr>
          <w:rStyle w:val="ECCHLbold"/>
          <w:lang w:val="en-US"/>
        </w:rPr>
        <w:t>Resolution 162</w:t>
      </w:r>
      <w:r w:rsidR="008F49E0">
        <w:rPr>
          <w:lang w:val="en-US"/>
        </w:rPr>
        <w:t xml:space="preserve">. </w:t>
      </w:r>
      <w:r w:rsidRPr="003E0441">
        <w:rPr>
          <w:lang w:val="en-US"/>
        </w:rPr>
        <w:t xml:space="preserve">The United States further supports the study as appropriate of possible primary allocation to the FSS of the frequency band 51.4-52.4 GHz (Earth-to-space), limited to GSO FSS feeder links, under the terms of </w:t>
      </w:r>
      <w:r w:rsidRPr="003E0441">
        <w:rPr>
          <w:rStyle w:val="ECCHLbold"/>
          <w:lang w:val="en-US"/>
        </w:rPr>
        <w:t>Resolution 162 (WRC-15)</w:t>
      </w:r>
      <w:r w:rsidRPr="003E0441">
        <w:rPr>
          <w:lang w:val="en-US"/>
        </w:rPr>
        <w:t xml:space="preserve"> to ensure compatibility with existing services, including adjacent bands as appropriate. Such studies should determine the suitability, including protection of fixed and mobile services, of a new primary allocation to the FSS in the frequency band 51.4-52.4 GHz (Earth-to-space), limited to FSS feeder links for geostationary orbit use, and the possible associated regulatory actions based on the results of these studies.</w:t>
      </w:r>
    </w:p>
    <w:p w:rsidR="003771D5" w:rsidRPr="00235592" w:rsidRDefault="003771D5" w:rsidP="003A68D5">
      <w:pPr>
        <w:pStyle w:val="ECCBreak"/>
        <w:rPr>
          <w:lang w:val="en-GB"/>
        </w:rPr>
      </w:pPr>
      <w:r w:rsidRPr="00235592">
        <w:rPr>
          <w:lang w:val="en-GB"/>
        </w:rPr>
        <w:t>RCC (</w:t>
      </w:r>
      <w:r w:rsidR="004B6D45" w:rsidRPr="005662EC">
        <w:rPr>
          <w:lang w:val="en-US"/>
        </w:rPr>
        <w:t xml:space="preserve">April, </w:t>
      </w:r>
      <w:proofErr w:type="gramStart"/>
      <w:r w:rsidR="004B6D45" w:rsidRPr="005662EC">
        <w:rPr>
          <w:lang w:val="en-US"/>
        </w:rPr>
        <w:t xml:space="preserve">2017 </w:t>
      </w:r>
      <w:r w:rsidRPr="00235592">
        <w:rPr>
          <w:lang w:val="en-GB"/>
        </w:rPr>
        <w:t>)</w:t>
      </w:r>
      <w:proofErr w:type="gramEnd"/>
    </w:p>
    <w:p w:rsidR="00011347" w:rsidRPr="00011347" w:rsidRDefault="00011347" w:rsidP="00011347">
      <w:r w:rsidRPr="00011347">
        <w:t>The RCC Administrations are in favour of justification of additional spectrum needs for the development of the fixed-satellite service in the frequency bands above 50 GHz, taking into account frequency bands currently allocated to this service in the ranges above 30 GHz as well as the possibility to optimize their use based on the technology of FSS satellites with multiple-beam antennas and frequency reuse.</w:t>
      </w:r>
    </w:p>
    <w:p w:rsidR="00011347" w:rsidRPr="00011347" w:rsidRDefault="00011347" w:rsidP="00011347">
      <w:r w:rsidRPr="00011347">
        <w:t xml:space="preserve">The RCC Administrations consider that the technical conditions and regulatory provisions, which are subject to the ITU-R studies, for use of new primary allocations to the FSS (Earth-to-space) in the 51.4-52.4 GHz band, limited to GSO FSS feeder links, shall ensure protection of existing services and systems in the considered and adjacent frequency bands and development of possible related regulatory measures, including revision of </w:t>
      </w:r>
      <w:r w:rsidRPr="00011347">
        <w:rPr>
          <w:rStyle w:val="ECCParagraph"/>
        </w:rPr>
        <w:t xml:space="preserve">Resolution </w:t>
      </w:r>
      <w:r w:rsidRPr="00011347">
        <w:rPr>
          <w:rStyle w:val="ECCHLbold"/>
        </w:rPr>
        <w:t>750 (Rev. WRC-15)</w:t>
      </w:r>
      <w:r w:rsidRPr="00011347">
        <w:t>.</w:t>
      </w:r>
    </w:p>
    <w:p w:rsidR="003771D5" w:rsidRPr="00235592" w:rsidRDefault="003771D5" w:rsidP="00BD4E12">
      <w:pPr>
        <w:pStyle w:val="Heading2"/>
        <w:rPr>
          <w:lang w:val="en-GB"/>
        </w:rPr>
      </w:pPr>
      <w:r w:rsidRPr="00235592">
        <w:rPr>
          <w:lang w:val="en-GB"/>
        </w:rPr>
        <w:t>International organisations</w:t>
      </w:r>
    </w:p>
    <w:p w:rsidR="003771D5" w:rsidRPr="00235592" w:rsidRDefault="003771D5" w:rsidP="00A06852">
      <w:pPr>
        <w:pStyle w:val="ECCBreak"/>
        <w:tabs>
          <w:tab w:val="right" w:pos="9639"/>
        </w:tabs>
        <w:rPr>
          <w:lang w:val="en-GB"/>
        </w:rPr>
      </w:pPr>
      <w:r w:rsidRPr="00235592">
        <w:rPr>
          <w:lang w:val="en-GB"/>
        </w:rPr>
        <w:t>IATA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ICAO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IMO (date of proposal)</w:t>
      </w:r>
    </w:p>
    <w:p w:rsidR="001F30E1" w:rsidRPr="00BA2938" w:rsidRDefault="001F30E1" w:rsidP="001F30E1">
      <w:pPr>
        <w:rPr>
          <w:rStyle w:val="ECCHLbold"/>
        </w:rPr>
      </w:pPr>
      <w:r w:rsidRPr="00BA2938">
        <w:rPr>
          <w:rStyle w:val="ECCHLbold"/>
        </w:rPr>
        <w:lastRenderedPageBreak/>
        <w:t>NATO (July 2017)</w:t>
      </w:r>
    </w:p>
    <w:p w:rsidR="001F30E1" w:rsidRPr="0087199B" w:rsidRDefault="001F30E1" w:rsidP="001F30E1">
      <w:r w:rsidRPr="0087199B">
        <w:t>This NATO military assessment summary is a common military assessment of the NATO Nations on the potential impacts and benefits of Agenda Item 9.1 Is</w:t>
      </w:r>
      <w:r>
        <w:t>s</w:t>
      </w:r>
      <w:r w:rsidRPr="0087199B">
        <w:t>ue 9.1.9. It does not constitute a common position of the NATO Nations.</w:t>
      </w:r>
    </w:p>
    <w:p w:rsidR="001F30E1" w:rsidRPr="00235592" w:rsidRDefault="001F30E1" w:rsidP="001F30E1">
      <w:pPr>
        <w:rPr>
          <w:rStyle w:val="ECCParagraph"/>
        </w:rPr>
      </w:pPr>
      <w:r w:rsidRPr="001F30E1">
        <w:t xml:space="preserve">The frequency band 51.4 - 52.4 GHz is not listed in the NJFA and limited military usage is identified for this band. The aimed allocation would achieve balance between uplink and downlink which should improve FSS usage efficiency that could possibly benefit to military operations in the future. </w:t>
      </w:r>
    </w:p>
    <w:p w:rsidR="003771D5" w:rsidRPr="00235592" w:rsidRDefault="003771D5" w:rsidP="00BD4E12">
      <w:pPr>
        <w:rPr>
          <w:rStyle w:val="ECCParagraph"/>
        </w:rPr>
      </w:pPr>
    </w:p>
    <w:p w:rsidR="003771D5" w:rsidRPr="006A5AF3" w:rsidRDefault="003771D5" w:rsidP="003A68D5">
      <w:pPr>
        <w:pStyle w:val="ECCBreak"/>
        <w:rPr>
          <w:lang w:val="en-US"/>
        </w:rPr>
      </w:pPr>
      <w:r w:rsidRPr="00235592">
        <w:rPr>
          <w:lang w:val="en-GB"/>
        </w:rPr>
        <w:t>SFCG</w:t>
      </w:r>
      <w:r w:rsidR="00B60D5A" w:rsidRPr="006A5AF3">
        <w:rPr>
          <w:lang w:val="en-US"/>
        </w:rPr>
        <w:t>, ESA</w:t>
      </w:r>
      <w:r w:rsidRPr="00235592">
        <w:rPr>
          <w:lang w:val="en-GB"/>
        </w:rPr>
        <w:t xml:space="preserve"> (</w:t>
      </w:r>
      <w:r w:rsidR="00AA3E29" w:rsidRPr="006A5AF3">
        <w:rPr>
          <w:lang w:val="en-US"/>
        </w:rPr>
        <w:t>June, 2016</w:t>
      </w:r>
      <w:r w:rsidRPr="00235592">
        <w:rPr>
          <w:lang w:val="en-GB"/>
        </w:rPr>
        <w:t>)</w:t>
      </w:r>
    </w:p>
    <w:p w:rsidR="003771D5" w:rsidRPr="00242102" w:rsidRDefault="00AA3E29" w:rsidP="00BD4E12">
      <w:pPr>
        <w:rPr>
          <w:rStyle w:val="ECCParagraph"/>
          <w:lang w:val="en-US"/>
        </w:rPr>
      </w:pPr>
      <w:r w:rsidRPr="00AA3E29">
        <w:rPr>
          <w:lang w:val="en-US"/>
        </w:rPr>
        <w:t xml:space="preserve">The SFCG objective is to ensure that any allocation in the band 51.4-52.4 GHz will not adversely impact the EESS (passive) allocation in the band 52.6-54.25 GHz (covered under RR No. 5.340). SFCG does not support an allocation until out of band sharing studies have been completed that show the EESS (passive) is not adversely affected and any required revision to </w:t>
      </w:r>
      <w:r w:rsidRPr="00811A88">
        <w:rPr>
          <w:rStyle w:val="ECCHLbold"/>
        </w:rPr>
        <w:t xml:space="preserve">Resolution 750 (rev. WRC 15) </w:t>
      </w:r>
      <w:r w:rsidRPr="00AA3E29">
        <w:t>is agreed.</w:t>
      </w:r>
    </w:p>
    <w:p w:rsidR="003771D5" w:rsidRPr="00235592" w:rsidRDefault="003771D5" w:rsidP="003A68D5">
      <w:pPr>
        <w:pStyle w:val="ECCBreak"/>
        <w:rPr>
          <w:lang w:val="en-GB"/>
        </w:rPr>
      </w:pPr>
      <w:r w:rsidRPr="00235592">
        <w:rPr>
          <w:lang w:val="en-GB"/>
        </w:rPr>
        <w:t>WMO and EUMETNET (</w:t>
      </w:r>
      <w:r w:rsidR="00B60D5A" w:rsidRPr="00E6519E">
        <w:rPr>
          <w:lang w:val="en-GB"/>
        </w:rPr>
        <w:t>November 2016</w:t>
      </w:r>
      <w:r w:rsidRPr="00235592">
        <w:rPr>
          <w:lang w:val="en-GB"/>
        </w:rPr>
        <w:t>)</w:t>
      </w:r>
    </w:p>
    <w:p w:rsidR="00B60D5A" w:rsidRPr="009C1306" w:rsidRDefault="00B60D5A" w:rsidP="00B60D5A">
      <w:pPr>
        <w:rPr>
          <w:rStyle w:val="Emphasis"/>
        </w:rPr>
      </w:pPr>
      <w:r w:rsidRPr="009C1306">
        <w:rPr>
          <w:rStyle w:val="Emphasis"/>
        </w:rPr>
        <w:t>EUMETNET</w:t>
      </w:r>
      <w:r>
        <w:rPr>
          <w:rStyle w:val="Emphasis"/>
        </w:rPr>
        <w:t>:</w:t>
      </w:r>
    </w:p>
    <w:p w:rsidR="003771D5" w:rsidRPr="00235592" w:rsidRDefault="00B60D5A" w:rsidP="00B60D5A">
      <w:pPr>
        <w:rPr>
          <w:rStyle w:val="ECCParagraph"/>
        </w:rPr>
      </w:pPr>
      <w:r w:rsidRPr="00FA5130">
        <w:t xml:space="preserve">No opposition to the possible </w:t>
      </w:r>
      <w:r w:rsidRPr="006242BC">
        <w:t>allocation of the frequency band 51.4-52.4 GHz to the FSS (E-s) provided that protection of EESS (passive) and ground-based radiometers is ensured</w:t>
      </w:r>
    </w:p>
    <w:p w:rsidR="003771D5" w:rsidRPr="00235592" w:rsidRDefault="003771D5" w:rsidP="00BD4E12">
      <w:pPr>
        <w:pStyle w:val="Heading2"/>
        <w:rPr>
          <w:lang w:val="en-GB"/>
        </w:rPr>
      </w:pPr>
      <w:r w:rsidRPr="00235592">
        <w:rPr>
          <w:lang w:val="en-GB"/>
        </w:rPr>
        <w:t>Regional organisations</w:t>
      </w:r>
    </w:p>
    <w:p w:rsidR="003771D5" w:rsidRPr="00235592" w:rsidRDefault="003771D5" w:rsidP="003A68D5">
      <w:pPr>
        <w:pStyle w:val="ECCBreak"/>
        <w:rPr>
          <w:lang w:val="en-GB"/>
        </w:rPr>
      </w:pPr>
      <w:proofErr w:type="spellStart"/>
      <w:r w:rsidRPr="00235592">
        <w:rPr>
          <w:lang w:val="en-GB"/>
        </w:rPr>
        <w:t>Eurocontrol</w:t>
      </w:r>
      <w:proofErr w:type="spellEnd"/>
      <w:r w:rsidRPr="00235592">
        <w:rPr>
          <w:lang w:val="en-GB"/>
        </w:rPr>
        <w:t xml:space="preserve"> (date of proposal)</w:t>
      </w:r>
    </w:p>
    <w:p w:rsidR="003771D5" w:rsidRPr="00235592" w:rsidRDefault="003771D5" w:rsidP="00BD4E12">
      <w:pPr>
        <w:pStyle w:val="Heading2"/>
        <w:rPr>
          <w:lang w:val="en-GB"/>
        </w:rPr>
      </w:pPr>
      <w:r w:rsidRPr="00235592">
        <w:rPr>
          <w:lang w:val="en-GB"/>
        </w:rPr>
        <w:t>OTHER INTERNATIONAL AND REGIONAL ORGANISATIONS</w:t>
      </w:r>
    </w:p>
    <w:p w:rsidR="003771D5" w:rsidRPr="00235592" w:rsidRDefault="003771D5" w:rsidP="003A68D5">
      <w:pPr>
        <w:pStyle w:val="ECCBreak"/>
        <w:rPr>
          <w:lang w:val="en-GB"/>
        </w:rPr>
      </w:pPr>
      <w:r w:rsidRPr="00235592">
        <w:rPr>
          <w:lang w:val="en-GB"/>
        </w:rPr>
        <w:t>EBU (date of proposal)</w:t>
      </w:r>
    </w:p>
    <w:p w:rsidR="003771D5" w:rsidRPr="00235592" w:rsidRDefault="003771D5" w:rsidP="00BD4E12">
      <w:pPr>
        <w:rPr>
          <w:rStyle w:val="ECCParagraph"/>
        </w:rPr>
      </w:pPr>
    </w:p>
    <w:p w:rsidR="004A511D" w:rsidRPr="00235592" w:rsidRDefault="003771D5" w:rsidP="003A68D5">
      <w:pPr>
        <w:pStyle w:val="ECCBreak"/>
        <w:rPr>
          <w:lang w:val="en-GB"/>
        </w:rPr>
      </w:pPr>
      <w:r w:rsidRPr="00235592">
        <w:rPr>
          <w:lang w:val="en-GB"/>
        </w:rPr>
        <w:t>GSMA (date of proposal)</w:t>
      </w:r>
    </w:p>
    <w:p w:rsidR="003A68D5" w:rsidRPr="00235592" w:rsidRDefault="003A68D5" w:rsidP="003A68D5">
      <w:pPr>
        <w:rPr>
          <w:rStyle w:val="ECCParagraph"/>
        </w:rPr>
      </w:pPr>
    </w:p>
    <w:p w:rsidR="003A68D5" w:rsidRPr="00235592" w:rsidRDefault="003A68D5" w:rsidP="003A68D5">
      <w:pPr>
        <w:pStyle w:val="ECCBreak"/>
        <w:rPr>
          <w:lang w:val="en-GB"/>
        </w:rPr>
      </w:pPr>
      <w:r w:rsidRPr="00235592">
        <w:rPr>
          <w:lang w:val="en-GB"/>
        </w:rPr>
        <w:t>CRAF (date of proposal)</w:t>
      </w:r>
    </w:p>
    <w:p w:rsidR="003A68D5" w:rsidRPr="00235592" w:rsidRDefault="003A68D5" w:rsidP="00765092">
      <w:pPr>
        <w:rPr>
          <w:rStyle w:val="ECCParagraph"/>
        </w:rPr>
      </w:pPr>
      <w:bookmarkStart w:id="0" w:name="_GoBack"/>
      <w:bookmarkEnd w:id="0"/>
    </w:p>
    <w:sectPr w:rsidR="003A68D5" w:rsidRPr="00235592"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C1E" w:rsidRDefault="008E6C1E" w:rsidP="00D0121B">
      <w:r>
        <w:separator/>
      </w:r>
    </w:p>
    <w:p w:rsidR="008E6C1E" w:rsidRDefault="008E6C1E"/>
    <w:p w:rsidR="008E6C1E" w:rsidRDefault="008E6C1E"/>
  </w:endnote>
  <w:endnote w:type="continuationSeparator" w:id="0">
    <w:p w:rsidR="008E6C1E" w:rsidRDefault="008E6C1E" w:rsidP="00D0121B">
      <w:r>
        <w:continuationSeparator/>
      </w:r>
    </w:p>
    <w:p w:rsidR="008E6C1E" w:rsidRDefault="008E6C1E"/>
    <w:p w:rsidR="008E6C1E" w:rsidRDefault="008E6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852" w:rsidRDefault="00A06852">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852" w:rsidRDefault="00A06852">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852" w:rsidRDefault="00A06852">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C1E" w:rsidRPr="00C77ABB" w:rsidRDefault="008E6C1E" w:rsidP="00C77ABB">
      <w:pPr>
        <w:pStyle w:val="FootnoteText"/>
      </w:pPr>
      <w:r w:rsidRPr="00C77ABB">
        <w:separator/>
      </w:r>
    </w:p>
  </w:footnote>
  <w:footnote w:type="continuationSeparator" w:id="0">
    <w:p w:rsidR="008E6C1E" w:rsidRPr="00C77ABB" w:rsidRDefault="008E6C1E" w:rsidP="00C77ABB">
      <w:pPr>
        <w:pStyle w:val="Footnote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A06852" w:rsidP="003A68D5">
    <w:pPr>
      <w:pStyle w:val="ECCpageHeader"/>
      <w:rPr>
        <w:lang w:val="en-US"/>
      </w:rPr>
    </w:pPr>
    <w:r>
      <w:rPr>
        <w:lang w:val="en-US"/>
      </w:rPr>
      <w:t xml:space="preserve">Draft CEPT Brief on AI </w:t>
    </w:r>
    <w:r w:rsidRPr="00E6519E">
      <w:rPr>
        <w:lang w:val="en-GB"/>
      </w:rPr>
      <w:t>9.1 ISSUE 9.1.9</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477984">
      <w:rPr>
        <w:noProof/>
        <w:lang w:val="en-US"/>
      </w:rPr>
      <w:t>6</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D904D5" w:rsidP="003A68D5">
    <w:pPr>
      <w:pStyle w:val="ECCpageHeader"/>
      <w:rPr>
        <w:lang w:val="en-US"/>
      </w:rPr>
    </w:pPr>
    <w:r>
      <w:tab/>
    </w:r>
    <w:r>
      <w:tab/>
    </w:r>
    <w:r w:rsidR="00A06852">
      <w:rPr>
        <w:lang w:val="en-US"/>
      </w:rPr>
      <w:t xml:space="preserve">Draft CEPT Brief on AI </w:t>
    </w:r>
    <w:r w:rsidR="00A06852" w:rsidRPr="00E6519E">
      <w:rPr>
        <w:lang w:val="en-GB"/>
      </w:rPr>
      <w:t>9.1 ISSUE 9.1.9</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477984">
      <w:rPr>
        <w:noProof/>
        <w:lang w:val="en-US"/>
      </w:rPr>
      <w:t>5</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A68D5">
    <w:pPr>
      <w:pStyle w:val="ECCpageHeader"/>
    </w:pPr>
    <w:r w:rsidRPr="008742E3">
      <w:rPr>
        <w:noProof/>
        <w:lang w:val="en-US"/>
      </w:rPr>
      <w:drawing>
        <wp:inline distT="0" distB="0" distL="0" distR="0" wp14:anchorId="6CF5C2DE" wp14:editId="2B41B41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12A59591" wp14:editId="7567A7A6">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331799B"/>
    <w:multiLevelType w:val="hybridMultilevel"/>
    <w:tmpl w:val="1722CB10"/>
    <w:lvl w:ilvl="0" w:tplc="BFF6CB74">
      <w:start w:val="1"/>
      <w:numFmt w:val="bullet"/>
      <w:lvlText w:val="o"/>
      <w:lvlJc w:val="left"/>
      <w:pPr>
        <w:tabs>
          <w:tab w:val="num" w:pos="720"/>
        </w:tabs>
        <w:ind w:left="720" w:hanging="360"/>
      </w:pPr>
      <w:rPr>
        <w:rFonts w:ascii="Courier New" w:hAnsi="Courier New" w:hint="default"/>
      </w:rPr>
    </w:lvl>
    <w:lvl w:ilvl="1" w:tplc="BB2CF5AE">
      <w:start w:val="1"/>
      <w:numFmt w:val="bullet"/>
      <w:lvlText w:val="o"/>
      <w:lvlJc w:val="left"/>
      <w:pPr>
        <w:tabs>
          <w:tab w:val="num" w:pos="1440"/>
        </w:tabs>
        <w:ind w:left="1440" w:hanging="360"/>
      </w:pPr>
      <w:rPr>
        <w:rFonts w:ascii="Courier New" w:hAnsi="Courier New" w:hint="default"/>
      </w:rPr>
    </w:lvl>
    <w:lvl w:ilvl="2" w:tplc="BE0A2718" w:tentative="1">
      <w:start w:val="1"/>
      <w:numFmt w:val="bullet"/>
      <w:lvlText w:val="o"/>
      <w:lvlJc w:val="left"/>
      <w:pPr>
        <w:tabs>
          <w:tab w:val="num" w:pos="2160"/>
        </w:tabs>
        <w:ind w:left="2160" w:hanging="360"/>
      </w:pPr>
      <w:rPr>
        <w:rFonts w:ascii="Courier New" w:hAnsi="Courier New" w:hint="default"/>
      </w:rPr>
    </w:lvl>
    <w:lvl w:ilvl="3" w:tplc="05A4E508" w:tentative="1">
      <w:start w:val="1"/>
      <w:numFmt w:val="bullet"/>
      <w:lvlText w:val="o"/>
      <w:lvlJc w:val="left"/>
      <w:pPr>
        <w:tabs>
          <w:tab w:val="num" w:pos="2880"/>
        </w:tabs>
        <w:ind w:left="2880" w:hanging="360"/>
      </w:pPr>
      <w:rPr>
        <w:rFonts w:ascii="Courier New" w:hAnsi="Courier New" w:hint="default"/>
      </w:rPr>
    </w:lvl>
    <w:lvl w:ilvl="4" w:tplc="0434BC10" w:tentative="1">
      <w:start w:val="1"/>
      <w:numFmt w:val="bullet"/>
      <w:lvlText w:val="o"/>
      <w:lvlJc w:val="left"/>
      <w:pPr>
        <w:tabs>
          <w:tab w:val="num" w:pos="3600"/>
        </w:tabs>
        <w:ind w:left="3600" w:hanging="360"/>
      </w:pPr>
      <w:rPr>
        <w:rFonts w:ascii="Courier New" w:hAnsi="Courier New" w:hint="default"/>
      </w:rPr>
    </w:lvl>
    <w:lvl w:ilvl="5" w:tplc="49ACAA92" w:tentative="1">
      <w:start w:val="1"/>
      <w:numFmt w:val="bullet"/>
      <w:lvlText w:val="o"/>
      <w:lvlJc w:val="left"/>
      <w:pPr>
        <w:tabs>
          <w:tab w:val="num" w:pos="4320"/>
        </w:tabs>
        <w:ind w:left="4320" w:hanging="360"/>
      </w:pPr>
      <w:rPr>
        <w:rFonts w:ascii="Courier New" w:hAnsi="Courier New" w:hint="default"/>
      </w:rPr>
    </w:lvl>
    <w:lvl w:ilvl="6" w:tplc="4E3A9F8E" w:tentative="1">
      <w:start w:val="1"/>
      <w:numFmt w:val="bullet"/>
      <w:lvlText w:val="o"/>
      <w:lvlJc w:val="left"/>
      <w:pPr>
        <w:tabs>
          <w:tab w:val="num" w:pos="5040"/>
        </w:tabs>
        <w:ind w:left="5040" w:hanging="360"/>
      </w:pPr>
      <w:rPr>
        <w:rFonts w:ascii="Courier New" w:hAnsi="Courier New" w:hint="default"/>
      </w:rPr>
    </w:lvl>
    <w:lvl w:ilvl="7" w:tplc="8654D79A" w:tentative="1">
      <w:start w:val="1"/>
      <w:numFmt w:val="bullet"/>
      <w:lvlText w:val="o"/>
      <w:lvlJc w:val="left"/>
      <w:pPr>
        <w:tabs>
          <w:tab w:val="num" w:pos="5760"/>
        </w:tabs>
        <w:ind w:left="5760" w:hanging="360"/>
      </w:pPr>
      <w:rPr>
        <w:rFonts w:ascii="Courier New" w:hAnsi="Courier New" w:hint="default"/>
      </w:rPr>
    </w:lvl>
    <w:lvl w:ilvl="8" w:tplc="EB34BA06" w:tentative="1">
      <w:start w:val="1"/>
      <w:numFmt w:val="bullet"/>
      <w:lvlText w:val="o"/>
      <w:lvlJc w:val="left"/>
      <w:pPr>
        <w:tabs>
          <w:tab w:val="num" w:pos="6480"/>
        </w:tabs>
        <w:ind w:left="6480" w:hanging="360"/>
      </w:pPr>
      <w:rPr>
        <w:rFonts w:ascii="Courier New" w:hAnsi="Courier New" w:hint="default"/>
      </w:rPr>
    </w:lvl>
  </w:abstractNum>
  <w:abstractNum w:abstractNumId="12">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2"/>
  </w:num>
  <w:num w:numId="2">
    <w:abstractNumId w:val="13"/>
  </w:num>
  <w:num w:numId="3">
    <w:abstractNumId w:val="12"/>
  </w:num>
  <w:num w:numId="4">
    <w:abstractNumId w:val="18"/>
  </w:num>
  <w:num w:numId="5">
    <w:abstractNumId w:val="15"/>
  </w:num>
  <w:num w:numId="6">
    <w:abstractNumId w:val="17"/>
  </w:num>
  <w:num w:numId="7">
    <w:abstractNumId w:val="1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4"/>
  </w:num>
  <w:num w:numId="21">
    <w:abstractNumId w:val="10"/>
  </w:num>
  <w:num w:numId="22">
    <w:abstractNumId w:val="13"/>
  </w:num>
  <w:num w:numId="23">
    <w:abstractNumId w:val="13"/>
  </w:num>
  <w:num w:numId="24">
    <w:abstractNumId w:val="13"/>
  </w:num>
  <w:num w:numId="25">
    <w:abstractNumId w:val="13"/>
  </w:num>
  <w:num w:numId="26">
    <w:abstractNumId w:val="10"/>
  </w:num>
  <w:num w:numId="27">
    <w:abstractNumId w:val="10"/>
  </w:num>
  <w:num w:numId="28">
    <w:abstractNumId w:val="10"/>
  </w:num>
  <w:num w:numId="29">
    <w:abstractNumId w:val="14"/>
  </w:num>
  <w:num w:numId="30">
    <w:abstractNumId w:val="16"/>
  </w:num>
  <w:num w:numId="31">
    <w:abstractNumId w:val="18"/>
  </w:num>
  <w:num w:numId="32">
    <w:abstractNumId w:val="15"/>
  </w:num>
  <w:num w:numId="33">
    <w:abstractNumId w:val="17"/>
  </w:num>
  <w:num w:numId="34">
    <w:abstractNumId w:val="16"/>
  </w:num>
  <w:num w:numId="35">
    <w:abstractNumId w:val="16"/>
  </w:num>
  <w:num w:numId="36">
    <w:abstractNumId w:val="16"/>
  </w:num>
  <w:num w:numId="3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yMzA0N7OwNDU0MzFX0lEKTi0uzszPAykwNKgFADwoKFstAAAA"/>
  </w:docVars>
  <w:rsids>
    <w:rsidRoot w:val="00C25698"/>
    <w:rsid w:val="00001F5A"/>
    <w:rsid w:val="00011347"/>
    <w:rsid w:val="000146C9"/>
    <w:rsid w:val="00014F6F"/>
    <w:rsid w:val="00041A18"/>
    <w:rsid w:val="0005235B"/>
    <w:rsid w:val="00052CAE"/>
    <w:rsid w:val="000611F2"/>
    <w:rsid w:val="00061762"/>
    <w:rsid w:val="000624EE"/>
    <w:rsid w:val="00062CB1"/>
    <w:rsid w:val="000660F5"/>
    <w:rsid w:val="00067793"/>
    <w:rsid w:val="000701A5"/>
    <w:rsid w:val="00080D4D"/>
    <w:rsid w:val="000826DC"/>
    <w:rsid w:val="00082DD7"/>
    <w:rsid w:val="000915A6"/>
    <w:rsid w:val="00095620"/>
    <w:rsid w:val="00097D7A"/>
    <w:rsid w:val="000A29BC"/>
    <w:rsid w:val="000A3619"/>
    <w:rsid w:val="000A3940"/>
    <w:rsid w:val="000A6285"/>
    <w:rsid w:val="000B2156"/>
    <w:rsid w:val="000B4DC6"/>
    <w:rsid w:val="000B5026"/>
    <w:rsid w:val="000C028F"/>
    <w:rsid w:val="000C5CB6"/>
    <w:rsid w:val="000C5D53"/>
    <w:rsid w:val="000D1710"/>
    <w:rsid w:val="000D7A37"/>
    <w:rsid w:val="000E42F5"/>
    <w:rsid w:val="000E4820"/>
    <w:rsid w:val="000E6BD6"/>
    <w:rsid w:val="000F0594"/>
    <w:rsid w:val="000F1620"/>
    <w:rsid w:val="000F24F5"/>
    <w:rsid w:val="000F3F0B"/>
    <w:rsid w:val="001006CA"/>
    <w:rsid w:val="00100F8B"/>
    <w:rsid w:val="0010211F"/>
    <w:rsid w:val="00107E85"/>
    <w:rsid w:val="001472B0"/>
    <w:rsid w:val="001472CB"/>
    <w:rsid w:val="00153839"/>
    <w:rsid w:val="0017456E"/>
    <w:rsid w:val="00183FE0"/>
    <w:rsid w:val="0018553F"/>
    <w:rsid w:val="001A01BB"/>
    <w:rsid w:val="001A65FA"/>
    <w:rsid w:val="001B4BA8"/>
    <w:rsid w:val="001D15AA"/>
    <w:rsid w:val="001D334F"/>
    <w:rsid w:val="001E312E"/>
    <w:rsid w:val="001F30E1"/>
    <w:rsid w:val="001F37A1"/>
    <w:rsid w:val="0020079A"/>
    <w:rsid w:val="0020250F"/>
    <w:rsid w:val="00220194"/>
    <w:rsid w:val="00226070"/>
    <w:rsid w:val="00235592"/>
    <w:rsid w:val="00236978"/>
    <w:rsid w:val="00242102"/>
    <w:rsid w:val="002620A2"/>
    <w:rsid w:val="0026683B"/>
    <w:rsid w:val="00273354"/>
    <w:rsid w:val="00274F84"/>
    <w:rsid w:val="0028060B"/>
    <w:rsid w:val="0028120C"/>
    <w:rsid w:val="0028573D"/>
    <w:rsid w:val="00293920"/>
    <w:rsid w:val="00295827"/>
    <w:rsid w:val="00295F16"/>
    <w:rsid w:val="002B4FE2"/>
    <w:rsid w:val="002B7A00"/>
    <w:rsid w:val="002C5C63"/>
    <w:rsid w:val="002D1FA9"/>
    <w:rsid w:val="002D50A3"/>
    <w:rsid w:val="002D6680"/>
    <w:rsid w:val="002E786C"/>
    <w:rsid w:val="002F1E6A"/>
    <w:rsid w:val="003031DA"/>
    <w:rsid w:val="00305220"/>
    <w:rsid w:val="00307A79"/>
    <w:rsid w:val="00315496"/>
    <w:rsid w:val="00322323"/>
    <w:rsid w:val="00322A67"/>
    <w:rsid w:val="00322E6A"/>
    <w:rsid w:val="0033004C"/>
    <w:rsid w:val="003314A0"/>
    <w:rsid w:val="00331ECB"/>
    <w:rsid w:val="003419EF"/>
    <w:rsid w:val="003503E7"/>
    <w:rsid w:val="003535FE"/>
    <w:rsid w:val="00353DE6"/>
    <w:rsid w:val="00361E54"/>
    <w:rsid w:val="00370A0C"/>
    <w:rsid w:val="003771D5"/>
    <w:rsid w:val="0038358E"/>
    <w:rsid w:val="0038487D"/>
    <w:rsid w:val="00391A01"/>
    <w:rsid w:val="00393DA1"/>
    <w:rsid w:val="003A5711"/>
    <w:rsid w:val="003A68D5"/>
    <w:rsid w:val="003B258B"/>
    <w:rsid w:val="003B7070"/>
    <w:rsid w:val="003C64D9"/>
    <w:rsid w:val="003E0441"/>
    <w:rsid w:val="003E3E06"/>
    <w:rsid w:val="003E5122"/>
    <w:rsid w:val="003E70E0"/>
    <w:rsid w:val="00403CE6"/>
    <w:rsid w:val="004074CC"/>
    <w:rsid w:val="004110CA"/>
    <w:rsid w:val="004202D2"/>
    <w:rsid w:val="0042509E"/>
    <w:rsid w:val="00443482"/>
    <w:rsid w:val="00443912"/>
    <w:rsid w:val="00446E3E"/>
    <w:rsid w:val="00450308"/>
    <w:rsid w:val="00457AD1"/>
    <w:rsid w:val="0046427F"/>
    <w:rsid w:val="00470D4B"/>
    <w:rsid w:val="00474DC4"/>
    <w:rsid w:val="00477984"/>
    <w:rsid w:val="00481860"/>
    <w:rsid w:val="00485307"/>
    <w:rsid w:val="00485F4E"/>
    <w:rsid w:val="00491977"/>
    <w:rsid w:val="00493D81"/>
    <w:rsid w:val="0049491B"/>
    <w:rsid w:val="004A1329"/>
    <w:rsid w:val="004A511D"/>
    <w:rsid w:val="004B6D45"/>
    <w:rsid w:val="004C4A2E"/>
    <w:rsid w:val="004D5EA3"/>
    <w:rsid w:val="004E44C8"/>
    <w:rsid w:val="004E53BE"/>
    <w:rsid w:val="004E73AE"/>
    <w:rsid w:val="004F16F4"/>
    <w:rsid w:val="004F3F81"/>
    <w:rsid w:val="004F6CA7"/>
    <w:rsid w:val="005028D4"/>
    <w:rsid w:val="0053164C"/>
    <w:rsid w:val="00532D3B"/>
    <w:rsid w:val="00535050"/>
    <w:rsid w:val="005353B8"/>
    <w:rsid w:val="00536F3C"/>
    <w:rsid w:val="0054260E"/>
    <w:rsid w:val="00550D79"/>
    <w:rsid w:val="005559AC"/>
    <w:rsid w:val="00556F11"/>
    <w:rsid w:val="00557B5A"/>
    <w:rsid w:val="005611D0"/>
    <w:rsid w:val="005662EC"/>
    <w:rsid w:val="00571A40"/>
    <w:rsid w:val="005736B2"/>
    <w:rsid w:val="0057797A"/>
    <w:rsid w:val="005817E4"/>
    <w:rsid w:val="00594186"/>
    <w:rsid w:val="005A53B8"/>
    <w:rsid w:val="005A5C15"/>
    <w:rsid w:val="005B12CB"/>
    <w:rsid w:val="005B41DC"/>
    <w:rsid w:val="005C10EB"/>
    <w:rsid w:val="005D371D"/>
    <w:rsid w:val="005E11F4"/>
    <w:rsid w:val="005E7495"/>
    <w:rsid w:val="005F2C42"/>
    <w:rsid w:val="00621C12"/>
    <w:rsid w:val="006279C8"/>
    <w:rsid w:val="00635A22"/>
    <w:rsid w:val="00642083"/>
    <w:rsid w:val="0065550D"/>
    <w:rsid w:val="00665364"/>
    <w:rsid w:val="0067679C"/>
    <w:rsid w:val="00680290"/>
    <w:rsid w:val="0068085F"/>
    <w:rsid w:val="006876A8"/>
    <w:rsid w:val="00687B43"/>
    <w:rsid w:val="006953BC"/>
    <w:rsid w:val="006A49E3"/>
    <w:rsid w:val="006A5AF3"/>
    <w:rsid w:val="006B1EFD"/>
    <w:rsid w:val="006B6E0D"/>
    <w:rsid w:val="006C454C"/>
    <w:rsid w:val="006C5C1C"/>
    <w:rsid w:val="006E2FD7"/>
    <w:rsid w:val="006E3C58"/>
    <w:rsid w:val="006E3E8B"/>
    <w:rsid w:val="006E4888"/>
    <w:rsid w:val="006F0442"/>
    <w:rsid w:val="007023A3"/>
    <w:rsid w:val="00703E58"/>
    <w:rsid w:val="00703FC0"/>
    <w:rsid w:val="007160BE"/>
    <w:rsid w:val="00721539"/>
    <w:rsid w:val="00722F65"/>
    <w:rsid w:val="00726836"/>
    <w:rsid w:val="00734A4F"/>
    <w:rsid w:val="007551EB"/>
    <w:rsid w:val="00757F2A"/>
    <w:rsid w:val="00762BCC"/>
    <w:rsid w:val="00763328"/>
    <w:rsid w:val="00763BA3"/>
    <w:rsid w:val="00764DD0"/>
    <w:rsid w:val="00765092"/>
    <w:rsid w:val="00765B66"/>
    <w:rsid w:val="00767BB2"/>
    <w:rsid w:val="00780376"/>
    <w:rsid w:val="00791AAC"/>
    <w:rsid w:val="00792BE3"/>
    <w:rsid w:val="0079410C"/>
    <w:rsid w:val="00797D4C"/>
    <w:rsid w:val="007B52C8"/>
    <w:rsid w:val="007C015A"/>
    <w:rsid w:val="007C0E7E"/>
    <w:rsid w:val="007C5A3B"/>
    <w:rsid w:val="007D17C5"/>
    <w:rsid w:val="007D52EC"/>
    <w:rsid w:val="007E68B4"/>
    <w:rsid w:val="007F1CEE"/>
    <w:rsid w:val="00805C53"/>
    <w:rsid w:val="008062AC"/>
    <w:rsid w:val="008109D9"/>
    <w:rsid w:val="00811A88"/>
    <w:rsid w:val="00817826"/>
    <w:rsid w:val="00837537"/>
    <w:rsid w:val="00843477"/>
    <w:rsid w:val="0084557D"/>
    <w:rsid w:val="008605B4"/>
    <w:rsid w:val="0086094D"/>
    <w:rsid w:val="00860C6B"/>
    <w:rsid w:val="0087199B"/>
    <w:rsid w:val="00872382"/>
    <w:rsid w:val="008742E3"/>
    <w:rsid w:val="00885554"/>
    <w:rsid w:val="008A1315"/>
    <w:rsid w:val="008A38A9"/>
    <w:rsid w:val="008A54FC"/>
    <w:rsid w:val="008B70CD"/>
    <w:rsid w:val="008B7CE5"/>
    <w:rsid w:val="008E6109"/>
    <w:rsid w:val="008E6C1E"/>
    <w:rsid w:val="008F49E0"/>
    <w:rsid w:val="0091502F"/>
    <w:rsid w:val="009170EA"/>
    <w:rsid w:val="00917D1C"/>
    <w:rsid w:val="0092076F"/>
    <w:rsid w:val="0092098D"/>
    <w:rsid w:val="00927833"/>
    <w:rsid w:val="00930439"/>
    <w:rsid w:val="00930BDF"/>
    <w:rsid w:val="00937FE5"/>
    <w:rsid w:val="009434C3"/>
    <w:rsid w:val="00947A5A"/>
    <w:rsid w:val="009770CA"/>
    <w:rsid w:val="00986677"/>
    <w:rsid w:val="0099421C"/>
    <w:rsid w:val="009A5EC8"/>
    <w:rsid w:val="009B0A78"/>
    <w:rsid w:val="009C224F"/>
    <w:rsid w:val="009C2DB8"/>
    <w:rsid w:val="009D3496"/>
    <w:rsid w:val="009D4BA1"/>
    <w:rsid w:val="009D7D5A"/>
    <w:rsid w:val="009E47EB"/>
    <w:rsid w:val="009E6DC3"/>
    <w:rsid w:val="009F0B56"/>
    <w:rsid w:val="009F3A37"/>
    <w:rsid w:val="00A02090"/>
    <w:rsid w:val="00A06852"/>
    <w:rsid w:val="00A076B5"/>
    <w:rsid w:val="00A23870"/>
    <w:rsid w:val="00A31525"/>
    <w:rsid w:val="00A34935"/>
    <w:rsid w:val="00A43BD3"/>
    <w:rsid w:val="00A451DB"/>
    <w:rsid w:val="00A73298"/>
    <w:rsid w:val="00A82218"/>
    <w:rsid w:val="00A95ACB"/>
    <w:rsid w:val="00A95DD6"/>
    <w:rsid w:val="00A97942"/>
    <w:rsid w:val="00AA079B"/>
    <w:rsid w:val="00AA086A"/>
    <w:rsid w:val="00AA3E29"/>
    <w:rsid w:val="00AB1C16"/>
    <w:rsid w:val="00AB2EA8"/>
    <w:rsid w:val="00AB3C46"/>
    <w:rsid w:val="00AD2382"/>
    <w:rsid w:val="00AD7257"/>
    <w:rsid w:val="00AE372A"/>
    <w:rsid w:val="00AF2D0C"/>
    <w:rsid w:val="00B245C3"/>
    <w:rsid w:val="00B2563E"/>
    <w:rsid w:val="00B3042F"/>
    <w:rsid w:val="00B3080B"/>
    <w:rsid w:val="00B30D3B"/>
    <w:rsid w:val="00B432D4"/>
    <w:rsid w:val="00B453ED"/>
    <w:rsid w:val="00B460E4"/>
    <w:rsid w:val="00B576D7"/>
    <w:rsid w:val="00B60D5A"/>
    <w:rsid w:val="00B63006"/>
    <w:rsid w:val="00B67025"/>
    <w:rsid w:val="00B72752"/>
    <w:rsid w:val="00B747CC"/>
    <w:rsid w:val="00B75274"/>
    <w:rsid w:val="00B80892"/>
    <w:rsid w:val="00B82735"/>
    <w:rsid w:val="00B87127"/>
    <w:rsid w:val="00B92861"/>
    <w:rsid w:val="00B95D8D"/>
    <w:rsid w:val="00B970BE"/>
    <w:rsid w:val="00BA2938"/>
    <w:rsid w:val="00BA2E30"/>
    <w:rsid w:val="00BA524C"/>
    <w:rsid w:val="00BA7A69"/>
    <w:rsid w:val="00BB0214"/>
    <w:rsid w:val="00BC1800"/>
    <w:rsid w:val="00BC3CA5"/>
    <w:rsid w:val="00BD28DF"/>
    <w:rsid w:val="00BD4E12"/>
    <w:rsid w:val="00BD7669"/>
    <w:rsid w:val="00BE0008"/>
    <w:rsid w:val="00BE2864"/>
    <w:rsid w:val="00BF3831"/>
    <w:rsid w:val="00BF3E56"/>
    <w:rsid w:val="00C0561A"/>
    <w:rsid w:val="00C076BF"/>
    <w:rsid w:val="00C10C10"/>
    <w:rsid w:val="00C11367"/>
    <w:rsid w:val="00C25698"/>
    <w:rsid w:val="00C27F02"/>
    <w:rsid w:val="00C33A7C"/>
    <w:rsid w:val="00C424C6"/>
    <w:rsid w:val="00C44519"/>
    <w:rsid w:val="00C504F4"/>
    <w:rsid w:val="00C51F15"/>
    <w:rsid w:val="00C57E85"/>
    <w:rsid w:val="00C65BB4"/>
    <w:rsid w:val="00C77ABB"/>
    <w:rsid w:val="00C8071C"/>
    <w:rsid w:val="00C816CB"/>
    <w:rsid w:val="00C82461"/>
    <w:rsid w:val="00CA07CC"/>
    <w:rsid w:val="00CA1492"/>
    <w:rsid w:val="00CA4FCE"/>
    <w:rsid w:val="00CA5F8F"/>
    <w:rsid w:val="00CC5A6F"/>
    <w:rsid w:val="00CE271A"/>
    <w:rsid w:val="00CE6FF5"/>
    <w:rsid w:val="00CF0F0A"/>
    <w:rsid w:val="00CF2EC7"/>
    <w:rsid w:val="00CF5245"/>
    <w:rsid w:val="00D0121B"/>
    <w:rsid w:val="00D01E94"/>
    <w:rsid w:val="00D04BA8"/>
    <w:rsid w:val="00D06479"/>
    <w:rsid w:val="00D06CA9"/>
    <w:rsid w:val="00D076EE"/>
    <w:rsid w:val="00D07B1A"/>
    <w:rsid w:val="00D24CD0"/>
    <w:rsid w:val="00D30E46"/>
    <w:rsid w:val="00D35C44"/>
    <w:rsid w:val="00D41CEA"/>
    <w:rsid w:val="00D45577"/>
    <w:rsid w:val="00D50AC8"/>
    <w:rsid w:val="00D53EEF"/>
    <w:rsid w:val="00D757BB"/>
    <w:rsid w:val="00D904D5"/>
    <w:rsid w:val="00DA0026"/>
    <w:rsid w:val="00DA2EB6"/>
    <w:rsid w:val="00DA444C"/>
    <w:rsid w:val="00DD6CE9"/>
    <w:rsid w:val="00DE04B9"/>
    <w:rsid w:val="00DE0D7C"/>
    <w:rsid w:val="00DE40C4"/>
    <w:rsid w:val="00DE5908"/>
    <w:rsid w:val="00DF0C0E"/>
    <w:rsid w:val="00DF171B"/>
    <w:rsid w:val="00DF1C00"/>
    <w:rsid w:val="00DF2C67"/>
    <w:rsid w:val="00DF3AE2"/>
    <w:rsid w:val="00DF7D21"/>
    <w:rsid w:val="00E059C5"/>
    <w:rsid w:val="00E06B29"/>
    <w:rsid w:val="00E06C22"/>
    <w:rsid w:val="00E26BAC"/>
    <w:rsid w:val="00E32991"/>
    <w:rsid w:val="00E4781B"/>
    <w:rsid w:val="00E51F8B"/>
    <w:rsid w:val="00E60351"/>
    <w:rsid w:val="00E61C67"/>
    <w:rsid w:val="00E6519E"/>
    <w:rsid w:val="00E71AE7"/>
    <w:rsid w:val="00E74E04"/>
    <w:rsid w:val="00E752E6"/>
    <w:rsid w:val="00E97060"/>
    <w:rsid w:val="00EA565A"/>
    <w:rsid w:val="00EA6088"/>
    <w:rsid w:val="00EC1A2C"/>
    <w:rsid w:val="00EE1BA2"/>
    <w:rsid w:val="00EE6A22"/>
    <w:rsid w:val="00EF66F7"/>
    <w:rsid w:val="00F10E1F"/>
    <w:rsid w:val="00F212EB"/>
    <w:rsid w:val="00F268C0"/>
    <w:rsid w:val="00F465D3"/>
    <w:rsid w:val="00F569C9"/>
    <w:rsid w:val="00F56F06"/>
    <w:rsid w:val="00F73815"/>
    <w:rsid w:val="00F7770D"/>
    <w:rsid w:val="00F82828"/>
    <w:rsid w:val="00F85984"/>
    <w:rsid w:val="00F868C9"/>
    <w:rsid w:val="00F93115"/>
    <w:rsid w:val="00F97DAD"/>
    <w:rsid w:val="00FA5792"/>
    <w:rsid w:val="00FA5B5D"/>
    <w:rsid w:val="00FA63DC"/>
    <w:rsid w:val="00FB200D"/>
    <w:rsid w:val="00FC68FE"/>
    <w:rsid w:val="00FC7F6B"/>
    <w:rsid w:val="00FE124A"/>
    <w:rsid w:val="00FE538A"/>
    <w:rsid w:val="00FE5B37"/>
    <w:rsid w:val="00FE7EEC"/>
    <w:rsid w:val="00FF043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link w:val="ECCFiguregraphcenteredZchn"/>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A06852"/>
    <w:pPr>
      <w:tabs>
        <w:tab w:val="center" w:pos="4677"/>
        <w:tab w:val="right" w:pos="9355"/>
      </w:tabs>
      <w:spacing w:before="0" w:after="0"/>
    </w:pPr>
  </w:style>
  <w:style w:type="character" w:customStyle="1" w:styleId="FooterChar">
    <w:name w:val="Footer Char"/>
    <w:basedOn w:val="DefaultParagraphFont"/>
    <w:link w:val="Footer"/>
    <w:uiPriority w:val="99"/>
    <w:semiHidden/>
    <w:rsid w:val="00A06852"/>
    <w:rPr>
      <w:rFonts w:eastAsia="Calibri"/>
      <w:szCs w:val="22"/>
      <w:lang w:val="en-GB"/>
    </w:rPr>
  </w:style>
  <w:style w:type="character" w:customStyle="1" w:styleId="ECCFiguregraphcenteredZchn">
    <w:name w:val="ECC Figure/graph centered Zchn"/>
    <w:basedOn w:val="DefaultParagraphFont"/>
    <w:link w:val="ECCFiguregraphcentered"/>
    <w:rsid w:val="00703E58"/>
    <w:rPr>
      <w:rFonts w:eastAsia="Calibri"/>
      <w:noProof/>
      <w:lang w:val="de-DE" w:eastAsia="de-DE"/>
      <w14:cntxtAlts/>
    </w:rPr>
  </w:style>
  <w:style w:type="character" w:styleId="CommentReference">
    <w:name w:val="annotation reference"/>
    <w:basedOn w:val="DefaultParagraphFont"/>
    <w:uiPriority w:val="99"/>
    <w:semiHidden/>
    <w:unhideWhenUsed/>
    <w:locked/>
    <w:rsid w:val="00011347"/>
    <w:rPr>
      <w:sz w:val="16"/>
      <w:szCs w:val="16"/>
    </w:rPr>
  </w:style>
  <w:style w:type="paragraph" w:styleId="CommentText">
    <w:name w:val="annotation text"/>
    <w:basedOn w:val="Normal"/>
    <w:link w:val="CommentTextChar"/>
    <w:uiPriority w:val="99"/>
    <w:semiHidden/>
    <w:unhideWhenUsed/>
    <w:locked/>
    <w:rsid w:val="00011347"/>
    <w:rPr>
      <w:szCs w:val="20"/>
    </w:rPr>
  </w:style>
  <w:style w:type="character" w:customStyle="1" w:styleId="CommentTextChar">
    <w:name w:val="Comment Text Char"/>
    <w:basedOn w:val="DefaultParagraphFont"/>
    <w:link w:val="CommentText"/>
    <w:uiPriority w:val="99"/>
    <w:semiHidden/>
    <w:rsid w:val="00011347"/>
    <w:rPr>
      <w:rFonts w:eastAsia="Calibri"/>
      <w:lang w:val="en-GB"/>
    </w:rPr>
  </w:style>
  <w:style w:type="paragraph" w:styleId="CommentSubject">
    <w:name w:val="annotation subject"/>
    <w:basedOn w:val="CommentText"/>
    <w:next w:val="CommentText"/>
    <w:link w:val="CommentSubjectChar"/>
    <w:uiPriority w:val="99"/>
    <w:semiHidden/>
    <w:unhideWhenUsed/>
    <w:locked/>
    <w:rsid w:val="00011347"/>
    <w:rPr>
      <w:b/>
      <w:bCs/>
    </w:rPr>
  </w:style>
  <w:style w:type="character" w:customStyle="1" w:styleId="CommentSubjectChar">
    <w:name w:val="Comment Subject Char"/>
    <w:basedOn w:val="CommentTextChar"/>
    <w:link w:val="CommentSubject"/>
    <w:uiPriority w:val="99"/>
    <w:semiHidden/>
    <w:rsid w:val="00011347"/>
    <w:rPr>
      <w:rFonts w:eastAsia="Calibri"/>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link w:val="ECCFiguregraphcenteredZchn"/>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A06852"/>
    <w:pPr>
      <w:tabs>
        <w:tab w:val="center" w:pos="4677"/>
        <w:tab w:val="right" w:pos="9355"/>
      </w:tabs>
      <w:spacing w:before="0" w:after="0"/>
    </w:pPr>
  </w:style>
  <w:style w:type="character" w:customStyle="1" w:styleId="FooterChar">
    <w:name w:val="Footer Char"/>
    <w:basedOn w:val="DefaultParagraphFont"/>
    <w:link w:val="Footer"/>
    <w:uiPriority w:val="99"/>
    <w:semiHidden/>
    <w:rsid w:val="00A06852"/>
    <w:rPr>
      <w:rFonts w:eastAsia="Calibri"/>
      <w:szCs w:val="22"/>
      <w:lang w:val="en-GB"/>
    </w:rPr>
  </w:style>
  <w:style w:type="character" w:customStyle="1" w:styleId="ECCFiguregraphcenteredZchn">
    <w:name w:val="ECC Figure/graph centered Zchn"/>
    <w:basedOn w:val="DefaultParagraphFont"/>
    <w:link w:val="ECCFiguregraphcentered"/>
    <w:rsid w:val="00703E58"/>
    <w:rPr>
      <w:rFonts w:eastAsia="Calibri"/>
      <w:noProof/>
      <w:lang w:val="de-DE" w:eastAsia="de-DE"/>
      <w14:cntxtAlts/>
    </w:rPr>
  </w:style>
  <w:style w:type="character" w:styleId="CommentReference">
    <w:name w:val="annotation reference"/>
    <w:basedOn w:val="DefaultParagraphFont"/>
    <w:uiPriority w:val="99"/>
    <w:semiHidden/>
    <w:unhideWhenUsed/>
    <w:locked/>
    <w:rsid w:val="00011347"/>
    <w:rPr>
      <w:sz w:val="16"/>
      <w:szCs w:val="16"/>
    </w:rPr>
  </w:style>
  <w:style w:type="paragraph" w:styleId="CommentText">
    <w:name w:val="annotation text"/>
    <w:basedOn w:val="Normal"/>
    <w:link w:val="CommentTextChar"/>
    <w:uiPriority w:val="99"/>
    <w:semiHidden/>
    <w:unhideWhenUsed/>
    <w:locked/>
    <w:rsid w:val="00011347"/>
    <w:rPr>
      <w:szCs w:val="20"/>
    </w:rPr>
  </w:style>
  <w:style w:type="character" w:customStyle="1" w:styleId="CommentTextChar">
    <w:name w:val="Comment Text Char"/>
    <w:basedOn w:val="DefaultParagraphFont"/>
    <w:link w:val="CommentText"/>
    <w:uiPriority w:val="99"/>
    <w:semiHidden/>
    <w:rsid w:val="00011347"/>
    <w:rPr>
      <w:rFonts w:eastAsia="Calibri"/>
      <w:lang w:val="en-GB"/>
    </w:rPr>
  </w:style>
  <w:style w:type="paragraph" w:styleId="CommentSubject">
    <w:name w:val="annotation subject"/>
    <w:basedOn w:val="CommentText"/>
    <w:next w:val="CommentText"/>
    <w:link w:val="CommentSubjectChar"/>
    <w:uiPriority w:val="99"/>
    <w:semiHidden/>
    <w:unhideWhenUsed/>
    <w:locked/>
    <w:rsid w:val="00011347"/>
    <w:rPr>
      <w:b/>
      <w:bCs/>
    </w:rPr>
  </w:style>
  <w:style w:type="character" w:customStyle="1" w:styleId="CommentSubjectChar">
    <w:name w:val="Comment Subject Char"/>
    <w:basedOn w:val="CommentTextChar"/>
    <w:link w:val="CommentSubject"/>
    <w:uiPriority w:val="99"/>
    <w:semiHidden/>
    <w:rsid w:val="00011347"/>
    <w:rPr>
      <w:rFonts w:eastAsia="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2601">
      <w:bodyDiv w:val="1"/>
      <w:marLeft w:val="0"/>
      <w:marRight w:val="0"/>
      <w:marTop w:val="0"/>
      <w:marBottom w:val="0"/>
      <w:divBdr>
        <w:top w:val="none" w:sz="0" w:space="0" w:color="auto"/>
        <w:left w:val="none" w:sz="0" w:space="0" w:color="auto"/>
        <w:bottom w:val="none" w:sz="0" w:space="0" w:color="auto"/>
        <w:right w:val="none" w:sz="0" w:space="0" w:color="auto"/>
      </w:divBdr>
    </w:div>
    <w:div w:id="207840597">
      <w:bodyDiv w:val="1"/>
      <w:marLeft w:val="0"/>
      <w:marRight w:val="0"/>
      <w:marTop w:val="0"/>
      <w:marBottom w:val="0"/>
      <w:divBdr>
        <w:top w:val="none" w:sz="0" w:space="0" w:color="auto"/>
        <w:left w:val="none" w:sz="0" w:space="0" w:color="auto"/>
        <w:bottom w:val="none" w:sz="0" w:space="0" w:color="auto"/>
        <w:right w:val="none" w:sz="0" w:space="0" w:color="auto"/>
      </w:divBdr>
    </w:div>
    <w:div w:id="1415781853">
      <w:bodyDiv w:val="1"/>
      <w:marLeft w:val="0"/>
      <w:marRight w:val="0"/>
      <w:marTop w:val="0"/>
      <w:marBottom w:val="0"/>
      <w:divBdr>
        <w:top w:val="none" w:sz="0" w:space="0" w:color="auto"/>
        <w:left w:val="none" w:sz="0" w:space="0" w:color="auto"/>
        <w:bottom w:val="none" w:sz="0" w:space="0" w:color="auto"/>
        <w:right w:val="none" w:sz="0" w:space="0" w:color="auto"/>
      </w:divBdr>
    </w:div>
    <w:div w:id="1704598466">
      <w:bodyDiv w:val="1"/>
      <w:marLeft w:val="0"/>
      <w:marRight w:val="0"/>
      <w:marTop w:val="0"/>
      <w:marBottom w:val="0"/>
      <w:divBdr>
        <w:top w:val="none" w:sz="0" w:space="0" w:color="auto"/>
        <w:left w:val="none" w:sz="0" w:space="0" w:color="auto"/>
        <w:bottom w:val="none" w:sz="0" w:space="0" w:color="auto"/>
        <w:right w:val="none" w:sz="0" w:space="0" w:color="auto"/>
      </w:divBdr>
      <w:divsChild>
        <w:div w:id="384643952">
          <w:marLeft w:val="1008"/>
          <w:marRight w:val="0"/>
          <w:marTop w:val="96"/>
          <w:marBottom w:val="0"/>
          <w:divBdr>
            <w:top w:val="none" w:sz="0" w:space="0" w:color="auto"/>
            <w:left w:val="none" w:sz="0" w:space="0" w:color="auto"/>
            <w:bottom w:val="none" w:sz="0" w:space="0" w:color="auto"/>
            <w:right w:val="none" w:sz="0" w:space="0" w:color="auto"/>
          </w:divBdr>
        </w:div>
        <w:div w:id="269093853">
          <w:marLeft w:val="1008"/>
          <w:marRight w:val="0"/>
          <w:marTop w:val="96"/>
          <w:marBottom w:val="0"/>
          <w:divBdr>
            <w:top w:val="none" w:sz="0" w:space="0" w:color="auto"/>
            <w:left w:val="none" w:sz="0" w:space="0" w:color="auto"/>
            <w:bottom w:val="none" w:sz="0" w:space="0" w:color="auto"/>
            <w:right w:val="none" w:sz="0" w:space="0" w:color="auto"/>
          </w:divBdr>
        </w:div>
        <w:div w:id="627777932">
          <w:marLeft w:val="1008"/>
          <w:marRight w:val="0"/>
          <w:marTop w:val="96"/>
          <w:marBottom w:val="0"/>
          <w:divBdr>
            <w:top w:val="none" w:sz="0" w:space="0" w:color="auto"/>
            <w:left w:val="none" w:sz="0" w:space="0" w:color="auto"/>
            <w:bottom w:val="none" w:sz="0" w:space="0" w:color="auto"/>
            <w:right w:val="none" w:sz="0" w:space="0" w:color="auto"/>
          </w:divBdr>
        </w:div>
        <w:div w:id="84762787">
          <w:marLeft w:val="1008"/>
          <w:marRight w:val="0"/>
          <w:marTop w:val="96"/>
          <w:marBottom w:val="0"/>
          <w:divBdr>
            <w:top w:val="none" w:sz="0" w:space="0" w:color="auto"/>
            <w:left w:val="none" w:sz="0" w:space="0" w:color="auto"/>
            <w:bottom w:val="none" w:sz="0" w:space="0" w:color="auto"/>
            <w:right w:val="none" w:sz="0" w:space="0" w:color="auto"/>
          </w:divBdr>
        </w:div>
      </w:divsChild>
    </w:div>
    <w:div w:id="1911847805">
      <w:bodyDiv w:val="1"/>
      <w:marLeft w:val="0"/>
      <w:marRight w:val="0"/>
      <w:marTop w:val="0"/>
      <w:marBottom w:val="0"/>
      <w:divBdr>
        <w:top w:val="none" w:sz="0" w:space="0" w:color="auto"/>
        <w:left w:val="none" w:sz="0" w:space="0" w:color="auto"/>
        <w:bottom w:val="none" w:sz="0" w:space="0" w:color="auto"/>
        <w:right w:val="none" w:sz="0" w:space="0" w:color="auto"/>
      </w:divBdr>
      <w:divsChild>
        <w:div w:id="436221324">
          <w:marLeft w:val="0"/>
          <w:marRight w:val="0"/>
          <w:marTop w:val="0"/>
          <w:marBottom w:val="0"/>
          <w:divBdr>
            <w:top w:val="none" w:sz="0" w:space="0" w:color="auto"/>
            <w:left w:val="none" w:sz="0" w:space="0" w:color="auto"/>
            <w:bottom w:val="none" w:sz="0" w:space="0" w:color="auto"/>
            <w:right w:val="none" w:sz="0" w:space="0" w:color="auto"/>
          </w:divBdr>
        </w:div>
        <w:div w:id="1598557525">
          <w:marLeft w:val="0"/>
          <w:marRight w:val="0"/>
          <w:marTop w:val="0"/>
          <w:marBottom w:val="0"/>
          <w:divBdr>
            <w:top w:val="none" w:sz="0" w:space="0" w:color="auto"/>
            <w:left w:val="none" w:sz="0" w:space="0" w:color="auto"/>
            <w:bottom w:val="none" w:sz="0" w:space="0" w:color="auto"/>
            <w:right w:val="none" w:sz="0" w:space="0" w:color="auto"/>
          </w:divBdr>
        </w:div>
        <w:div w:id="2035423920">
          <w:marLeft w:val="0"/>
          <w:marRight w:val="0"/>
          <w:marTop w:val="0"/>
          <w:marBottom w:val="0"/>
          <w:divBdr>
            <w:top w:val="none" w:sz="0" w:space="0" w:color="auto"/>
            <w:left w:val="none" w:sz="0" w:space="0" w:color="auto"/>
            <w:bottom w:val="none" w:sz="0" w:space="0" w:color="auto"/>
            <w:right w:val="none" w:sz="0" w:space="0" w:color="auto"/>
          </w:divBdr>
        </w:div>
        <w:div w:id="1578133140">
          <w:marLeft w:val="0"/>
          <w:marRight w:val="0"/>
          <w:marTop w:val="0"/>
          <w:marBottom w:val="0"/>
          <w:divBdr>
            <w:top w:val="none" w:sz="0" w:space="0" w:color="auto"/>
            <w:left w:val="none" w:sz="0" w:space="0" w:color="auto"/>
            <w:bottom w:val="none" w:sz="0" w:space="0" w:color="auto"/>
            <w:right w:val="none" w:sz="0" w:space="0" w:color="auto"/>
          </w:divBdr>
        </w:div>
        <w:div w:id="1793938901">
          <w:marLeft w:val="0"/>
          <w:marRight w:val="0"/>
          <w:marTop w:val="0"/>
          <w:marBottom w:val="0"/>
          <w:divBdr>
            <w:top w:val="none" w:sz="0" w:space="0" w:color="auto"/>
            <w:left w:val="none" w:sz="0" w:space="0" w:color="auto"/>
            <w:bottom w:val="none" w:sz="0" w:space="0" w:color="auto"/>
            <w:right w:val="none" w:sz="0" w:space="0" w:color="auto"/>
          </w:divBdr>
        </w:div>
        <w:div w:id="1940259624">
          <w:marLeft w:val="0"/>
          <w:marRight w:val="0"/>
          <w:marTop w:val="0"/>
          <w:marBottom w:val="0"/>
          <w:divBdr>
            <w:top w:val="none" w:sz="0" w:space="0" w:color="auto"/>
            <w:left w:val="none" w:sz="0" w:space="0" w:color="auto"/>
            <w:bottom w:val="none" w:sz="0" w:space="0" w:color="auto"/>
            <w:right w:val="none" w:sz="0" w:space="0" w:color="auto"/>
          </w:divBdr>
        </w:div>
        <w:div w:id="193467183">
          <w:marLeft w:val="0"/>
          <w:marRight w:val="0"/>
          <w:marTop w:val="0"/>
          <w:marBottom w:val="0"/>
          <w:divBdr>
            <w:top w:val="none" w:sz="0" w:space="0" w:color="auto"/>
            <w:left w:val="none" w:sz="0" w:space="0" w:color="auto"/>
            <w:bottom w:val="none" w:sz="0" w:space="0" w:color="auto"/>
            <w:right w:val="none" w:sz="0" w:space="0" w:color="auto"/>
          </w:divBdr>
        </w:div>
        <w:div w:id="2117285781">
          <w:marLeft w:val="0"/>
          <w:marRight w:val="0"/>
          <w:marTop w:val="0"/>
          <w:marBottom w:val="0"/>
          <w:divBdr>
            <w:top w:val="none" w:sz="0" w:space="0" w:color="auto"/>
            <w:left w:val="none" w:sz="0" w:space="0" w:color="auto"/>
            <w:bottom w:val="none" w:sz="0" w:space="0" w:color="auto"/>
            <w:right w:val="none" w:sz="0" w:space="0" w:color="auto"/>
          </w:divBdr>
        </w:div>
        <w:div w:id="2043171050">
          <w:marLeft w:val="0"/>
          <w:marRight w:val="0"/>
          <w:marTop w:val="0"/>
          <w:marBottom w:val="0"/>
          <w:divBdr>
            <w:top w:val="none" w:sz="0" w:space="0" w:color="auto"/>
            <w:left w:val="none" w:sz="0" w:space="0" w:color="auto"/>
            <w:bottom w:val="none" w:sz="0" w:space="0" w:color="auto"/>
            <w:right w:val="none" w:sz="0" w:space="0" w:color="auto"/>
          </w:divBdr>
        </w:div>
        <w:div w:id="1322197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ssya\Downloads\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CE7E3-64B5-4AC2-9665-3F7E7DFB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Template>
  <TotalTime>0</TotalTime>
  <Pages>6</Pages>
  <Words>2025</Words>
  <Characters>11544</Characters>
  <Application>Microsoft Office Word</Application>
  <DocSecurity>0</DocSecurity>
  <Lines>96</Lines>
  <Paragraphs>27</Paragraphs>
  <ScaleCrop>false</ScaleCrop>
  <HeadingPairs>
    <vt:vector size="8" baseType="variant">
      <vt:variant>
        <vt:lpstr>Title</vt:lpstr>
      </vt:variant>
      <vt:variant>
        <vt:i4>1</vt:i4>
      </vt:variant>
      <vt:variant>
        <vt:lpstr>Название</vt:lpstr>
      </vt:variant>
      <vt:variant>
        <vt:i4>1</vt:i4>
      </vt:variant>
      <vt:variant>
        <vt:lpstr>Titre</vt:lpstr>
      </vt:variant>
      <vt:variant>
        <vt:i4>1</vt:i4>
      </vt:variant>
      <vt:variant>
        <vt:lpstr>Titel</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13542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sts</dc:creator>
  <cp:keywords>CEPT Brief</cp:keywords>
  <dc:description>PTB Info for CPG19-4</dc:description>
  <cp:lastModifiedBy>CPG19-4</cp:lastModifiedBy>
  <cp:revision>2</cp:revision>
  <cp:lastPrinted>1901-01-01T00:00:00Z</cp:lastPrinted>
  <dcterms:created xsi:type="dcterms:W3CDTF">2017-07-14T12:27:00Z</dcterms:created>
  <dcterms:modified xsi:type="dcterms:W3CDTF">2017-07-14T12:27:00Z</dcterms:modified>
  <cp:category>protected templates</cp:category>
  <cp:contentStatus>Draft</cp:contentStatus>
</cp:coreProperties>
</file>