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Ind w:w="-142" w:type="dxa"/>
        <w:tblLayout w:type="fixed"/>
        <w:tblCellMar>
          <w:left w:w="70" w:type="dxa"/>
          <w:right w:w="70" w:type="dxa"/>
        </w:tblCellMar>
        <w:tblLook w:val="0000" w:firstRow="0" w:lastRow="0" w:firstColumn="0" w:lastColumn="0" w:noHBand="0" w:noVBand="0"/>
      </w:tblPr>
      <w:tblGrid>
        <w:gridCol w:w="1772"/>
        <w:gridCol w:w="3045"/>
        <w:gridCol w:w="38"/>
        <w:gridCol w:w="4996"/>
      </w:tblGrid>
      <w:tr w:rsidR="003771D5" w:rsidRPr="00235592" w:rsidTr="000B0056">
        <w:trPr>
          <w:cantSplit/>
          <w:trHeight w:val="1240"/>
        </w:trPr>
        <w:tc>
          <w:tcPr>
            <w:tcW w:w="4855" w:type="dxa"/>
            <w:gridSpan w:val="3"/>
            <w:tcBorders>
              <w:top w:val="nil"/>
              <w:left w:val="nil"/>
              <w:bottom w:val="nil"/>
              <w:right w:val="nil"/>
            </w:tcBorders>
          </w:tcPr>
          <w:p w:rsidR="003771D5" w:rsidRPr="00235592" w:rsidRDefault="003771D5" w:rsidP="00BD4E12">
            <w:pPr>
              <w:pStyle w:val="ECCLetterHead"/>
            </w:pPr>
            <w:bookmarkStart w:id="0" w:name="_GoBack"/>
            <w:bookmarkEnd w:id="0"/>
          </w:p>
        </w:tc>
        <w:tc>
          <w:tcPr>
            <w:tcW w:w="4996" w:type="dxa"/>
            <w:tcBorders>
              <w:top w:val="nil"/>
              <w:left w:val="nil"/>
              <w:bottom w:val="nil"/>
              <w:right w:val="nil"/>
            </w:tcBorders>
          </w:tcPr>
          <w:p w:rsidR="002F176C" w:rsidRPr="00235592" w:rsidRDefault="000701A5" w:rsidP="00D12C05">
            <w:pPr>
              <w:pStyle w:val="ECCLetterHead"/>
            </w:pPr>
            <w:r w:rsidRPr="00235592">
              <w:tab/>
            </w:r>
            <w:r w:rsidR="002E4378">
              <w:t xml:space="preserve">Doc. </w:t>
            </w:r>
            <w:r w:rsidR="00CE37BA">
              <w:t>CPG(18)017</w:t>
            </w:r>
            <w:r w:rsidR="00A4622B">
              <w:t xml:space="preserve"> </w:t>
            </w:r>
            <w:r w:rsidR="003605D4">
              <w:t>ANNEX IV-01</w:t>
            </w:r>
          </w:p>
        </w:tc>
      </w:tr>
      <w:tr w:rsidR="00986BEE" w:rsidTr="00CE37BA">
        <w:tblPrEx>
          <w:tblCellMar>
            <w:left w:w="108" w:type="dxa"/>
            <w:right w:w="108" w:type="dxa"/>
          </w:tblCellMar>
          <w:tblLook w:val="04A0" w:firstRow="1" w:lastRow="0" w:firstColumn="1" w:lastColumn="0" w:noHBand="0" w:noVBand="1"/>
        </w:tblPrEx>
        <w:trPr>
          <w:cantSplit/>
          <w:trHeight w:val="405"/>
        </w:trPr>
        <w:tc>
          <w:tcPr>
            <w:tcW w:w="9851" w:type="dxa"/>
            <w:gridSpan w:val="4"/>
            <w:vAlign w:val="center"/>
            <w:hideMark/>
          </w:tcPr>
          <w:p w:rsidR="00E230DC" w:rsidRPr="00986BEE" w:rsidRDefault="00246403" w:rsidP="009F6FF1">
            <w:pPr>
              <w:pStyle w:val="ECCLetterHead"/>
            </w:pPr>
            <w:r>
              <w:t>CPG19-5</w:t>
            </w:r>
          </w:p>
        </w:tc>
      </w:tr>
      <w:tr w:rsidR="00986BEE" w:rsidTr="00CE37BA">
        <w:tblPrEx>
          <w:tblCellMar>
            <w:left w:w="108" w:type="dxa"/>
            <w:right w:w="108" w:type="dxa"/>
          </w:tblCellMar>
          <w:tblLook w:val="04A0" w:firstRow="1" w:lastRow="0" w:firstColumn="1" w:lastColumn="0" w:noHBand="0" w:noVBand="1"/>
        </w:tblPrEx>
        <w:trPr>
          <w:cantSplit/>
          <w:trHeight w:val="405"/>
        </w:trPr>
        <w:tc>
          <w:tcPr>
            <w:tcW w:w="9851" w:type="dxa"/>
            <w:gridSpan w:val="4"/>
            <w:vAlign w:val="center"/>
            <w:hideMark/>
          </w:tcPr>
          <w:p w:rsidR="00986BEE" w:rsidRPr="00986BEE" w:rsidRDefault="00CE37BA" w:rsidP="00CE37BA">
            <w:pPr>
              <w:pStyle w:val="ECCLetterHead"/>
            </w:pPr>
            <w:r>
              <w:t>Budapest</w:t>
            </w:r>
            <w:r w:rsidR="009F6FF1">
              <w:t xml:space="preserve">, </w:t>
            </w:r>
            <w:r>
              <w:t>Hungary</w:t>
            </w:r>
            <w:r w:rsidR="00986BEE" w:rsidRPr="00986BEE">
              <w:t xml:space="preserve">, </w:t>
            </w:r>
            <w:r>
              <w:t>08</w:t>
            </w:r>
            <w:r w:rsidR="00986BEE" w:rsidRPr="00986BEE">
              <w:rPr>
                <w:rStyle w:val="ECCHLsuperscript"/>
              </w:rPr>
              <w:t>th</w:t>
            </w:r>
            <w:r w:rsidR="00986BEE" w:rsidRPr="00986BEE">
              <w:t xml:space="preserve"> - </w:t>
            </w:r>
            <w:r w:rsidR="009F6FF1">
              <w:t>1</w:t>
            </w:r>
            <w:r>
              <w:t>1</w:t>
            </w:r>
            <w:r w:rsidR="00986BEE" w:rsidRPr="00986BEE">
              <w:rPr>
                <w:rStyle w:val="ECCHLsuperscript"/>
              </w:rPr>
              <w:t>th</w:t>
            </w:r>
            <w:r>
              <w:t xml:space="preserve"> January</w:t>
            </w:r>
            <w:r w:rsidR="00986BEE" w:rsidRPr="00986BEE">
              <w:t xml:space="preserve"> 201</w:t>
            </w:r>
            <w:r>
              <w:t>8</w:t>
            </w:r>
          </w:p>
        </w:tc>
      </w:tr>
      <w:tr w:rsidR="00986BEE" w:rsidTr="00CE37BA">
        <w:tblPrEx>
          <w:tblCellMar>
            <w:left w:w="108" w:type="dxa"/>
            <w:right w:w="108" w:type="dxa"/>
          </w:tblCellMar>
          <w:tblLook w:val="04A0" w:firstRow="1" w:lastRow="0" w:firstColumn="1" w:lastColumn="0" w:noHBand="0" w:noVBand="1"/>
        </w:tblPrEx>
        <w:trPr>
          <w:cantSplit/>
          <w:trHeight w:hRule="exact" w:val="79"/>
        </w:trPr>
        <w:tc>
          <w:tcPr>
            <w:tcW w:w="4817" w:type="dxa"/>
            <w:gridSpan w:val="2"/>
            <w:vAlign w:val="center"/>
          </w:tcPr>
          <w:p w:rsidR="00986BEE" w:rsidRPr="00986BEE" w:rsidRDefault="00986BEE">
            <w:pPr>
              <w:pStyle w:val="ECCLetterHead"/>
            </w:pPr>
          </w:p>
        </w:tc>
        <w:tc>
          <w:tcPr>
            <w:tcW w:w="5034" w:type="dxa"/>
            <w:gridSpan w:val="2"/>
            <w:vAlign w:val="center"/>
          </w:tcPr>
          <w:p w:rsidR="00986BEE" w:rsidRPr="00986BEE" w:rsidRDefault="00986BEE">
            <w:pPr>
              <w:pStyle w:val="ECCLetterHead"/>
            </w:pPr>
          </w:p>
        </w:tc>
      </w:tr>
      <w:tr w:rsidR="00986BEE" w:rsidTr="00CE37BA">
        <w:tblPrEx>
          <w:tblCellMar>
            <w:left w:w="108" w:type="dxa"/>
            <w:right w:w="108" w:type="dxa"/>
          </w:tblCellMar>
          <w:tblLook w:val="04A0" w:firstRow="1" w:lastRow="0" w:firstColumn="1" w:lastColumn="0" w:noHBand="0" w:noVBand="1"/>
        </w:tblPrEx>
        <w:trPr>
          <w:cantSplit/>
          <w:trHeight w:val="405"/>
        </w:trPr>
        <w:tc>
          <w:tcPr>
            <w:tcW w:w="1772" w:type="dxa"/>
            <w:vAlign w:val="center"/>
            <w:hideMark/>
          </w:tcPr>
          <w:p w:rsidR="00986BEE" w:rsidRPr="00986BEE" w:rsidRDefault="00986BEE">
            <w:pPr>
              <w:pStyle w:val="ECCLetterHead"/>
            </w:pPr>
            <w:r w:rsidRPr="00986BEE">
              <w:t xml:space="preserve">Date issued: </w:t>
            </w:r>
          </w:p>
        </w:tc>
        <w:tc>
          <w:tcPr>
            <w:tcW w:w="8079" w:type="dxa"/>
            <w:gridSpan w:val="3"/>
            <w:vAlign w:val="center"/>
            <w:hideMark/>
          </w:tcPr>
          <w:p w:rsidR="00986BEE" w:rsidRPr="00986BEE" w:rsidRDefault="0079092F" w:rsidP="00CE37BA">
            <w:pPr>
              <w:pStyle w:val="ECCLetterHead"/>
              <w:rPr>
                <w:rStyle w:val="ECCHLyellow"/>
              </w:rPr>
            </w:pPr>
            <w:r>
              <w:t>1</w:t>
            </w:r>
            <w:r w:rsidR="00CE37BA">
              <w:t>1</w:t>
            </w:r>
            <w:r w:rsidR="00986BEE" w:rsidRPr="00986BEE">
              <w:rPr>
                <w:rStyle w:val="ECCHLsuperscript"/>
              </w:rPr>
              <w:t>th</w:t>
            </w:r>
            <w:r w:rsidR="00986BEE" w:rsidRPr="00986BEE">
              <w:t xml:space="preserve"> </w:t>
            </w:r>
            <w:r w:rsidR="00CE37BA">
              <w:t xml:space="preserve">January </w:t>
            </w:r>
            <w:r w:rsidR="00986BEE" w:rsidRPr="00986BEE">
              <w:t>201</w:t>
            </w:r>
            <w:r w:rsidR="00CE37BA">
              <w:t>8</w:t>
            </w:r>
          </w:p>
        </w:tc>
      </w:tr>
      <w:tr w:rsidR="00986BEE" w:rsidTr="00CE37BA">
        <w:tblPrEx>
          <w:tblCellMar>
            <w:left w:w="108" w:type="dxa"/>
            <w:right w:w="108" w:type="dxa"/>
          </w:tblCellMar>
          <w:tblLook w:val="04A0" w:firstRow="1" w:lastRow="0" w:firstColumn="1" w:lastColumn="0" w:noHBand="0" w:noVBand="1"/>
        </w:tblPrEx>
        <w:trPr>
          <w:cantSplit/>
          <w:trHeight w:val="405"/>
        </w:trPr>
        <w:tc>
          <w:tcPr>
            <w:tcW w:w="1772" w:type="dxa"/>
            <w:vAlign w:val="center"/>
            <w:hideMark/>
          </w:tcPr>
          <w:p w:rsidR="00986BEE" w:rsidRPr="00986BEE" w:rsidRDefault="00986BEE">
            <w:pPr>
              <w:pStyle w:val="ECCLetterHead"/>
            </w:pPr>
            <w:r w:rsidRPr="00986BEE">
              <w:t xml:space="preserve">Source: </w:t>
            </w:r>
          </w:p>
        </w:tc>
        <w:tc>
          <w:tcPr>
            <w:tcW w:w="8079" w:type="dxa"/>
            <w:gridSpan w:val="3"/>
            <w:vAlign w:val="center"/>
            <w:hideMark/>
          </w:tcPr>
          <w:p w:rsidR="00986BEE" w:rsidRPr="00986BEE" w:rsidRDefault="00246403">
            <w:pPr>
              <w:pStyle w:val="ECCLetterHead"/>
            </w:pPr>
            <w:r>
              <w:t>CPG19-5 M</w:t>
            </w:r>
            <w:r w:rsidR="00CE37BA">
              <w:t>inutes</w:t>
            </w:r>
          </w:p>
        </w:tc>
      </w:tr>
      <w:tr w:rsidR="00737882" w:rsidRPr="00CC7FD5" w:rsidTr="00435F28">
        <w:tblPrEx>
          <w:tblCellMar>
            <w:left w:w="108" w:type="dxa"/>
            <w:right w:w="108" w:type="dxa"/>
          </w:tblCellMar>
        </w:tblPrEx>
        <w:trPr>
          <w:cantSplit/>
          <w:trHeight w:val="405"/>
        </w:trPr>
        <w:tc>
          <w:tcPr>
            <w:tcW w:w="1772" w:type="dxa"/>
            <w:tcBorders>
              <w:top w:val="nil"/>
              <w:left w:val="nil"/>
              <w:bottom w:val="nil"/>
              <w:right w:val="nil"/>
            </w:tcBorders>
            <w:vAlign w:val="center"/>
          </w:tcPr>
          <w:p w:rsidR="00737882" w:rsidRPr="00737882" w:rsidRDefault="00737882" w:rsidP="00737882">
            <w:pPr>
              <w:pStyle w:val="ECCLetterHead"/>
            </w:pPr>
            <w:r w:rsidRPr="00737882">
              <w:t xml:space="preserve">Subject: </w:t>
            </w:r>
          </w:p>
        </w:tc>
        <w:tc>
          <w:tcPr>
            <w:tcW w:w="8079" w:type="dxa"/>
            <w:gridSpan w:val="3"/>
            <w:tcBorders>
              <w:top w:val="nil"/>
              <w:left w:val="nil"/>
              <w:bottom w:val="nil"/>
              <w:right w:val="nil"/>
            </w:tcBorders>
            <w:vAlign w:val="center"/>
          </w:tcPr>
          <w:p w:rsidR="00737882" w:rsidRPr="00737882" w:rsidRDefault="00737882" w:rsidP="00737882">
            <w:pPr>
              <w:pStyle w:val="ECCLetterHead"/>
            </w:pPr>
            <w:r w:rsidRPr="00737882">
              <w:t xml:space="preserve">Draft CEPT Brief on WRC-19 Agenda item </w:t>
            </w:r>
            <w:r w:rsidR="005D3C59">
              <w:t>1.1</w:t>
            </w:r>
          </w:p>
        </w:tc>
      </w:tr>
      <w:tr w:rsidR="00737882" w:rsidRPr="00CC7FD5" w:rsidTr="000B0056">
        <w:tblPrEx>
          <w:tblCellMar>
            <w:left w:w="108" w:type="dxa"/>
            <w:right w:w="108" w:type="dxa"/>
          </w:tblCellMar>
        </w:tblPrEx>
        <w:trPr>
          <w:cantSplit/>
          <w:trHeight w:hRule="exact" w:val="74"/>
        </w:trPr>
        <w:tc>
          <w:tcPr>
            <w:tcW w:w="9851" w:type="dxa"/>
            <w:gridSpan w:val="4"/>
            <w:tcBorders>
              <w:top w:val="nil"/>
              <w:left w:val="nil"/>
              <w:bottom w:val="single" w:sz="6" w:space="0" w:color="C00000"/>
              <w:right w:val="nil"/>
            </w:tcBorders>
            <w:vAlign w:val="center"/>
          </w:tcPr>
          <w:p w:rsidR="00737882" w:rsidRPr="00CC7FD5" w:rsidRDefault="00737882" w:rsidP="00737882">
            <w:pPr>
              <w:rPr>
                <w:rStyle w:val="ECCParagraph"/>
              </w:rPr>
            </w:pPr>
          </w:p>
          <w:p w:rsidR="00737882" w:rsidRPr="00CC7FD5" w:rsidRDefault="00737882" w:rsidP="00737882">
            <w:pPr>
              <w:pStyle w:val="ECCLetterHead"/>
            </w:pPr>
          </w:p>
        </w:tc>
      </w:tr>
      <w:tr w:rsidR="00737882" w:rsidRPr="00CC7FD5" w:rsidTr="000B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851" w:type="dxa"/>
            <w:gridSpan w:val="4"/>
            <w:tcBorders>
              <w:top w:val="single" w:sz="6" w:space="0" w:color="C00000"/>
              <w:left w:val="single" w:sz="6" w:space="0" w:color="C00000"/>
              <w:bottom w:val="nil"/>
              <w:right w:val="single" w:sz="6" w:space="0" w:color="C00000"/>
            </w:tcBorders>
            <w:vAlign w:val="center"/>
          </w:tcPr>
          <w:p w:rsidR="00737882" w:rsidRDefault="00737882" w:rsidP="00737882">
            <w:pPr>
              <w:pStyle w:val="ECCLetterHead"/>
            </w:pPr>
            <w:r w:rsidRPr="00CC7FD5">
              <w:t xml:space="preserve">Summary: </w:t>
            </w:r>
          </w:p>
          <w:p w:rsidR="007E7F60" w:rsidRPr="00737882" w:rsidRDefault="007E7F60" w:rsidP="00737882">
            <w:pPr>
              <w:pStyle w:val="ECCLetterHead"/>
            </w:pPr>
          </w:p>
        </w:tc>
      </w:tr>
      <w:tr w:rsidR="00737882" w:rsidRPr="00CC7FD5" w:rsidTr="000B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851" w:type="dxa"/>
            <w:gridSpan w:val="4"/>
            <w:tcBorders>
              <w:top w:val="single" w:sz="6" w:space="0" w:color="C00000"/>
              <w:left w:val="single" w:sz="6" w:space="0" w:color="C00000"/>
              <w:bottom w:val="nil"/>
              <w:right w:val="single" w:sz="6" w:space="0" w:color="C00000"/>
            </w:tcBorders>
            <w:vAlign w:val="center"/>
          </w:tcPr>
          <w:p w:rsidR="00737882" w:rsidRPr="00737882" w:rsidRDefault="00737882" w:rsidP="00737882">
            <w:pPr>
              <w:pStyle w:val="ECCLetterHead"/>
            </w:pPr>
            <w:r w:rsidRPr="00CC7FD5">
              <w:t>Proposal:</w:t>
            </w:r>
            <w:r w:rsidRPr="00737882">
              <w:t xml:space="preserve"> </w:t>
            </w:r>
          </w:p>
        </w:tc>
      </w:tr>
      <w:tr w:rsidR="00737882" w:rsidRPr="00CC7FD5" w:rsidTr="000B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851" w:type="dxa"/>
            <w:gridSpan w:val="4"/>
            <w:tcBorders>
              <w:top w:val="nil"/>
              <w:left w:val="single" w:sz="6" w:space="0" w:color="C00000"/>
              <w:bottom w:val="single" w:sz="6" w:space="0" w:color="C00000"/>
              <w:right w:val="single" w:sz="6" w:space="0" w:color="C00000"/>
            </w:tcBorders>
          </w:tcPr>
          <w:p w:rsidR="00737882" w:rsidRPr="00CC7FD5" w:rsidRDefault="00737882" w:rsidP="0076276A">
            <w:pPr>
              <w:pStyle w:val="ECCBulletsLv1"/>
              <w:numPr>
                <w:ilvl w:val="0"/>
                <w:numId w:val="0"/>
              </w:numPr>
              <w:ind w:left="360" w:hanging="360"/>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5E407D">
        <w:rPr>
          <w:lang w:val="en-GB"/>
        </w:rPr>
        <w:t>1.1</w:t>
      </w:r>
      <w:r w:rsidRPr="00235592">
        <w:rPr>
          <w:lang w:val="en-GB"/>
        </w:rPr>
        <w:t xml:space="preserve"> </w:t>
      </w:r>
    </w:p>
    <w:p w:rsidR="003771D5" w:rsidRPr="00235592" w:rsidRDefault="005E407D" w:rsidP="00120F7B">
      <w:pPr>
        <w:rPr>
          <w:rStyle w:val="ECCParagraph"/>
        </w:rPr>
      </w:pPr>
      <w:r>
        <w:rPr>
          <w:rStyle w:val="ECCParagraph"/>
        </w:rPr>
        <w:t>1.1</w:t>
      </w:r>
      <w:r w:rsidR="003771D5" w:rsidRPr="00235592">
        <w:rPr>
          <w:rStyle w:val="ECCParagraph"/>
        </w:rPr>
        <w:tab/>
      </w:r>
      <w:r w:rsidRPr="005E407D">
        <w:rPr>
          <w:lang w:val="en-US"/>
        </w:rPr>
        <w:t xml:space="preserve">to consider an allocation of the frequency band 50-54 MHz to the amateur service in Region 1, in accordance with </w:t>
      </w:r>
      <w:r w:rsidRPr="00120F7B">
        <w:t xml:space="preserve">Resolution </w:t>
      </w:r>
      <w:r w:rsidRPr="00120F7B">
        <w:rPr>
          <w:rStyle w:val="ECCHLbold"/>
        </w:rPr>
        <w:t>658 (WRC</w:t>
      </w:r>
      <w:r w:rsidR="00DB0CE5" w:rsidRPr="00120F7B">
        <w:rPr>
          <w:rStyle w:val="ECCHLbold"/>
        </w:rPr>
        <w:t>-</w:t>
      </w:r>
      <w:r w:rsidRPr="00120F7B">
        <w:rPr>
          <w:rStyle w:val="ECCHLbold"/>
        </w:rPr>
        <w:t>15)</w:t>
      </w:r>
    </w:p>
    <w:p w:rsidR="003771D5" w:rsidRPr="00235592" w:rsidRDefault="003771D5" w:rsidP="00BD4E12">
      <w:pPr>
        <w:pStyle w:val="Heading1"/>
        <w:rPr>
          <w:lang w:val="en-GB"/>
        </w:rPr>
      </w:pPr>
      <w:r w:rsidRPr="00235592">
        <w:rPr>
          <w:lang w:val="en-GB"/>
        </w:rPr>
        <w:t>ISSUE</w:t>
      </w:r>
    </w:p>
    <w:p w:rsidR="00593BDB" w:rsidRPr="00C20F3D" w:rsidRDefault="00593BDB" w:rsidP="00593BDB">
      <w:pPr>
        <w:rPr>
          <w:rStyle w:val="ECCParagraph"/>
        </w:rPr>
      </w:pPr>
      <w:r w:rsidRPr="00C20F3D">
        <w:rPr>
          <w:rStyle w:val="ECCParagraph"/>
        </w:rPr>
        <w:t>CEPT has identified the following elements, relevant for this agenda item:</w:t>
      </w:r>
    </w:p>
    <w:p w:rsidR="00593BDB" w:rsidRPr="00593BDB" w:rsidRDefault="00593BDB" w:rsidP="00C20F3D">
      <w:pPr>
        <w:pStyle w:val="ECCBulletsLv1"/>
      </w:pPr>
      <w:r w:rsidRPr="00593BDB">
        <w:t xml:space="preserve">to study spectrum </w:t>
      </w:r>
      <w:r w:rsidR="009B206B">
        <w:t>needs</w:t>
      </w:r>
      <w:r w:rsidRPr="00593BDB">
        <w:t xml:space="preserve"> for the amateur service in the band 5</w:t>
      </w:r>
      <w:r>
        <w:t>0-54 MHz</w:t>
      </w:r>
      <w:r w:rsidRPr="00593BDB">
        <w:t>;</w:t>
      </w:r>
    </w:p>
    <w:p w:rsidR="00593BDB" w:rsidRDefault="00593BDB" w:rsidP="00C20F3D">
      <w:pPr>
        <w:pStyle w:val="ECCBulletsLv1"/>
      </w:pPr>
      <w:r w:rsidRPr="00593BDB">
        <w:t xml:space="preserve">to </w:t>
      </w:r>
      <w:r w:rsidR="004D26B6">
        <w:t xml:space="preserve">study </w:t>
      </w:r>
      <w:r w:rsidRPr="00593BDB">
        <w:t xml:space="preserve">sharing </w:t>
      </w:r>
      <w:r w:rsidR="004D26B6">
        <w:t>between the amateur service, and the mobile, fixed, radiolocation and broadcasting</w:t>
      </w:r>
      <w:r w:rsidR="00867A05">
        <w:t xml:space="preserve"> </w:t>
      </w:r>
      <w:r w:rsidRPr="00593BDB">
        <w:t>services</w:t>
      </w:r>
      <w:r w:rsidR="004D26B6">
        <w:t>, in order to ensure protection of these services</w:t>
      </w:r>
      <w:r w:rsidRPr="00593BDB">
        <w:t xml:space="preserve"> </w:t>
      </w:r>
    </w:p>
    <w:p w:rsidR="003771D5" w:rsidRPr="00235592" w:rsidRDefault="003771D5" w:rsidP="00BD4E12">
      <w:pPr>
        <w:pStyle w:val="Heading1"/>
        <w:rPr>
          <w:lang w:val="en-GB"/>
        </w:rPr>
      </w:pPr>
      <w:r w:rsidRPr="00235592">
        <w:rPr>
          <w:lang w:val="en-GB"/>
        </w:rPr>
        <w:t xml:space="preserve">Preliminary CEPT position </w:t>
      </w:r>
    </w:p>
    <w:p w:rsidR="00DE02E4" w:rsidRDefault="00DE02E4" w:rsidP="007E55E4">
      <w:r w:rsidRPr="00DE02E4">
        <w:t>CEPT would support an allocation in the frequency range 50-54 MHz to the amateur service in Region 1</w:t>
      </w:r>
      <w:r w:rsidR="00362FE9">
        <w:t>,</w:t>
      </w:r>
      <w:r w:rsidRPr="00DE02E4">
        <w:t xml:space="preserve"> only if </w:t>
      </w:r>
      <w:r w:rsidR="00ED0DAD">
        <w:t xml:space="preserve">the spectrum needs for the amateur service in this band are justified and </w:t>
      </w:r>
      <w:r w:rsidRPr="00DE02E4">
        <w:t xml:space="preserve">studies show </w:t>
      </w:r>
      <w:r w:rsidRPr="00C0435E">
        <w:rPr>
          <w:lang w:val="en-US"/>
        </w:rPr>
        <w:t>that</w:t>
      </w:r>
      <w:r w:rsidR="00C0435E" w:rsidRPr="00C0435E">
        <w:rPr>
          <w:rFonts w:ascii="Times New Roman" w:eastAsia="Times New Roman" w:hAnsi="Times New Roman"/>
          <w:b/>
          <w:bCs/>
          <w:caps/>
          <w:sz w:val="24"/>
          <w:szCs w:val="24"/>
          <w:lang w:val="en-US"/>
        </w:rPr>
        <w:t xml:space="preserve"> </w:t>
      </w:r>
      <w:r w:rsidR="00C0435E" w:rsidRPr="00C0435E">
        <w:rPr>
          <w:lang w:val="en-US"/>
        </w:rPr>
        <w:t xml:space="preserve">the </w:t>
      </w:r>
      <w:r w:rsidR="00C0435E">
        <w:rPr>
          <w:lang w:val="en-US"/>
        </w:rPr>
        <w:t xml:space="preserve">broadcasting, fixed and mobile </w:t>
      </w:r>
      <w:r w:rsidR="00C0435E" w:rsidRPr="00C0435E">
        <w:rPr>
          <w:lang w:val="en-US"/>
        </w:rPr>
        <w:t>services</w:t>
      </w:r>
      <w:r w:rsidR="00F80714">
        <w:rPr>
          <w:lang w:val="en-US"/>
        </w:rPr>
        <w:t xml:space="preserve"> as well as windprofiler radars in the</w:t>
      </w:r>
      <w:r w:rsidR="00C0435E">
        <w:rPr>
          <w:lang w:val="en-US"/>
        </w:rPr>
        <w:t xml:space="preserve"> </w:t>
      </w:r>
      <w:r w:rsidR="00C0435E" w:rsidRPr="00C0435E">
        <w:rPr>
          <w:lang w:val="en-US"/>
        </w:rPr>
        <w:t xml:space="preserve">radiolocation </w:t>
      </w:r>
      <w:r w:rsidR="00F80714">
        <w:rPr>
          <w:lang w:val="en-US"/>
        </w:rPr>
        <w:t>service</w:t>
      </w:r>
      <w:r w:rsidR="00C0435E" w:rsidRPr="00C0435E">
        <w:rPr>
          <w:lang w:val="en-US"/>
        </w:rPr>
        <w:t xml:space="preserve">, </w:t>
      </w:r>
      <w:r w:rsidRPr="00C0435E">
        <w:rPr>
          <w:lang w:val="en-US"/>
        </w:rPr>
        <w:t>including their future deployment and services in adjacent spectrum</w:t>
      </w:r>
      <w:r w:rsidR="0079092F">
        <w:t>,</w:t>
      </w:r>
      <w:r w:rsidRPr="00C0435E">
        <w:rPr>
          <w:lang w:val="en-US"/>
        </w:rPr>
        <w:t xml:space="preserve"> are protected</w:t>
      </w:r>
      <w:r w:rsidR="003061BA">
        <w:t>.</w:t>
      </w:r>
    </w:p>
    <w:p w:rsidR="00000977" w:rsidRDefault="005E283B" w:rsidP="001502EE">
      <w:pPr>
        <w:pStyle w:val="ECCBulletsLv1"/>
        <w:numPr>
          <w:ilvl w:val="0"/>
          <w:numId w:val="0"/>
        </w:numPr>
        <w:spacing w:after="120"/>
        <w:rPr>
          <w:rStyle w:val="ECCParagraph"/>
        </w:rPr>
      </w:pPr>
      <w:r>
        <w:rPr>
          <w:rStyle w:val="ECCParagraph"/>
        </w:rPr>
        <w:t xml:space="preserve">If potentially the frequency band </w:t>
      </w:r>
      <w:r w:rsidRPr="001A1D83">
        <w:rPr>
          <w:rStyle w:val="ECCParagraph"/>
        </w:rPr>
        <w:t xml:space="preserve">50-54 MHz is allocated to the amateur service, this should not cause harmful interference to stations in the broadcasting </w:t>
      </w:r>
      <w:r w:rsidR="00F56394">
        <w:rPr>
          <w:rStyle w:val="ECCParagraph"/>
        </w:rPr>
        <w:t xml:space="preserve">and mobile </w:t>
      </w:r>
      <w:r w:rsidRPr="001A1D83">
        <w:rPr>
          <w:rStyle w:val="ECCParagraph"/>
        </w:rPr>
        <w:t>service</w:t>
      </w:r>
      <w:r w:rsidR="00F56394">
        <w:rPr>
          <w:rStyle w:val="ECCParagraph"/>
        </w:rPr>
        <w:t>s</w:t>
      </w:r>
      <w:r w:rsidRPr="001A1D83">
        <w:rPr>
          <w:rStyle w:val="ECCParagraph"/>
        </w:rPr>
        <w:t xml:space="preserve"> to which this frequency band is allocated on a primary basis. The amateur service shall not claim protection from harmful interference caused by </w:t>
      </w:r>
      <w:r w:rsidR="00A04E3A">
        <w:rPr>
          <w:rStyle w:val="ECCParagraph"/>
        </w:rPr>
        <w:t>the</w:t>
      </w:r>
      <w:r w:rsidR="000200D3">
        <w:rPr>
          <w:rStyle w:val="ECCParagraph"/>
        </w:rPr>
        <w:t xml:space="preserve"> </w:t>
      </w:r>
      <w:r w:rsidRPr="001A1D83">
        <w:rPr>
          <w:rStyle w:val="ECCParagraph"/>
        </w:rPr>
        <w:t>broadcasting</w:t>
      </w:r>
      <w:r w:rsidR="00D4466B">
        <w:rPr>
          <w:rStyle w:val="ECCParagraph"/>
        </w:rPr>
        <w:t xml:space="preserve"> service</w:t>
      </w:r>
      <w:r w:rsidR="00A04E3A">
        <w:rPr>
          <w:rStyle w:val="ECCParagraph"/>
        </w:rPr>
        <w:t xml:space="preserve">, </w:t>
      </w:r>
      <w:r w:rsidR="00F56394">
        <w:rPr>
          <w:rStyle w:val="ECCParagraph"/>
        </w:rPr>
        <w:t>mobile</w:t>
      </w:r>
      <w:r w:rsidRPr="001A1D83">
        <w:rPr>
          <w:rStyle w:val="ECCParagraph"/>
        </w:rPr>
        <w:t xml:space="preserve"> service </w:t>
      </w:r>
      <w:r w:rsidR="000200D3">
        <w:rPr>
          <w:rStyle w:val="ECCParagraph"/>
        </w:rPr>
        <w:t>and windprofiler radars in the radiolocation service.</w:t>
      </w:r>
    </w:p>
    <w:p w:rsidR="003771D5" w:rsidRPr="00235592" w:rsidRDefault="003771D5" w:rsidP="003A68D5">
      <w:pPr>
        <w:pStyle w:val="Heading1"/>
        <w:rPr>
          <w:lang w:val="en-GB"/>
        </w:rPr>
      </w:pPr>
      <w:r w:rsidRPr="00235592">
        <w:rPr>
          <w:lang w:val="en-GB"/>
        </w:rPr>
        <w:t xml:space="preserve">Background </w:t>
      </w:r>
    </w:p>
    <w:p w:rsidR="00000977" w:rsidRPr="00000977" w:rsidRDefault="00000977" w:rsidP="00000977">
      <w:pPr>
        <w:rPr>
          <w:lang w:val="en-US"/>
        </w:rPr>
      </w:pPr>
      <w:r w:rsidRPr="00000977">
        <w:rPr>
          <w:lang w:val="en-US"/>
        </w:rPr>
        <w:t xml:space="preserve">This agenda item was developed based on proposals of CEPT and ASMG administrations during WRC-15. According to the Radio Regulations (RR) the band 50-54 MHz is allocated to the amateur service in Regions 2 and 3. Therefore an allocation of this frequency band to the amateur service in Region I </w:t>
      </w:r>
      <w:r w:rsidR="00F56394">
        <w:rPr>
          <w:lang w:val="en-US"/>
        </w:rPr>
        <w:t>would contribute to</w:t>
      </w:r>
      <w:r w:rsidRPr="00000977">
        <w:rPr>
          <w:lang w:val="en-US"/>
        </w:rPr>
        <w:t xml:space="preserve"> the harmonized use of this band by amateur service in all ITU-R Regions.</w:t>
      </w:r>
    </w:p>
    <w:p w:rsidR="00000977" w:rsidRDefault="00F56394" w:rsidP="00000977">
      <w:pPr>
        <w:rPr>
          <w:lang w:val="en-US"/>
        </w:rPr>
      </w:pPr>
      <w:r>
        <w:rPr>
          <w:lang w:val="en-US"/>
        </w:rPr>
        <w:t>I</w:t>
      </w:r>
      <w:r w:rsidR="00000977" w:rsidRPr="00000977">
        <w:rPr>
          <w:lang w:val="en-US"/>
        </w:rPr>
        <w:t xml:space="preserve">n Region 1 the frequency band 50-54 MHz is allocated </w:t>
      </w:r>
      <w:r>
        <w:rPr>
          <w:lang w:val="en-US"/>
        </w:rPr>
        <w:t xml:space="preserve">in </w:t>
      </w:r>
      <w:r w:rsidR="00CE37BA">
        <w:t xml:space="preserve">the </w:t>
      </w:r>
      <w:r>
        <w:rPr>
          <w:lang w:val="en-US"/>
        </w:rPr>
        <w:t xml:space="preserve">RR </w:t>
      </w:r>
      <w:r w:rsidR="00000977" w:rsidRPr="00000977">
        <w:rPr>
          <w:lang w:val="en-US"/>
        </w:rPr>
        <w:t xml:space="preserve">to </w:t>
      </w:r>
      <w:r>
        <w:rPr>
          <w:lang w:val="en-US"/>
        </w:rPr>
        <w:t xml:space="preserve">the </w:t>
      </w:r>
      <w:r w:rsidR="00000977" w:rsidRPr="00000977">
        <w:rPr>
          <w:lang w:val="en-US"/>
        </w:rPr>
        <w:t>broadcasting service on primary basis.</w:t>
      </w:r>
    </w:p>
    <w:p w:rsidR="00000977" w:rsidRPr="00000977" w:rsidRDefault="00000977" w:rsidP="00FC5309">
      <w:pPr>
        <w:tabs>
          <w:tab w:val="left" w:pos="5954"/>
        </w:tabs>
        <w:rPr>
          <w:lang w:val="en-US"/>
        </w:rPr>
      </w:pPr>
      <w:r w:rsidRPr="00000977">
        <w:rPr>
          <w:lang w:val="en-US"/>
        </w:rPr>
        <w:t xml:space="preserve">While the Region 1 African countries listed in No </w:t>
      </w:r>
      <w:r w:rsidRPr="00000977">
        <w:rPr>
          <w:b/>
          <w:lang w:val="en-US"/>
        </w:rPr>
        <w:t>5.169</w:t>
      </w:r>
      <w:r w:rsidRPr="00000977">
        <w:rPr>
          <w:lang w:val="en-US"/>
        </w:rPr>
        <w:t xml:space="preserve"> have an alternative allocation to the amateur service in the frequency band 50-54 MHz on a primary basis, a number of other Region 1 countries have authorised the use of all or parts of the band 50-52 MHz by the amateur service on a mainly secondary (but sometimes national primary) basis in accordance with RR No </w:t>
      </w:r>
      <w:r w:rsidRPr="00000977">
        <w:rPr>
          <w:b/>
          <w:lang w:val="en-US"/>
        </w:rPr>
        <w:t>4.4</w:t>
      </w:r>
      <w:r w:rsidRPr="00000977">
        <w:rPr>
          <w:lang w:val="en-US"/>
        </w:rPr>
        <w:t>.</w:t>
      </w:r>
    </w:p>
    <w:p w:rsidR="00F85079" w:rsidRPr="00F85079" w:rsidRDefault="00000977" w:rsidP="00000977">
      <w:pPr>
        <w:rPr>
          <w:shd w:val="solid" w:color="00FFFF" w:fill="auto"/>
        </w:rPr>
      </w:pPr>
      <w:r w:rsidRPr="00000977">
        <w:rPr>
          <w:lang w:val="en-US"/>
        </w:rPr>
        <w:t xml:space="preserve">The frequency band 47-68 MHz or part of it, </w:t>
      </w:r>
      <w:r w:rsidR="00F56394">
        <w:rPr>
          <w:lang w:val="en-US"/>
        </w:rPr>
        <w:t>also has</w:t>
      </w:r>
      <w:r w:rsidRPr="00000977">
        <w:rPr>
          <w:lang w:val="en-US"/>
        </w:rPr>
        <w:t xml:space="preserve"> </w:t>
      </w:r>
      <w:r w:rsidR="00F56394">
        <w:rPr>
          <w:lang w:val="en-US"/>
        </w:rPr>
        <w:t>an</w:t>
      </w:r>
      <w:r w:rsidR="00F56394" w:rsidRPr="00000977">
        <w:rPr>
          <w:lang w:val="en-US"/>
        </w:rPr>
        <w:t xml:space="preserve"> </w:t>
      </w:r>
      <w:r w:rsidRPr="00000977">
        <w:rPr>
          <w:lang w:val="en-US"/>
        </w:rPr>
        <w:t xml:space="preserve">additional allocation to the land mobile service on a primary basis in a number of countries in Region 1 according to No </w:t>
      </w:r>
      <w:r w:rsidRPr="00000977">
        <w:rPr>
          <w:b/>
          <w:lang w:val="en-US"/>
        </w:rPr>
        <w:t>5.164</w:t>
      </w:r>
      <w:r w:rsidRPr="00000977">
        <w:rPr>
          <w:lang w:val="en-US"/>
        </w:rPr>
        <w:t>. The frequency band 50-54 MHz is also allocated to the land mobile service on a primary basis as shown in the European Table of Frequency Allocations.</w:t>
      </w:r>
    </w:p>
    <w:p w:rsidR="00F85079" w:rsidRPr="00F85079" w:rsidRDefault="00000977" w:rsidP="00000977">
      <w:pPr>
        <w:rPr>
          <w:shd w:val="solid" w:color="00FFFF" w:fill="auto"/>
        </w:rPr>
      </w:pPr>
      <w:r w:rsidRPr="00000977">
        <w:rPr>
          <w:lang w:val="en-US"/>
        </w:rPr>
        <w:t xml:space="preserve">No </w:t>
      </w:r>
      <w:r w:rsidRPr="00000977">
        <w:rPr>
          <w:b/>
          <w:lang w:val="en-US"/>
        </w:rPr>
        <w:t>5.162A</w:t>
      </w:r>
      <w:r w:rsidRPr="00000977">
        <w:rPr>
          <w:lang w:val="en-US"/>
        </w:rPr>
        <w:t xml:space="preserve"> provides for an additional allocation to the radiolocation service on a secondary basis in a number of countries, limited to the operation of windprofiler radars in accordance with Resolution 217 (</w:t>
      </w:r>
      <w:r w:rsidRPr="00000977">
        <w:rPr>
          <w:b/>
          <w:lang w:val="en-US"/>
        </w:rPr>
        <w:t>WRC-97</w:t>
      </w:r>
      <w:r w:rsidRPr="00000977">
        <w:rPr>
          <w:lang w:val="en-US"/>
        </w:rPr>
        <w:t>).</w:t>
      </w:r>
    </w:p>
    <w:p w:rsidR="00000977" w:rsidRPr="00000977" w:rsidRDefault="00000977" w:rsidP="00000977">
      <w:pPr>
        <w:rPr>
          <w:lang w:val="en-US"/>
        </w:rPr>
      </w:pPr>
      <w:r w:rsidRPr="00000977">
        <w:rPr>
          <w:lang w:val="en-US"/>
        </w:rPr>
        <w:t xml:space="preserve">lTU-R WP 5A was designated as the responsible group for studies under WRC-19 agenda item 1.1. During its latest meeting (22 May - </w:t>
      </w:r>
      <w:r w:rsidR="0079092F">
        <w:t>1</w:t>
      </w:r>
      <w:r w:rsidR="0079092F" w:rsidRPr="00000977">
        <w:rPr>
          <w:lang w:val="en-US"/>
        </w:rPr>
        <w:t xml:space="preserve"> </w:t>
      </w:r>
      <w:r w:rsidRPr="00000977">
        <w:rPr>
          <w:lang w:val="en-US"/>
        </w:rPr>
        <w:t>June 2017) WP 5A continues work for WRC-19 agenda item 1.1. The preliminary draft CPM text and work plan for this agenda item appear in Annexes 4 and 5 of Doc. 5A/469, respectively. WP 5A developed a working document towards a preliminary draft new Report ITU-R M.[AMATEUR_50_MHz] (Annex 14 of Doc. 5A/469</w:t>
      </w:r>
      <w:r w:rsidRPr="00000977">
        <w:rPr>
          <w:i/>
          <w:iCs/>
          <w:lang w:val="en-US"/>
        </w:rPr>
        <w:t>).</w:t>
      </w:r>
      <w:r w:rsidRPr="00000977">
        <w:rPr>
          <w:lang w:val="en-US"/>
        </w:rPr>
        <w:t xml:space="preserve">This PDNR includes studies on spectrum needs, sharing and compatibility. WP 5A noted the need to continue work on these studies during next meeting, as a lot of issues still need to be clarified (e.g. more explanation of a method determining spectrum needs is required </w:t>
      </w:r>
      <w:r w:rsidRPr="00000977">
        <w:rPr>
          <w:lang w:val="en-US"/>
        </w:rPr>
        <w:lastRenderedPageBreak/>
        <w:t>as well as some assumptions for others studies also should be clarified). It was also noted that the preliminary draft. CPM text is in a very early stage and needs further developing.</w:t>
      </w:r>
    </w:p>
    <w:p w:rsidR="003E16D9" w:rsidRPr="003E16D9" w:rsidRDefault="003E16D9" w:rsidP="003E16D9">
      <w:pPr>
        <w:pStyle w:val="Heading2"/>
      </w:pPr>
      <w:r>
        <w:t>Spectrum Needs Summary</w:t>
      </w:r>
    </w:p>
    <w:p w:rsidR="00C44CF0" w:rsidRDefault="00D90DBC" w:rsidP="00C44CF0">
      <w:r w:rsidRPr="00EA3591">
        <w:rPr>
          <w:rFonts w:eastAsia="Malgun Gothic"/>
          <w:lang w:eastAsia="ko-KR"/>
        </w:rPr>
        <w:t xml:space="preserve">An </w:t>
      </w:r>
      <w:r w:rsidRPr="00EA3591">
        <w:rPr>
          <w:lang w:eastAsia="ja-JP"/>
        </w:rPr>
        <w:t xml:space="preserve">application-based </w:t>
      </w:r>
      <w:r w:rsidRPr="00EA3591">
        <w:rPr>
          <w:rFonts w:eastAsia="Malgun Gothic"/>
          <w:lang w:eastAsia="ko-KR"/>
        </w:rPr>
        <w:t xml:space="preserve">approach to assess </w:t>
      </w:r>
      <w:r>
        <w:rPr>
          <w:rFonts w:eastAsia="Malgun Gothic"/>
          <w:lang w:eastAsia="ko-KR"/>
        </w:rPr>
        <w:t xml:space="preserve">amateur </w:t>
      </w:r>
      <w:r w:rsidRPr="00EA3591">
        <w:rPr>
          <w:rFonts w:eastAsia="Malgun Gothic"/>
          <w:lang w:eastAsia="ko-KR"/>
        </w:rPr>
        <w:t>spectrum needs for the frequency band 50–54 MHz</w:t>
      </w:r>
      <w:r>
        <w:rPr>
          <w:rFonts w:eastAsia="Malgun Gothic"/>
          <w:lang w:eastAsia="ko-KR"/>
        </w:rPr>
        <w:t xml:space="preserve"> is under consideration.</w:t>
      </w:r>
    </w:p>
    <w:p w:rsidR="00C44CF0" w:rsidRPr="00F2577F" w:rsidRDefault="00F2577F" w:rsidP="00C44CF0">
      <w:pPr>
        <w:pStyle w:val="Heading2"/>
        <w:rPr>
          <w:lang w:val="en-US"/>
        </w:rPr>
      </w:pPr>
      <w:r w:rsidRPr="00F2577F">
        <w:rPr>
          <w:lang w:val="en-US"/>
        </w:rPr>
        <w:t xml:space="preserve">sharing with broadcasting service </w:t>
      </w:r>
    </w:p>
    <w:p w:rsidR="00003A95" w:rsidRDefault="00B279E4" w:rsidP="0034387E">
      <w:pPr>
        <w:rPr>
          <w:lang w:val="en-US"/>
        </w:rPr>
      </w:pPr>
      <w:r>
        <w:t xml:space="preserve">Option 1: </w:t>
      </w:r>
      <w:r w:rsidR="0034387E">
        <w:rPr>
          <w:lang w:val="en-US"/>
        </w:rPr>
        <w:t xml:space="preserve">Adequate protection of the broadcasting service requires </w:t>
      </w:r>
      <w:r w:rsidR="0034387E" w:rsidRPr="0034387E">
        <w:rPr>
          <w:lang w:val="en-US"/>
        </w:rPr>
        <w:t xml:space="preserve">that the amateur service stations’ field strength values </w:t>
      </w:r>
      <w:r w:rsidR="0034387E">
        <w:rPr>
          <w:lang w:val="en-US"/>
        </w:rPr>
        <w:t xml:space="preserve">do not exceed </w:t>
      </w:r>
      <w:r w:rsidR="0034387E" w:rsidRPr="0034387E">
        <w:rPr>
          <w:lang w:val="en-US"/>
        </w:rPr>
        <w:t>6 dB</w:t>
      </w:r>
      <w:r w:rsidR="0034387E" w:rsidRPr="0034387E">
        <w:rPr>
          <w:lang w:val="ru-RU"/>
        </w:rPr>
        <w:t>μ</w:t>
      </w:r>
      <w:r w:rsidR="0034387E">
        <w:rPr>
          <w:lang w:val="en-US"/>
        </w:rPr>
        <w:t xml:space="preserve">V/m </w:t>
      </w:r>
      <w:r w:rsidR="00003A95">
        <w:rPr>
          <w:lang w:val="en-US"/>
        </w:rPr>
        <w:t xml:space="preserve">for more than 10% of time </w:t>
      </w:r>
      <w:r w:rsidR="0034387E">
        <w:rPr>
          <w:lang w:val="en-US"/>
        </w:rPr>
        <w:t>at any point inside the service are</w:t>
      </w:r>
      <w:r w:rsidR="00003A95">
        <w:rPr>
          <w:lang w:val="en-US"/>
        </w:rPr>
        <w:t>a</w:t>
      </w:r>
      <w:r w:rsidR="0034387E">
        <w:rPr>
          <w:lang w:val="en-US"/>
        </w:rPr>
        <w:t xml:space="preserve"> of a broadcasting station. </w:t>
      </w:r>
    </w:p>
    <w:p w:rsidR="00B279E4" w:rsidRDefault="00B279E4" w:rsidP="00B279E4">
      <w:pPr>
        <w:rPr>
          <w:lang w:val="en-US"/>
        </w:rPr>
      </w:pPr>
      <w:r>
        <w:rPr>
          <w:lang w:val="en-US"/>
        </w:rPr>
        <w:t xml:space="preserve">Option 2: Adequate protection of the broadcasting service requires </w:t>
      </w:r>
      <w:r w:rsidRPr="0034387E">
        <w:rPr>
          <w:lang w:val="en-US"/>
        </w:rPr>
        <w:t xml:space="preserve">that the amateur service stations’ field strength values </w:t>
      </w:r>
      <w:r>
        <w:rPr>
          <w:lang w:val="en-US"/>
        </w:rPr>
        <w:t xml:space="preserve">do not exceed </w:t>
      </w:r>
      <w:r w:rsidRPr="0034387E">
        <w:rPr>
          <w:lang w:val="en-US"/>
        </w:rPr>
        <w:t>6 dB</w:t>
      </w:r>
      <w:r w:rsidRPr="0034387E">
        <w:rPr>
          <w:lang w:val="ru-RU"/>
        </w:rPr>
        <w:t>μ</w:t>
      </w:r>
      <w:r>
        <w:rPr>
          <w:lang w:val="en-US"/>
        </w:rPr>
        <w:t>V/m for more than 10% of time along the border of the Russian Federation.</w:t>
      </w:r>
    </w:p>
    <w:p w:rsidR="00C44CF0" w:rsidRDefault="00F2577F" w:rsidP="00C44CF0">
      <w:pPr>
        <w:pStyle w:val="Heading2"/>
      </w:pPr>
      <w:r w:rsidRPr="00F2577F">
        <w:t>sharing with mobile service</w:t>
      </w:r>
    </w:p>
    <w:p w:rsidR="005E6FBD" w:rsidRDefault="00B87E95" w:rsidP="00B87E95">
      <w:r w:rsidRPr="008E3E91">
        <w:t xml:space="preserve">Interference is inevitable if two transmitters operating within the same area transmit on the </w:t>
      </w:r>
      <w:r w:rsidR="008E3E91" w:rsidRPr="008E3E91">
        <w:t>same frequency at the same time. I</w:t>
      </w:r>
      <w:r w:rsidRPr="008E3E91">
        <w:t>n this case sharing a frequency is unlikely to be possible, unless acceptable mitigation techniques are defined</w:t>
      </w:r>
      <w:r w:rsidR="008E3E91" w:rsidRPr="008E3E91">
        <w:t>.</w:t>
      </w:r>
      <w:r w:rsidR="00D90DBC">
        <w:t xml:space="preserve"> </w:t>
      </w:r>
    </w:p>
    <w:p w:rsidR="00A04E3A" w:rsidRDefault="00A04E3A" w:rsidP="00A04E3A">
      <w:r>
        <w:t xml:space="preserve">ITU-R is </w:t>
      </w:r>
      <w:r w:rsidRPr="00EC637A">
        <w:t>develop</w:t>
      </w:r>
      <w:r>
        <w:t>ing</w:t>
      </w:r>
      <w:r w:rsidRPr="00EC637A">
        <w:t xml:space="preserve"> a working document towards a preliminary draft new Report ITU-R M.[AMATEUR_50_MHz]. This PDNR includes studies on spectrum needs, sharing and compatibi</w:t>
      </w:r>
      <w:r w:rsidR="00654D39">
        <w:t xml:space="preserve">lity. </w:t>
      </w:r>
      <w:r>
        <w:t>A number of open issues still need to be clarified</w:t>
      </w:r>
      <w:r w:rsidRPr="00EC637A">
        <w:t xml:space="preserve">. </w:t>
      </w:r>
    </w:p>
    <w:p w:rsidR="00C44CF0" w:rsidRDefault="00654D39" w:rsidP="00C44CF0">
      <w:r>
        <w:t>Preliminary c</w:t>
      </w:r>
      <w:r w:rsidRPr="00DC1415">
        <w:t xml:space="preserve">o-existence studies </w:t>
      </w:r>
      <w:r w:rsidR="00CB24EE">
        <w:t xml:space="preserve">conducted within PTD </w:t>
      </w:r>
      <w:r w:rsidRPr="00DC1415">
        <w:t>to assess the separation distances between an amateur radio transmitter and a mobile</w:t>
      </w:r>
      <w:r w:rsidRPr="00DC1415" w:rsidDel="004C60A0">
        <w:t xml:space="preserve"> </w:t>
      </w:r>
      <w:r w:rsidRPr="00DC1415">
        <w:t>radio receiver</w:t>
      </w:r>
      <w:r w:rsidR="00CB24EE">
        <w:t xml:space="preserve">, </w:t>
      </w:r>
      <w:r>
        <w:t xml:space="preserve">suggest separation distances between 66 – 446 km, depending on amateur operation mode and frequency offset. </w:t>
      </w:r>
    </w:p>
    <w:p w:rsidR="00C44CF0" w:rsidRDefault="00F2577F" w:rsidP="00C44CF0">
      <w:pPr>
        <w:pStyle w:val="Heading2"/>
      </w:pPr>
      <w:r w:rsidRPr="00F2577F">
        <w:t>sharing with radiolocation service</w:t>
      </w:r>
      <w:r w:rsidRPr="00F2577F" w:rsidDel="00F2577F">
        <w:t xml:space="preserve"> </w:t>
      </w:r>
    </w:p>
    <w:p w:rsidR="004A7125" w:rsidRDefault="00B87E95" w:rsidP="004A7125">
      <w:r>
        <w:t>Taking into account the low number of WPR stations sharing can be con</w:t>
      </w:r>
      <w:r w:rsidR="004A7125">
        <w:t xml:space="preserve">sidered on a case-by-case basis </w:t>
      </w:r>
      <w:r>
        <w:t>provided that amateurs do not claim protection from or priority over WPR.</w:t>
      </w:r>
      <w:r w:rsidR="004A7125">
        <w:t xml:space="preserve"> </w:t>
      </w:r>
    </w:p>
    <w:p w:rsidR="00550915" w:rsidRPr="0079092F" w:rsidRDefault="00F2577F" w:rsidP="00550915">
      <w:pPr>
        <w:pStyle w:val="Heading2"/>
        <w:rPr>
          <w:lang w:val="en-US"/>
        </w:rPr>
      </w:pPr>
      <w:r w:rsidRPr="00F2577F">
        <w:rPr>
          <w:lang w:val="en-US"/>
        </w:rPr>
        <w:t>sharing with fixed service and other services</w:t>
      </w:r>
      <w:r w:rsidRPr="00F2577F" w:rsidDel="00F2577F">
        <w:rPr>
          <w:lang w:val="en-US"/>
        </w:rPr>
        <w:t xml:space="preserve"> </w:t>
      </w:r>
    </w:p>
    <w:p w:rsidR="00550915" w:rsidRPr="00550915" w:rsidRDefault="00F2577F" w:rsidP="00550915">
      <w:r w:rsidRPr="00F2577F">
        <w:t>Summary and conclusion tbd</w:t>
      </w:r>
    </w:p>
    <w:p w:rsidR="003771D5" w:rsidRPr="00235592" w:rsidRDefault="003771D5" w:rsidP="00BD4E12">
      <w:pPr>
        <w:pStyle w:val="Heading1"/>
        <w:rPr>
          <w:lang w:val="en-GB"/>
        </w:rPr>
      </w:pPr>
      <w:r w:rsidRPr="00235592">
        <w:rPr>
          <w:lang w:val="en-GB"/>
        </w:rPr>
        <w:t>List of relevant documents</w:t>
      </w:r>
    </w:p>
    <w:p w:rsidR="00220194" w:rsidRPr="003D2E8E" w:rsidRDefault="003771D5" w:rsidP="006476ED">
      <w:pPr>
        <w:pStyle w:val="ECCBreak"/>
        <w:rPr>
          <w:lang w:val="en-GB"/>
        </w:rPr>
      </w:pPr>
      <w:r w:rsidRPr="003D2E8E">
        <w:rPr>
          <w:lang w:val="en-GB"/>
        </w:rPr>
        <w:t>ITU-Documentation (Recommendations, Reports, other)</w:t>
      </w:r>
    </w:p>
    <w:p w:rsidR="000A29BC" w:rsidRDefault="002830B7" w:rsidP="002456CC">
      <w:pPr>
        <w:pStyle w:val="ECCBulletsLv1"/>
        <w:rPr>
          <w:lang w:val="en-US"/>
        </w:rPr>
      </w:pPr>
      <w:r>
        <w:rPr>
          <w:lang w:val="en-US"/>
        </w:rPr>
        <w:t>Recommendation ITU-R M.1732-</w:t>
      </w:r>
      <w:r w:rsidR="002456CC">
        <w:rPr>
          <w:lang w:val="en-US"/>
        </w:rPr>
        <w:t>1</w:t>
      </w:r>
      <w:r>
        <w:rPr>
          <w:lang w:val="en-US"/>
        </w:rPr>
        <w:t xml:space="preserve"> </w:t>
      </w:r>
      <w:r w:rsidR="005D3559" w:rsidRPr="005D3559">
        <w:t>‘</w:t>
      </w:r>
      <w:r w:rsidRPr="00F0180C">
        <w:rPr>
          <w:lang w:val="en-US"/>
        </w:rPr>
        <w:t>Characteristics of systems operating in the amateur and amateur-satellite services for use in sharing studies</w:t>
      </w:r>
      <w:r w:rsidR="005D3559">
        <w:t>´</w:t>
      </w:r>
      <w:r>
        <w:rPr>
          <w:lang w:val="en-US"/>
        </w:rPr>
        <w:t>;</w:t>
      </w:r>
    </w:p>
    <w:p w:rsidR="002456CC" w:rsidRPr="00DC2F10" w:rsidRDefault="002456CC" w:rsidP="002456CC">
      <w:pPr>
        <w:pStyle w:val="ECCBulletsLv1"/>
        <w:rPr>
          <w:lang w:val="en-US"/>
        </w:rPr>
      </w:pPr>
      <w:r w:rsidRPr="00DC2F10">
        <w:rPr>
          <w:lang w:val="en-US"/>
        </w:rPr>
        <w:t>Amateur and amateur-satellite services Handbook</w:t>
      </w:r>
    </w:p>
    <w:p w:rsidR="002456CC" w:rsidRPr="00DC2F10" w:rsidRDefault="002456CC" w:rsidP="002456CC">
      <w:pPr>
        <w:pStyle w:val="ECCBulletsLv1"/>
      </w:pPr>
      <w:r>
        <w:t>Work plan for WRC-19 Agenda item 1.1</w:t>
      </w:r>
    </w:p>
    <w:p w:rsidR="002456CC" w:rsidRDefault="002456CC" w:rsidP="002456CC">
      <w:pPr>
        <w:pStyle w:val="ECCBulletsLv1"/>
      </w:pPr>
      <w:r w:rsidRPr="00DC2F10">
        <w:t xml:space="preserve">Resolution </w:t>
      </w:r>
      <w:r>
        <w:t>658 (WRC-15</w:t>
      </w:r>
      <w:r w:rsidRPr="00DC2F10">
        <w:t>)</w:t>
      </w:r>
    </w:p>
    <w:p w:rsidR="00593BDB" w:rsidRPr="00593BDB" w:rsidRDefault="00593BDB" w:rsidP="00593BDB">
      <w:pPr>
        <w:pStyle w:val="ECCBulletsLv1"/>
      </w:pPr>
      <w:r w:rsidRPr="00593BDB">
        <w:rPr>
          <w:lang w:val="en-US"/>
        </w:rPr>
        <w:t>Working Document Toward Preliminary Draft New report ITU-R M.[AMATEUR_50_MHz]</w:t>
      </w:r>
    </w:p>
    <w:p w:rsidR="00593BDB" w:rsidRPr="00593BDB" w:rsidRDefault="00593BDB" w:rsidP="00593BDB">
      <w:pPr>
        <w:pStyle w:val="ECCBulletsLv1"/>
        <w:rPr>
          <w:lang w:val="en-US"/>
        </w:rPr>
      </w:pPr>
      <w:r w:rsidRPr="00593BDB">
        <w:rPr>
          <w:lang w:val="en-US"/>
        </w:rPr>
        <w:lastRenderedPageBreak/>
        <w:t>Report ITU-R BT. 2387-0 (07/2015) contains information on responses from administrations on use of various frequency bands, including 50-54 MHz for broadcasting.</w:t>
      </w:r>
    </w:p>
    <w:p w:rsidR="00593BDB" w:rsidRPr="00593BDB" w:rsidRDefault="00593BDB" w:rsidP="00593BDB">
      <w:pPr>
        <w:pStyle w:val="ECCBulletsLv1"/>
        <w:rPr>
          <w:lang w:val="en-US"/>
        </w:rPr>
      </w:pPr>
      <w:r w:rsidRPr="00593BDB">
        <w:rPr>
          <w:lang w:val="en-US"/>
        </w:rPr>
        <w:t xml:space="preserve">Recommendation ITU-R BT.1368 </w:t>
      </w:r>
      <w:r w:rsidR="007E7E61">
        <w:t>‘</w:t>
      </w:r>
      <w:r w:rsidRPr="00593BDB">
        <w:rPr>
          <w:lang w:val="en-US"/>
        </w:rPr>
        <w:t>Planning criteria, including protection ratios, for digital terrestrial television services in the VHF/UHF bands</w:t>
      </w:r>
      <w:r w:rsidR="007E7E61">
        <w:t>’</w:t>
      </w:r>
      <w:r w:rsidRPr="00593BDB">
        <w:rPr>
          <w:lang w:val="en-US"/>
        </w:rPr>
        <w:t>.</w:t>
      </w:r>
    </w:p>
    <w:p w:rsidR="00593BDB" w:rsidRPr="00593BDB" w:rsidRDefault="00593BDB" w:rsidP="00593BDB">
      <w:pPr>
        <w:pStyle w:val="ECCBulletsLv1"/>
        <w:rPr>
          <w:lang w:val="en-US"/>
        </w:rPr>
      </w:pPr>
      <w:r w:rsidRPr="00593BDB">
        <w:rPr>
          <w:lang w:val="en-US"/>
        </w:rPr>
        <w:t xml:space="preserve">Recommendation ITU-R BT.2033 </w:t>
      </w:r>
      <w:r w:rsidR="007E7E61">
        <w:t>‘</w:t>
      </w:r>
      <w:r w:rsidRPr="00593BDB">
        <w:rPr>
          <w:lang w:val="en-US"/>
        </w:rPr>
        <w:t>Planning criteria, including protection ratios, for second generation of digital terrestrial television broadcasting systems in the VHF/UHF bands</w:t>
      </w:r>
      <w:r w:rsidR="007E7E61">
        <w:t>’</w:t>
      </w:r>
      <w:r w:rsidRPr="00593BDB">
        <w:rPr>
          <w:lang w:val="en-US"/>
        </w:rPr>
        <w:t>.</w:t>
      </w:r>
    </w:p>
    <w:p w:rsidR="00593BDB" w:rsidRPr="00593BDB" w:rsidRDefault="00593BDB" w:rsidP="00593BDB">
      <w:pPr>
        <w:pStyle w:val="ECCBulletsLv1"/>
        <w:rPr>
          <w:lang w:val="en-US"/>
        </w:rPr>
      </w:pPr>
      <w:r w:rsidRPr="00593BDB">
        <w:rPr>
          <w:lang w:val="en-US"/>
        </w:rPr>
        <w:t xml:space="preserve">Recommendation ITU-R SM.851 </w:t>
      </w:r>
      <w:r w:rsidR="007E7E61">
        <w:t>‘</w:t>
      </w:r>
      <w:r w:rsidRPr="00593BDB">
        <w:rPr>
          <w:lang w:val="en-US"/>
        </w:rPr>
        <w:t>Sharing between the broadcasting service and the fixed and/or mobile services in the VHF and UHF bands</w:t>
      </w:r>
      <w:r w:rsidR="007E7E61">
        <w:t>’</w:t>
      </w:r>
      <w:r w:rsidRPr="00593BDB">
        <w:rPr>
          <w:lang w:val="en-US"/>
        </w:rPr>
        <w:t>.</w:t>
      </w:r>
    </w:p>
    <w:p w:rsidR="00593BDB" w:rsidRPr="00593BDB" w:rsidRDefault="00593BDB" w:rsidP="00593BDB">
      <w:pPr>
        <w:pStyle w:val="ECCBulletsLv1"/>
        <w:rPr>
          <w:lang w:val="en-US"/>
        </w:rPr>
      </w:pPr>
      <w:r w:rsidRPr="00593BDB">
        <w:rPr>
          <w:lang w:val="en-US"/>
        </w:rPr>
        <w:t>Final Acts of the European Broadcasting Conference (Stockholm, 1961 as revised in Geneva, 2006) (“ST61”) in the European Broadcasting Area</w:t>
      </w:r>
    </w:p>
    <w:p w:rsidR="00593BDB" w:rsidRPr="00455780" w:rsidRDefault="00593BDB" w:rsidP="00593BDB">
      <w:pPr>
        <w:pStyle w:val="ECCBulletsLv1"/>
      </w:pPr>
      <w:r w:rsidRPr="00593BDB">
        <w:rPr>
          <w:lang w:val="en-US"/>
        </w:rPr>
        <w:t xml:space="preserve">Final Acts of the African Broadcasting Conference (Geneva, 1989 as revised in Geneva, 2006) (“GE89”) in the African Broadcasting Area and </w:t>
      </w:r>
      <w:r w:rsidR="00402EEE" w:rsidRPr="00593BDB">
        <w:rPr>
          <w:lang w:val="en-US"/>
        </w:rPr>
        <w:t>neighboring</w:t>
      </w:r>
      <w:r w:rsidRPr="00593BDB">
        <w:rPr>
          <w:lang w:val="en-US"/>
        </w:rPr>
        <w:t xml:space="preserve"> countries.</w:t>
      </w:r>
    </w:p>
    <w:p w:rsidR="00220194" w:rsidRPr="003D2E8E" w:rsidRDefault="003771D5" w:rsidP="006476ED">
      <w:pPr>
        <w:pStyle w:val="ECCBreak"/>
        <w:rPr>
          <w:lang w:val="en-GB"/>
        </w:rPr>
      </w:pPr>
      <w:r w:rsidRPr="003D2E8E">
        <w:rPr>
          <w:lang w:val="en-GB"/>
        </w:rPr>
        <w:t>CEPT and/or ECC Documentation (Decisions, Recommendations, Reports)</w:t>
      </w:r>
    </w:p>
    <w:p w:rsidR="000A29BC" w:rsidRPr="00235592" w:rsidRDefault="000A29BC" w:rsidP="000A29BC">
      <w:pPr>
        <w:pStyle w:val="ECCBulletsLv1"/>
        <w:rPr>
          <w:rStyle w:val="ECCParagraph"/>
        </w:rPr>
      </w:pPr>
    </w:p>
    <w:p w:rsidR="00E26BAC" w:rsidRPr="003D2E8E" w:rsidRDefault="003771D5" w:rsidP="006476ED">
      <w:pPr>
        <w:pStyle w:val="ECCBreak"/>
        <w:rPr>
          <w:lang w:val="en-GB"/>
        </w:rPr>
      </w:pPr>
      <w:r w:rsidRPr="003D2E8E">
        <w:rPr>
          <w:lang w:val="en-GB"/>
        </w:rPr>
        <w:t>EU Documentation (Directives, Decisions, Recommendations, other), if applicable</w:t>
      </w:r>
    </w:p>
    <w:p w:rsidR="000A29BC" w:rsidRPr="00235592" w:rsidRDefault="000A29BC" w:rsidP="000A29BC">
      <w:pPr>
        <w:pStyle w:val="ECCBulletsLv1"/>
        <w:rPr>
          <w:rStyle w:val="ECCParagraph"/>
        </w:rPr>
      </w:pPr>
    </w:p>
    <w:p w:rsidR="003771D5" w:rsidRPr="00235592" w:rsidRDefault="003771D5" w:rsidP="00BD4E12">
      <w:pPr>
        <w:pStyle w:val="Heading1"/>
        <w:rPr>
          <w:lang w:val="en-GB"/>
        </w:rPr>
      </w:pPr>
      <w:r w:rsidRPr="00235592">
        <w:rPr>
          <w:lang w:val="en-GB"/>
        </w:rPr>
        <w:t>Actions to be taken</w:t>
      </w:r>
      <w:r w:rsidR="00815883">
        <w:rPr>
          <w:lang w:val="en-GB"/>
        </w:rPr>
        <w:t xml:space="preserve"> </w:t>
      </w:r>
    </w:p>
    <w:p w:rsidR="00EF22CF" w:rsidRDefault="00EF22CF" w:rsidP="00B303DF">
      <w:pPr>
        <w:pStyle w:val="ECCBulletsLv2"/>
      </w:pPr>
      <w:r>
        <w:t xml:space="preserve">Specify </w:t>
      </w:r>
      <w:r w:rsidRPr="00855E0C">
        <w:t xml:space="preserve">technical and operational characteristics for </w:t>
      </w:r>
      <w:r w:rsidR="000A198F">
        <w:t xml:space="preserve">future </w:t>
      </w:r>
      <w:r w:rsidRPr="00855E0C">
        <w:t>amateur communication systems</w:t>
      </w:r>
      <w:r w:rsidRPr="00F0180C">
        <w:t xml:space="preserve"> </w:t>
      </w:r>
      <w:r>
        <w:t>in the proposed band;</w:t>
      </w:r>
      <w:r w:rsidR="00867A05">
        <w:t xml:space="preserve"> </w:t>
      </w:r>
    </w:p>
    <w:p w:rsidR="00965D64" w:rsidRDefault="002363A0" w:rsidP="00BB5CD5">
      <w:pPr>
        <w:pStyle w:val="ECCBulletsLv2"/>
      </w:pPr>
      <w:r>
        <w:t>To a</w:t>
      </w:r>
      <w:r w:rsidR="00BB5CD5">
        <w:t xml:space="preserve">gree on </w:t>
      </w:r>
      <w:r w:rsidR="00B5011B">
        <w:t xml:space="preserve">a </w:t>
      </w:r>
      <w:r w:rsidR="00BB5CD5">
        <w:t xml:space="preserve">propagation model to be used for sharing studies </w:t>
      </w:r>
      <w:r w:rsidR="00965D64">
        <w:t xml:space="preserve">for </w:t>
      </w:r>
      <w:r w:rsidR="00F544F0">
        <w:t>l</w:t>
      </w:r>
      <w:r w:rsidR="00965D64">
        <w:t>and</w:t>
      </w:r>
      <w:r w:rsidR="00F544F0">
        <w:t xml:space="preserve"> </w:t>
      </w:r>
      <w:r w:rsidR="00965D64">
        <w:t>mobile communication systems operating in the band 50-54 MHz;</w:t>
      </w:r>
    </w:p>
    <w:p w:rsidR="005E1DBD" w:rsidRDefault="00EF22CF" w:rsidP="005E1DBD">
      <w:pPr>
        <w:pStyle w:val="ECCBulletsLv2"/>
      </w:pPr>
      <w:r>
        <w:t>C</w:t>
      </w:r>
      <w:r w:rsidRPr="00F0180C">
        <w:t xml:space="preserve">onduct compatibility studies based on </w:t>
      </w:r>
      <w:r>
        <w:t xml:space="preserve">characteristics, </w:t>
      </w:r>
      <w:r w:rsidRPr="00F0180C">
        <w:t>protection criteria and interference scenario’s</w:t>
      </w:r>
      <w:r>
        <w:t>;</w:t>
      </w:r>
    </w:p>
    <w:p w:rsidR="005E1DBD" w:rsidRPr="00061114" w:rsidRDefault="005E1DBD" w:rsidP="00061114">
      <w:pPr>
        <w:pStyle w:val="ECCBulletsLv3"/>
      </w:pPr>
      <w:r w:rsidRPr="00061114">
        <w:t>For mobile sharing update the Seamcat studies once the amateur duty cycles are finalised</w:t>
      </w:r>
    </w:p>
    <w:p w:rsidR="005E1DBD" w:rsidRPr="00061114" w:rsidRDefault="005E1DBD" w:rsidP="00061114">
      <w:pPr>
        <w:pStyle w:val="ECCBulletsLv3"/>
      </w:pPr>
      <w:r w:rsidRPr="00061114">
        <w:t>Finalise coordination distances to ensure protection of WPR systems</w:t>
      </w:r>
    </w:p>
    <w:p w:rsidR="00CE37BA" w:rsidRDefault="000200D3" w:rsidP="005E1DBD">
      <w:pPr>
        <w:pStyle w:val="ECCBulletsLv2"/>
      </w:pPr>
      <w:r>
        <w:t>The regulatory implication to protect WPR needs further study.</w:t>
      </w:r>
    </w:p>
    <w:p w:rsidR="005E1DBD" w:rsidRDefault="00061114" w:rsidP="00061114">
      <w:pPr>
        <w:pStyle w:val="ECCBulletsLv2"/>
      </w:pPr>
      <w:r w:rsidRPr="00061114">
        <w:t>Define the status of a possible new allocation to the Amateur Service.</w:t>
      </w:r>
    </w:p>
    <w:p w:rsidR="003771D5" w:rsidRPr="00235592" w:rsidRDefault="003771D5" w:rsidP="00BD4E12">
      <w:pPr>
        <w:pStyle w:val="Heading1"/>
        <w:rPr>
          <w:lang w:val="en-GB"/>
        </w:rPr>
      </w:pPr>
      <w:r w:rsidRPr="00235592">
        <w:rPr>
          <w:lang w:val="en-GB"/>
        </w:rPr>
        <w:t>Relevant</w:t>
      </w:r>
      <w:r w:rsidR="004706E2">
        <w:rPr>
          <w:lang w:val="en-GB"/>
        </w:rPr>
        <w:t xml:space="preserve"> information from outside CEPT </w:t>
      </w:r>
    </w:p>
    <w:p w:rsidR="004F16F4" w:rsidRPr="003D2E8E" w:rsidRDefault="003771D5" w:rsidP="004F16F4">
      <w:pPr>
        <w:pStyle w:val="Heading2"/>
        <w:rPr>
          <w:lang w:val="en-GB"/>
        </w:rPr>
      </w:pPr>
      <w:r w:rsidRPr="00235592">
        <w:rPr>
          <w:lang w:val="en-GB"/>
        </w:rPr>
        <w:t>European Union (date of proposal)</w:t>
      </w:r>
    </w:p>
    <w:p w:rsidR="006476ED" w:rsidRPr="006476ED" w:rsidRDefault="006476ED" w:rsidP="006476ED"/>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6C5C1C" w:rsidRPr="00150F77" w:rsidRDefault="003771D5" w:rsidP="004706E2">
      <w:pPr>
        <w:pStyle w:val="ECCBreak"/>
        <w:rPr>
          <w:lang w:val="en-US"/>
        </w:rPr>
      </w:pPr>
      <w:r w:rsidRPr="00235592">
        <w:rPr>
          <w:lang w:val="en-GB"/>
        </w:rPr>
        <w:t>APT (</w:t>
      </w:r>
      <w:r w:rsidR="00D62BFC">
        <w:rPr>
          <w:lang w:val="en-GB"/>
        </w:rPr>
        <w:t>10 November 2017</w:t>
      </w:r>
      <w:r w:rsidRPr="00235592">
        <w:rPr>
          <w:lang w:val="en-GB"/>
        </w:rPr>
        <w:t>)</w:t>
      </w:r>
    </w:p>
    <w:p w:rsidR="00D62BFC" w:rsidRPr="00D155B4" w:rsidRDefault="00D62BFC" w:rsidP="00D62BFC">
      <w:r>
        <w:t>Preliminary View</w:t>
      </w:r>
    </w:p>
    <w:p w:rsidR="00D62BFC" w:rsidRPr="00D155B4" w:rsidRDefault="00D62BFC" w:rsidP="00D62BFC">
      <w:r w:rsidRPr="00D155B4">
        <w:t>A</w:t>
      </w:r>
      <w:r>
        <w:t>PT Members are of the view that</w:t>
      </w:r>
      <w:r w:rsidRPr="00D155B4">
        <w:t xml:space="preserve">: </w:t>
      </w:r>
    </w:p>
    <w:p w:rsidR="00D62BFC" w:rsidRPr="00D155B4" w:rsidRDefault="00D62BFC" w:rsidP="00D62BFC">
      <w:pPr>
        <w:numPr>
          <w:ilvl w:val="0"/>
          <w:numId w:val="42"/>
        </w:numPr>
      </w:pPr>
      <w:r w:rsidRPr="00D155B4">
        <w:t xml:space="preserve">Ongoing ITU-R studies relevant to WRC-19 agenda item 1.1 are supported. </w:t>
      </w:r>
    </w:p>
    <w:p w:rsidR="00D62BFC" w:rsidRPr="00D155B4" w:rsidRDefault="00D62BFC" w:rsidP="00D62BFC">
      <w:pPr>
        <w:numPr>
          <w:ilvl w:val="0"/>
          <w:numId w:val="42"/>
        </w:numPr>
      </w:pPr>
      <w:r w:rsidRPr="00D155B4">
        <w:t xml:space="preserve">Spectrum need for the Amateur service in Region 1 should be clearly identified, </w:t>
      </w:r>
    </w:p>
    <w:p w:rsidR="006476ED" w:rsidRPr="006476ED" w:rsidRDefault="00D62BFC" w:rsidP="00D62BFC">
      <w:r w:rsidRPr="00D155B4">
        <w:lastRenderedPageBreak/>
        <w:t>Any changes made to the Radio Regulations under WRC-19 Agenda Item 1.1 shall not impose additional constraints on the existing primary allocations in the band 50 – 54 MHz in Region 3.</w:t>
      </w:r>
    </w:p>
    <w:p w:rsidR="003771D5" w:rsidRPr="006A212A" w:rsidRDefault="003771D5" w:rsidP="004706E2">
      <w:pPr>
        <w:pStyle w:val="ECCBreak"/>
        <w:rPr>
          <w:lang w:val="en-US"/>
        </w:rPr>
      </w:pPr>
      <w:r w:rsidRPr="00235592">
        <w:rPr>
          <w:lang w:val="en-GB"/>
        </w:rPr>
        <w:t>ATU (</w:t>
      </w:r>
      <w:r w:rsidR="00D62BFC">
        <w:rPr>
          <w:lang w:val="en-GB"/>
        </w:rPr>
        <w:t>Sept</w:t>
      </w:r>
      <w:r w:rsidR="00691FDA">
        <w:rPr>
          <w:lang w:val="en-GB"/>
        </w:rPr>
        <w:t>ember 2017</w:t>
      </w:r>
      <w:r w:rsidRPr="00235592">
        <w:rPr>
          <w:lang w:val="en-GB"/>
        </w:rPr>
        <w:t>)</w:t>
      </w:r>
    </w:p>
    <w:p w:rsidR="00D62BFC" w:rsidRPr="00F963B8" w:rsidRDefault="00D62BFC" w:rsidP="00D62BFC">
      <w:pPr>
        <w:numPr>
          <w:ilvl w:val="0"/>
          <w:numId w:val="43"/>
        </w:numPr>
      </w:pPr>
      <w:r w:rsidRPr="00F963B8">
        <w:t xml:space="preserve">Note that SADC resolved to support the allocation of the 50 – 54 MHz band to amateur service considering among others that in most SADC countries the range is already allocated to amateur on a primary basis. </w:t>
      </w:r>
    </w:p>
    <w:p w:rsidR="00D62BFC" w:rsidRPr="00F963B8" w:rsidRDefault="00D62BFC" w:rsidP="00D62BFC">
      <w:pPr>
        <w:numPr>
          <w:ilvl w:val="0"/>
          <w:numId w:val="43"/>
        </w:numPr>
      </w:pPr>
      <w:r w:rsidRPr="00F963B8">
        <w:t xml:space="preserve">Support the allocation of 50 – 54MHz (or part thereof) to the Amateur service in principle subject to favourable compatibility studies with the incumbent services – final study result to inform the final decision. </w:t>
      </w:r>
    </w:p>
    <w:p w:rsidR="003771D5" w:rsidRPr="003D2E8E" w:rsidRDefault="003771D5" w:rsidP="004706E2">
      <w:pPr>
        <w:pStyle w:val="ECCBreak"/>
        <w:rPr>
          <w:lang w:val="en-GB"/>
        </w:rPr>
      </w:pPr>
      <w:r w:rsidRPr="00235592">
        <w:rPr>
          <w:lang w:val="en-GB"/>
        </w:rPr>
        <w:t>Arab Group (</w:t>
      </w:r>
      <w:r w:rsidR="00D62BFC">
        <w:rPr>
          <w:lang w:val="en-GB"/>
        </w:rPr>
        <w:t>November</w:t>
      </w:r>
      <w:r w:rsidR="0027617C">
        <w:rPr>
          <w:lang w:val="en-GB"/>
        </w:rPr>
        <w:t xml:space="preserve"> 2017</w:t>
      </w:r>
      <w:r w:rsidRPr="00235592">
        <w:rPr>
          <w:lang w:val="en-GB"/>
        </w:rPr>
        <w:t>)</w:t>
      </w:r>
    </w:p>
    <w:p w:rsidR="009C4B47" w:rsidRPr="0027617C" w:rsidRDefault="0041479A" w:rsidP="00150F77">
      <w:pPr>
        <w:pStyle w:val="ECCBulletsLv1"/>
        <w:rPr>
          <w:lang w:val="en-US"/>
        </w:rPr>
      </w:pPr>
      <w:r w:rsidRPr="0027617C">
        <w:rPr>
          <w:lang w:val="en-US"/>
        </w:rPr>
        <w:t>Some administrations support frequency allocation for amateur service within the band 50-54 MHz on a primary basis, with following -up studies on this regard and emphasis on protecting the existing services without imposing new restrictions on them.</w:t>
      </w:r>
    </w:p>
    <w:p w:rsidR="009C4B47" w:rsidRPr="0027617C" w:rsidRDefault="0041479A" w:rsidP="00150F77">
      <w:pPr>
        <w:pStyle w:val="ECCBulletsLv1"/>
        <w:rPr>
          <w:lang w:val="en-US"/>
        </w:rPr>
      </w:pPr>
      <w:r w:rsidRPr="0027617C">
        <w:rPr>
          <w:lang w:val="en-US"/>
        </w:rPr>
        <w:t>Some administration prefers to wait and follow up the studies at this stage.</w:t>
      </w:r>
    </w:p>
    <w:p w:rsidR="003771D5" w:rsidRPr="006A212A" w:rsidRDefault="003771D5" w:rsidP="004706E2">
      <w:pPr>
        <w:pStyle w:val="ECCBreak"/>
        <w:rPr>
          <w:lang w:val="en-US"/>
        </w:rPr>
      </w:pPr>
      <w:r w:rsidRPr="00235592">
        <w:rPr>
          <w:lang w:val="en-GB"/>
        </w:rPr>
        <w:t>CITEL (</w:t>
      </w:r>
      <w:r w:rsidR="00D62BFC">
        <w:rPr>
          <w:lang w:val="en-US"/>
        </w:rPr>
        <w:t>November</w:t>
      </w:r>
      <w:r w:rsidR="00D62BFC" w:rsidRPr="00986BEE">
        <w:rPr>
          <w:lang w:val="en-US"/>
        </w:rPr>
        <w:t xml:space="preserve"> </w:t>
      </w:r>
      <w:r w:rsidR="0043384A" w:rsidRPr="00986BEE">
        <w:rPr>
          <w:lang w:val="en-US"/>
        </w:rPr>
        <w:t>2017</w:t>
      </w:r>
      <w:r w:rsidRPr="00235592">
        <w:rPr>
          <w:lang w:val="en-GB"/>
        </w:rPr>
        <w:t>)</w:t>
      </w:r>
    </w:p>
    <w:p w:rsidR="00D62BFC" w:rsidRDefault="00D62BFC" w:rsidP="00D62BFC">
      <w:pPr>
        <w:rPr>
          <w:rStyle w:val="ECCHLunderlined"/>
        </w:rPr>
      </w:pPr>
      <w:r>
        <w:rPr>
          <w:rStyle w:val="ECCHLunderlined"/>
        </w:rPr>
        <w:t>Preliminary views</w:t>
      </w:r>
    </w:p>
    <w:p w:rsidR="00FA5F14" w:rsidRDefault="00D62BFC" w:rsidP="00FA5F14">
      <w:pPr>
        <w:rPr>
          <w:rStyle w:val="ECCHLunderlined"/>
        </w:rPr>
      </w:pPr>
      <w:r>
        <w:rPr>
          <w:rStyle w:val="ECCHLunderlined"/>
        </w:rPr>
        <w:t xml:space="preserve">Canada and </w:t>
      </w:r>
      <w:r w:rsidR="0043384A">
        <w:rPr>
          <w:rStyle w:val="ECCHLunderlined"/>
        </w:rPr>
        <w:t>USA</w:t>
      </w:r>
    </w:p>
    <w:p w:rsidR="0043384A" w:rsidRDefault="0043384A" w:rsidP="00FA5F14">
      <w:pPr>
        <w:rPr>
          <w:rStyle w:val="ECCHLunderlined"/>
        </w:rPr>
      </w:pPr>
      <w:r w:rsidRPr="0043384A">
        <w:t>WRC-19 Agenda Item 1.1 is a Region 1 issue.  Any changes made to the Radio Regulations under WRC-19 Agenda Item 1.1 must not impact the existing allocation to the amateur service in 50 – 54 MHz in Region 2, nor subject Region 2 to any changed procedural or regulatory provisions</w:t>
      </w:r>
    </w:p>
    <w:p w:rsidR="0052205C" w:rsidRPr="00E04AAA" w:rsidRDefault="0052205C" w:rsidP="0052205C">
      <w:pPr>
        <w:pStyle w:val="ECCBreak"/>
        <w:rPr>
          <w:lang w:val="en-US"/>
        </w:rPr>
      </w:pPr>
      <w:r w:rsidRPr="00235592">
        <w:rPr>
          <w:lang w:val="en-GB"/>
        </w:rPr>
        <w:t>RCC (</w:t>
      </w:r>
      <w:r w:rsidR="00D62BFC">
        <w:rPr>
          <w:lang w:val="en-GB"/>
        </w:rPr>
        <w:t>20 November</w:t>
      </w:r>
      <w:r w:rsidR="0041479A">
        <w:rPr>
          <w:lang w:val="en-GB"/>
        </w:rPr>
        <w:t xml:space="preserve"> 2017</w:t>
      </w:r>
      <w:r w:rsidRPr="00235592">
        <w:rPr>
          <w:lang w:val="en-GB"/>
        </w:rPr>
        <w:t>)</w:t>
      </w:r>
    </w:p>
    <w:p w:rsidR="0041479A" w:rsidRPr="006A212A" w:rsidRDefault="0041479A" w:rsidP="006A212A">
      <w:r w:rsidRPr="006A212A">
        <w:t>The RCC Administrations consider that during studies on possible allocation of the frequency band 50-54 MHz to the amateur service in Region 1, spectrum requirements for the amateur service shall be identified.</w:t>
      </w:r>
    </w:p>
    <w:p w:rsidR="0041479A" w:rsidRPr="006A212A" w:rsidRDefault="0041479A" w:rsidP="006A212A">
      <w:r w:rsidRPr="006A212A">
        <w:t>The RCC Administrations consider that, when identifying technical and regulatory conditions for such allocation, protection shall be ensured to the broadcasting service to which this frequency band is allocated on a primary basis, including stations of the broadcasting service in the frequency band 50-54 MHz, regulated by Stockholm-61 and Geneva-89.</w:t>
      </w:r>
    </w:p>
    <w:p w:rsidR="003771D5" w:rsidRPr="00235592" w:rsidRDefault="003771D5" w:rsidP="00BD4E12">
      <w:pPr>
        <w:pStyle w:val="Heading2"/>
        <w:rPr>
          <w:lang w:val="en-GB"/>
        </w:rPr>
      </w:pPr>
      <w:r w:rsidRPr="00235592">
        <w:rPr>
          <w:lang w:val="en-GB"/>
        </w:rPr>
        <w:t>International organisations</w:t>
      </w:r>
    </w:p>
    <w:p w:rsidR="0052205C" w:rsidRDefault="0052205C" w:rsidP="0052205C">
      <w:pPr>
        <w:pStyle w:val="ECCBreak"/>
        <w:rPr>
          <w:lang w:val="en-GB"/>
        </w:rPr>
      </w:pPr>
      <w:r>
        <w:rPr>
          <w:lang w:val="en-GB"/>
        </w:rPr>
        <w:t>IARU</w:t>
      </w:r>
      <w:r w:rsidRPr="00235592">
        <w:rPr>
          <w:lang w:val="en-GB"/>
        </w:rPr>
        <w:t xml:space="preserve"> (</w:t>
      </w:r>
      <w:r w:rsidR="0043384A" w:rsidRPr="0079092F">
        <w:rPr>
          <w:lang w:val="en-US"/>
        </w:rPr>
        <w:t>April 2017</w:t>
      </w:r>
      <w:r w:rsidRPr="00235592">
        <w:rPr>
          <w:lang w:val="en-GB"/>
        </w:rPr>
        <w:t>)</w:t>
      </w:r>
      <w:r w:rsidR="00550915">
        <w:rPr>
          <w:lang w:val="en-GB"/>
        </w:rPr>
        <w:t xml:space="preserve"> </w:t>
      </w:r>
      <w:r w:rsidR="005D3559" w:rsidRPr="005D3559">
        <w:rPr>
          <w:lang w:val="en-US"/>
        </w:rPr>
        <w:t>and EURAO (2 September 2017)</w:t>
      </w:r>
    </w:p>
    <w:p w:rsidR="002830B7" w:rsidRDefault="0052205C" w:rsidP="009E34E7">
      <w:r w:rsidRPr="00927211">
        <w:rPr>
          <w:rStyle w:val="ECCParagraph"/>
        </w:rPr>
        <w:t>The IARU</w:t>
      </w:r>
      <w:r w:rsidR="005D3559">
        <w:rPr>
          <w:rStyle w:val="ECCParagraph"/>
        </w:rPr>
        <w:t xml:space="preserve"> and EURAO</w:t>
      </w:r>
      <w:r w:rsidRPr="00927211">
        <w:rPr>
          <w:rStyle w:val="ECCParagraph"/>
        </w:rPr>
        <w:t xml:space="preserve"> support modification of the Table of Frequency Allocations to allocate the band 50-54 MHz to the Amateur Service on a primary basis in Region 1</w:t>
      </w:r>
      <w:r w:rsidR="0043384A">
        <w:rPr>
          <w:rStyle w:val="ECCParagraph"/>
        </w:rPr>
        <w:t xml:space="preserve"> </w:t>
      </w:r>
      <w:r w:rsidR="0043384A" w:rsidRPr="006A212A">
        <w:t>and so provide a harmonized allocation across all three Regions</w:t>
      </w:r>
      <w:r w:rsidRPr="00927211">
        <w:rPr>
          <w:rStyle w:val="ECCParagraph"/>
        </w:rPr>
        <w:t>.</w:t>
      </w:r>
    </w:p>
    <w:p w:rsidR="006476ED" w:rsidRPr="005015E0" w:rsidRDefault="003771D5" w:rsidP="006E7AD7">
      <w:pPr>
        <w:rPr>
          <w:rStyle w:val="ECCParagraph"/>
          <w:b/>
        </w:rPr>
      </w:pPr>
      <w:r w:rsidRPr="005015E0">
        <w:rPr>
          <w:b/>
        </w:rPr>
        <w:t>IATA (date of proposal)</w:t>
      </w:r>
    </w:p>
    <w:p w:rsidR="003771D5" w:rsidRDefault="003771D5" w:rsidP="004706E2">
      <w:pPr>
        <w:pStyle w:val="ECCBreak"/>
        <w:rPr>
          <w:lang w:val="en-GB"/>
        </w:rPr>
      </w:pPr>
      <w:r w:rsidRPr="00235592">
        <w:rPr>
          <w:lang w:val="en-GB"/>
        </w:rPr>
        <w:t>ICAO (</w:t>
      </w:r>
      <w:r w:rsidR="00D62BFC">
        <w:rPr>
          <w:lang w:val="en-GB"/>
        </w:rPr>
        <w:t>November 2017</w:t>
      </w:r>
      <w:r w:rsidRPr="00235592">
        <w:rPr>
          <w:lang w:val="en-GB"/>
        </w:rPr>
        <w:t>)</w:t>
      </w:r>
    </w:p>
    <w:p w:rsidR="00D62BFC" w:rsidRPr="00D81847" w:rsidRDefault="00D62BFC" w:rsidP="00D62BFC">
      <w:pPr>
        <w:rPr>
          <w:rStyle w:val="ECCParagraph"/>
        </w:rPr>
      </w:pPr>
      <w:r w:rsidRPr="00D81847">
        <w:rPr>
          <w:rStyle w:val="ECCParagraph"/>
        </w:rPr>
        <w:t xml:space="preserve">No impact on aeronautical services has been identified from WRC-19 Agenda Items 1.1 </w:t>
      </w:r>
    </w:p>
    <w:p w:rsidR="00D62BFC" w:rsidRPr="00D62BFC" w:rsidRDefault="00D62BFC" w:rsidP="00D62BFC"/>
    <w:p w:rsidR="003771D5" w:rsidRDefault="003771D5" w:rsidP="004706E2">
      <w:pPr>
        <w:pStyle w:val="ECCBreak"/>
        <w:rPr>
          <w:lang w:val="en-GB"/>
        </w:rPr>
      </w:pPr>
      <w:r w:rsidRPr="00235592">
        <w:rPr>
          <w:lang w:val="en-GB"/>
        </w:rPr>
        <w:lastRenderedPageBreak/>
        <w:t>IMO (date of proposal)</w:t>
      </w:r>
    </w:p>
    <w:p w:rsidR="00EA7E24" w:rsidRDefault="00EA7E24" w:rsidP="00EA7E24">
      <w:r w:rsidRPr="00864F69">
        <w:rPr>
          <w:b/>
        </w:rPr>
        <w:t xml:space="preserve">NATO </w:t>
      </w:r>
      <w:r w:rsidR="00864F69" w:rsidRPr="00864F69">
        <w:rPr>
          <w:b/>
        </w:rPr>
        <w:t>(</w:t>
      </w:r>
      <w:r w:rsidR="00824A42">
        <w:rPr>
          <w:b/>
        </w:rPr>
        <w:t>20 December</w:t>
      </w:r>
      <w:r w:rsidRPr="00864F69">
        <w:rPr>
          <w:b/>
        </w:rPr>
        <w:t xml:space="preserve"> 2017</w:t>
      </w:r>
      <w:r w:rsidR="00864F69" w:rsidRPr="00864F69">
        <w:rPr>
          <w:b/>
        </w:rPr>
        <w:t>)</w:t>
      </w:r>
    </w:p>
    <w:p w:rsidR="00864F69" w:rsidRDefault="00824A42" w:rsidP="00864F69">
      <w:pPr>
        <w:rPr>
          <w:bCs/>
          <w:lang w:val="en-US"/>
        </w:rPr>
      </w:pPr>
      <w:r w:rsidRPr="002B22CC">
        <w:t>NATO Military Assessment </w:t>
      </w:r>
      <w:r w:rsidRPr="006A212A" w:rsidDel="00824A42">
        <w:t xml:space="preserve"> </w:t>
      </w:r>
      <w:r w:rsidR="00864F69" w:rsidRPr="00864F69">
        <w:rPr>
          <w:bCs/>
          <w:lang w:val="en-US"/>
        </w:rPr>
        <w:t xml:space="preserve">The whole range 30.005 - 87.5 MHz is essential for NATO </w:t>
      </w:r>
      <w:r w:rsidR="00864F69">
        <w:rPr>
          <w:bCs/>
          <w:lang w:val="en-US"/>
        </w:rPr>
        <w:t>military tactical communication. A</w:t>
      </w:r>
      <w:r w:rsidR="00864F69" w:rsidRPr="00864F69">
        <w:rPr>
          <w:bCs/>
          <w:lang w:val="en-US"/>
        </w:rPr>
        <w:t xml:space="preserve"> diminished access to the whole band would reduce the ability to fulfill combined missions</w:t>
      </w:r>
      <w:r w:rsidR="00864F69">
        <w:rPr>
          <w:bCs/>
          <w:lang w:val="en-US"/>
        </w:rPr>
        <w:t>.</w:t>
      </w:r>
    </w:p>
    <w:p w:rsidR="00824A42" w:rsidRDefault="00824A42" w:rsidP="00824A42">
      <w:r w:rsidRPr="002B22CC">
        <w:t>NATO Position </w:t>
      </w:r>
    </w:p>
    <w:p w:rsidR="00824A42" w:rsidRPr="00824A42" w:rsidRDefault="00824A42" w:rsidP="00824A42">
      <w:r w:rsidRPr="002B22CC">
        <w:t>An allocation within the frequency range 50 - 54 MHz (or part of it) to the amateur service in Region 1 could only be considered when studies of amateur spectrum needs in Region 1 are completed and if studies provide the conditions for the amateur service that ensure that the military systems operated under the mobile service are protected. </w:t>
      </w:r>
    </w:p>
    <w:p w:rsidR="00824A42" w:rsidRPr="00864F69" w:rsidRDefault="00824A42" w:rsidP="00864F69"/>
    <w:p w:rsidR="003771D5" w:rsidRPr="00235592" w:rsidRDefault="003771D5" w:rsidP="004706E2">
      <w:pPr>
        <w:pStyle w:val="ECCBreak"/>
        <w:rPr>
          <w:rStyle w:val="ECCParagraph"/>
        </w:rPr>
      </w:pPr>
      <w:r w:rsidRPr="00235592">
        <w:rPr>
          <w:lang w:val="en-GB"/>
        </w:rPr>
        <w:t>SFCG (date of proposal)</w:t>
      </w:r>
    </w:p>
    <w:p w:rsidR="00F35DC6" w:rsidRDefault="0052205C" w:rsidP="00F35DC6">
      <w:pPr>
        <w:pStyle w:val="ECCBreak"/>
        <w:rPr>
          <w:lang w:val="en-GB"/>
        </w:rPr>
      </w:pPr>
      <w:r w:rsidRPr="00235592">
        <w:rPr>
          <w:lang w:val="en-GB"/>
        </w:rPr>
        <w:t xml:space="preserve">WMO and EUMETNET </w:t>
      </w:r>
      <w:r w:rsidR="00F35DC6" w:rsidRPr="00235592">
        <w:rPr>
          <w:lang w:val="en-GB"/>
        </w:rPr>
        <w:t>(</w:t>
      </w:r>
      <w:r w:rsidR="000B5EF6">
        <w:rPr>
          <w:lang w:val="en-GB"/>
        </w:rPr>
        <w:t>27 October</w:t>
      </w:r>
      <w:r w:rsidR="00F35DC6">
        <w:rPr>
          <w:lang w:val="en-GB"/>
        </w:rPr>
        <w:t xml:space="preserve"> 2017</w:t>
      </w:r>
      <w:r w:rsidR="00F35DC6" w:rsidRPr="00235592">
        <w:rPr>
          <w:lang w:val="en-GB"/>
        </w:rPr>
        <w:t>)</w:t>
      </w:r>
    </w:p>
    <w:p w:rsidR="00F35DC6" w:rsidRPr="00A746D2" w:rsidRDefault="00F35DC6" w:rsidP="00F35DC6">
      <w:r w:rsidRPr="00A746D2">
        <w:t xml:space="preserve">WMO </w:t>
      </w:r>
      <w:r>
        <w:t>does</w:t>
      </w:r>
      <w:r w:rsidRPr="00A746D2">
        <w:t xml:space="preserve"> not </w:t>
      </w:r>
      <w:r>
        <w:t>oppose</w:t>
      </w:r>
      <w:r w:rsidRPr="00A746D2">
        <w:t xml:space="preserve"> an allocation to amateur service in the 50-54 MHz provided that:</w:t>
      </w:r>
    </w:p>
    <w:p w:rsidR="00F35DC6" w:rsidRPr="00A746D2" w:rsidRDefault="00F35DC6" w:rsidP="003D2E8E">
      <w:pPr>
        <w:pStyle w:val="ECCBulletsLv1"/>
      </w:pPr>
      <w:r w:rsidRPr="00A746D2">
        <w:t>appropriate protection of radiolocation service allocated by RR No 5.162A is ensured and</w:t>
      </w:r>
    </w:p>
    <w:p w:rsidR="00F35DC6" w:rsidRPr="00A746D2" w:rsidRDefault="00F35DC6" w:rsidP="003D2E8E">
      <w:pPr>
        <w:pStyle w:val="ECCBulletsLv1"/>
      </w:pPr>
      <w:r w:rsidRPr="00A746D2">
        <w:t xml:space="preserve">the </w:t>
      </w:r>
      <w:r>
        <w:t xml:space="preserve">status of the </w:t>
      </w:r>
      <w:r w:rsidRPr="00A746D2">
        <w:t>new allocation to amateur service</w:t>
      </w:r>
      <w:r>
        <w:t xml:space="preserve"> provides the radiolocation service equality or precedence relative to the amateur service.</w:t>
      </w:r>
    </w:p>
    <w:p w:rsidR="00F35DC6" w:rsidRDefault="00F35DC6" w:rsidP="00F35DC6">
      <w:r w:rsidRPr="00A746D2">
        <w:t>WMO opposes any new allocation to amateur-satellite service in this frequency band</w:t>
      </w:r>
    </w:p>
    <w:p w:rsidR="003771D5" w:rsidRPr="00235592" w:rsidRDefault="003771D5" w:rsidP="00BD4E12">
      <w:pPr>
        <w:pStyle w:val="Heading2"/>
        <w:rPr>
          <w:lang w:val="en-GB"/>
        </w:rPr>
      </w:pPr>
      <w:r w:rsidRPr="00235592">
        <w:rPr>
          <w:lang w:val="en-GB"/>
        </w:rPr>
        <w:t>Regional organisations</w:t>
      </w:r>
    </w:p>
    <w:p w:rsidR="003771D5" w:rsidRDefault="003771D5" w:rsidP="004706E2">
      <w:pPr>
        <w:pStyle w:val="ECCBreak"/>
      </w:pPr>
      <w:r w:rsidRPr="00235592">
        <w:rPr>
          <w:lang w:val="en-GB"/>
        </w:rPr>
        <w:t>ESA (date of proposal)</w:t>
      </w:r>
    </w:p>
    <w:p w:rsidR="0022257C" w:rsidRPr="0022257C" w:rsidRDefault="0022257C" w:rsidP="0022257C"/>
    <w:p w:rsidR="003771D5" w:rsidRDefault="003771D5" w:rsidP="004706E2">
      <w:pPr>
        <w:pStyle w:val="ECCBreak"/>
      </w:pPr>
      <w:r w:rsidRPr="00235592">
        <w:rPr>
          <w:lang w:val="en-GB"/>
        </w:rPr>
        <w:t>Eurocontrol (date of proposal)</w:t>
      </w:r>
    </w:p>
    <w:p w:rsidR="0022257C" w:rsidRPr="0022257C" w:rsidRDefault="0022257C" w:rsidP="0022257C"/>
    <w:p w:rsidR="003771D5" w:rsidRPr="00235592" w:rsidRDefault="003771D5" w:rsidP="00BD4E12">
      <w:pPr>
        <w:pStyle w:val="Heading2"/>
        <w:rPr>
          <w:lang w:val="en-GB"/>
        </w:rPr>
      </w:pPr>
      <w:r w:rsidRPr="00235592">
        <w:rPr>
          <w:lang w:val="en-GB"/>
        </w:rPr>
        <w:t>OTHER INTERNATIONAL AND REGIONAL ORGANISATIONS</w:t>
      </w:r>
    </w:p>
    <w:p w:rsidR="00F35DC6" w:rsidRDefault="003771D5" w:rsidP="00F35DC6">
      <w:pPr>
        <w:pStyle w:val="ECCBreak"/>
        <w:rPr>
          <w:lang w:val="en-GB"/>
        </w:rPr>
      </w:pPr>
      <w:r w:rsidRPr="00235592">
        <w:rPr>
          <w:lang w:val="en-GB"/>
        </w:rPr>
        <w:t xml:space="preserve">EBU </w:t>
      </w:r>
      <w:r w:rsidR="00F35DC6" w:rsidRPr="00235592">
        <w:rPr>
          <w:lang w:val="en-GB"/>
        </w:rPr>
        <w:t>(</w:t>
      </w:r>
      <w:r w:rsidR="00F35DC6">
        <w:rPr>
          <w:lang w:val="en-GB"/>
        </w:rPr>
        <w:t>9 March 2017</w:t>
      </w:r>
      <w:r w:rsidR="00F35DC6" w:rsidRPr="00235592">
        <w:rPr>
          <w:lang w:val="en-GB"/>
        </w:rPr>
        <w:t>)</w:t>
      </w:r>
    </w:p>
    <w:p w:rsidR="00F35DC6" w:rsidRPr="00BB163B" w:rsidRDefault="00F35DC6" w:rsidP="00F35DC6">
      <w:r w:rsidRPr="00BB163B">
        <w:t xml:space="preserve">The EBU notes that the Stockholm 1961 Regional Agreement (Rev. Geneva 2006) still applies in the 50-54 MHz band. </w:t>
      </w:r>
    </w:p>
    <w:p w:rsidR="00F35DC6" w:rsidRPr="00BB163B" w:rsidRDefault="00F35DC6" w:rsidP="00F35DC6">
      <w:r w:rsidRPr="00BB163B">
        <w:t>This Agreement regulates the use of VHF bands for the broadcasting service by the countries of the European Broadcasting Area which covers almost all CEPT member states.</w:t>
      </w:r>
    </w:p>
    <w:p w:rsidR="00F35DC6" w:rsidRPr="00BB163B" w:rsidRDefault="00F35DC6" w:rsidP="00F35DC6">
      <w:r w:rsidRPr="00BB163B">
        <w:t>Many administrations in this area still have broadcasting assignments registered in the ST61 Plan or in the BR IFIC, and the provisions of the Agreement regarding protection of those assignments need to be respected, unless agreed otherwise by the administrations concerned.</w:t>
      </w:r>
    </w:p>
    <w:p w:rsidR="00F35DC6" w:rsidRPr="00BB163B" w:rsidRDefault="00F35DC6" w:rsidP="00F35DC6">
      <w:r w:rsidRPr="00BB163B">
        <w:t>As recorded by footnote ECA3 in the ECA Table: CEPT administrations are urged to take all practical steps to clear the band 47-68 MHz of assignments to the broadcasting service. The broadcasting assignments according to Stockholm Agreement 1961 shall be protected.</w:t>
      </w:r>
    </w:p>
    <w:p w:rsidR="00F35DC6" w:rsidRPr="00BB163B" w:rsidRDefault="00F35DC6" w:rsidP="00F35DC6">
      <w:r w:rsidRPr="00BB163B">
        <w:lastRenderedPageBreak/>
        <w:t>EBU also notes footnote ECA36 in the ECA Table: A frequency band, which has been harmonised by NATO and NATO member nations for military use as defined in the NATO Joint Civil/Military Frequency Agreement (NJFA) 2014. Note: A public version of the NJFA 2014 is expected to be provided by NATO to ECO by the end of 2016.</w:t>
      </w:r>
    </w:p>
    <w:p w:rsidR="003A68D5" w:rsidRPr="00246403" w:rsidRDefault="003771D5" w:rsidP="004706E2">
      <w:pPr>
        <w:pStyle w:val="ECCBreak"/>
        <w:rPr>
          <w:lang w:val="en-US"/>
        </w:rPr>
      </w:pPr>
      <w:r w:rsidRPr="00235592">
        <w:rPr>
          <w:lang w:val="en-GB"/>
        </w:rPr>
        <w:t>GSMA (date of proposal)</w:t>
      </w:r>
    </w:p>
    <w:p w:rsidR="0022257C" w:rsidRPr="0022257C" w:rsidRDefault="0022257C" w:rsidP="0022257C"/>
    <w:p w:rsidR="00F35DC6" w:rsidRDefault="0052205C" w:rsidP="00F35DC6">
      <w:pPr>
        <w:pStyle w:val="ECCBreak"/>
        <w:rPr>
          <w:lang w:val="en-GB"/>
        </w:rPr>
      </w:pPr>
      <w:r w:rsidRPr="00235592">
        <w:rPr>
          <w:lang w:val="en-GB"/>
        </w:rPr>
        <w:t xml:space="preserve">CRAF </w:t>
      </w:r>
      <w:r w:rsidR="00F35DC6" w:rsidRPr="00235592">
        <w:rPr>
          <w:lang w:val="en-GB"/>
        </w:rPr>
        <w:t>(</w:t>
      </w:r>
      <w:r w:rsidR="00864F69">
        <w:rPr>
          <w:lang w:val="en-GB"/>
        </w:rPr>
        <w:t>27 June</w:t>
      </w:r>
      <w:r w:rsidR="00F35DC6">
        <w:rPr>
          <w:lang w:val="en-GB"/>
        </w:rPr>
        <w:t xml:space="preserve"> 2017</w:t>
      </w:r>
      <w:r w:rsidR="00F35DC6" w:rsidRPr="00235592">
        <w:rPr>
          <w:lang w:val="en-GB"/>
        </w:rPr>
        <w:t>)</w:t>
      </w:r>
    </w:p>
    <w:p w:rsidR="00864F69" w:rsidRPr="00F122FC" w:rsidRDefault="00864F69" w:rsidP="00F122FC">
      <w:r w:rsidRPr="00F122FC">
        <w:t>The band 50-54 MHz is used by several radio telescopes around the world, in particular for the monitoring of solar activity. In region 1, major facilities such as LOFAR, the Decameter Array in Nancay, and other solar monitoring stations in Europe and Russia make use of that band on a daily basis. Resolution 657 (WRC-15) invites ITU-R to document for WRC-19 the technical and operational characteristics of space weather sensors, to determine for WRC-19 the appropriate radio service designations for space weather sensors, to conduct for WRC-23 the necessary sharing studies for incumbent systems operating in frequency bands used by space weather sensors, with the objective of determining regulatory protection that can be provided while not placing additional constraints on incumbent services. CRAF requests great care in allocating bands to active services, which may block the further development of space weather research.</w:t>
      </w:r>
    </w:p>
    <w:p w:rsidR="00F27062" w:rsidRPr="00235592" w:rsidRDefault="00F27062" w:rsidP="00F35DC6">
      <w:pPr>
        <w:pStyle w:val="ECCBreak"/>
        <w:rPr>
          <w:rStyle w:val="ECCParagraph"/>
        </w:rPr>
      </w:pPr>
    </w:p>
    <w:sectPr w:rsidR="00F27062"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5E" w:rsidRDefault="00DA015E" w:rsidP="00D0121B">
      <w:r>
        <w:separator/>
      </w:r>
    </w:p>
    <w:p w:rsidR="00DA015E" w:rsidRDefault="00DA015E"/>
    <w:p w:rsidR="00DA015E" w:rsidRDefault="00DA015E"/>
  </w:endnote>
  <w:endnote w:type="continuationSeparator" w:id="0">
    <w:p w:rsidR="00DA015E" w:rsidRDefault="00DA015E" w:rsidP="00D0121B">
      <w:r>
        <w:continuationSeparator/>
      </w:r>
    </w:p>
    <w:p w:rsidR="00DA015E" w:rsidRDefault="00DA015E"/>
    <w:p w:rsidR="00DA015E" w:rsidRDefault="00DA0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5E" w:rsidRPr="00C77ABB" w:rsidRDefault="00DA015E" w:rsidP="00C77ABB">
      <w:pPr>
        <w:pStyle w:val="FootnoteText"/>
      </w:pPr>
      <w:r w:rsidRPr="00C77ABB">
        <w:separator/>
      </w:r>
    </w:p>
  </w:footnote>
  <w:footnote w:type="continuationSeparator" w:id="0">
    <w:p w:rsidR="00DA015E" w:rsidRPr="00C77ABB" w:rsidRDefault="00DA015E"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Pr="00CF2EC7" w:rsidRDefault="00CB24EE" w:rsidP="003A68D5">
    <w:pPr>
      <w:pStyle w:val="ECCpageHeader"/>
      <w:rPr>
        <w:lang w:val="en-US"/>
      </w:rPr>
    </w:pPr>
    <w:r w:rsidRPr="00CF2EC7">
      <w:rPr>
        <w:lang w:val="en-US"/>
      </w:rPr>
      <w:t>D</w:t>
    </w:r>
    <w:r>
      <w:rPr>
        <w:lang w:val="en-US"/>
      </w:rPr>
      <w:t>raft CEPT Brief on AI 1.1</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B50924">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rsidP="003A68D5">
    <w:pPr>
      <w:pStyle w:val="ECCpageHeader"/>
    </w:pPr>
  </w:p>
  <w:p w:rsidR="00CB24EE" w:rsidRPr="00CF2EC7" w:rsidRDefault="00CB24EE" w:rsidP="003A68D5">
    <w:pPr>
      <w:pStyle w:val="ECCpageHeader"/>
      <w:rPr>
        <w:lang w:val="en-US"/>
      </w:rPr>
    </w:pPr>
    <w:r>
      <w:tab/>
    </w:r>
    <w:r>
      <w:tab/>
    </w:r>
    <w:r>
      <w:rPr>
        <w:lang w:val="en-US"/>
      </w:rPr>
      <w:t>Draft CEPT Brief on AI 1.1</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B50924">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rsidP="003A68D5">
    <w:pPr>
      <w:pStyle w:val="ECCpageHeader"/>
    </w:pPr>
    <w:r w:rsidRPr="008742E3">
      <w:rPr>
        <w:noProof/>
        <w:lang w:val="en-US"/>
      </w:rPr>
      <w:drawing>
        <wp:inline distT="0" distB="0" distL="0" distR="0" wp14:anchorId="0BABBC65" wp14:editId="56672C48">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4F1AABD5" wp14:editId="4D3EF6E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CB24EE" w:rsidRPr="005611D0" w:rsidRDefault="00CB24EE"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21304E"/>
    <w:multiLevelType w:val="hybridMultilevel"/>
    <w:tmpl w:val="A3DCD924"/>
    <w:lvl w:ilvl="0" w:tplc="C8EA4734">
      <w:start w:val="1"/>
      <w:numFmt w:val="bullet"/>
      <w:lvlText w:val="o"/>
      <w:lvlJc w:val="left"/>
      <w:pPr>
        <w:tabs>
          <w:tab w:val="num" w:pos="360"/>
        </w:tabs>
        <w:ind w:left="360" w:hanging="360"/>
      </w:pPr>
      <w:rPr>
        <w:rFonts w:ascii="Courier New" w:hAnsi="Courier New" w:hint="default"/>
      </w:rPr>
    </w:lvl>
    <w:lvl w:ilvl="1" w:tplc="EAD2047C">
      <w:start w:val="1"/>
      <w:numFmt w:val="bullet"/>
      <w:lvlText w:val="o"/>
      <w:lvlJc w:val="left"/>
      <w:pPr>
        <w:tabs>
          <w:tab w:val="num" w:pos="1080"/>
        </w:tabs>
        <w:ind w:left="1080" w:hanging="360"/>
      </w:pPr>
      <w:rPr>
        <w:rFonts w:ascii="Courier New" w:hAnsi="Courier New" w:hint="default"/>
      </w:rPr>
    </w:lvl>
    <w:lvl w:ilvl="2" w:tplc="4468D6A8" w:tentative="1">
      <w:start w:val="1"/>
      <w:numFmt w:val="bullet"/>
      <w:lvlText w:val="o"/>
      <w:lvlJc w:val="left"/>
      <w:pPr>
        <w:tabs>
          <w:tab w:val="num" w:pos="1800"/>
        </w:tabs>
        <w:ind w:left="1800" w:hanging="360"/>
      </w:pPr>
      <w:rPr>
        <w:rFonts w:ascii="Courier New" w:hAnsi="Courier New" w:hint="default"/>
      </w:rPr>
    </w:lvl>
    <w:lvl w:ilvl="3" w:tplc="AC70DF96" w:tentative="1">
      <w:start w:val="1"/>
      <w:numFmt w:val="bullet"/>
      <w:lvlText w:val="o"/>
      <w:lvlJc w:val="left"/>
      <w:pPr>
        <w:tabs>
          <w:tab w:val="num" w:pos="2520"/>
        </w:tabs>
        <w:ind w:left="2520" w:hanging="360"/>
      </w:pPr>
      <w:rPr>
        <w:rFonts w:ascii="Courier New" w:hAnsi="Courier New" w:hint="default"/>
      </w:rPr>
    </w:lvl>
    <w:lvl w:ilvl="4" w:tplc="135E6666" w:tentative="1">
      <w:start w:val="1"/>
      <w:numFmt w:val="bullet"/>
      <w:lvlText w:val="o"/>
      <w:lvlJc w:val="left"/>
      <w:pPr>
        <w:tabs>
          <w:tab w:val="num" w:pos="3240"/>
        </w:tabs>
        <w:ind w:left="3240" w:hanging="360"/>
      </w:pPr>
      <w:rPr>
        <w:rFonts w:ascii="Courier New" w:hAnsi="Courier New" w:hint="default"/>
      </w:rPr>
    </w:lvl>
    <w:lvl w:ilvl="5" w:tplc="E266EDD6" w:tentative="1">
      <w:start w:val="1"/>
      <w:numFmt w:val="bullet"/>
      <w:lvlText w:val="o"/>
      <w:lvlJc w:val="left"/>
      <w:pPr>
        <w:tabs>
          <w:tab w:val="num" w:pos="3960"/>
        </w:tabs>
        <w:ind w:left="3960" w:hanging="360"/>
      </w:pPr>
      <w:rPr>
        <w:rFonts w:ascii="Courier New" w:hAnsi="Courier New" w:hint="default"/>
      </w:rPr>
    </w:lvl>
    <w:lvl w:ilvl="6" w:tplc="D3C24CC6" w:tentative="1">
      <w:start w:val="1"/>
      <w:numFmt w:val="bullet"/>
      <w:lvlText w:val="o"/>
      <w:lvlJc w:val="left"/>
      <w:pPr>
        <w:tabs>
          <w:tab w:val="num" w:pos="4680"/>
        </w:tabs>
        <w:ind w:left="4680" w:hanging="360"/>
      </w:pPr>
      <w:rPr>
        <w:rFonts w:ascii="Courier New" w:hAnsi="Courier New" w:hint="default"/>
      </w:rPr>
    </w:lvl>
    <w:lvl w:ilvl="7" w:tplc="AC2CB788" w:tentative="1">
      <w:start w:val="1"/>
      <w:numFmt w:val="bullet"/>
      <w:lvlText w:val="o"/>
      <w:lvlJc w:val="left"/>
      <w:pPr>
        <w:tabs>
          <w:tab w:val="num" w:pos="5400"/>
        </w:tabs>
        <w:ind w:left="5400" w:hanging="360"/>
      </w:pPr>
      <w:rPr>
        <w:rFonts w:ascii="Courier New" w:hAnsi="Courier New" w:hint="default"/>
      </w:rPr>
    </w:lvl>
    <w:lvl w:ilvl="8" w:tplc="760AD930" w:tentative="1">
      <w:start w:val="1"/>
      <w:numFmt w:val="bullet"/>
      <w:lvlText w:val="o"/>
      <w:lvlJc w:val="left"/>
      <w:pPr>
        <w:tabs>
          <w:tab w:val="num" w:pos="6120"/>
        </w:tabs>
        <w:ind w:left="6120" w:hanging="360"/>
      </w:pPr>
      <w:rPr>
        <w:rFonts w:ascii="Courier New" w:hAnsi="Courier New"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A226E8"/>
    <w:multiLevelType w:val="hybridMultilevel"/>
    <w:tmpl w:val="07BC0810"/>
    <w:lvl w:ilvl="0" w:tplc="197E631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6A125D"/>
    <w:multiLevelType w:val="multilevel"/>
    <w:tmpl w:val="638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nsid w:val="3C3C7FAE"/>
    <w:multiLevelType w:val="multilevel"/>
    <w:tmpl w:val="1B66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FA1BF6"/>
    <w:multiLevelType w:val="hybridMultilevel"/>
    <w:tmpl w:val="AB46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23"/>
  </w:num>
  <w:num w:numId="5">
    <w:abstractNumId w:val="18"/>
  </w:num>
  <w:num w:numId="6">
    <w:abstractNumId w:val="21"/>
  </w:num>
  <w:num w:numId="7">
    <w:abstractNumId w:val="2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7"/>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7"/>
  </w:num>
  <w:num w:numId="30">
    <w:abstractNumId w:val="20"/>
  </w:num>
  <w:num w:numId="31">
    <w:abstractNumId w:val="23"/>
  </w:num>
  <w:num w:numId="32">
    <w:abstractNumId w:val="18"/>
  </w:num>
  <w:num w:numId="33">
    <w:abstractNumId w:val="21"/>
  </w:num>
  <w:num w:numId="34">
    <w:abstractNumId w:val="20"/>
  </w:num>
  <w:num w:numId="35">
    <w:abstractNumId w:val="20"/>
  </w:num>
  <w:num w:numId="36">
    <w:abstractNumId w:val="20"/>
  </w:num>
  <w:num w:numId="37">
    <w:abstractNumId w:val="10"/>
  </w:num>
  <w:num w:numId="38">
    <w:abstractNumId w:val="21"/>
  </w:num>
  <w:num w:numId="39">
    <w:abstractNumId w:val="22"/>
  </w:num>
  <w:num w:numId="40">
    <w:abstractNumId w:val="15"/>
  </w:num>
  <w:num w:numId="41">
    <w:abstractNumId w:val="12"/>
  </w:num>
  <w:num w:numId="42">
    <w:abstractNumId w:val="16"/>
  </w:num>
  <w:num w:numId="43">
    <w:abstractNumId w:val="19"/>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 Blondeel Timmerman">
    <w15:presenceInfo w15:providerId="Windows Live" w15:userId="01173f017a100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8F"/>
    <w:rsid w:val="00000977"/>
    <w:rsid w:val="00000B2B"/>
    <w:rsid w:val="00003A95"/>
    <w:rsid w:val="00011F7F"/>
    <w:rsid w:val="000200D3"/>
    <w:rsid w:val="00032625"/>
    <w:rsid w:val="00041A18"/>
    <w:rsid w:val="00043F96"/>
    <w:rsid w:val="00052CAE"/>
    <w:rsid w:val="00061114"/>
    <w:rsid w:val="000611F2"/>
    <w:rsid w:val="00061762"/>
    <w:rsid w:val="00061E3A"/>
    <w:rsid w:val="00062CB1"/>
    <w:rsid w:val="000660F5"/>
    <w:rsid w:val="00067793"/>
    <w:rsid w:val="000701A5"/>
    <w:rsid w:val="0008072E"/>
    <w:rsid w:val="00080D4D"/>
    <w:rsid w:val="00082DD7"/>
    <w:rsid w:val="0008691C"/>
    <w:rsid w:val="00093ACA"/>
    <w:rsid w:val="00095620"/>
    <w:rsid w:val="00097D7A"/>
    <w:rsid w:val="000A198F"/>
    <w:rsid w:val="000A29BC"/>
    <w:rsid w:val="000A3940"/>
    <w:rsid w:val="000A6285"/>
    <w:rsid w:val="000B0056"/>
    <w:rsid w:val="000B2156"/>
    <w:rsid w:val="000B4F27"/>
    <w:rsid w:val="000B5026"/>
    <w:rsid w:val="000B5EF6"/>
    <w:rsid w:val="000C028F"/>
    <w:rsid w:val="000C0CC5"/>
    <w:rsid w:val="000C5CB6"/>
    <w:rsid w:val="000D1710"/>
    <w:rsid w:val="000D7A37"/>
    <w:rsid w:val="000E0E1F"/>
    <w:rsid w:val="000E42F5"/>
    <w:rsid w:val="000E4820"/>
    <w:rsid w:val="000E6204"/>
    <w:rsid w:val="000F0594"/>
    <w:rsid w:val="000F1620"/>
    <w:rsid w:val="000F24F5"/>
    <w:rsid w:val="000F3F0B"/>
    <w:rsid w:val="000F4131"/>
    <w:rsid w:val="000F528E"/>
    <w:rsid w:val="000F7DB4"/>
    <w:rsid w:val="001006CA"/>
    <w:rsid w:val="00100F8B"/>
    <w:rsid w:val="00120F7B"/>
    <w:rsid w:val="00133A93"/>
    <w:rsid w:val="001502EE"/>
    <w:rsid w:val="00150F77"/>
    <w:rsid w:val="001520B0"/>
    <w:rsid w:val="0017456E"/>
    <w:rsid w:val="00182E39"/>
    <w:rsid w:val="00183FE0"/>
    <w:rsid w:val="0018553F"/>
    <w:rsid w:val="00193535"/>
    <w:rsid w:val="001A1D83"/>
    <w:rsid w:val="001B1AD7"/>
    <w:rsid w:val="001B256A"/>
    <w:rsid w:val="001B5C81"/>
    <w:rsid w:val="001C22A0"/>
    <w:rsid w:val="001D15AA"/>
    <w:rsid w:val="001D334F"/>
    <w:rsid w:val="001D3B8F"/>
    <w:rsid w:val="001E69DF"/>
    <w:rsid w:val="001F182A"/>
    <w:rsid w:val="0020079A"/>
    <w:rsid w:val="0020250F"/>
    <w:rsid w:val="00220194"/>
    <w:rsid w:val="0022122D"/>
    <w:rsid w:val="0022257C"/>
    <w:rsid w:val="00226070"/>
    <w:rsid w:val="002263EA"/>
    <w:rsid w:val="002279D4"/>
    <w:rsid w:val="00235592"/>
    <w:rsid w:val="002363A0"/>
    <w:rsid w:val="00236978"/>
    <w:rsid w:val="00242D17"/>
    <w:rsid w:val="002456CC"/>
    <w:rsid w:val="00246403"/>
    <w:rsid w:val="00256939"/>
    <w:rsid w:val="002620A2"/>
    <w:rsid w:val="00266C78"/>
    <w:rsid w:val="00273354"/>
    <w:rsid w:val="00274F84"/>
    <w:rsid w:val="0027617C"/>
    <w:rsid w:val="0028060B"/>
    <w:rsid w:val="0028120C"/>
    <w:rsid w:val="00282865"/>
    <w:rsid w:val="002830B7"/>
    <w:rsid w:val="0029079C"/>
    <w:rsid w:val="00293920"/>
    <w:rsid w:val="0029428F"/>
    <w:rsid w:val="00295827"/>
    <w:rsid w:val="00295F16"/>
    <w:rsid w:val="00297C23"/>
    <w:rsid w:val="002B759E"/>
    <w:rsid w:val="002C57F8"/>
    <w:rsid w:val="002C5C63"/>
    <w:rsid w:val="002D1FA9"/>
    <w:rsid w:val="002D41B3"/>
    <w:rsid w:val="002D50A3"/>
    <w:rsid w:val="002D6680"/>
    <w:rsid w:val="002E05E5"/>
    <w:rsid w:val="002E0C40"/>
    <w:rsid w:val="002E1116"/>
    <w:rsid w:val="002E2494"/>
    <w:rsid w:val="002E4378"/>
    <w:rsid w:val="002E58D3"/>
    <w:rsid w:val="002E6224"/>
    <w:rsid w:val="002E786C"/>
    <w:rsid w:val="002F176C"/>
    <w:rsid w:val="002F1E6A"/>
    <w:rsid w:val="003031DA"/>
    <w:rsid w:val="003061BA"/>
    <w:rsid w:val="00307A79"/>
    <w:rsid w:val="00322E6A"/>
    <w:rsid w:val="003314A0"/>
    <w:rsid w:val="003419EF"/>
    <w:rsid w:val="0034387E"/>
    <w:rsid w:val="00350354"/>
    <w:rsid w:val="00351ADF"/>
    <w:rsid w:val="003605D4"/>
    <w:rsid w:val="00361E54"/>
    <w:rsid w:val="00362FE9"/>
    <w:rsid w:val="00370A0C"/>
    <w:rsid w:val="00374EF4"/>
    <w:rsid w:val="003771D5"/>
    <w:rsid w:val="00377B7C"/>
    <w:rsid w:val="0038358E"/>
    <w:rsid w:val="00391A01"/>
    <w:rsid w:val="003A5711"/>
    <w:rsid w:val="003A68D5"/>
    <w:rsid w:val="003B7070"/>
    <w:rsid w:val="003C4D56"/>
    <w:rsid w:val="003C64D9"/>
    <w:rsid w:val="003C7679"/>
    <w:rsid w:val="003D1D47"/>
    <w:rsid w:val="003D2E8E"/>
    <w:rsid w:val="003E16D9"/>
    <w:rsid w:val="003E43D5"/>
    <w:rsid w:val="003E70E0"/>
    <w:rsid w:val="003E77D6"/>
    <w:rsid w:val="003E7C8C"/>
    <w:rsid w:val="00401545"/>
    <w:rsid w:val="00402EEE"/>
    <w:rsid w:val="00403CE6"/>
    <w:rsid w:val="004074CC"/>
    <w:rsid w:val="004110CA"/>
    <w:rsid w:val="0041479A"/>
    <w:rsid w:val="004233A4"/>
    <w:rsid w:val="0042509E"/>
    <w:rsid w:val="0043384A"/>
    <w:rsid w:val="00435F28"/>
    <w:rsid w:val="00443482"/>
    <w:rsid w:val="00443912"/>
    <w:rsid w:val="00446E3E"/>
    <w:rsid w:val="00450308"/>
    <w:rsid w:val="00453CB5"/>
    <w:rsid w:val="00455780"/>
    <w:rsid w:val="0045701F"/>
    <w:rsid w:val="00457AD1"/>
    <w:rsid w:val="0046427F"/>
    <w:rsid w:val="00464629"/>
    <w:rsid w:val="004706E2"/>
    <w:rsid w:val="00470D4B"/>
    <w:rsid w:val="00473B1A"/>
    <w:rsid w:val="00473FE6"/>
    <w:rsid w:val="00474DC4"/>
    <w:rsid w:val="0048141E"/>
    <w:rsid w:val="00485307"/>
    <w:rsid w:val="00491977"/>
    <w:rsid w:val="00491DF7"/>
    <w:rsid w:val="0049491B"/>
    <w:rsid w:val="00495C20"/>
    <w:rsid w:val="004960DF"/>
    <w:rsid w:val="004A1329"/>
    <w:rsid w:val="004A511D"/>
    <w:rsid w:val="004A7125"/>
    <w:rsid w:val="004B4C6F"/>
    <w:rsid w:val="004C021D"/>
    <w:rsid w:val="004C4A2E"/>
    <w:rsid w:val="004D26B6"/>
    <w:rsid w:val="004D5EA3"/>
    <w:rsid w:val="004E068C"/>
    <w:rsid w:val="004E44C8"/>
    <w:rsid w:val="004E53BE"/>
    <w:rsid w:val="004F0B9F"/>
    <w:rsid w:val="004F16F4"/>
    <w:rsid w:val="004F3F81"/>
    <w:rsid w:val="004F6CA7"/>
    <w:rsid w:val="005015E0"/>
    <w:rsid w:val="005028D4"/>
    <w:rsid w:val="00511449"/>
    <w:rsid w:val="00511869"/>
    <w:rsid w:val="005210D6"/>
    <w:rsid w:val="0052205C"/>
    <w:rsid w:val="00525FCC"/>
    <w:rsid w:val="005332CA"/>
    <w:rsid w:val="00535050"/>
    <w:rsid w:val="00536F3C"/>
    <w:rsid w:val="0054260E"/>
    <w:rsid w:val="00550915"/>
    <w:rsid w:val="00550D79"/>
    <w:rsid w:val="005545D5"/>
    <w:rsid w:val="005559AC"/>
    <w:rsid w:val="00557B5A"/>
    <w:rsid w:val="00560D94"/>
    <w:rsid w:val="005611D0"/>
    <w:rsid w:val="00571A40"/>
    <w:rsid w:val="005736B2"/>
    <w:rsid w:val="0057797A"/>
    <w:rsid w:val="005817E4"/>
    <w:rsid w:val="00587C4C"/>
    <w:rsid w:val="00587FEC"/>
    <w:rsid w:val="0059156A"/>
    <w:rsid w:val="00593BDB"/>
    <w:rsid w:val="00594186"/>
    <w:rsid w:val="005A3C0F"/>
    <w:rsid w:val="005A53B8"/>
    <w:rsid w:val="005A6B26"/>
    <w:rsid w:val="005B12CB"/>
    <w:rsid w:val="005C10EB"/>
    <w:rsid w:val="005C60EA"/>
    <w:rsid w:val="005D2243"/>
    <w:rsid w:val="005D3559"/>
    <w:rsid w:val="005D371D"/>
    <w:rsid w:val="005D3C59"/>
    <w:rsid w:val="005E1DBD"/>
    <w:rsid w:val="005E283B"/>
    <w:rsid w:val="005E407D"/>
    <w:rsid w:val="005E6FBD"/>
    <w:rsid w:val="005E7495"/>
    <w:rsid w:val="006024FA"/>
    <w:rsid w:val="0061530B"/>
    <w:rsid w:val="0062058B"/>
    <w:rsid w:val="00621C12"/>
    <w:rsid w:val="00635A22"/>
    <w:rsid w:val="00642083"/>
    <w:rsid w:val="00642C4E"/>
    <w:rsid w:val="006476ED"/>
    <w:rsid w:val="00654D39"/>
    <w:rsid w:val="0065550D"/>
    <w:rsid w:val="00657F6B"/>
    <w:rsid w:val="00665364"/>
    <w:rsid w:val="006718EE"/>
    <w:rsid w:val="0068085F"/>
    <w:rsid w:val="006876A8"/>
    <w:rsid w:val="00687B43"/>
    <w:rsid w:val="00691FDA"/>
    <w:rsid w:val="006A212A"/>
    <w:rsid w:val="006A49E3"/>
    <w:rsid w:val="006B1EFD"/>
    <w:rsid w:val="006B4313"/>
    <w:rsid w:val="006C454C"/>
    <w:rsid w:val="006C5C1C"/>
    <w:rsid w:val="006C7A48"/>
    <w:rsid w:val="006D12E9"/>
    <w:rsid w:val="006D1CD9"/>
    <w:rsid w:val="006D7AF5"/>
    <w:rsid w:val="006E4888"/>
    <w:rsid w:val="006E52CE"/>
    <w:rsid w:val="006E66AD"/>
    <w:rsid w:val="006E7AD7"/>
    <w:rsid w:val="006F0442"/>
    <w:rsid w:val="00701881"/>
    <w:rsid w:val="007023A3"/>
    <w:rsid w:val="00703FC0"/>
    <w:rsid w:val="00714A5B"/>
    <w:rsid w:val="007160BE"/>
    <w:rsid w:val="00721539"/>
    <w:rsid w:val="00722F65"/>
    <w:rsid w:val="007239DC"/>
    <w:rsid w:val="00726836"/>
    <w:rsid w:val="00734A4F"/>
    <w:rsid w:val="00737882"/>
    <w:rsid w:val="00740919"/>
    <w:rsid w:val="0075498F"/>
    <w:rsid w:val="0076276A"/>
    <w:rsid w:val="00762BCC"/>
    <w:rsid w:val="00763BA3"/>
    <w:rsid w:val="00765B66"/>
    <w:rsid w:val="00767BB2"/>
    <w:rsid w:val="00780376"/>
    <w:rsid w:val="0079092F"/>
    <w:rsid w:val="00791AAC"/>
    <w:rsid w:val="0079410C"/>
    <w:rsid w:val="00795246"/>
    <w:rsid w:val="00797D4C"/>
    <w:rsid w:val="007B52C8"/>
    <w:rsid w:val="007C0E7E"/>
    <w:rsid w:val="007C5A3B"/>
    <w:rsid w:val="007D17C5"/>
    <w:rsid w:val="007D52EC"/>
    <w:rsid w:val="007E55E4"/>
    <w:rsid w:val="007E7E61"/>
    <w:rsid w:val="007E7F60"/>
    <w:rsid w:val="007F1CEE"/>
    <w:rsid w:val="00805159"/>
    <w:rsid w:val="008062AC"/>
    <w:rsid w:val="00814D9F"/>
    <w:rsid w:val="00815883"/>
    <w:rsid w:val="00817826"/>
    <w:rsid w:val="00824A42"/>
    <w:rsid w:val="0083598C"/>
    <w:rsid w:val="00837537"/>
    <w:rsid w:val="00853553"/>
    <w:rsid w:val="008556A7"/>
    <w:rsid w:val="0086094D"/>
    <w:rsid w:val="00862C3F"/>
    <w:rsid w:val="00864F69"/>
    <w:rsid w:val="00865A46"/>
    <w:rsid w:val="00867A05"/>
    <w:rsid w:val="00872382"/>
    <w:rsid w:val="008742E3"/>
    <w:rsid w:val="0088609B"/>
    <w:rsid w:val="00891A67"/>
    <w:rsid w:val="00895CE8"/>
    <w:rsid w:val="008A1315"/>
    <w:rsid w:val="008A38A9"/>
    <w:rsid w:val="008A54FC"/>
    <w:rsid w:val="008B70CD"/>
    <w:rsid w:val="008B7CE5"/>
    <w:rsid w:val="008D2A78"/>
    <w:rsid w:val="008D4B4C"/>
    <w:rsid w:val="008E1E81"/>
    <w:rsid w:val="008E3E91"/>
    <w:rsid w:val="008E6109"/>
    <w:rsid w:val="00905DAD"/>
    <w:rsid w:val="009170EA"/>
    <w:rsid w:val="00917D1C"/>
    <w:rsid w:val="0092076F"/>
    <w:rsid w:val="00927833"/>
    <w:rsid w:val="00930439"/>
    <w:rsid w:val="00930BDF"/>
    <w:rsid w:val="00937FE5"/>
    <w:rsid w:val="009434C3"/>
    <w:rsid w:val="00947A5A"/>
    <w:rsid w:val="00951659"/>
    <w:rsid w:val="00952B75"/>
    <w:rsid w:val="00956352"/>
    <w:rsid w:val="00963A50"/>
    <w:rsid w:val="00965D64"/>
    <w:rsid w:val="009734CF"/>
    <w:rsid w:val="009770CA"/>
    <w:rsid w:val="00986677"/>
    <w:rsid w:val="00986BEE"/>
    <w:rsid w:val="00986E19"/>
    <w:rsid w:val="009874A6"/>
    <w:rsid w:val="00991D9F"/>
    <w:rsid w:val="0099421C"/>
    <w:rsid w:val="009A1848"/>
    <w:rsid w:val="009A380F"/>
    <w:rsid w:val="009A598F"/>
    <w:rsid w:val="009B0A78"/>
    <w:rsid w:val="009B206B"/>
    <w:rsid w:val="009B2E18"/>
    <w:rsid w:val="009C4B47"/>
    <w:rsid w:val="009C7F82"/>
    <w:rsid w:val="009D3496"/>
    <w:rsid w:val="009D4BA1"/>
    <w:rsid w:val="009D7D5A"/>
    <w:rsid w:val="009E08D1"/>
    <w:rsid w:val="009E34E7"/>
    <w:rsid w:val="009E47EB"/>
    <w:rsid w:val="009E6DC3"/>
    <w:rsid w:val="009F0B56"/>
    <w:rsid w:val="009F3A37"/>
    <w:rsid w:val="009F6FF1"/>
    <w:rsid w:val="00A02090"/>
    <w:rsid w:val="00A04E3A"/>
    <w:rsid w:val="00A0656F"/>
    <w:rsid w:val="00A076B5"/>
    <w:rsid w:val="00A23870"/>
    <w:rsid w:val="00A27A4F"/>
    <w:rsid w:val="00A31525"/>
    <w:rsid w:val="00A43BD3"/>
    <w:rsid w:val="00A4622B"/>
    <w:rsid w:val="00A73298"/>
    <w:rsid w:val="00A94EA5"/>
    <w:rsid w:val="00A956AA"/>
    <w:rsid w:val="00A95ACB"/>
    <w:rsid w:val="00A95DD6"/>
    <w:rsid w:val="00A97942"/>
    <w:rsid w:val="00A979A7"/>
    <w:rsid w:val="00AA079B"/>
    <w:rsid w:val="00AA086A"/>
    <w:rsid w:val="00AB1C16"/>
    <w:rsid w:val="00AB2EA8"/>
    <w:rsid w:val="00AB2EC5"/>
    <w:rsid w:val="00AB34D0"/>
    <w:rsid w:val="00AB3C46"/>
    <w:rsid w:val="00AB64BD"/>
    <w:rsid w:val="00AD7257"/>
    <w:rsid w:val="00AE372A"/>
    <w:rsid w:val="00AF2D0C"/>
    <w:rsid w:val="00B2563E"/>
    <w:rsid w:val="00B279E4"/>
    <w:rsid w:val="00B303DF"/>
    <w:rsid w:val="00B3042F"/>
    <w:rsid w:val="00B30D3B"/>
    <w:rsid w:val="00B37D28"/>
    <w:rsid w:val="00B432D4"/>
    <w:rsid w:val="00B453ED"/>
    <w:rsid w:val="00B460E4"/>
    <w:rsid w:val="00B5011B"/>
    <w:rsid w:val="00B50924"/>
    <w:rsid w:val="00B576D7"/>
    <w:rsid w:val="00B63C12"/>
    <w:rsid w:val="00B80892"/>
    <w:rsid w:val="00B82735"/>
    <w:rsid w:val="00B843A1"/>
    <w:rsid w:val="00B85987"/>
    <w:rsid w:val="00B87E95"/>
    <w:rsid w:val="00B92861"/>
    <w:rsid w:val="00BA2E30"/>
    <w:rsid w:val="00BA524C"/>
    <w:rsid w:val="00BA7A69"/>
    <w:rsid w:val="00BB1128"/>
    <w:rsid w:val="00BB5CD5"/>
    <w:rsid w:val="00BB6A22"/>
    <w:rsid w:val="00BB6D34"/>
    <w:rsid w:val="00BC3CA5"/>
    <w:rsid w:val="00BC3F08"/>
    <w:rsid w:val="00BD28DF"/>
    <w:rsid w:val="00BD4E12"/>
    <w:rsid w:val="00BD7669"/>
    <w:rsid w:val="00BE002A"/>
    <w:rsid w:val="00BE2864"/>
    <w:rsid w:val="00BE3553"/>
    <w:rsid w:val="00BF3831"/>
    <w:rsid w:val="00C00727"/>
    <w:rsid w:val="00C0435E"/>
    <w:rsid w:val="00C0561A"/>
    <w:rsid w:val="00C076BF"/>
    <w:rsid w:val="00C10BD2"/>
    <w:rsid w:val="00C10C10"/>
    <w:rsid w:val="00C13F0D"/>
    <w:rsid w:val="00C20F3D"/>
    <w:rsid w:val="00C2367D"/>
    <w:rsid w:val="00C2667A"/>
    <w:rsid w:val="00C26932"/>
    <w:rsid w:val="00C27F02"/>
    <w:rsid w:val="00C30A5B"/>
    <w:rsid w:val="00C33A7C"/>
    <w:rsid w:val="00C44519"/>
    <w:rsid w:val="00C44CF0"/>
    <w:rsid w:val="00C504F4"/>
    <w:rsid w:val="00C53056"/>
    <w:rsid w:val="00C566F4"/>
    <w:rsid w:val="00C57E85"/>
    <w:rsid w:val="00C65BB4"/>
    <w:rsid w:val="00C76120"/>
    <w:rsid w:val="00C77ABB"/>
    <w:rsid w:val="00C8071C"/>
    <w:rsid w:val="00C816CB"/>
    <w:rsid w:val="00C8180E"/>
    <w:rsid w:val="00C82461"/>
    <w:rsid w:val="00C903FF"/>
    <w:rsid w:val="00CA07CC"/>
    <w:rsid w:val="00CA4FCE"/>
    <w:rsid w:val="00CA5F8F"/>
    <w:rsid w:val="00CA7C4D"/>
    <w:rsid w:val="00CB24EE"/>
    <w:rsid w:val="00CC3D45"/>
    <w:rsid w:val="00CC5A6F"/>
    <w:rsid w:val="00CE271A"/>
    <w:rsid w:val="00CE37BA"/>
    <w:rsid w:val="00CE6FF5"/>
    <w:rsid w:val="00CF2EC7"/>
    <w:rsid w:val="00CF5245"/>
    <w:rsid w:val="00D0121B"/>
    <w:rsid w:val="00D04BA8"/>
    <w:rsid w:val="00D06479"/>
    <w:rsid w:val="00D06CA9"/>
    <w:rsid w:val="00D076EE"/>
    <w:rsid w:val="00D07B1A"/>
    <w:rsid w:val="00D10D5D"/>
    <w:rsid w:val="00D12C05"/>
    <w:rsid w:val="00D24CD0"/>
    <w:rsid w:val="00D27B5D"/>
    <w:rsid w:val="00D30E46"/>
    <w:rsid w:val="00D3156F"/>
    <w:rsid w:val="00D36EC8"/>
    <w:rsid w:val="00D4466B"/>
    <w:rsid w:val="00D50AC8"/>
    <w:rsid w:val="00D53EEF"/>
    <w:rsid w:val="00D600F3"/>
    <w:rsid w:val="00D61E32"/>
    <w:rsid w:val="00D62BFC"/>
    <w:rsid w:val="00D64BAB"/>
    <w:rsid w:val="00D701AF"/>
    <w:rsid w:val="00D725F7"/>
    <w:rsid w:val="00D77BA4"/>
    <w:rsid w:val="00D80E05"/>
    <w:rsid w:val="00D904D5"/>
    <w:rsid w:val="00D90DBC"/>
    <w:rsid w:val="00DA0026"/>
    <w:rsid w:val="00DA015E"/>
    <w:rsid w:val="00DA0AFD"/>
    <w:rsid w:val="00DA444C"/>
    <w:rsid w:val="00DA4BDD"/>
    <w:rsid w:val="00DB0CE5"/>
    <w:rsid w:val="00DB2E5F"/>
    <w:rsid w:val="00DC108B"/>
    <w:rsid w:val="00DC6F3C"/>
    <w:rsid w:val="00DD19A3"/>
    <w:rsid w:val="00DD6CE9"/>
    <w:rsid w:val="00DE02E4"/>
    <w:rsid w:val="00DE3A86"/>
    <w:rsid w:val="00DE4592"/>
    <w:rsid w:val="00DF2C67"/>
    <w:rsid w:val="00DF3AE2"/>
    <w:rsid w:val="00DF7D21"/>
    <w:rsid w:val="00E03250"/>
    <w:rsid w:val="00E04AAA"/>
    <w:rsid w:val="00E059C5"/>
    <w:rsid w:val="00E06B29"/>
    <w:rsid w:val="00E06C22"/>
    <w:rsid w:val="00E20BF0"/>
    <w:rsid w:val="00E230DC"/>
    <w:rsid w:val="00E26BAC"/>
    <w:rsid w:val="00E26CF8"/>
    <w:rsid w:val="00E37F3B"/>
    <w:rsid w:val="00E4781B"/>
    <w:rsid w:val="00E51F8B"/>
    <w:rsid w:val="00E60351"/>
    <w:rsid w:val="00E710D4"/>
    <w:rsid w:val="00E71AE7"/>
    <w:rsid w:val="00E752E6"/>
    <w:rsid w:val="00E75A03"/>
    <w:rsid w:val="00E84704"/>
    <w:rsid w:val="00E97060"/>
    <w:rsid w:val="00EA6088"/>
    <w:rsid w:val="00EA7E24"/>
    <w:rsid w:val="00EB05F8"/>
    <w:rsid w:val="00EC1A2C"/>
    <w:rsid w:val="00ED0DAD"/>
    <w:rsid w:val="00EF22CF"/>
    <w:rsid w:val="00F04F56"/>
    <w:rsid w:val="00F10E1F"/>
    <w:rsid w:val="00F122FC"/>
    <w:rsid w:val="00F127BA"/>
    <w:rsid w:val="00F212EB"/>
    <w:rsid w:val="00F2577F"/>
    <w:rsid w:val="00F260FE"/>
    <w:rsid w:val="00F268C0"/>
    <w:rsid w:val="00F27062"/>
    <w:rsid w:val="00F318BB"/>
    <w:rsid w:val="00F35DC6"/>
    <w:rsid w:val="00F4600D"/>
    <w:rsid w:val="00F465D3"/>
    <w:rsid w:val="00F544F0"/>
    <w:rsid w:val="00F56394"/>
    <w:rsid w:val="00F569C9"/>
    <w:rsid w:val="00F56F06"/>
    <w:rsid w:val="00F644EB"/>
    <w:rsid w:val="00F64746"/>
    <w:rsid w:val="00F72200"/>
    <w:rsid w:val="00F72DE7"/>
    <w:rsid w:val="00F73815"/>
    <w:rsid w:val="00F7770D"/>
    <w:rsid w:val="00F80714"/>
    <w:rsid w:val="00F80B3E"/>
    <w:rsid w:val="00F85079"/>
    <w:rsid w:val="00F85984"/>
    <w:rsid w:val="00F868C9"/>
    <w:rsid w:val="00F93115"/>
    <w:rsid w:val="00F97DAD"/>
    <w:rsid w:val="00FA4EED"/>
    <w:rsid w:val="00FA5792"/>
    <w:rsid w:val="00FA5B5D"/>
    <w:rsid w:val="00FA5F14"/>
    <w:rsid w:val="00FA63DC"/>
    <w:rsid w:val="00FA7004"/>
    <w:rsid w:val="00FB200D"/>
    <w:rsid w:val="00FB46A3"/>
    <w:rsid w:val="00FC5309"/>
    <w:rsid w:val="00FD5AD7"/>
    <w:rsid w:val="00FE5072"/>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o"/>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E407D"/>
    <w:pPr>
      <w:tabs>
        <w:tab w:val="center" w:pos="4320"/>
        <w:tab w:val="right" w:pos="8640"/>
      </w:tabs>
      <w:spacing w:before="0" w:after="0"/>
    </w:pPr>
  </w:style>
  <w:style w:type="character" w:customStyle="1" w:styleId="FooterChar">
    <w:name w:val="Footer Char"/>
    <w:basedOn w:val="DefaultParagraphFont"/>
    <w:link w:val="Footer"/>
    <w:uiPriority w:val="99"/>
    <w:semiHidden/>
    <w:rsid w:val="005E407D"/>
    <w:rPr>
      <w:rFonts w:eastAsia="Calibri"/>
      <w:szCs w:val="22"/>
      <w:lang w:val="en-GB"/>
    </w:rPr>
  </w:style>
  <w:style w:type="paragraph" w:styleId="NormalWeb">
    <w:name w:val="Normal (Web)"/>
    <w:basedOn w:val="Normal"/>
    <w:uiPriority w:val="99"/>
    <w:semiHidden/>
    <w:unhideWhenUsed/>
    <w:locked/>
    <w:rsid w:val="005E407D"/>
    <w:rPr>
      <w:rFonts w:ascii="Times New Roman" w:hAnsi="Times New Roman"/>
      <w:sz w:val="24"/>
      <w:szCs w:val="24"/>
    </w:rPr>
  </w:style>
  <w:style w:type="paragraph" w:styleId="ListParagraph">
    <w:name w:val="List Paragraph"/>
    <w:basedOn w:val="Normal"/>
    <w:uiPriority w:val="34"/>
    <w:qFormat/>
    <w:locked/>
    <w:rsid w:val="00C26932"/>
    <w:pPr>
      <w:ind w:left="720"/>
      <w:contextualSpacing/>
    </w:pPr>
  </w:style>
  <w:style w:type="character" w:styleId="CommentReference">
    <w:name w:val="annotation reference"/>
    <w:basedOn w:val="DefaultParagraphFont"/>
    <w:uiPriority w:val="99"/>
    <w:semiHidden/>
    <w:unhideWhenUsed/>
    <w:locked/>
    <w:rsid w:val="00587FEC"/>
    <w:rPr>
      <w:sz w:val="16"/>
      <w:szCs w:val="16"/>
    </w:rPr>
  </w:style>
  <w:style w:type="paragraph" w:styleId="CommentText">
    <w:name w:val="annotation text"/>
    <w:basedOn w:val="Normal"/>
    <w:link w:val="CommentTextChar"/>
    <w:uiPriority w:val="99"/>
    <w:semiHidden/>
    <w:unhideWhenUsed/>
    <w:locked/>
    <w:rsid w:val="00587FEC"/>
    <w:rPr>
      <w:szCs w:val="20"/>
    </w:rPr>
  </w:style>
  <w:style w:type="character" w:customStyle="1" w:styleId="CommentTextChar">
    <w:name w:val="Comment Text Char"/>
    <w:basedOn w:val="DefaultParagraphFont"/>
    <w:link w:val="CommentText"/>
    <w:uiPriority w:val="99"/>
    <w:semiHidden/>
    <w:rsid w:val="00587FEC"/>
    <w:rPr>
      <w:rFonts w:eastAsia="Calibri"/>
      <w:lang w:val="en-GB"/>
    </w:rPr>
  </w:style>
  <w:style w:type="paragraph" w:styleId="CommentSubject">
    <w:name w:val="annotation subject"/>
    <w:basedOn w:val="CommentText"/>
    <w:next w:val="CommentText"/>
    <w:link w:val="CommentSubjectChar"/>
    <w:uiPriority w:val="99"/>
    <w:semiHidden/>
    <w:unhideWhenUsed/>
    <w:locked/>
    <w:rsid w:val="00587FEC"/>
    <w:rPr>
      <w:b/>
      <w:bCs/>
    </w:rPr>
  </w:style>
  <w:style w:type="character" w:customStyle="1" w:styleId="CommentSubjectChar">
    <w:name w:val="Comment Subject Char"/>
    <w:basedOn w:val="CommentTextChar"/>
    <w:link w:val="CommentSubject"/>
    <w:uiPriority w:val="99"/>
    <w:semiHidden/>
    <w:rsid w:val="00587FEC"/>
    <w:rPr>
      <w:rFonts w:eastAsia="Calibri"/>
      <w:b/>
      <w:bCs/>
      <w:lang w:val="en-GB"/>
    </w:rPr>
  </w:style>
  <w:style w:type="paragraph" w:styleId="Revision">
    <w:name w:val="Revision"/>
    <w:hidden/>
    <w:uiPriority w:val="99"/>
    <w:semiHidden/>
    <w:rsid w:val="00587FEC"/>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o"/>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E407D"/>
    <w:pPr>
      <w:tabs>
        <w:tab w:val="center" w:pos="4320"/>
        <w:tab w:val="right" w:pos="8640"/>
      </w:tabs>
      <w:spacing w:before="0" w:after="0"/>
    </w:pPr>
  </w:style>
  <w:style w:type="character" w:customStyle="1" w:styleId="FooterChar">
    <w:name w:val="Footer Char"/>
    <w:basedOn w:val="DefaultParagraphFont"/>
    <w:link w:val="Footer"/>
    <w:uiPriority w:val="99"/>
    <w:semiHidden/>
    <w:rsid w:val="005E407D"/>
    <w:rPr>
      <w:rFonts w:eastAsia="Calibri"/>
      <w:szCs w:val="22"/>
      <w:lang w:val="en-GB"/>
    </w:rPr>
  </w:style>
  <w:style w:type="paragraph" w:styleId="NormalWeb">
    <w:name w:val="Normal (Web)"/>
    <w:basedOn w:val="Normal"/>
    <w:uiPriority w:val="99"/>
    <w:semiHidden/>
    <w:unhideWhenUsed/>
    <w:locked/>
    <w:rsid w:val="005E407D"/>
    <w:rPr>
      <w:rFonts w:ascii="Times New Roman" w:hAnsi="Times New Roman"/>
      <w:sz w:val="24"/>
      <w:szCs w:val="24"/>
    </w:rPr>
  </w:style>
  <w:style w:type="paragraph" w:styleId="ListParagraph">
    <w:name w:val="List Paragraph"/>
    <w:basedOn w:val="Normal"/>
    <w:uiPriority w:val="34"/>
    <w:qFormat/>
    <w:locked/>
    <w:rsid w:val="00C26932"/>
    <w:pPr>
      <w:ind w:left="720"/>
      <w:contextualSpacing/>
    </w:pPr>
  </w:style>
  <w:style w:type="character" w:styleId="CommentReference">
    <w:name w:val="annotation reference"/>
    <w:basedOn w:val="DefaultParagraphFont"/>
    <w:uiPriority w:val="99"/>
    <w:semiHidden/>
    <w:unhideWhenUsed/>
    <w:locked/>
    <w:rsid w:val="00587FEC"/>
    <w:rPr>
      <w:sz w:val="16"/>
      <w:szCs w:val="16"/>
    </w:rPr>
  </w:style>
  <w:style w:type="paragraph" w:styleId="CommentText">
    <w:name w:val="annotation text"/>
    <w:basedOn w:val="Normal"/>
    <w:link w:val="CommentTextChar"/>
    <w:uiPriority w:val="99"/>
    <w:semiHidden/>
    <w:unhideWhenUsed/>
    <w:locked/>
    <w:rsid w:val="00587FEC"/>
    <w:rPr>
      <w:szCs w:val="20"/>
    </w:rPr>
  </w:style>
  <w:style w:type="character" w:customStyle="1" w:styleId="CommentTextChar">
    <w:name w:val="Comment Text Char"/>
    <w:basedOn w:val="DefaultParagraphFont"/>
    <w:link w:val="CommentText"/>
    <w:uiPriority w:val="99"/>
    <w:semiHidden/>
    <w:rsid w:val="00587FEC"/>
    <w:rPr>
      <w:rFonts w:eastAsia="Calibri"/>
      <w:lang w:val="en-GB"/>
    </w:rPr>
  </w:style>
  <w:style w:type="paragraph" w:styleId="CommentSubject">
    <w:name w:val="annotation subject"/>
    <w:basedOn w:val="CommentText"/>
    <w:next w:val="CommentText"/>
    <w:link w:val="CommentSubjectChar"/>
    <w:uiPriority w:val="99"/>
    <w:semiHidden/>
    <w:unhideWhenUsed/>
    <w:locked/>
    <w:rsid w:val="00587FEC"/>
    <w:rPr>
      <w:b/>
      <w:bCs/>
    </w:rPr>
  </w:style>
  <w:style w:type="character" w:customStyle="1" w:styleId="CommentSubjectChar">
    <w:name w:val="Comment Subject Char"/>
    <w:basedOn w:val="CommentTextChar"/>
    <w:link w:val="CommentSubject"/>
    <w:uiPriority w:val="99"/>
    <w:semiHidden/>
    <w:rsid w:val="00587FEC"/>
    <w:rPr>
      <w:rFonts w:eastAsia="Calibri"/>
      <w:b/>
      <w:bCs/>
      <w:lang w:val="en-GB"/>
    </w:rPr>
  </w:style>
  <w:style w:type="paragraph" w:styleId="Revision">
    <w:name w:val="Revision"/>
    <w:hidden/>
    <w:uiPriority w:val="99"/>
    <w:semiHidden/>
    <w:rsid w:val="00587FEC"/>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348">
      <w:bodyDiv w:val="1"/>
      <w:marLeft w:val="0"/>
      <w:marRight w:val="0"/>
      <w:marTop w:val="0"/>
      <w:marBottom w:val="0"/>
      <w:divBdr>
        <w:top w:val="none" w:sz="0" w:space="0" w:color="auto"/>
        <w:left w:val="none" w:sz="0" w:space="0" w:color="auto"/>
        <w:bottom w:val="none" w:sz="0" w:space="0" w:color="auto"/>
        <w:right w:val="none" w:sz="0" w:space="0" w:color="auto"/>
      </w:divBdr>
    </w:div>
    <w:div w:id="140970932">
      <w:bodyDiv w:val="1"/>
      <w:marLeft w:val="0"/>
      <w:marRight w:val="0"/>
      <w:marTop w:val="0"/>
      <w:marBottom w:val="0"/>
      <w:divBdr>
        <w:top w:val="none" w:sz="0" w:space="0" w:color="auto"/>
        <w:left w:val="none" w:sz="0" w:space="0" w:color="auto"/>
        <w:bottom w:val="none" w:sz="0" w:space="0" w:color="auto"/>
        <w:right w:val="none" w:sz="0" w:space="0" w:color="auto"/>
      </w:divBdr>
      <w:divsChild>
        <w:div w:id="1139764775">
          <w:marLeft w:val="1008"/>
          <w:marRight w:val="0"/>
          <w:marTop w:val="96"/>
          <w:marBottom w:val="0"/>
          <w:divBdr>
            <w:top w:val="none" w:sz="0" w:space="0" w:color="auto"/>
            <w:left w:val="none" w:sz="0" w:space="0" w:color="auto"/>
            <w:bottom w:val="none" w:sz="0" w:space="0" w:color="auto"/>
            <w:right w:val="none" w:sz="0" w:space="0" w:color="auto"/>
          </w:divBdr>
        </w:div>
      </w:divsChild>
    </w:div>
    <w:div w:id="227965007">
      <w:bodyDiv w:val="1"/>
      <w:marLeft w:val="0"/>
      <w:marRight w:val="0"/>
      <w:marTop w:val="0"/>
      <w:marBottom w:val="0"/>
      <w:divBdr>
        <w:top w:val="none" w:sz="0" w:space="0" w:color="auto"/>
        <w:left w:val="none" w:sz="0" w:space="0" w:color="auto"/>
        <w:bottom w:val="none" w:sz="0" w:space="0" w:color="auto"/>
        <w:right w:val="none" w:sz="0" w:space="0" w:color="auto"/>
      </w:divBdr>
      <w:divsChild>
        <w:div w:id="1597714716">
          <w:marLeft w:val="0"/>
          <w:marRight w:val="0"/>
          <w:marTop w:val="0"/>
          <w:marBottom w:val="0"/>
          <w:divBdr>
            <w:top w:val="none" w:sz="0" w:space="0" w:color="auto"/>
            <w:left w:val="none" w:sz="0" w:space="0" w:color="auto"/>
            <w:bottom w:val="none" w:sz="0" w:space="0" w:color="auto"/>
            <w:right w:val="none" w:sz="0" w:space="0" w:color="auto"/>
          </w:divBdr>
          <w:divsChild>
            <w:div w:id="943541306">
              <w:marLeft w:val="0"/>
              <w:marRight w:val="0"/>
              <w:marTop w:val="0"/>
              <w:marBottom w:val="0"/>
              <w:divBdr>
                <w:top w:val="none" w:sz="0" w:space="0" w:color="auto"/>
                <w:left w:val="none" w:sz="0" w:space="0" w:color="auto"/>
                <w:bottom w:val="none" w:sz="0" w:space="0" w:color="auto"/>
                <w:right w:val="none" w:sz="0" w:space="0" w:color="auto"/>
              </w:divBdr>
              <w:divsChild>
                <w:div w:id="10071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1825">
      <w:bodyDiv w:val="1"/>
      <w:marLeft w:val="0"/>
      <w:marRight w:val="0"/>
      <w:marTop w:val="0"/>
      <w:marBottom w:val="0"/>
      <w:divBdr>
        <w:top w:val="none" w:sz="0" w:space="0" w:color="auto"/>
        <w:left w:val="none" w:sz="0" w:space="0" w:color="auto"/>
        <w:bottom w:val="none" w:sz="0" w:space="0" w:color="auto"/>
        <w:right w:val="none" w:sz="0" w:space="0" w:color="auto"/>
      </w:divBdr>
      <w:divsChild>
        <w:div w:id="336269063">
          <w:marLeft w:val="0"/>
          <w:marRight w:val="0"/>
          <w:marTop w:val="0"/>
          <w:marBottom w:val="0"/>
          <w:divBdr>
            <w:top w:val="none" w:sz="0" w:space="0" w:color="auto"/>
            <w:left w:val="none" w:sz="0" w:space="0" w:color="auto"/>
            <w:bottom w:val="none" w:sz="0" w:space="0" w:color="auto"/>
            <w:right w:val="none" w:sz="0" w:space="0" w:color="auto"/>
          </w:divBdr>
          <w:divsChild>
            <w:div w:id="1167016998">
              <w:marLeft w:val="0"/>
              <w:marRight w:val="0"/>
              <w:marTop w:val="0"/>
              <w:marBottom w:val="0"/>
              <w:divBdr>
                <w:top w:val="none" w:sz="0" w:space="0" w:color="auto"/>
                <w:left w:val="none" w:sz="0" w:space="0" w:color="auto"/>
                <w:bottom w:val="none" w:sz="0" w:space="0" w:color="auto"/>
                <w:right w:val="none" w:sz="0" w:space="0" w:color="auto"/>
              </w:divBdr>
              <w:divsChild>
                <w:div w:id="74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0143">
      <w:bodyDiv w:val="1"/>
      <w:marLeft w:val="0"/>
      <w:marRight w:val="0"/>
      <w:marTop w:val="0"/>
      <w:marBottom w:val="0"/>
      <w:divBdr>
        <w:top w:val="none" w:sz="0" w:space="0" w:color="auto"/>
        <w:left w:val="none" w:sz="0" w:space="0" w:color="auto"/>
        <w:bottom w:val="none" w:sz="0" w:space="0" w:color="auto"/>
        <w:right w:val="none" w:sz="0" w:space="0" w:color="auto"/>
      </w:divBdr>
    </w:div>
    <w:div w:id="598412422">
      <w:bodyDiv w:val="1"/>
      <w:marLeft w:val="0"/>
      <w:marRight w:val="0"/>
      <w:marTop w:val="0"/>
      <w:marBottom w:val="0"/>
      <w:divBdr>
        <w:top w:val="none" w:sz="0" w:space="0" w:color="auto"/>
        <w:left w:val="none" w:sz="0" w:space="0" w:color="auto"/>
        <w:bottom w:val="none" w:sz="0" w:space="0" w:color="auto"/>
        <w:right w:val="none" w:sz="0" w:space="0" w:color="auto"/>
      </w:divBdr>
    </w:div>
    <w:div w:id="885067948">
      <w:bodyDiv w:val="1"/>
      <w:marLeft w:val="0"/>
      <w:marRight w:val="0"/>
      <w:marTop w:val="0"/>
      <w:marBottom w:val="0"/>
      <w:divBdr>
        <w:top w:val="none" w:sz="0" w:space="0" w:color="auto"/>
        <w:left w:val="none" w:sz="0" w:space="0" w:color="auto"/>
        <w:bottom w:val="none" w:sz="0" w:space="0" w:color="auto"/>
        <w:right w:val="none" w:sz="0" w:space="0" w:color="auto"/>
      </w:divBdr>
    </w:div>
    <w:div w:id="1011760126">
      <w:bodyDiv w:val="1"/>
      <w:marLeft w:val="0"/>
      <w:marRight w:val="0"/>
      <w:marTop w:val="0"/>
      <w:marBottom w:val="0"/>
      <w:divBdr>
        <w:top w:val="none" w:sz="0" w:space="0" w:color="auto"/>
        <w:left w:val="none" w:sz="0" w:space="0" w:color="auto"/>
        <w:bottom w:val="none" w:sz="0" w:space="0" w:color="auto"/>
        <w:right w:val="none" w:sz="0" w:space="0" w:color="auto"/>
      </w:divBdr>
      <w:divsChild>
        <w:div w:id="682054673">
          <w:marLeft w:val="0"/>
          <w:marRight w:val="0"/>
          <w:marTop w:val="0"/>
          <w:marBottom w:val="0"/>
          <w:divBdr>
            <w:top w:val="none" w:sz="0" w:space="0" w:color="auto"/>
            <w:left w:val="none" w:sz="0" w:space="0" w:color="auto"/>
            <w:bottom w:val="none" w:sz="0" w:space="0" w:color="auto"/>
            <w:right w:val="none" w:sz="0" w:space="0" w:color="auto"/>
          </w:divBdr>
          <w:divsChild>
            <w:div w:id="307169932">
              <w:marLeft w:val="0"/>
              <w:marRight w:val="0"/>
              <w:marTop w:val="0"/>
              <w:marBottom w:val="0"/>
              <w:divBdr>
                <w:top w:val="none" w:sz="0" w:space="0" w:color="auto"/>
                <w:left w:val="none" w:sz="0" w:space="0" w:color="auto"/>
                <w:bottom w:val="none" w:sz="0" w:space="0" w:color="auto"/>
                <w:right w:val="none" w:sz="0" w:space="0" w:color="auto"/>
              </w:divBdr>
              <w:divsChild>
                <w:div w:id="12936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9594">
      <w:bodyDiv w:val="1"/>
      <w:marLeft w:val="0"/>
      <w:marRight w:val="0"/>
      <w:marTop w:val="0"/>
      <w:marBottom w:val="0"/>
      <w:divBdr>
        <w:top w:val="none" w:sz="0" w:space="0" w:color="auto"/>
        <w:left w:val="none" w:sz="0" w:space="0" w:color="auto"/>
        <w:bottom w:val="none" w:sz="0" w:space="0" w:color="auto"/>
        <w:right w:val="none" w:sz="0" w:space="0" w:color="auto"/>
      </w:divBdr>
      <w:divsChild>
        <w:div w:id="1967588904">
          <w:marLeft w:val="0"/>
          <w:marRight w:val="0"/>
          <w:marTop w:val="0"/>
          <w:marBottom w:val="0"/>
          <w:divBdr>
            <w:top w:val="none" w:sz="0" w:space="0" w:color="auto"/>
            <w:left w:val="none" w:sz="0" w:space="0" w:color="auto"/>
            <w:bottom w:val="none" w:sz="0" w:space="0" w:color="auto"/>
            <w:right w:val="none" w:sz="0" w:space="0" w:color="auto"/>
          </w:divBdr>
          <w:divsChild>
            <w:div w:id="197591804">
              <w:marLeft w:val="0"/>
              <w:marRight w:val="0"/>
              <w:marTop w:val="0"/>
              <w:marBottom w:val="0"/>
              <w:divBdr>
                <w:top w:val="none" w:sz="0" w:space="0" w:color="auto"/>
                <w:left w:val="none" w:sz="0" w:space="0" w:color="auto"/>
                <w:bottom w:val="none" w:sz="0" w:space="0" w:color="auto"/>
                <w:right w:val="none" w:sz="0" w:space="0" w:color="auto"/>
              </w:divBdr>
              <w:divsChild>
                <w:div w:id="7004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2066">
      <w:bodyDiv w:val="1"/>
      <w:marLeft w:val="0"/>
      <w:marRight w:val="0"/>
      <w:marTop w:val="0"/>
      <w:marBottom w:val="0"/>
      <w:divBdr>
        <w:top w:val="none" w:sz="0" w:space="0" w:color="auto"/>
        <w:left w:val="none" w:sz="0" w:space="0" w:color="auto"/>
        <w:bottom w:val="none" w:sz="0" w:space="0" w:color="auto"/>
        <w:right w:val="none" w:sz="0" w:space="0" w:color="auto"/>
      </w:divBdr>
      <w:divsChild>
        <w:div w:id="1230846495">
          <w:marLeft w:val="0"/>
          <w:marRight w:val="0"/>
          <w:marTop w:val="0"/>
          <w:marBottom w:val="0"/>
          <w:divBdr>
            <w:top w:val="none" w:sz="0" w:space="0" w:color="auto"/>
            <w:left w:val="none" w:sz="0" w:space="0" w:color="auto"/>
            <w:bottom w:val="none" w:sz="0" w:space="0" w:color="auto"/>
            <w:right w:val="none" w:sz="0" w:space="0" w:color="auto"/>
          </w:divBdr>
          <w:divsChild>
            <w:div w:id="108012705">
              <w:marLeft w:val="0"/>
              <w:marRight w:val="0"/>
              <w:marTop w:val="0"/>
              <w:marBottom w:val="0"/>
              <w:divBdr>
                <w:top w:val="none" w:sz="0" w:space="0" w:color="auto"/>
                <w:left w:val="none" w:sz="0" w:space="0" w:color="auto"/>
                <w:bottom w:val="none" w:sz="0" w:space="0" w:color="auto"/>
                <w:right w:val="none" w:sz="0" w:space="0" w:color="auto"/>
              </w:divBdr>
              <w:divsChild>
                <w:div w:id="2110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1110">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3">
          <w:marLeft w:val="0"/>
          <w:marRight w:val="0"/>
          <w:marTop w:val="0"/>
          <w:marBottom w:val="0"/>
          <w:divBdr>
            <w:top w:val="none" w:sz="0" w:space="0" w:color="auto"/>
            <w:left w:val="none" w:sz="0" w:space="0" w:color="auto"/>
            <w:bottom w:val="none" w:sz="0" w:space="0" w:color="auto"/>
            <w:right w:val="none" w:sz="0" w:space="0" w:color="auto"/>
          </w:divBdr>
          <w:divsChild>
            <w:div w:id="2058620452">
              <w:marLeft w:val="0"/>
              <w:marRight w:val="0"/>
              <w:marTop w:val="0"/>
              <w:marBottom w:val="0"/>
              <w:divBdr>
                <w:top w:val="none" w:sz="0" w:space="0" w:color="auto"/>
                <w:left w:val="none" w:sz="0" w:space="0" w:color="auto"/>
                <w:bottom w:val="none" w:sz="0" w:space="0" w:color="auto"/>
                <w:right w:val="none" w:sz="0" w:space="0" w:color="auto"/>
              </w:divBdr>
              <w:divsChild>
                <w:div w:id="254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044">
      <w:bodyDiv w:val="1"/>
      <w:marLeft w:val="0"/>
      <w:marRight w:val="0"/>
      <w:marTop w:val="0"/>
      <w:marBottom w:val="0"/>
      <w:divBdr>
        <w:top w:val="none" w:sz="0" w:space="0" w:color="auto"/>
        <w:left w:val="none" w:sz="0" w:space="0" w:color="auto"/>
        <w:bottom w:val="none" w:sz="0" w:space="0" w:color="auto"/>
        <w:right w:val="none" w:sz="0" w:space="0" w:color="auto"/>
      </w:divBdr>
    </w:div>
    <w:div w:id="1427653500">
      <w:bodyDiv w:val="1"/>
      <w:marLeft w:val="0"/>
      <w:marRight w:val="0"/>
      <w:marTop w:val="0"/>
      <w:marBottom w:val="0"/>
      <w:divBdr>
        <w:top w:val="none" w:sz="0" w:space="0" w:color="auto"/>
        <w:left w:val="none" w:sz="0" w:space="0" w:color="auto"/>
        <w:bottom w:val="none" w:sz="0" w:space="0" w:color="auto"/>
        <w:right w:val="none" w:sz="0" w:space="0" w:color="auto"/>
      </w:divBdr>
    </w:div>
    <w:div w:id="1795099289">
      <w:bodyDiv w:val="1"/>
      <w:marLeft w:val="0"/>
      <w:marRight w:val="0"/>
      <w:marTop w:val="0"/>
      <w:marBottom w:val="0"/>
      <w:divBdr>
        <w:top w:val="none" w:sz="0" w:space="0" w:color="auto"/>
        <w:left w:val="none" w:sz="0" w:space="0" w:color="auto"/>
        <w:bottom w:val="none" w:sz="0" w:space="0" w:color="auto"/>
        <w:right w:val="none" w:sz="0" w:space="0" w:color="auto"/>
      </w:divBdr>
    </w:div>
    <w:div w:id="1803766892">
      <w:bodyDiv w:val="1"/>
      <w:marLeft w:val="0"/>
      <w:marRight w:val="0"/>
      <w:marTop w:val="0"/>
      <w:marBottom w:val="0"/>
      <w:divBdr>
        <w:top w:val="none" w:sz="0" w:space="0" w:color="auto"/>
        <w:left w:val="none" w:sz="0" w:space="0" w:color="auto"/>
        <w:bottom w:val="none" w:sz="0" w:space="0" w:color="auto"/>
        <w:right w:val="none" w:sz="0" w:space="0" w:color="auto"/>
      </w:divBdr>
      <w:divsChild>
        <w:div w:id="211893702">
          <w:marLeft w:val="0"/>
          <w:marRight w:val="0"/>
          <w:marTop w:val="0"/>
          <w:marBottom w:val="0"/>
          <w:divBdr>
            <w:top w:val="none" w:sz="0" w:space="0" w:color="auto"/>
            <w:left w:val="none" w:sz="0" w:space="0" w:color="auto"/>
            <w:bottom w:val="none" w:sz="0" w:space="0" w:color="auto"/>
            <w:right w:val="none" w:sz="0" w:space="0" w:color="auto"/>
          </w:divBdr>
          <w:divsChild>
            <w:div w:id="1764571681">
              <w:marLeft w:val="0"/>
              <w:marRight w:val="0"/>
              <w:marTop w:val="0"/>
              <w:marBottom w:val="0"/>
              <w:divBdr>
                <w:top w:val="none" w:sz="0" w:space="0" w:color="auto"/>
                <w:left w:val="none" w:sz="0" w:space="0" w:color="auto"/>
                <w:bottom w:val="none" w:sz="0" w:space="0" w:color="auto"/>
                <w:right w:val="none" w:sz="0" w:space="0" w:color="auto"/>
              </w:divBdr>
              <w:divsChild>
                <w:div w:id="11004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8653">
      <w:bodyDiv w:val="1"/>
      <w:marLeft w:val="0"/>
      <w:marRight w:val="0"/>
      <w:marTop w:val="0"/>
      <w:marBottom w:val="0"/>
      <w:divBdr>
        <w:top w:val="none" w:sz="0" w:space="0" w:color="auto"/>
        <w:left w:val="none" w:sz="0" w:space="0" w:color="auto"/>
        <w:bottom w:val="none" w:sz="0" w:space="0" w:color="auto"/>
        <w:right w:val="none" w:sz="0" w:space="0" w:color="auto"/>
      </w:divBdr>
      <w:divsChild>
        <w:div w:id="1240750962">
          <w:marLeft w:val="1008"/>
          <w:marRight w:val="0"/>
          <w:marTop w:val="96"/>
          <w:marBottom w:val="0"/>
          <w:divBdr>
            <w:top w:val="none" w:sz="0" w:space="0" w:color="auto"/>
            <w:left w:val="none" w:sz="0" w:space="0" w:color="auto"/>
            <w:bottom w:val="none" w:sz="0" w:space="0" w:color="auto"/>
            <w:right w:val="none" w:sz="0" w:space="0" w:color="auto"/>
          </w:divBdr>
        </w:div>
        <w:div w:id="934627086">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7AB6-81EC-498A-A0B8-CE64B1EB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2049</Words>
  <Characters>11682</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13704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#4</dc:subject>
  <dc:creator>Hans Blondeel Timmerman</dc:creator>
  <cp:keywords>CEPT Brief</cp:keywords>
  <dc:description>Output CPG19-5</dc:description>
  <cp:lastModifiedBy>CPG</cp:lastModifiedBy>
  <cp:revision>7</cp:revision>
  <cp:lastPrinted>2017-09-04T12:10:00Z</cp:lastPrinted>
  <dcterms:created xsi:type="dcterms:W3CDTF">2018-01-22T14:44:00Z</dcterms:created>
  <dcterms:modified xsi:type="dcterms:W3CDTF">2018-01-23T10:19:00Z</dcterms:modified>
  <cp:category>protected templates</cp:category>
  <cp:contentStatus>Draft</cp:contentStatus>
</cp:coreProperties>
</file>