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544132" w:rsidRPr="004254AB" w14:paraId="6399D17B" w14:textId="77777777" w:rsidTr="00544132">
        <w:trPr>
          <w:cantSplit/>
          <w:trHeight w:val="1240"/>
        </w:trPr>
        <w:tc>
          <w:tcPr>
            <w:tcW w:w="4785" w:type="dxa"/>
            <w:gridSpan w:val="2"/>
            <w:tcBorders>
              <w:top w:val="nil"/>
              <w:left w:val="nil"/>
              <w:bottom w:val="nil"/>
              <w:right w:val="nil"/>
            </w:tcBorders>
          </w:tcPr>
          <w:p w14:paraId="0047457B" w14:textId="77777777" w:rsidR="00544132" w:rsidRPr="00235592" w:rsidRDefault="00544132" w:rsidP="00544132">
            <w:pPr>
              <w:pStyle w:val="ECCLetterHead"/>
            </w:pPr>
          </w:p>
        </w:tc>
        <w:tc>
          <w:tcPr>
            <w:tcW w:w="4996" w:type="dxa"/>
            <w:tcBorders>
              <w:top w:val="nil"/>
              <w:left w:val="nil"/>
              <w:bottom w:val="nil"/>
              <w:right w:val="nil"/>
            </w:tcBorders>
          </w:tcPr>
          <w:p w14:paraId="4941279F" w14:textId="09CA150F" w:rsidR="00544132" w:rsidRPr="00CB0B43" w:rsidRDefault="00544132" w:rsidP="00D630DA">
            <w:pPr>
              <w:pStyle w:val="ECCLetterHead"/>
            </w:pPr>
            <w:r w:rsidRPr="00235592">
              <w:tab/>
            </w:r>
            <w:r w:rsidRPr="007E41D1">
              <w:rPr>
                <w:lang w:val="fr-FR"/>
              </w:rPr>
              <w:t xml:space="preserve">Doc. </w:t>
            </w:r>
            <w:r w:rsidR="003079A6">
              <w:t>CPG(18)</w:t>
            </w:r>
            <w:r w:rsidR="00281114">
              <w:t>017</w:t>
            </w:r>
            <w:r w:rsidR="002F3C3F" w:rsidRPr="007E41D1">
              <w:rPr>
                <w:lang w:val="fr-FR"/>
              </w:rPr>
              <w:t xml:space="preserve"> </w:t>
            </w:r>
            <w:r w:rsidR="00CB0B43" w:rsidRPr="00CB0B43">
              <w:rPr>
                <w:lang w:val="fr-FR"/>
              </w:rPr>
              <w:t>ANNEX</w:t>
            </w:r>
            <w:r w:rsidR="00CB0B43">
              <w:t xml:space="preserve"> </w:t>
            </w:r>
            <w:r w:rsidR="002F3C3F" w:rsidRPr="007E41D1">
              <w:rPr>
                <w:lang w:val="fr-FR"/>
              </w:rPr>
              <w:t>IV-15</w:t>
            </w:r>
          </w:p>
        </w:tc>
      </w:tr>
      <w:tr w:rsidR="003079A6" w:rsidRPr="00235592" w14:paraId="26738F25" w14:textId="77777777" w:rsidTr="009B0E45">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3B863387" w14:textId="77777777" w:rsidR="003079A6" w:rsidRPr="003079A6" w:rsidRDefault="003079A6" w:rsidP="003079A6">
            <w:pPr>
              <w:pStyle w:val="ECCLetterHead"/>
            </w:pPr>
            <w:r w:rsidRPr="003079A6">
              <w:t>CPG19-5</w:t>
            </w:r>
          </w:p>
        </w:tc>
      </w:tr>
      <w:tr w:rsidR="003079A6" w:rsidRPr="00235592" w14:paraId="5D8B79E8" w14:textId="77777777" w:rsidTr="009B0E45">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3A4754C2" w14:textId="353FA20C" w:rsidR="003079A6" w:rsidRPr="003079A6" w:rsidRDefault="00E26743" w:rsidP="003079A6">
            <w:pPr>
              <w:pStyle w:val="ECCLetterHead"/>
            </w:pPr>
            <w:r>
              <w:t xml:space="preserve">Budapest, Hungary, </w:t>
            </w:r>
            <w:r w:rsidR="00D630DA">
              <w:t>0</w:t>
            </w:r>
            <w:bookmarkStart w:id="0" w:name="_GoBack"/>
            <w:bookmarkEnd w:id="0"/>
            <w:r>
              <w:t>8</w:t>
            </w:r>
            <w:r w:rsidRPr="00E26743">
              <w:rPr>
                <w:rStyle w:val="ECCHLsuperscript"/>
              </w:rPr>
              <w:t>th</w:t>
            </w:r>
            <w:r>
              <w:t xml:space="preserve"> - 1</w:t>
            </w:r>
            <w:r w:rsidR="007B4F5A">
              <w:t>1</w:t>
            </w:r>
            <w:r w:rsidRPr="00E26743">
              <w:rPr>
                <w:rStyle w:val="ECCHLsuperscript"/>
              </w:rPr>
              <w:t>th</w:t>
            </w:r>
            <w:r>
              <w:t xml:space="preserve"> </w:t>
            </w:r>
            <w:r w:rsidR="003079A6" w:rsidRPr="003079A6">
              <w:t>January 2018</w:t>
            </w:r>
          </w:p>
        </w:tc>
      </w:tr>
      <w:tr w:rsidR="00544132" w:rsidRPr="00235592" w14:paraId="089ED3D3" w14:textId="77777777" w:rsidTr="00E26743">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6B256A26" w14:textId="77777777" w:rsidR="00544132" w:rsidRPr="00235592" w:rsidRDefault="00544132" w:rsidP="00544132">
            <w:pPr>
              <w:pStyle w:val="ECCLetterHead"/>
            </w:pPr>
          </w:p>
        </w:tc>
        <w:tc>
          <w:tcPr>
            <w:tcW w:w="4996" w:type="dxa"/>
            <w:tcBorders>
              <w:top w:val="nil"/>
              <w:left w:val="nil"/>
              <w:bottom w:val="nil"/>
              <w:right w:val="nil"/>
            </w:tcBorders>
            <w:vAlign w:val="center"/>
          </w:tcPr>
          <w:p w14:paraId="15661776" w14:textId="77777777" w:rsidR="00544132" w:rsidRPr="00235592" w:rsidRDefault="00544132" w:rsidP="00544132">
            <w:pPr>
              <w:pStyle w:val="ECCLetterHead"/>
            </w:pPr>
          </w:p>
        </w:tc>
      </w:tr>
      <w:tr w:rsidR="00544132" w:rsidRPr="00235592" w14:paraId="1229AB27" w14:textId="77777777" w:rsidTr="00E26743">
        <w:tblPrEx>
          <w:tblCellMar>
            <w:left w:w="108" w:type="dxa"/>
            <w:right w:w="108" w:type="dxa"/>
          </w:tblCellMar>
        </w:tblPrEx>
        <w:trPr>
          <w:cantSplit/>
          <w:trHeight w:val="405"/>
        </w:trPr>
        <w:tc>
          <w:tcPr>
            <w:tcW w:w="1694" w:type="dxa"/>
            <w:tcBorders>
              <w:top w:val="nil"/>
              <w:left w:val="nil"/>
              <w:bottom w:val="nil"/>
              <w:right w:val="nil"/>
            </w:tcBorders>
            <w:vAlign w:val="center"/>
          </w:tcPr>
          <w:p w14:paraId="503103D8" w14:textId="77777777" w:rsidR="00544132" w:rsidRPr="00235592" w:rsidRDefault="00544132" w:rsidP="00544132">
            <w:pPr>
              <w:pStyle w:val="ECCLetterHead"/>
            </w:pPr>
            <w:r w:rsidRPr="00235592">
              <w:t xml:space="preserve">Date issued: </w:t>
            </w:r>
          </w:p>
        </w:tc>
        <w:tc>
          <w:tcPr>
            <w:tcW w:w="8087" w:type="dxa"/>
            <w:gridSpan w:val="2"/>
            <w:tcBorders>
              <w:top w:val="nil"/>
              <w:left w:val="nil"/>
              <w:bottom w:val="nil"/>
              <w:right w:val="nil"/>
            </w:tcBorders>
            <w:vAlign w:val="center"/>
          </w:tcPr>
          <w:p w14:paraId="036D462C" w14:textId="03FE1AAD" w:rsidR="00544132" w:rsidRPr="00235592" w:rsidRDefault="000F11A6" w:rsidP="00544132">
            <w:pPr>
              <w:pStyle w:val="ECCLetterHead"/>
            </w:pPr>
            <w:r>
              <w:t>11</w:t>
            </w:r>
            <w:r w:rsidRPr="000F11A6">
              <w:rPr>
                <w:rStyle w:val="ECCHLsuperscript"/>
              </w:rPr>
              <w:t>th</w:t>
            </w:r>
            <w:r>
              <w:t xml:space="preserve"> </w:t>
            </w:r>
            <w:r w:rsidRPr="003079A6">
              <w:t>January 2018</w:t>
            </w:r>
          </w:p>
        </w:tc>
      </w:tr>
      <w:tr w:rsidR="00544132" w:rsidRPr="00235592" w14:paraId="3834342D" w14:textId="77777777" w:rsidTr="00E26743">
        <w:tblPrEx>
          <w:tblCellMar>
            <w:left w:w="108" w:type="dxa"/>
            <w:right w:w="108" w:type="dxa"/>
          </w:tblCellMar>
        </w:tblPrEx>
        <w:trPr>
          <w:cantSplit/>
          <w:trHeight w:val="405"/>
        </w:trPr>
        <w:tc>
          <w:tcPr>
            <w:tcW w:w="1694" w:type="dxa"/>
            <w:tcBorders>
              <w:top w:val="nil"/>
              <w:left w:val="nil"/>
              <w:bottom w:val="nil"/>
              <w:right w:val="nil"/>
            </w:tcBorders>
            <w:vAlign w:val="center"/>
          </w:tcPr>
          <w:p w14:paraId="6397AE3D" w14:textId="77777777" w:rsidR="00544132" w:rsidRPr="00235592" w:rsidRDefault="00544132" w:rsidP="00544132">
            <w:pPr>
              <w:pStyle w:val="ECCLetterHead"/>
            </w:pPr>
            <w:r w:rsidRPr="00235592">
              <w:t xml:space="preserve">Source: </w:t>
            </w:r>
          </w:p>
        </w:tc>
        <w:tc>
          <w:tcPr>
            <w:tcW w:w="8087" w:type="dxa"/>
            <w:gridSpan w:val="2"/>
            <w:tcBorders>
              <w:top w:val="nil"/>
              <w:left w:val="nil"/>
              <w:bottom w:val="nil"/>
              <w:right w:val="nil"/>
            </w:tcBorders>
            <w:vAlign w:val="center"/>
          </w:tcPr>
          <w:p w14:paraId="4D044768" w14:textId="5425DC61" w:rsidR="00544132" w:rsidRPr="00235592" w:rsidRDefault="000F11A6" w:rsidP="00544132">
            <w:pPr>
              <w:pStyle w:val="ECCLetterHead"/>
            </w:pPr>
            <w:r>
              <w:t>CPG19-5 Minutes</w:t>
            </w:r>
          </w:p>
        </w:tc>
      </w:tr>
      <w:tr w:rsidR="00544132" w:rsidRPr="00235592" w14:paraId="6668A744" w14:textId="77777777" w:rsidTr="00E26743">
        <w:tblPrEx>
          <w:tblCellMar>
            <w:left w:w="108" w:type="dxa"/>
            <w:right w:w="108" w:type="dxa"/>
          </w:tblCellMar>
        </w:tblPrEx>
        <w:trPr>
          <w:cantSplit/>
          <w:trHeight w:val="405"/>
        </w:trPr>
        <w:tc>
          <w:tcPr>
            <w:tcW w:w="1694" w:type="dxa"/>
            <w:tcBorders>
              <w:top w:val="nil"/>
              <w:left w:val="nil"/>
              <w:bottom w:val="nil"/>
              <w:right w:val="nil"/>
            </w:tcBorders>
            <w:vAlign w:val="center"/>
          </w:tcPr>
          <w:p w14:paraId="45C2828E" w14:textId="77777777" w:rsidR="00544132" w:rsidRPr="00235592" w:rsidRDefault="00544132" w:rsidP="00544132">
            <w:pPr>
              <w:pStyle w:val="ECCLetterHead"/>
            </w:pPr>
            <w:r w:rsidRPr="00235592">
              <w:t xml:space="preserve">Subject: </w:t>
            </w:r>
          </w:p>
        </w:tc>
        <w:tc>
          <w:tcPr>
            <w:tcW w:w="8087" w:type="dxa"/>
            <w:gridSpan w:val="2"/>
            <w:tcBorders>
              <w:top w:val="nil"/>
              <w:left w:val="nil"/>
              <w:bottom w:val="nil"/>
              <w:right w:val="nil"/>
            </w:tcBorders>
            <w:vAlign w:val="center"/>
          </w:tcPr>
          <w:p w14:paraId="5217641E" w14:textId="28969E32" w:rsidR="00544132" w:rsidRPr="00235592" w:rsidRDefault="00544132" w:rsidP="00544132">
            <w:pPr>
              <w:pStyle w:val="ECCLetterHead"/>
            </w:pPr>
            <w:r w:rsidRPr="00235592">
              <w:t>Draft CEPT Brief on WRC-19</w:t>
            </w:r>
            <w:r>
              <w:t xml:space="preserve"> Agenda Item 1.15</w:t>
            </w:r>
          </w:p>
        </w:tc>
      </w:tr>
      <w:tr w:rsidR="0033384C" w:rsidRPr="00235592" w14:paraId="6830647D" w14:textId="77777777" w:rsidTr="009E74EC">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57E5C9C6" w14:textId="77777777" w:rsidR="0033384C" w:rsidRPr="00235592" w:rsidRDefault="0033384C" w:rsidP="0033384C">
            <w:pPr>
              <w:rPr>
                <w:rStyle w:val="ECCParagraph"/>
              </w:rPr>
            </w:pPr>
          </w:p>
          <w:p w14:paraId="257A8440" w14:textId="77777777" w:rsidR="0033384C" w:rsidRPr="00235592" w:rsidRDefault="0033384C" w:rsidP="0033384C">
            <w:pPr>
              <w:pStyle w:val="ECCLetterHead"/>
            </w:pPr>
          </w:p>
        </w:tc>
      </w:tr>
      <w:tr w:rsidR="0033384C" w:rsidRPr="00235592" w14:paraId="4B6B97CF" w14:textId="77777777" w:rsidTr="009E7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238BF610" w14:textId="77777777" w:rsidR="0033384C" w:rsidRPr="0033384C" w:rsidRDefault="0033384C" w:rsidP="0033384C">
            <w:pPr>
              <w:pStyle w:val="ECCLetterHead"/>
            </w:pPr>
            <w:r w:rsidRPr="00235592">
              <w:t xml:space="preserve">Summary: </w:t>
            </w:r>
          </w:p>
        </w:tc>
      </w:tr>
      <w:tr w:rsidR="0033384C" w:rsidRPr="00235592" w14:paraId="256393CD"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2AFF7621" w14:textId="77777777" w:rsidR="0033384C" w:rsidRPr="00235592" w:rsidRDefault="0033384C" w:rsidP="00A256E2">
            <w:pPr>
              <w:pStyle w:val="ECCTabletext"/>
            </w:pPr>
          </w:p>
        </w:tc>
      </w:tr>
      <w:tr w:rsidR="0033384C" w:rsidRPr="00235592" w14:paraId="79C4CC78"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7829E1B5" w14:textId="77777777" w:rsidR="0033384C" w:rsidRPr="0033384C" w:rsidRDefault="0033384C" w:rsidP="0033384C">
            <w:pPr>
              <w:pStyle w:val="ECCLetterHead"/>
            </w:pPr>
            <w:r w:rsidRPr="00235592">
              <w:t>Proposal:</w:t>
            </w:r>
          </w:p>
        </w:tc>
      </w:tr>
      <w:tr w:rsidR="0033384C" w:rsidRPr="00235592" w14:paraId="27D1CA3D"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0DE51135" w14:textId="290D28BA" w:rsidR="002257B8" w:rsidRPr="00235592" w:rsidRDefault="002257B8" w:rsidP="00D73A5D">
            <w:pPr>
              <w:pStyle w:val="ECCBulletsLv2"/>
              <w:numPr>
                <w:ilvl w:val="0"/>
                <w:numId w:val="0"/>
              </w:numPr>
            </w:pPr>
          </w:p>
        </w:tc>
      </w:tr>
    </w:tbl>
    <w:p w14:paraId="3648518A" w14:textId="77777777" w:rsidR="0033384C" w:rsidRPr="00235592" w:rsidRDefault="0033384C" w:rsidP="0033384C">
      <w:pPr>
        <w:rPr>
          <w:rStyle w:val="ECCParagraph"/>
        </w:rPr>
      </w:pPr>
      <w:r w:rsidRPr="00235592">
        <w:rPr>
          <w:rStyle w:val="ECCParagraph"/>
        </w:rPr>
        <w:br w:type="page"/>
      </w:r>
    </w:p>
    <w:p w14:paraId="0F6CEAA3" w14:textId="77777777" w:rsidR="003771D5" w:rsidRPr="00CF2EC7" w:rsidRDefault="003771D5" w:rsidP="003A68D5">
      <w:pPr>
        <w:pStyle w:val="ECCHeadingnonumbering"/>
        <w:rPr>
          <w:lang w:val="en-US"/>
        </w:rPr>
      </w:pPr>
      <w:r w:rsidRPr="00CF2EC7">
        <w:rPr>
          <w:lang w:val="en-US"/>
        </w:rPr>
        <w:lastRenderedPageBreak/>
        <w:t xml:space="preserve">DRAFT CEPT BRIEF ON AGENDA ITEM </w:t>
      </w:r>
      <w:r w:rsidR="0016113C" w:rsidRPr="006C6699">
        <w:rPr>
          <w:lang w:val="en-GB"/>
        </w:rPr>
        <w:t>1.1</w:t>
      </w:r>
      <w:r w:rsidR="002257B8" w:rsidRPr="006C6699">
        <w:rPr>
          <w:lang w:val="en-GB"/>
        </w:rPr>
        <w:t>5</w:t>
      </w:r>
      <w:r w:rsidRPr="00CF2EC7">
        <w:rPr>
          <w:lang w:val="en-US"/>
        </w:rPr>
        <w:t xml:space="preserve"> </w:t>
      </w:r>
    </w:p>
    <w:p w14:paraId="607217F9" w14:textId="77777777" w:rsidR="003771D5" w:rsidRPr="006C5C1C" w:rsidRDefault="009059E3" w:rsidP="00BD4E12">
      <w:pPr>
        <w:rPr>
          <w:rStyle w:val="ECCParagraph"/>
        </w:rPr>
      </w:pPr>
      <w:r>
        <w:rPr>
          <w:rStyle w:val="ECCParagraph"/>
        </w:rPr>
        <w:t>1.1</w:t>
      </w:r>
      <w:r w:rsidR="002257B8">
        <w:rPr>
          <w:rStyle w:val="ECCParagraph"/>
        </w:rPr>
        <w:t>5</w:t>
      </w:r>
      <w:r w:rsidR="003771D5" w:rsidRPr="006C5C1C">
        <w:rPr>
          <w:rStyle w:val="ECCParagraph"/>
        </w:rPr>
        <w:tab/>
      </w:r>
      <w:r w:rsidR="002257B8" w:rsidRPr="002257B8">
        <w:t xml:space="preserve">to consider identification of frequency bands for use by administrations for the land-mobile and fixed services applications operating in the frequency range 275-450 GHz, in accordance with Resolution </w:t>
      </w:r>
      <w:r w:rsidR="002257B8" w:rsidRPr="00854128">
        <w:rPr>
          <w:rStyle w:val="ECCHLbold"/>
        </w:rPr>
        <w:t>767 (WRC-15)</w:t>
      </w:r>
      <w:r w:rsidR="002257B8">
        <w:t>;</w:t>
      </w:r>
    </w:p>
    <w:p w14:paraId="140EA478" w14:textId="77777777" w:rsidR="009059E3" w:rsidRPr="00D776F4" w:rsidRDefault="003771D5" w:rsidP="00D776F4">
      <w:pPr>
        <w:pStyle w:val="Heading1"/>
        <w:rPr>
          <w:lang w:val="en-GB"/>
        </w:rPr>
      </w:pPr>
      <w:r w:rsidRPr="00DD6CE9">
        <w:rPr>
          <w:lang w:val="en-GB"/>
        </w:rPr>
        <w:t>ISSUE</w:t>
      </w:r>
    </w:p>
    <w:p w14:paraId="10C8507C" w14:textId="48F2C6BC" w:rsidR="00D776F4" w:rsidRPr="008140BD" w:rsidRDefault="00D776F4" w:rsidP="00D776F4">
      <w:r>
        <w:t>T</w:t>
      </w:r>
      <w:r w:rsidRPr="008140BD">
        <w:t xml:space="preserve">aking into account the results of ITU-R studies </w:t>
      </w:r>
      <w:r>
        <w:t xml:space="preserve">according to Resolution </w:t>
      </w:r>
      <w:r w:rsidRPr="002F7F51">
        <w:rPr>
          <w:rStyle w:val="ECCHLbold"/>
        </w:rPr>
        <w:t>767 (WRC-15)</w:t>
      </w:r>
      <w:r>
        <w:t xml:space="preserve"> </w:t>
      </w:r>
      <w:r w:rsidRPr="008140BD">
        <w:t>on sharing and compatibility between passive and</w:t>
      </w:r>
      <w:r>
        <w:t xml:space="preserve"> </w:t>
      </w:r>
      <w:r w:rsidRPr="008140BD">
        <w:t>active services as well as spectrum needs for those services, to consider identification for use by</w:t>
      </w:r>
      <w:r>
        <w:t xml:space="preserve"> </w:t>
      </w:r>
      <w:r w:rsidRPr="008140BD">
        <w:t>administrations for the land-mobile and fixed service applications operating in the frequency</w:t>
      </w:r>
      <w:r>
        <w:t xml:space="preserve"> </w:t>
      </w:r>
      <w:r w:rsidRPr="008140BD">
        <w:t>range 275-450 GHz, while maintaining protection of the pas</w:t>
      </w:r>
      <w:r w:rsidR="005E7CD3">
        <w:t>sive services identified in No</w:t>
      </w:r>
      <w:r>
        <w:t xml:space="preserve"> </w:t>
      </w:r>
      <w:r w:rsidRPr="00531E5B">
        <w:rPr>
          <w:rStyle w:val="ECCHLbold"/>
        </w:rPr>
        <w:t>5.565</w:t>
      </w:r>
      <w:r>
        <w:t xml:space="preserve"> and take appropriate </w:t>
      </w:r>
      <w:r w:rsidRPr="00531E5B">
        <w:t>action</w:t>
      </w:r>
      <w:r>
        <w:t>.</w:t>
      </w:r>
    </w:p>
    <w:p w14:paraId="6FC4640F" w14:textId="77777777" w:rsidR="003771D5" w:rsidRPr="00DD6CE9" w:rsidRDefault="003771D5" w:rsidP="009059E3">
      <w:pPr>
        <w:pStyle w:val="Heading1"/>
        <w:rPr>
          <w:lang w:val="en-GB"/>
        </w:rPr>
      </w:pPr>
      <w:r w:rsidRPr="00DD6CE9">
        <w:rPr>
          <w:lang w:val="en-GB"/>
        </w:rPr>
        <w:t xml:space="preserve">Preliminary CEPT position </w:t>
      </w:r>
    </w:p>
    <w:p w14:paraId="5CB4E860" w14:textId="16613A4B" w:rsidR="008E521D" w:rsidRPr="008E521D" w:rsidRDefault="008E521D" w:rsidP="008E521D">
      <w:r w:rsidRPr="008E521D">
        <w:t xml:space="preserve">CEPT supports the identification of frequency bands for land-mobile and fixed services applications in this frequency range </w:t>
      </w:r>
      <w:r>
        <w:t xml:space="preserve">notwithstanding </w:t>
      </w:r>
      <w:r w:rsidR="007F32B3" w:rsidRPr="008E521D">
        <w:t xml:space="preserve">the continued protection of the passive services in the frequency range 275-450 GHz as identified in No </w:t>
      </w:r>
      <w:r w:rsidR="007F32B3" w:rsidRPr="00B75426">
        <w:rPr>
          <w:rStyle w:val="ECCHLbold"/>
        </w:rPr>
        <w:t>5.565</w:t>
      </w:r>
      <w:r w:rsidR="007F32B3" w:rsidRPr="008E521D">
        <w:t xml:space="preserve">. </w:t>
      </w:r>
    </w:p>
    <w:p w14:paraId="0CAEAF40" w14:textId="1958CF6E" w:rsidR="003771D5" w:rsidRPr="00DD6CE9" w:rsidRDefault="003771D5" w:rsidP="003A68D5">
      <w:pPr>
        <w:pStyle w:val="Heading1"/>
      </w:pPr>
      <w:r w:rsidRPr="00DD6CE9">
        <w:t xml:space="preserve">Background </w:t>
      </w:r>
    </w:p>
    <w:p w14:paraId="2485E572" w14:textId="32C92E27" w:rsidR="006449E4" w:rsidRPr="00854128" w:rsidRDefault="006449E4" w:rsidP="006449E4">
      <w:pPr>
        <w:rPr>
          <w:rStyle w:val="ECCParagraph"/>
        </w:rPr>
      </w:pPr>
      <w:r>
        <w:rPr>
          <w:rStyle w:val="ECCParagraph"/>
        </w:rPr>
        <w:t>In close proximity</w:t>
      </w:r>
      <w:r w:rsidR="00B75426">
        <w:rPr>
          <w:rStyle w:val="ECCParagraph"/>
        </w:rPr>
        <w:t xml:space="preserve"> to</w:t>
      </w:r>
      <w:r>
        <w:rPr>
          <w:rStyle w:val="ECCParagraph"/>
        </w:rPr>
        <w:t xml:space="preserve"> radio communication systems huge amount of data is transferred from a stationary terminal to some mobile equipment in less than a few seconds. Wireless links for data centres, which are deployed in addition to fibres, allow for reconfigurable links within a data </w:t>
      </w:r>
      <w:r w:rsidR="00B75426">
        <w:rPr>
          <w:rStyle w:val="ECCParagraph"/>
        </w:rPr>
        <w:t>centre</w:t>
      </w:r>
      <w:r>
        <w:rPr>
          <w:rStyle w:val="ECCParagraph"/>
        </w:rPr>
        <w:t xml:space="preserve">. These links allow for flexibility in routing </w:t>
      </w:r>
      <w:proofErr w:type="gramStart"/>
      <w:r>
        <w:rPr>
          <w:rStyle w:val="ECCParagraph"/>
        </w:rPr>
        <w:t>to cope</w:t>
      </w:r>
      <w:proofErr w:type="gramEnd"/>
      <w:r>
        <w:rPr>
          <w:rStyle w:val="ECCParagraph"/>
        </w:rPr>
        <w:t xml:space="preserve"> with peak traffic. In intra-device communications, a wireless link between e.g. microchips within one device is realized.</w:t>
      </w:r>
    </w:p>
    <w:p w14:paraId="3A2BEBD0" w14:textId="597E1FED" w:rsidR="002D0091" w:rsidRPr="00983654" w:rsidRDefault="002D0091" w:rsidP="002D0091">
      <w:pPr>
        <w:rPr>
          <w:rStyle w:val="ECCParagraph"/>
        </w:rPr>
      </w:pPr>
      <w:r w:rsidRPr="00983654">
        <w:rPr>
          <w:rStyle w:val="ECCParagraph"/>
        </w:rPr>
        <w:t>WP 5A and WP 5C have informed WP 1A</w:t>
      </w:r>
      <w:r w:rsidR="00FF543C">
        <w:rPr>
          <w:rStyle w:val="ECCParagraph"/>
        </w:rPr>
        <w:t xml:space="preserve"> (at the</w:t>
      </w:r>
      <w:r>
        <w:rPr>
          <w:rStyle w:val="ECCParagraph"/>
        </w:rPr>
        <w:t xml:space="preserve"> June 2017 WP 1A meeting</w:t>
      </w:r>
      <w:r w:rsidR="00FF543C">
        <w:rPr>
          <w:rStyle w:val="ECCParagraph"/>
        </w:rPr>
        <w:t xml:space="preserve">) </w:t>
      </w:r>
      <w:r>
        <w:rPr>
          <w:rStyle w:val="ECCParagraph"/>
        </w:rPr>
        <w:t>about the necessary</w:t>
      </w:r>
      <w:r w:rsidRPr="00983654">
        <w:rPr>
          <w:rStyle w:val="ECCParagraph"/>
        </w:rPr>
        <w:t xml:space="preserve"> </w:t>
      </w:r>
      <w:r>
        <w:rPr>
          <w:rStyle w:val="ECCParagraph"/>
        </w:rPr>
        <w:t xml:space="preserve">parameters </w:t>
      </w:r>
      <w:r w:rsidRPr="00983654">
        <w:rPr>
          <w:rStyle w:val="ECCParagraph"/>
        </w:rPr>
        <w:t xml:space="preserve">of land-mobile </w:t>
      </w:r>
      <w:r>
        <w:rPr>
          <w:rStyle w:val="ECCParagraph"/>
        </w:rPr>
        <w:t>service (LMS)</w:t>
      </w:r>
      <w:r w:rsidRPr="00983654">
        <w:rPr>
          <w:rStyle w:val="ECCParagraph"/>
        </w:rPr>
        <w:t xml:space="preserve"> and fixed service (FS) application</w:t>
      </w:r>
      <w:r>
        <w:rPr>
          <w:rStyle w:val="ECCParagraph"/>
        </w:rPr>
        <w:t>s to be used for sharing and compatibility studies:</w:t>
      </w:r>
      <w:r w:rsidRPr="00983654">
        <w:rPr>
          <w:rStyle w:val="ECCParagraph"/>
        </w:rPr>
        <w:t xml:space="preserve"> </w:t>
      </w:r>
    </w:p>
    <w:p w14:paraId="42026E98" w14:textId="4075B6BA" w:rsidR="002D0091" w:rsidRDefault="002D0091" w:rsidP="002D0091">
      <w:pPr>
        <w:pStyle w:val="ECCBulletsLv1"/>
        <w:numPr>
          <w:ilvl w:val="0"/>
          <w:numId w:val="8"/>
        </w:numPr>
        <w:rPr>
          <w:rStyle w:val="ECCParagraph"/>
        </w:rPr>
      </w:pPr>
      <w:r w:rsidRPr="008E5BEA">
        <w:rPr>
          <w:iCs/>
          <w:lang w:val="en-US"/>
        </w:rPr>
        <w:t>WP </w:t>
      </w:r>
      <w:r>
        <w:rPr>
          <w:iCs/>
          <w:lang w:val="en-US"/>
        </w:rPr>
        <w:t xml:space="preserve">5A has </w:t>
      </w:r>
      <w:r w:rsidRPr="008E5BEA">
        <w:rPr>
          <w:iCs/>
          <w:lang w:val="en-US"/>
        </w:rPr>
        <w:t xml:space="preserve">developed </w:t>
      </w:r>
      <w:r>
        <w:rPr>
          <w:iCs/>
          <w:lang w:val="en-US"/>
        </w:rPr>
        <w:t xml:space="preserve">a </w:t>
      </w:r>
      <w:r w:rsidRPr="008E5BEA">
        <w:rPr>
          <w:iCs/>
          <w:lang w:val="en-US"/>
        </w:rPr>
        <w:t>prelimin</w:t>
      </w:r>
      <w:r>
        <w:rPr>
          <w:iCs/>
          <w:lang w:val="en-US"/>
        </w:rPr>
        <w:t xml:space="preserve">ary draft new Report </w:t>
      </w:r>
      <w:r w:rsidRPr="008E5BEA">
        <w:rPr>
          <w:iCs/>
          <w:lang w:val="en-US"/>
        </w:rPr>
        <w:t>ITU-R M.</w:t>
      </w:r>
      <w:r>
        <w:rPr>
          <w:iCs/>
          <w:lang w:val="en-US"/>
        </w:rPr>
        <w:t xml:space="preserve"> </w:t>
      </w:r>
      <w:r w:rsidRPr="008E5BEA">
        <w:rPr>
          <w:iCs/>
          <w:lang w:val="en-US"/>
        </w:rPr>
        <w:t>[300GHZ_MS</w:t>
      </w:r>
      <w:r w:rsidR="00EB62A1">
        <w:t>_</w:t>
      </w:r>
      <w:r w:rsidRPr="008E5BEA">
        <w:rPr>
          <w:iCs/>
          <w:lang w:val="en-US"/>
        </w:rPr>
        <w:t xml:space="preserve">CHAR] </w:t>
      </w:r>
      <w:r w:rsidRPr="008E5BEA">
        <w:rPr>
          <w:lang w:val="en-US"/>
        </w:rPr>
        <w:t xml:space="preserve">providing technical and operational characteristics, as </w:t>
      </w:r>
      <w:r>
        <w:rPr>
          <w:lang w:val="en-US"/>
        </w:rPr>
        <w:t>well as spectrum needs of LMS a</w:t>
      </w:r>
      <w:r w:rsidR="00FF543C">
        <w:rPr>
          <w:lang w:val="en-US"/>
        </w:rPr>
        <w:t>p</w:t>
      </w:r>
      <w:r w:rsidRPr="008E5BEA">
        <w:rPr>
          <w:lang w:val="en-US"/>
        </w:rPr>
        <w:t>plications</w:t>
      </w:r>
      <w:r>
        <w:rPr>
          <w:lang w:val="en-US"/>
        </w:rPr>
        <w:t xml:space="preserve"> </w:t>
      </w:r>
      <w:r>
        <w:rPr>
          <w:lang w:val="en-US" w:eastAsia="ja-JP"/>
        </w:rPr>
        <w:t xml:space="preserve">(Annex 31 to Document </w:t>
      </w:r>
      <w:hyperlink r:id="rId9" w:history="1">
        <w:r w:rsidRPr="00223512">
          <w:rPr>
            <w:rStyle w:val="Hyperlink"/>
            <w:lang w:val="en-US" w:eastAsia="ja-JP"/>
          </w:rPr>
          <w:t>5A/469</w:t>
        </w:r>
      </w:hyperlink>
      <w:r>
        <w:rPr>
          <w:lang w:val="en-US" w:eastAsia="ja-JP"/>
        </w:rPr>
        <w:t>).</w:t>
      </w:r>
      <w:r w:rsidRPr="008E5BEA">
        <w:rPr>
          <w:lang w:val="en-US"/>
        </w:rPr>
        <w:t xml:space="preserve"> </w:t>
      </w:r>
    </w:p>
    <w:p w14:paraId="1E330F60" w14:textId="7EEFE1D2" w:rsidR="00D628CA" w:rsidRDefault="002D0091" w:rsidP="006449E4">
      <w:pPr>
        <w:pStyle w:val="ECCBulletsLv1"/>
        <w:numPr>
          <w:ilvl w:val="0"/>
          <w:numId w:val="8"/>
        </w:numPr>
        <w:rPr>
          <w:rStyle w:val="ECCParagraph"/>
        </w:rPr>
      </w:pPr>
      <w:r>
        <w:rPr>
          <w:rStyle w:val="ECCParagraph"/>
        </w:rPr>
        <w:t xml:space="preserve">WP 5C has developed a </w:t>
      </w:r>
      <w:r w:rsidRPr="008E5BEA">
        <w:rPr>
          <w:iCs/>
          <w:lang w:val="en-US"/>
        </w:rPr>
        <w:t>prelimin</w:t>
      </w:r>
      <w:r>
        <w:rPr>
          <w:iCs/>
          <w:lang w:val="en-US"/>
        </w:rPr>
        <w:t xml:space="preserve">ary draft new Report </w:t>
      </w:r>
      <w:r w:rsidRPr="008E5BEA">
        <w:rPr>
          <w:iCs/>
          <w:lang w:val="en-US"/>
        </w:rPr>
        <w:t>ITU-R</w:t>
      </w:r>
      <w:r>
        <w:rPr>
          <w:iCs/>
          <w:lang w:val="en-US"/>
        </w:rPr>
        <w:t xml:space="preserve"> </w:t>
      </w:r>
      <w:r w:rsidRPr="00013652">
        <w:rPr>
          <w:iCs/>
          <w:lang w:val="en-US"/>
        </w:rPr>
        <w:t>F.[300GHZ_FS</w:t>
      </w:r>
      <w:r w:rsidR="00EB62A1">
        <w:t>_</w:t>
      </w:r>
      <w:r w:rsidRPr="00013652">
        <w:rPr>
          <w:iCs/>
          <w:lang w:val="en-US"/>
        </w:rPr>
        <w:t>CHAR] providing technical and operational characteristics, as well as spectrum needs, of FS applications</w:t>
      </w:r>
      <w:r>
        <w:rPr>
          <w:iCs/>
          <w:lang w:val="en-US"/>
        </w:rPr>
        <w:t xml:space="preserve"> (</w:t>
      </w:r>
      <w:r>
        <w:rPr>
          <w:iCs/>
          <w:lang w:val="en-US" w:eastAsia="ja-JP"/>
        </w:rPr>
        <w:t>Annex 3 to Document </w:t>
      </w:r>
      <w:hyperlink r:id="rId10" w:history="1">
        <w:r w:rsidRPr="003701D5">
          <w:rPr>
            <w:rStyle w:val="Hyperlink"/>
            <w:iCs/>
            <w:lang w:val="en-US" w:eastAsia="ja-JP"/>
          </w:rPr>
          <w:t>5C/292</w:t>
        </w:r>
      </w:hyperlink>
      <w:r>
        <w:rPr>
          <w:rStyle w:val="Hyperlink"/>
          <w:iCs/>
          <w:lang w:val="en-US" w:eastAsia="ja-JP"/>
        </w:rPr>
        <w:t>).</w:t>
      </w:r>
    </w:p>
    <w:p w14:paraId="3FC00CEC" w14:textId="1061184A" w:rsidR="0057689A" w:rsidRDefault="006449E4" w:rsidP="006449E4">
      <w:pPr>
        <w:rPr>
          <w:rStyle w:val="ECCParagraph"/>
        </w:rPr>
      </w:pPr>
      <w:r>
        <w:rPr>
          <w:rStyle w:val="ECCParagraph"/>
        </w:rPr>
        <w:t xml:space="preserve">ITU-R </w:t>
      </w:r>
      <w:r w:rsidR="0059047B">
        <w:rPr>
          <w:rStyle w:val="ECCParagraph"/>
        </w:rPr>
        <w:t>on-going</w:t>
      </w:r>
      <w:r w:rsidR="007D4215">
        <w:rPr>
          <w:rStyle w:val="ECCParagraph"/>
        </w:rPr>
        <w:t xml:space="preserve"> </w:t>
      </w:r>
      <w:r>
        <w:rPr>
          <w:rStyle w:val="ECCParagraph"/>
        </w:rPr>
        <w:t xml:space="preserve">studies </w:t>
      </w:r>
      <w:r w:rsidR="0059047B">
        <w:rPr>
          <w:rStyle w:val="ECCParagraph"/>
        </w:rPr>
        <w:t xml:space="preserve">are considering </w:t>
      </w:r>
      <w:r w:rsidR="007D4215">
        <w:rPr>
          <w:rStyle w:val="ECCParagraph"/>
        </w:rPr>
        <w:t>LMS</w:t>
      </w:r>
      <w:r>
        <w:rPr>
          <w:rStyle w:val="ECCParagraph"/>
        </w:rPr>
        <w:t xml:space="preserve"> applications like "</w:t>
      </w:r>
      <w:r w:rsidRPr="00911F31">
        <w:t xml:space="preserve">close proximity </w:t>
      </w:r>
      <w:r w:rsidR="007D4215">
        <w:t>mobile systems (CPMS)</w:t>
      </w:r>
      <w:r>
        <w:t xml:space="preserve">", </w:t>
      </w:r>
      <w:r w:rsidRPr="00911F31">
        <w:rPr>
          <w:rStyle w:val="ECCParagraph"/>
        </w:rPr>
        <w:t>“wireless links for data centres” and “intra-device communications”</w:t>
      </w:r>
      <w:r>
        <w:rPr>
          <w:rStyle w:val="ECCParagraph"/>
        </w:rPr>
        <w:t>. All these applications are point-to-point wireless links which will provide high data rates, in the order of 100 </w:t>
      </w:r>
      <w:proofErr w:type="spellStart"/>
      <w:r>
        <w:rPr>
          <w:rStyle w:val="ECCParagraph"/>
        </w:rPr>
        <w:t>Gbit</w:t>
      </w:r>
      <w:proofErr w:type="spellEnd"/>
      <w:r>
        <w:rPr>
          <w:rStyle w:val="ECCParagraph"/>
        </w:rPr>
        <w:t>/s, with simple modulation schemes using wide bandwidths of up to 103.68 GHz in the range of 275 to 450 GHz.</w:t>
      </w:r>
      <w:r w:rsidRPr="001F21C0">
        <w:rPr>
          <w:rStyle w:val="ECCParagraph"/>
        </w:rPr>
        <w:t xml:space="preserve"> </w:t>
      </w:r>
    </w:p>
    <w:p w14:paraId="08B7B274" w14:textId="3CA391BE" w:rsidR="00460EC1" w:rsidRDefault="00355F29" w:rsidP="006449E4">
      <w:pPr>
        <w:rPr>
          <w:rStyle w:val="ECCParagraph"/>
        </w:rPr>
      </w:pPr>
      <w:r>
        <w:rPr>
          <w:rStyle w:val="ECCParagraph"/>
        </w:rPr>
        <w:t xml:space="preserve">The </w:t>
      </w:r>
      <w:r w:rsidR="006D0CFC">
        <w:rPr>
          <w:rStyle w:val="ECCParagraph"/>
        </w:rPr>
        <w:t xml:space="preserve">main </w:t>
      </w:r>
      <w:r>
        <w:rPr>
          <w:rStyle w:val="ECCParagraph"/>
        </w:rPr>
        <w:t xml:space="preserve">FS applications </w:t>
      </w:r>
      <w:r w:rsidR="00DA7F50">
        <w:rPr>
          <w:rStyle w:val="ECCParagraph"/>
        </w:rPr>
        <w:t>considered in the frequency range 275-450 GHz are point-to-point</w:t>
      </w:r>
      <w:r w:rsidR="0057689A">
        <w:rPr>
          <w:rStyle w:val="ECCParagraph"/>
        </w:rPr>
        <w:t xml:space="preserve"> </w:t>
      </w:r>
      <w:proofErr w:type="spellStart"/>
      <w:r w:rsidR="006449E4">
        <w:rPr>
          <w:rStyle w:val="ECCParagraph"/>
        </w:rPr>
        <w:t>fronthaul</w:t>
      </w:r>
      <w:proofErr w:type="spellEnd"/>
      <w:r w:rsidR="006449E4">
        <w:rPr>
          <w:rStyle w:val="ECCParagraph"/>
        </w:rPr>
        <w:t xml:space="preserve"> and backhaul links</w:t>
      </w:r>
      <w:r w:rsidR="00C73862">
        <w:rPr>
          <w:rStyle w:val="ECCParagraph"/>
        </w:rPr>
        <w:t xml:space="preserve"> for mobile services</w:t>
      </w:r>
      <w:r w:rsidR="00E8609F">
        <w:rPr>
          <w:rStyle w:val="ECCParagraph"/>
        </w:rPr>
        <w:t xml:space="preserve">. </w:t>
      </w:r>
      <w:r w:rsidR="00E8609F">
        <w:rPr>
          <w:lang w:eastAsia="ja-JP"/>
        </w:rPr>
        <w:t xml:space="preserve">The </w:t>
      </w:r>
      <w:proofErr w:type="spellStart"/>
      <w:r w:rsidR="00E8609F">
        <w:rPr>
          <w:lang w:eastAsia="ja-JP"/>
        </w:rPr>
        <w:t>fronthaul</w:t>
      </w:r>
      <w:proofErr w:type="spellEnd"/>
      <w:r w:rsidR="00E8609F">
        <w:rPr>
          <w:lang w:eastAsia="ja-JP"/>
        </w:rPr>
        <w:t xml:space="preserve"> is the l</w:t>
      </w:r>
      <w:r w:rsidR="00E8609F" w:rsidRPr="00AD58ED">
        <w:rPr>
          <w:lang w:eastAsia="ja-JP"/>
        </w:rPr>
        <w:t>ink connection between the base station</w:t>
      </w:r>
      <w:r w:rsidR="00E8609F">
        <w:rPr>
          <w:lang w:eastAsia="ja-JP"/>
        </w:rPr>
        <w:t>’s</w:t>
      </w:r>
      <w:r w:rsidR="00E8609F" w:rsidRPr="00AD58ED">
        <w:rPr>
          <w:lang w:eastAsia="ja-JP"/>
        </w:rPr>
        <w:t xml:space="preserve"> baseband </w:t>
      </w:r>
      <w:r w:rsidR="00E8609F">
        <w:rPr>
          <w:lang w:eastAsia="ja-JP"/>
        </w:rPr>
        <w:t>unit (BBU) and the remote radio head (RRH), while the backhaul is the l</w:t>
      </w:r>
      <w:r w:rsidR="00E8609F" w:rsidRPr="00AD58ED">
        <w:rPr>
          <w:lang w:eastAsia="ja-JP"/>
        </w:rPr>
        <w:t>ink between the base station and</w:t>
      </w:r>
      <w:r w:rsidR="00E8609F">
        <w:rPr>
          <w:lang w:eastAsia="ja-JP"/>
        </w:rPr>
        <w:t xml:space="preserve"> the higher level network elements. Both links</w:t>
      </w:r>
      <w:r w:rsidR="006449E4">
        <w:rPr>
          <w:rStyle w:val="ECCParagraph"/>
        </w:rPr>
        <w:t xml:space="preserve"> share identical parameters since the difference between both is only the transmitted data. High data rates in the order of 100 </w:t>
      </w:r>
      <w:proofErr w:type="spellStart"/>
      <w:r w:rsidR="006449E4">
        <w:rPr>
          <w:rStyle w:val="ECCParagraph"/>
        </w:rPr>
        <w:t>Gbit</w:t>
      </w:r>
      <w:proofErr w:type="spellEnd"/>
      <w:r w:rsidR="006449E4">
        <w:rPr>
          <w:rStyle w:val="ECCParagraph"/>
        </w:rPr>
        <w:t xml:space="preserve">/s are provided by simple modulation schemes using wide bandwidths of </w:t>
      </w:r>
      <w:r w:rsidR="009A23B9">
        <w:rPr>
          <w:rStyle w:val="ECCParagraph"/>
        </w:rPr>
        <w:t>about</w:t>
      </w:r>
      <w:r w:rsidR="006449E4">
        <w:rPr>
          <w:rStyle w:val="ECCParagraph"/>
        </w:rPr>
        <w:t xml:space="preserve"> 50 GHz. Due to the longer transmission distances </w:t>
      </w:r>
      <w:r w:rsidR="00921FDD">
        <w:rPr>
          <w:rStyle w:val="ECCParagraph"/>
        </w:rPr>
        <w:t xml:space="preserve">and </w:t>
      </w:r>
      <w:r w:rsidR="006449E4">
        <w:rPr>
          <w:rStyle w:val="ECCParagraph"/>
        </w:rPr>
        <w:t>the atmospheric absorption</w:t>
      </w:r>
      <w:r w:rsidR="003B3069">
        <w:rPr>
          <w:rStyle w:val="ECCParagraph"/>
        </w:rPr>
        <w:t>,</w:t>
      </w:r>
      <w:r w:rsidR="006449E4">
        <w:rPr>
          <w:rStyle w:val="ECCParagraph"/>
        </w:rPr>
        <w:t xml:space="preserve"> </w:t>
      </w:r>
      <w:r w:rsidR="003B3069">
        <w:rPr>
          <w:rStyle w:val="ECCParagraph"/>
        </w:rPr>
        <w:t xml:space="preserve">fixed point-to-point systems </w:t>
      </w:r>
      <w:r w:rsidR="006449E4">
        <w:rPr>
          <w:rStyle w:val="ECCParagraph"/>
        </w:rPr>
        <w:t>narrow down the frequency range</w:t>
      </w:r>
      <w:r w:rsidR="009256A5">
        <w:rPr>
          <w:rStyle w:val="ECCParagraph"/>
        </w:rPr>
        <w:t xml:space="preserve"> </w:t>
      </w:r>
      <w:r w:rsidR="006449E4">
        <w:rPr>
          <w:rStyle w:val="ECCParagraph"/>
        </w:rPr>
        <w:t xml:space="preserve">for candidate bands </w:t>
      </w:r>
      <w:r w:rsidR="00341496">
        <w:rPr>
          <w:rStyle w:val="ECCParagraph"/>
        </w:rPr>
        <w:t>(See section 3.1).</w:t>
      </w:r>
    </w:p>
    <w:p w14:paraId="5FC65580" w14:textId="536AE1BC" w:rsidR="00006EA6" w:rsidRPr="003442CB" w:rsidRDefault="006449E4" w:rsidP="00FD19DF">
      <w:pPr>
        <w:rPr>
          <w:rStyle w:val="ECCParagraph"/>
        </w:rPr>
      </w:pPr>
      <w:r>
        <w:t>In IEEE 802 a first standard for point-to-point links in the frequency range 252-325 GHz is currently under development</w:t>
      </w:r>
      <w:r w:rsidR="00FD19DF">
        <w:t xml:space="preserve"> and expected to be published in the beginning of 2018</w:t>
      </w:r>
      <w:r>
        <w:t>.</w:t>
      </w:r>
      <w:r w:rsidR="00006EA6" w:rsidRPr="003442CB">
        <w:rPr>
          <w:rStyle w:val="ECCParagraph"/>
        </w:rPr>
        <w:t xml:space="preserve">The applications and the technical characteristics of the IEEE standard under development are consistent with the FS and LMS parameters that </w:t>
      </w:r>
      <w:r w:rsidR="00006EA6" w:rsidRPr="003442CB">
        <w:rPr>
          <w:rStyle w:val="ECCParagraph"/>
        </w:rPr>
        <w:lastRenderedPageBreak/>
        <w:t>are provided by 5A and 5C in the preliminary draft new reports ITU-R M</w:t>
      </w:r>
      <w:proofErr w:type="gramStart"/>
      <w:r w:rsidR="00006EA6" w:rsidRPr="003442CB">
        <w:rPr>
          <w:rStyle w:val="ECCParagraph"/>
        </w:rPr>
        <w:t>.[</w:t>
      </w:r>
      <w:proofErr w:type="gramEnd"/>
      <w:r w:rsidR="00006EA6" w:rsidRPr="003442CB">
        <w:rPr>
          <w:rStyle w:val="ECCParagraph"/>
        </w:rPr>
        <w:t>300GHZ_MS_CHAR] and ITU-R F.[300GHZ_FS_CHAR] for consideration in the frequency compatibility studies.</w:t>
      </w:r>
    </w:p>
    <w:p w14:paraId="6947096A" w14:textId="2904A8E4" w:rsidR="00002B95" w:rsidRDefault="00400F9D" w:rsidP="00400F9D">
      <w:pPr>
        <w:pStyle w:val="Heading2"/>
      </w:pPr>
      <w:r>
        <w:t>spectrum needs</w:t>
      </w:r>
    </w:p>
    <w:p w14:paraId="32D0033A" w14:textId="6AFC6190" w:rsidR="007A633F" w:rsidRPr="00D21995" w:rsidRDefault="00BC6794" w:rsidP="007A633F">
      <w:pPr>
        <w:rPr>
          <w:szCs w:val="24"/>
          <w:lang w:eastAsia="ja-JP"/>
        </w:rPr>
      </w:pPr>
      <w:r w:rsidRPr="00BC6794">
        <w:rPr>
          <w:b/>
          <w:szCs w:val="24"/>
          <w:lang w:val="en-US" w:eastAsia="ja-JP"/>
        </w:rPr>
        <w:t xml:space="preserve">LMS Applications: </w:t>
      </w:r>
      <w:r w:rsidR="00800C40">
        <w:t>WP 5A concluded that a</w:t>
      </w:r>
      <w:r w:rsidR="007A633F" w:rsidRPr="00DD4533">
        <w:rPr>
          <w:szCs w:val="24"/>
          <w:lang w:val="en-US" w:eastAsia="ja-JP"/>
        </w:rPr>
        <w:t xml:space="preserve"> total spectrum bandwidth o</w:t>
      </w:r>
      <w:r w:rsidR="007A633F">
        <w:rPr>
          <w:szCs w:val="24"/>
          <w:lang w:val="en-US" w:eastAsia="ja-JP"/>
        </w:rPr>
        <w:t xml:space="preserve">f 50 GHz </w:t>
      </w:r>
      <w:r w:rsidR="001166CE">
        <w:t>would be</w:t>
      </w:r>
      <w:r w:rsidR="007A633F">
        <w:rPr>
          <w:szCs w:val="24"/>
          <w:lang w:val="en-US" w:eastAsia="ja-JP"/>
        </w:rPr>
        <w:t xml:space="preserve"> sufficient to provide high-data rate transmissions between CPMS devices for KIOSK applications, as well as, intra device applications and wireless links for data centers</w:t>
      </w:r>
      <w:r w:rsidR="00105519">
        <w:rPr>
          <w:szCs w:val="24"/>
          <w:lang w:val="en-US" w:eastAsia="ja-JP"/>
        </w:rPr>
        <w:t>. In the case of CPMS application for KIOSK downloading</w:t>
      </w:r>
      <w:r w:rsidR="00800C40">
        <w:t xml:space="preserve"> </w:t>
      </w:r>
      <w:r w:rsidR="006C18B8">
        <w:t>t</w:t>
      </w:r>
      <w:r w:rsidR="00105519">
        <w:rPr>
          <w:szCs w:val="24"/>
          <w:lang w:val="en-US" w:eastAsia="ja-JP"/>
        </w:rPr>
        <w:t>he candidate frequency</w:t>
      </w:r>
      <w:r w:rsidR="00800C40">
        <w:t xml:space="preserve"> range to satisfy this spectrum requirement</w:t>
      </w:r>
      <w:r w:rsidR="00D21995">
        <w:t xml:space="preserve"> </w:t>
      </w:r>
      <w:r w:rsidR="00935805">
        <w:rPr>
          <w:szCs w:val="24"/>
          <w:lang w:val="en-US" w:eastAsia="ja-JP"/>
        </w:rPr>
        <w:t>is 275 – 325 GHz. For other CPMS applications, intra-device communications and wireless links for da</w:t>
      </w:r>
      <w:r w:rsidR="0099782C">
        <w:rPr>
          <w:szCs w:val="24"/>
          <w:lang w:val="en-US" w:eastAsia="ja-JP"/>
        </w:rPr>
        <w:t xml:space="preserve">ta centers, the candidate frequency band considered </w:t>
      </w:r>
      <w:r w:rsidR="00D21995">
        <w:t xml:space="preserve">by WP 5A </w:t>
      </w:r>
      <w:r w:rsidR="0099782C">
        <w:rPr>
          <w:szCs w:val="24"/>
          <w:lang w:val="en-US" w:eastAsia="ja-JP"/>
        </w:rPr>
        <w:t>is the full range 275 – 450 GHz</w:t>
      </w:r>
      <w:r w:rsidR="00743384">
        <w:rPr>
          <w:szCs w:val="24"/>
          <w:lang w:val="en-US" w:eastAsia="ja-JP"/>
        </w:rPr>
        <w:t xml:space="preserve"> (Doc. 5A/469 Annex 31, June 2017)</w:t>
      </w:r>
      <w:r w:rsidR="0099782C">
        <w:rPr>
          <w:szCs w:val="24"/>
          <w:lang w:val="en-US" w:eastAsia="ja-JP"/>
        </w:rPr>
        <w:t>.</w:t>
      </w:r>
      <w:r w:rsidR="00D21995">
        <w:t xml:space="preserve"> The final selection of the bands identified for LMS will depend on the results of the technical studies. </w:t>
      </w:r>
      <w:r w:rsidR="001166CE" w:rsidRPr="008D4752">
        <w:rPr>
          <w:rStyle w:val="ECCParagraph"/>
        </w:rPr>
        <w:t>A</w:t>
      </w:r>
      <w:r w:rsidR="00D21995" w:rsidRPr="008D4752">
        <w:rPr>
          <w:rStyle w:val="ECCParagraph"/>
        </w:rPr>
        <w:t xml:space="preserve"> segmentation of these 50 GHz in non</w:t>
      </w:r>
      <w:r w:rsidR="001166CE" w:rsidRPr="008D4752">
        <w:rPr>
          <w:rStyle w:val="ECCParagraph"/>
        </w:rPr>
        <w:t>-</w:t>
      </w:r>
      <w:r w:rsidR="00D21995" w:rsidRPr="008D4752">
        <w:rPr>
          <w:rStyle w:val="ECCParagraph"/>
        </w:rPr>
        <w:t>consecutive allocation blocks</w:t>
      </w:r>
      <w:r w:rsidR="00D21995">
        <w:t xml:space="preserve"> could provide the solution for this agenda item. Due consideration should </w:t>
      </w:r>
      <w:r w:rsidR="001166CE">
        <w:t xml:space="preserve">also </w:t>
      </w:r>
      <w:r w:rsidR="00D21995">
        <w:t>be given to the MS allocations below 275 GHz</w:t>
      </w:r>
      <w:r w:rsidR="001166CE">
        <w:t xml:space="preserve"> to be used to satisfy parts of the spectrum requirements identified</w:t>
      </w:r>
      <w:r w:rsidR="00D21995">
        <w:t>.</w:t>
      </w:r>
    </w:p>
    <w:p w14:paraId="5E170DC9" w14:textId="157309A2" w:rsidR="00D21995" w:rsidRPr="00D21995" w:rsidRDefault="00BC6794" w:rsidP="00D21995">
      <w:r>
        <w:rPr>
          <w:b/>
        </w:rPr>
        <w:t>FS Applications:</w:t>
      </w:r>
      <w:r>
        <w:t xml:space="preserve"> </w:t>
      </w:r>
      <w:r w:rsidR="001166CE">
        <w:t>WP 5C concluded that a</w:t>
      </w:r>
      <w:r w:rsidR="00680EFE">
        <w:t xml:space="preserve"> bandwidth of around 25 GHz</w:t>
      </w:r>
      <w:r w:rsidR="001166CE">
        <w:t xml:space="preserve"> would be</w:t>
      </w:r>
      <w:r w:rsidR="00680EFE">
        <w:t xml:space="preserve"> sufficient for </w:t>
      </w:r>
      <w:r w:rsidR="000667DE">
        <w:t xml:space="preserve">initial typical deployments of </w:t>
      </w:r>
      <w:r w:rsidR="000667DE">
        <w:rPr>
          <w:lang w:eastAsia="ja-JP"/>
        </w:rPr>
        <w:t xml:space="preserve">high-capacity links for </w:t>
      </w:r>
      <w:proofErr w:type="spellStart"/>
      <w:r w:rsidR="000667DE">
        <w:rPr>
          <w:lang w:eastAsia="ja-JP"/>
        </w:rPr>
        <w:t>fronthaul</w:t>
      </w:r>
      <w:proofErr w:type="spellEnd"/>
      <w:r w:rsidR="000667DE">
        <w:rPr>
          <w:lang w:eastAsia="ja-JP"/>
        </w:rPr>
        <w:t xml:space="preserve">/backhaul for IMT </w:t>
      </w:r>
      <w:r w:rsidR="00453CAE">
        <w:rPr>
          <w:lang w:eastAsia="ja-JP"/>
        </w:rPr>
        <w:t xml:space="preserve">systems. </w:t>
      </w:r>
      <w:r w:rsidR="006D0CFC">
        <w:rPr>
          <w:lang w:val="en-US" w:eastAsia="ja-JP"/>
        </w:rPr>
        <w:t>A</w:t>
      </w:r>
      <w:r w:rsidR="00453CAE" w:rsidRPr="00453CAE">
        <w:rPr>
          <w:rFonts w:hint="eastAsia"/>
          <w:lang w:val="en-US" w:eastAsia="ja-JP"/>
        </w:rPr>
        <w:t xml:space="preserve"> </w:t>
      </w:r>
      <w:r w:rsidR="00453CAE" w:rsidRPr="00453CAE">
        <w:rPr>
          <w:lang w:val="en-US" w:eastAsia="ja-JP"/>
        </w:rPr>
        <w:t>total</w:t>
      </w:r>
      <w:r w:rsidR="00453CAE" w:rsidRPr="00453CAE">
        <w:rPr>
          <w:rFonts w:hint="eastAsia"/>
          <w:lang w:val="en-US" w:eastAsia="ja-JP"/>
        </w:rPr>
        <w:t xml:space="preserve"> </w:t>
      </w:r>
      <w:r w:rsidR="00453CAE" w:rsidRPr="00453CAE">
        <w:rPr>
          <w:lang w:val="en-US" w:eastAsia="ja-JP"/>
        </w:rPr>
        <w:t xml:space="preserve">long term spectrum bandwidth of about 50 GHz </w:t>
      </w:r>
      <w:r w:rsidR="006D0CFC">
        <w:rPr>
          <w:lang w:val="en-US" w:eastAsia="ja-JP"/>
        </w:rPr>
        <w:t>is considered sufficient to</w:t>
      </w:r>
      <w:r w:rsidR="00453CAE" w:rsidRPr="00453CAE">
        <w:rPr>
          <w:lang w:val="en-US" w:eastAsia="ja-JP"/>
        </w:rPr>
        <w:t xml:space="preserve"> support the evolution of IMT traffic between BBU and RRH. The possible candidate frequency bands </w:t>
      </w:r>
      <w:r w:rsidR="00D21995">
        <w:t xml:space="preserve">identified by WP 5C </w:t>
      </w:r>
      <w:r w:rsidR="00453CAE" w:rsidRPr="00453CAE">
        <w:rPr>
          <w:lang w:val="en-US" w:eastAsia="ja-JP"/>
        </w:rPr>
        <w:t xml:space="preserve">for </w:t>
      </w:r>
      <w:proofErr w:type="spellStart"/>
      <w:r w:rsidR="00453CAE" w:rsidRPr="00453CAE">
        <w:rPr>
          <w:lang w:val="en-US" w:eastAsia="ja-JP"/>
        </w:rPr>
        <w:t>fronthaul</w:t>
      </w:r>
      <w:proofErr w:type="spellEnd"/>
      <w:r w:rsidR="00453CAE" w:rsidRPr="00453CAE">
        <w:rPr>
          <w:lang w:val="en-US" w:eastAsia="ja-JP"/>
        </w:rPr>
        <w:t xml:space="preserve"> and backhaul applications are </w:t>
      </w:r>
      <w:r w:rsidR="00453CAE" w:rsidRPr="00453CAE">
        <w:rPr>
          <w:rFonts w:hint="eastAsia"/>
          <w:lang w:val="en-US" w:eastAsia="ja-JP"/>
        </w:rPr>
        <w:t>275</w:t>
      </w:r>
      <w:r w:rsidR="00453CAE" w:rsidRPr="00453CAE">
        <w:rPr>
          <w:lang w:val="en-US" w:eastAsia="ja-JP"/>
        </w:rPr>
        <w:t>–</w:t>
      </w:r>
      <w:r w:rsidR="00453CAE" w:rsidRPr="00453CAE">
        <w:rPr>
          <w:rFonts w:hint="eastAsia"/>
          <w:lang w:val="en-US" w:eastAsia="ja-JP"/>
        </w:rPr>
        <w:t>3</w:t>
      </w:r>
      <w:r w:rsidR="00453CAE" w:rsidRPr="00453CAE">
        <w:rPr>
          <w:lang w:val="en-US" w:eastAsia="ja-JP"/>
        </w:rPr>
        <w:t xml:space="preserve">25 </w:t>
      </w:r>
      <w:r w:rsidR="00453CAE" w:rsidRPr="00453CAE">
        <w:rPr>
          <w:rFonts w:hint="eastAsia"/>
          <w:lang w:val="en-US" w:eastAsia="ja-JP"/>
        </w:rPr>
        <w:t>GHz</w:t>
      </w:r>
      <w:r w:rsidR="00453CAE" w:rsidRPr="00453CAE">
        <w:rPr>
          <w:lang w:val="en-US" w:eastAsia="ja-JP"/>
        </w:rPr>
        <w:t xml:space="preserve"> and 380–445 GHz</w:t>
      </w:r>
      <w:r w:rsidR="008B7254">
        <w:rPr>
          <w:lang w:val="en-US" w:eastAsia="ja-JP"/>
        </w:rPr>
        <w:t xml:space="preserve"> (Doc. 5C/292 Annex 3, June 2017).</w:t>
      </w:r>
      <w:r w:rsidR="00D21995" w:rsidRPr="00D21995">
        <w:t xml:space="preserve"> </w:t>
      </w:r>
      <w:r w:rsidR="00D21995">
        <w:t>The final selection of the bands</w:t>
      </w:r>
      <w:r w:rsidR="00DE0678">
        <w:t xml:space="preserve"> identified for FS</w:t>
      </w:r>
      <w:r w:rsidR="00D21995">
        <w:t xml:space="preserve"> will depend on the results of the technical studies. </w:t>
      </w:r>
      <w:r w:rsidR="001166CE" w:rsidRPr="008D4752">
        <w:rPr>
          <w:rStyle w:val="ECCParagraph"/>
        </w:rPr>
        <w:t>A</w:t>
      </w:r>
      <w:r w:rsidR="00D21995" w:rsidRPr="008D4752">
        <w:rPr>
          <w:rStyle w:val="ECCParagraph"/>
        </w:rPr>
        <w:t xml:space="preserve"> segmentation of these </w:t>
      </w:r>
      <w:r w:rsidR="00641CA8" w:rsidRPr="008D4752">
        <w:rPr>
          <w:rStyle w:val="ECCParagraph"/>
        </w:rPr>
        <w:t>50</w:t>
      </w:r>
      <w:r w:rsidR="00D21995" w:rsidRPr="008D4752">
        <w:rPr>
          <w:rStyle w:val="ECCParagraph"/>
        </w:rPr>
        <w:t xml:space="preserve"> GHz in non</w:t>
      </w:r>
      <w:r w:rsidR="001166CE" w:rsidRPr="008D4752">
        <w:rPr>
          <w:rStyle w:val="ECCParagraph"/>
        </w:rPr>
        <w:t>-</w:t>
      </w:r>
      <w:r w:rsidR="00D21995" w:rsidRPr="008D4752">
        <w:rPr>
          <w:rStyle w:val="ECCParagraph"/>
        </w:rPr>
        <w:t xml:space="preserve"> consecutive allocation blocks</w:t>
      </w:r>
      <w:r w:rsidR="00D21995">
        <w:t xml:space="preserve"> could provide the solution for this agenda item.</w:t>
      </w:r>
      <w:r w:rsidR="00D21995" w:rsidRPr="00D21995">
        <w:t xml:space="preserve"> </w:t>
      </w:r>
      <w:r w:rsidR="00D21995">
        <w:t xml:space="preserve">Due consideration should </w:t>
      </w:r>
      <w:r w:rsidR="001166CE">
        <w:t xml:space="preserve">also </w:t>
      </w:r>
      <w:r w:rsidR="00D21995">
        <w:t>be given to the FS allocations below 275 GHz</w:t>
      </w:r>
      <w:r w:rsidR="001166CE">
        <w:t xml:space="preserve"> to be used to satisfy parts of the spectrum requirements identified</w:t>
      </w:r>
      <w:r w:rsidR="00D21995">
        <w:t>.</w:t>
      </w:r>
    </w:p>
    <w:p w14:paraId="0BAFBDB7" w14:textId="77777777" w:rsidR="001E580A" w:rsidRDefault="001E580A" w:rsidP="001E580A">
      <w:pPr>
        <w:pStyle w:val="Heading2"/>
      </w:pPr>
      <w:r>
        <w:t>Sharing with passive services</w:t>
      </w:r>
    </w:p>
    <w:p w14:paraId="700DDF22" w14:textId="062D01EE" w:rsidR="001E580A" w:rsidRPr="001E580A" w:rsidRDefault="001E580A" w:rsidP="001E580A">
      <w:r>
        <w:t xml:space="preserve">The frequency range 275-450 GHz is identified by </w:t>
      </w:r>
      <w:r w:rsidR="00B57FEC">
        <w:t>No</w:t>
      </w:r>
      <w:r>
        <w:t xml:space="preserve"> </w:t>
      </w:r>
      <w:r w:rsidRPr="00475289">
        <w:rPr>
          <w:rStyle w:val="ECCHLbold"/>
        </w:rPr>
        <w:t>5.565</w:t>
      </w:r>
      <w:r>
        <w:t xml:space="preserve"> for the use for the radio astronomy service, the Earth exploration-satellite service</w:t>
      </w:r>
      <w:r w:rsidR="008E437E">
        <w:t xml:space="preserve"> (passive)</w:t>
      </w:r>
      <w:r>
        <w:t xml:space="preserve"> and the space research service</w:t>
      </w:r>
      <w:r w:rsidR="00A437CA">
        <w:t xml:space="preserve"> (passive)</w:t>
      </w:r>
      <w:r>
        <w:t xml:space="preserve">. An additional identification of this frequency range for land-mobile and fixed services needs to maintain the protection of the passive service as identified in RR No. </w:t>
      </w:r>
      <w:r w:rsidRPr="00B75426">
        <w:rPr>
          <w:rStyle w:val="ECCHLbold"/>
        </w:rPr>
        <w:t>5.565</w:t>
      </w:r>
      <w:r>
        <w:t xml:space="preserve"> in the frequency range 275-1 000 GHz.</w:t>
      </w:r>
    </w:p>
    <w:p w14:paraId="5F360A65" w14:textId="77777777" w:rsidR="001E580A" w:rsidRPr="001E580A" w:rsidRDefault="001E580A" w:rsidP="001E580A">
      <w:pPr>
        <w:pStyle w:val="Heading3"/>
      </w:pPr>
      <w:r>
        <w:t>Radio Astronomy Service</w:t>
      </w:r>
    </w:p>
    <w:p w14:paraId="3739A606" w14:textId="77777777" w:rsidR="00486A65" w:rsidRDefault="001E580A" w:rsidP="001E580A">
      <w:pPr>
        <w:rPr>
          <w:rStyle w:val="ECCParagraph"/>
        </w:rPr>
      </w:pPr>
      <w:r w:rsidRPr="0013608F">
        <w:rPr>
          <w:rStyle w:val="ECCParagraph"/>
        </w:rPr>
        <w:t xml:space="preserve">Sharing between the radio astronomy service and active services has been addressed in Report ITU-R RA.2189. The Report takes account of terrestrial, aeronautical and satellite based active transmitters and concludes that sharing with all types of transmitters is, under certain conditions, feasible. </w:t>
      </w:r>
    </w:p>
    <w:p w14:paraId="39A30C25" w14:textId="77777777" w:rsidR="001E580A" w:rsidRPr="008A11CF" w:rsidRDefault="001E580A" w:rsidP="00486A65">
      <w:pPr>
        <w:pStyle w:val="ECCEditorsNote"/>
        <w:rPr>
          <w:rStyle w:val="ECCHLcyan"/>
        </w:rPr>
      </w:pPr>
      <w:r w:rsidRPr="0013608F">
        <w:rPr>
          <w:rStyle w:val="ECCHLyellow"/>
        </w:rPr>
        <w:t>to be confirmed</w:t>
      </w:r>
      <w:r w:rsidR="009B6990">
        <w:rPr>
          <w:rStyle w:val="ECCHLyellow"/>
        </w:rPr>
        <w:t xml:space="preserve"> at the next PTA meeting</w:t>
      </w:r>
    </w:p>
    <w:p w14:paraId="3F15CAB9" w14:textId="77777777" w:rsidR="001E580A" w:rsidRPr="001E580A" w:rsidRDefault="001E580A" w:rsidP="001E580A">
      <w:pPr>
        <w:pStyle w:val="Heading3"/>
      </w:pPr>
      <w:r>
        <w:t>Earth Exploration-Satellite Service</w:t>
      </w:r>
    </w:p>
    <w:p w14:paraId="420EE889" w14:textId="04C34CF6" w:rsidR="001E580A" w:rsidRDefault="001E580A" w:rsidP="001E580A">
      <w:r>
        <w:t>The EESS (passive) sensing is described in Report ITU-R RS.2</w:t>
      </w:r>
      <w:r w:rsidR="009B6990">
        <w:t>1</w:t>
      </w:r>
      <w:r>
        <w:t xml:space="preserve">94 on a band by band basis. </w:t>
      </w:r>
      <w:r w:rsidR="00A437CA">
        <w:t>Furthermore, WP 7C has developed</w:t>
      </w:r>
      <w:r w:rsidR="008741CF">
        <w:t xml:space="preserve"> a preliminary draft new report ITU-R</w:t>
      </w:r>
      <w:r w:rsidR="00114A4D">
        <w:t xml:space="preserve"> </w:t>
      </w:r>
      <w:r w:rsidR="00114A4D" w:rsidRPr="008D4752">
        <w:rPr>
          <w:rStyle w:val="ECCParagraph"/>
        </w:rPr>
        <w:t>RS</w:t>
      </w:r>
      <w:r w:rsidR="008741CF">
        <w:t>.[275-450 GHz CHARS] describing t</w:t>
      </w:r>
      <w:r w:rsidR="00E75112">
        <w:t>he technical and operational characteristics of EESS(passive) systems in the frequency range 275-450 GHz</w:t>
      </w:r>
      <w:r w:rsidR="001166CE">
        <w:t xml:space="preserve"> and provided this information to </w:t>
      </w:r>
      <w:r w:rsidR="001166CE" w:rsidRPr="006C18B8">
        <w:rPr>
          <w:rStyle w:val="ECCHLbold"/>
          <w:b w:val="0"/>
        </w:rPr>
        <w:t>WP</w:t>
      </w:r>
      <w:r w:rsidR="00487306" w:rsidRPr="006C18B8">
        <w:rPr>
          <w:rStyle w:val="ECCHLbold"/>
          <w:b w:val="0"/>
        </w:rPr>
        <w:t>1A</w:t>
      </w:r>
      <w:r w:rsidR="008741CF">
        <w:t xml:space="preserve">. </w:t>
      </w:r>
      <w:r>
        <w:t>In carrying out the necessary sharing studies between the EESS (passive) sensing and the FS/MS, account needs to be taken of the different types of sensing modes: Limb Scan Mode, Conical Scan Mode and Nadir scan mode as well as the relevant spectral lines and measurements performed in the various bands. Studies should also take into account existing and planned instruments in the EESS (passive) sensing.</w:t>
      </w:r>
    </w:p>
    <w:p w14:paraId="50FB94A1" w14:textId="14876A6B" w:rsidR="001E580A" w:rsidRDefault="001E580A" w:rsidP="001E580A">
      <w:r>
        <w:t>As far as EESS (passive) is concerned, the following bands will need to be considered in the range 275-450 GHz (taking into account the last outcomes of W</w:t>
      </w:r>
      <w:r w:rsidR="00B57FEC">
        <w:t>P 5C stating that the band 32</w:t>
      </w:r>
      <w:r w:rsidR="00C13F96">
        <w:t>5</w:t>
      </w:r>
      <w:r w:rsidR="00B57FEC">
        <w:t>-</w:t>
      </w:r>
      <w:r>
        <w:t>380 GHz is not assumed relevant for FS applications):</w:t>
      </w:r>
    </w:p>
    <w:p w14:paraId="5E81BB8E" w14:textId="77777777" w:rsidR="001E580A" w:rsidRPr="001E580A" w:rsidRDefault="001E580A" w:rsidP="001E580A">
      <w:pPr>
        <w:pStyle w:val="ECCBulletsLv2"/>
      </w:pPr>
      <w:r w:rsidRPr="00361E1A">
        <w:t>275</w:t>
      </w:r>
      <w:r w:rsidRPr="001E580A">
        <w:t>-286 GHz (sharing with both FS and MS)</w:t>
      </w:r>
    </w:p>
    <w:p w14:paraId="320512F9" w14:textId="77777777" w:rsidR="001E580A" w:rsidRPr="001E580A" w:rsidRDefault="001E580A" w:rsidP="001E580A">
      <w:pPr>
        <w:pStyle w:val="ECCBulletsLv2"/>
      </w:pPr>
      <w:r w:rsidRPr="00361E1A">
        <w:t>296-306 GHz</w:t>
      </w:r>
      <w:r w:rsidRPr="001E580A">
        <w:t xml:space="preserve"> (sharing with both FS and MS)</w:t>
      </w:r>
    </w:p>
    <w:p w14:paraId="07B5B2E0" w14:textId="6A08DFD5" w:rsidR="001E580A" w:rsidRPr="001E580A" w:rsidRDefault="001E580A" w:rsidP="001E580A">
      <w:pPr>
        <w:pStyle w:val="ECCBulletsLv2"/>
      </w:pPr>
      <w:r w:rsidRPr="00361E1A">
        <w:lastRenderedPageBreak/>
        <w:t>313-356 GHz</w:t>
      </w:r>
      <w:r w:rsidRPr="001E580A">
        <w:t xml:space="preserve"> (sharing with FS and MS in the 313-32</w:t>
      </w:r>
      <w:r w:rsidR="00C13F96">
        <w:t>5</w:t>
      </w:r>
      <w:r w:rsidRPr="001E580A">
        <w:t xml:space="preserve"> GHz, with MS only above 32</w:t>
      </w:r>
      <w:r w:rsidR="00C13F96">
        <w:t>5</w:t>
      </w:r>
      <w:r w:rsidRPr="001E580A">
        <w:t xml:space="preserve"> GHz)</w:t>
      </w:r>
    </w:p>
    <w:p w14:paraId="609BFBBD" w14:textId="77777777" w:rsidR="001E580A" w:rsidRPr="001E580A" w:rsidRDefault="001E580A" w:rsidP="001E580A">
      <w:pPr>
        <w:pStyle w:val="ECCBulletsLv2"/>
      </w:pPr>
      <w:r w:rsidRPr="00361E1A">
        <w:t>361-365 GHz</w:t>
      </w:r>
      <w:r w:rsidRPr="001E580A">
        <w:t xml:space="preserve"> (sharing with MS only)</w:t>
      </w:r>
    </w:p>
    <w:p w14:paraId="5B155C9F" w14:textId="77777777" w:rsidR="001E580A" w:rsidRPr="001E580A" w:rsidRDefault="001E580A" w:rsidP="001E580A">
      <w:pPr>
        <w:pStyle w:val="ECCBulletsLv2"/>
      </w:pPr>
      <w:r w:rsidRPr="00361E1A">
        <w:t>369-392 GHz</w:t>
      </w:r>
      <w:r w:rsidRPr="001E580A">
        <w:t xml:space="preserve"> (sharing with MS only in the 369-380 GHz, with FS and MS above 380 GHz)</w:t>
      </w:r>
    </w:p>
    <w:p w14:paraId="5D8F2D3B" w14:textId="77777777" w:rsidR="001E580A" w:rsidRPr="001E580A" w:rsidRDefault="001E580A" w:rsidP="001E580A">
      <w:pPr>
        <w:pStyle w:val="ECCBulletsLv2"/>
      </w:pPr>
      <w:r w:rsidRPr="00361E1A">
        <w:t>397-399 GHz</w:t>
      </w:r>
      <w:r w:rsidRPr="001E580A">
        <w:t xml:space="preserve"> (sharing with both FS and MS)</w:t>
      </w:r>
    </w:p>
    <w:p w14:paraId="58C718BC" w14:textId="77777777" w:rsidR="001E580A" w:rsidRPr="001E580A" w:rsidRDefault="001E580A" w:rsidP="00A66A98">
      <w:pPr>
        <w:pStyle w:val="ECCBulletsLv2"/>
        <w:tabs>
          <w:tab w:val="left" w:pos="7938"/>
        </w:tabs>
      </w:pPr>
      <w:r w:rsidRPr="00361E1A">
        <w:t>409-411 GHz</w:t>
      </w:r>
      <w:r w:rsidRPr="001E580A">
        <w:t xml:space="preserve"> (sharing with both FS and MS)</w:t>
      </w:r>
    </w:p>
    <w:p w14:paraId="690CB824" w14:textId="77777777" w:rsidR="001E580A" w:rsidRPr="001E580A" w:rsidRDefault="001E580A" w:rsidP="001E580A">
      <w:pPr>
        <w:pStyle w:val="ECCBulletsLv2"/>
      </w:pPr>
      <w:r w:rsidRPr="00361E1A">
        <w:t>416-434 GHz</w:t>
      </w:r>
      <w:r w:rsidRPr="001E580A">
        <w:t xml:space="preserve"> (sharing with both FS and MS)</w:t>
      </w:r>
    </w:p>
    <w:p w14:paraId="280120BC" w14:textId="77777777" w:rsidR="001E580A" w:rsidRPr="001E580A" w:rsidRDefault="001E580A" w:rsidP="001E580A">
      <w:pPr>
        <w:pStyle w:val="ECCBulletsLv2"/>
      </w:pPr>
      <w:r w:rsidRPr="00361E1A">
        <w:t>439-467 GHz</w:t>
      </w:r>
      <w:r w:rsidRPr="001E580A">
        <w:t xml:space="preserve"> (sharing with both FS and MS)</w:t>
      </w:r>
    </w:p>
    <w:p w14:paraId="4E51961A" w14:textId="46A21DD9" w:rsidR="001E580A" w:rsidRDefault="00DF34C4" w:rsidP="001E580A">
      <w:r>
        <w:t xml:space="preserve">The </w:t>
      </w:r>
      <w:r w:rsidR="001E580A">
        <w:t xml:space="preserve">detailed information of the FS/MS networks in the frequency range 275-450 GHz </w:t>
      </w:r>
      <w:r w:rsidR="000D33DB">
        <w:t>was</w:t>
      </w:r>
      <w:r w:rsidR="00E91669">
        <w:t xml:space="preserve"> made</w:t>
      </w:r>
      <w:r w:rsidR="003C5451">
        <w:t xml:space="preserve"> </w:t>
      </w:r>
      <w:r>
        <w:t>available</w:t>
      </w:r>
      <w:r w:rsidR="00E91669">
        <w:t xml:space="preserve"> by WP 5C and WP 5A</w:t>
      </w:r>
      <w:r>
        <w:t xml:space="preserve"> (June 2017) and</w:t>
      </w:r>
      <w:r w:rsidR="003C5451">
        <w:t xml:space="preserve"> therefore t</w:t>
      </w:r>
      <w:r w:rsidR="000D33DB">
        <w:t>he frequency compatibility analysis with the EESS</w:t>
      </w:r>
      <w:r w:rsidR="00B75426">
        <w:t xml:space="preserve"> </w:t>
      </w:r>
      <w:r w:rsidR="000D33DB">
        <w:t>(passive) system</w:t>
      </w:r>
      <w:r w:rsidR="00B61CC0">
        <w:t xml:space="preserve">s are yet to </w:t>
      </w:r>
      <w:r w:rsidR="00FB15A2">
        <w:t>be</w:t>
      </w:r>
      <w:r w:rsidR="002926B1">
        <w:t xml:space="preserve"> performed</w:t>
      </w:r>
      <w:r w:rsidR="000D33DB">
        <w:t>.</w:t>
      </w:r>
      <w:r>
        <w:t xml:space="preserve"> </w:t>
      </w:r>
      <w:r w:rsidR="001166CE">
        <w:t>Initial sharing studies</w:t>
      </w:r>
      <w:r w:rsidR="00342CB9">
        <w:t xml:space="preserve"> have been</w:t>
      </w:r>
      <w:r w:rsidR="001166CE">
        <w:t xml:space="preserve"> carried out before those characteristics were made available</w:t>
      </w:r>
      <w:r w:rsidR="00DC12DC">
        <w:t xml:space="preserve"> </w:t>
      </w:r>
      <w:r w:rsidR="00232560">
        <w:t xml:space="preserve">and </w:t>
      </w:r>
      <w:r w:rsidR="00DC12DC">
        <w:t>were</w:t>
      </w:r>
      <w:r w:rsidR="001166CE">
        <w:t xml:space="preserve"> </w:t>
      </w:r>
      <w:r w:rsidR="00DC12DC">
        <w:t>based on assumed</w:t>
      </w:r>
      <w:r w:rsidR="001D1DE1">
        <w:t xml:space="preserve"> </w:t>
      </w:r>
      <w:r w:rsidR="001166CE">
        <w:t xml:space="preserve">RF characteristics of FS </w:t>
      </w:r>
      <w:r w:rsidR="001D1DE1">
        <w:t>and</w:t>
      </w:r>
      <w:r w:rsidR="001166CE">
        <w:t xml:space="preserve"> MS systems</w:t>
      </w:r>
      <w:r w:rsidR="00DC12DC">
        <w:t>.</w:t>
      </w:r>
      <w:r w:rsidR="00545D87">
        <w:rPr>
          <w:rStyle w:val="ECCHLbold"/>
          <w:b w:val="0"/>
        </w:rPr>
        <w:t xml:space="preserve"> </w:t>
      </w:r>
      <w:r w:rsidR="006E4705" w:rsidRPr="00BC636E">
        <w:rPr>
          <w:rStyle w:val="ECCParagraph"/>
        </w:rPr>
        <w:t>These</w:t>
      </w:r>
      <w:r w:rsidR="009A2D66" w:rsidRPr="00BC636E">
        <w:rPr>
          <w:rStyle w:val="ECCParagraph"/>
        </w:rPr>
        <w:t xml:space="preserve"> preliminary studies provided</w:t>
      </w:r>
      <w:r w:rsidR="009A2D66">
        <w:rPr>
          <w:rStyle w:val="ECCHLbold"/>
        </w:rPr>
        <w:t xml:space="preserve"> </w:t>
      </w:r>
      <w:r w:rsidR="001E580A">
        <w:t>the maximum emission levels at the ground in a reference area that would be necessary to ensure protection of EESS (passive) sensors in bands above 275 GHz.</w:t>
      </w:r>
    </w:p>
    <w:p w14:paraId="2AF83A10" w14:textId="77777777" w:rsidR="001E580A" w:rsidRDefault="001E580A" w:rsidP="001E580A">
      <w:r>
        <w:t xml:space="preserve">Initial studies </w:t>
      </w:r>
      <w:r w:rsidR="00FE46BC">
        <w:t xml:space="preserve">in the 296-306 GHz </w:t>
      </w:r>
      <w:r>
        <w:t xml:space="preserve">presented at the PTA meeting of February 2017 band have shown that the maximum emission levels at the ground would be -12.9 </w:t>
      </w:r>
      <w:proofErr w:type="spellStart"/>
      <w:r>
        <w:t>dBW</w:t>
      </w:r>
      <w:proofErr w:type="spellEnd"/>
      <w:r>
        <w:t xml:space="preserve">/200 MHz (ref. area of 10/20 km²) for Nadir instruments, -8.9 </w:t>
      </w:r>
      <w:proofErr w:type="spellStart"/>
      <w:r>
        <w:t>dBW</w:t>
      </w:r>
      <w:proofErr w:type="spellEnd"/>
      <w:r>
        <w:t xml:space="preserve">/200 MHz (ref. area of 10/20 km²) for Conical instruments and 33 to 53 </w:t>
      </w:r>
      <w:proofErr w:type="spellStart"/>
      <w:r>
        <w:t>dBW</w:t>
      </w:r>
      <w:proofErr w:type="spellEnd"/>
      <w:r>
        <w:t>/3 MHz (ref. area of around 30 M km²) Limb instruments.</w:t>
      </w:r>
    </w:p>
    <w:p w14:paraId="0FD850C1" w14:textId="1EE4EE15" w:rsidR="001E580A" w:rsidRDefault="001E580A" w:rsidP="001E580A">
      <w:r w:rsidRPr="00545D87">
        <w:rPr>
          <w:rStyle w:val="ECCParagraph"/>
        </w:rPr>
        <w:t xml:space="preserve">Under all combinations of the FS characteristics known to date, </w:t>
      </w:r>
      <w:r w:rsidR="00CB7ADB" w:rsidRPr="00545D87">
        <w:rPr>
          <w:rStyle w:val="ECCParagraph"/>
        </w:rPr>
        <w:t xml:space="preserve">these studies showed that </w:t>
      </w:r>
      <w:r w:rsidRPr="00545D87">
        <w:rPr>
          <w:rStyle w:val="ECCParagraph"/>
        </w:rPr>
        <w:t xml:space="preserve">the FS </w:t>
      </w:r>
      <w:proofErr w:type="spellStart"/>
      <w:r w:rsidRPr="00545D87">
        <w:rPr>
          <w:rStyle w:val="ECCParagraph"/>
        </w:rPr>
        <w:t>e.i.r.p</w:t>
      </w:r>
      <w:proofErr w:type="spellEnd"/>
      <w:r w:rsidRPr="00545D87">
        <w:rPr>
          <w:rStyle w:val="ECCParagraph"/>
        </w:rPr>
        <w:t>.</w:t>
      </w:r>
      <w:r>
        <w:t xml:space="preserve"> density in 200 MHz is between 7.5 to 22</w:t>
      </w:r>
      <w:r w:rsidRPr="0077316C">
        <w:t xml:space="preserve">.6 dB </w:t>
      </w:r>
      <w:r>
        <w:t xml:space="preserve">(for 24 </w:t>
      </w:r>
      <w:proofErr w:type="spellStart"/>
      <w:r>
        <w:t>dBi</w:t>
      </w:r>
      <w:proofErr w:type="spellEnd"/>
      <w:r>
        <w:t xml:space="preserve"> antenna) and 33.5 to 48.6 dB (for 50 </w:t>
      </w:r>
      <w:proofErr w:type="spellStart"/>
      <w:r>
        <w:t>dBi</w:t>
      </w:r>
      <w:proofErr w:type="spellEnd"/>
      <w:r>
        <w:t xml:space="preserve"> antenna) </w:t>
      </w:r>
      <w:r w:rsidRPr="0077316C">
        <w:t xml:space="preserve">above the </w:t>
      </w:r>
      <w:r>
        <w:t>m</w:t>
      </w:r>
      <w:r w:rsidRPr="001624D8">
        <w:t>aximum emission level at the ground</w:t>
      </w:r>
      <w:r w:rsidRPr="0077316C">
        <w:t xml:space="preserve"> </w:t>
      </w:r>
      <w:r>
        <w:t xml:space="preserve">for Conical instruments (-8.9 </w:t>
      </w:r>
      <w:proofErr w:type="spellStart"/>
      <w:r>
        <w:t>dBW</w:t>
      </w:r>
      <w:proofErr w:type="spellEnd"/>
      <w:r>
        <w:t>/200 MHz) and 11.5 to 26.6 dB</w:t>
      </w:r>
      <w:r w:rsidRPr="0077316C">
        <w:t xml:space="preserve"> </w:t>
      </w:r>
      <w:r>
        <w:t xml:space="preserve">(for 24 </w:t>
      </w:r>
      <w:proofErr w:type="spellStart"/>
      <w:r>
        <w:t>dBi</w:t>
      </w:r>
      <w:proofErr w:type="spellEnd"/>
      <w:r>
        <w:t xml:space="preserve"> antenna) and 37.5 to 52.6 dB (for 50 </w:t>
      </w:r>
      <w:proofErr w:type="spellStart"/>
      <w:r>
        <w:t>dBi</w:t>
      </w:r>
      <w:proofErr w:type="spellEnd"/>
      <w:r>
        <w:t xml:space="preserve"> antenna) </w:t>
      </w:r>
      <w:r w:rsidRPr="0077316C">
        <w:t xml:space="preserve">above the </w:t>
      </w:r>
      <w:r>
        <w:t>m</w:t>
      </w:r>
      <w:r w:rsidRPr="001624D8">
        <w:t>aximum emission level at the ground</w:t>
      </w:r>
      <w:r w:rsidRPr="0077316C">
        <w:t xml:space="preserve"> </w:t>
      </w:r>
      <w:r>
        <w:t xml:space="preserve">for Nadir instruments (-12.9 </w:t>
      </w:r>
      <w:proofErr w:type="spellStart"/>
      <w:r>
        <w:t>dBW</w:t>
      </w:r>
      <w:proofErr w:type="spellEnd"/>
      <w:r>
        <w:t>/200 MHz).</w:t>
      </w:r>
    </w:p>
    <w:p w14:paraId="789EC6E3" w14:textId="77355F96" w:rsidR="001E580A" w:rsidRDefault="00CB7ADB" w:rsidP="001E580A">
      <w:r w:rsidRPr="00545D87">
        <w:rPr>
          <w:rStyle w:val="ECCParagraph"/>
        </w:rPr>
        <w:t>C</w:t>
      </w:r>
      <w:r w:rsidR="001E580A" w:rsidRPr="00545D87">
        <w:rPr>
          <w:rStyle w:val="ECCParagraph"/>
        </w:rPr>
        <w:t>onsidering</w:t>
      </w:r>
      <w:r w:rsidR="001E580A">
        <w:t xml:space="preserve"> the large exceedance up to around 50 dB, interference could also occur for a single FS transmitter in its antenna </w:t>
      </w:r>
      <w:proofErr w:type="spellStart"/>
      <w:r w:rsidR="001E580A">
        <w:t>sidelobe</w:t>
      </w:r>
      <w:proofErr w:type="spellEnd"/>
      <w:r w:rsidR="001E580A">
        <w:t xml:space="preserve">, i.e. pointing at quite large angle from the satellite position. Taking as an example the FS antenna pattern in Recommendation ITU-R F.699 (recognising that it does apply in this frequency range) would show that an FS link could interfere the EESS sensors at an angle up to 24° from its main beam for a 50 </w:t>
      </w:r>
      <w:proofErr w:type="spellStart"/>
      <w:r w:rsidR="001E580A">
        <w:t>dBi</w:t>
      </w:r>
      <w:proofErr w:type="spellEnd"/>
      <w:r w:rsidR="001E580A">
        <w:t xml:space="preserve"> antenna and at all angles for a 24 </w:t>
      </w:r>
      <w:proofErr w:type="spellStart"/>
      <w:r w:rsidR="001E580A">
        <w:t>dBi</w:t>
      </w:r>
      <w:proofErr w:type="spellEnd"/>
      <w:r w:rsidR="001E580A">
        <w:t xml:space="preserve"> antenna.</w:t>
      </w:r>
    </w:p>
    <w:p w14:paraId="7E40FD4E" w14:textId="77777777" w:rsidR="001E580A" w:rsidRDefault="001E580A" w:rsidP="001E580A">
      <w:r>
        <w:t>The initial studies in the 296-306 GHz band have shown that even not having taken into account any aggregate effects or the case of compatibility in adjacent bands, relevant in particular when considering broadband FS/MS systems, sharing could be critical.</w:t>
      </w:r>
    </w:p>
    <w:p w14:paraId="79A1F08D" w14:textId="63D7A6B3" w:rsidR="001E580A" w:rsidRDefault="00423656" w:rsidP="001E580A">
      <w:r w:rsidRPr="000A056E">
        <w:rPr>
          <w:rStyle w:val="ECCParagraph"/>
        </w:rPr>
        <w:t>T</w:t>
      </w:r>
      <w:r w:rsidR="001E580A" w:rsidRPr="000A056E">
        <w:rPr>
          <w:rStyle w:val="ECCParagraph"/>
        </w:rPr>
        <w:t>he assessment of potential interference from FS/MS to EESS (passive) sensors will require the consideration of the aggregate effect of a full deployment of FS/MS networks/stations in the corresponding frequency bands</w:t>
      </w:r>
      <w:r w:rsidRPr="000A056E">
        <w:rPr>
          <w:rStyle w:val="ECCParagraph"/>
        </w:rPr>
        <w:t>, taking into account the FS and MS parameters now considered in WP 1A, i.e.</w:t>
      </w:r>
      <w:r w:rsidR="001E580A" w:rsidRPr="000A056E">
        <w:rPr>
          <w:rStyle w:val="ECCParagraph"/>
        </w:rPr>
        <w:t xml:space="preserve"> FS/MS deployment scenarios (density of equipment per km², frequency reuse pattern, pointing elevation</w:t>
      </w:r>
      <w:r w:rsidR="001E580A">
        <w:t xml:space="preserve"> distributions, …</w:t>
      </w:r>
      <w:proofErr w:type="gramStart"/>
      <w:r w:rsidR="001E580A">
        <w:t>) .</w:t>
      </w:r>
      <w:proofErr w:type="gramEnd"/>
    </w:p>
    <w:p w14:paraId="5496577E" w14:textId="77777777" w:rsidR="001E580A" w:rsidRPr="001E580A" w:rsidRDefault="001E580A" w:rsidP="001E580A">
      <w:pPr>
        <w:pStyle w:val="Heading3"/>
      </w:pPr>
      <w:r>
        <w:t>Space Research Service</w:t>
      </w:r>
    </w:p>
    <w:p w14:paraId="26A769CC" w14:textId="77777777" w:rsidR="00486A65" w:rsidRPr="00486A65" w:rsidRDefault="001E580A" w:rsidP="00486A65">
      <w:pPr>
        <w:rPr>
          <w:rStyle w:val="ECCParagraph"/>
        </w:rPr>
      </w:pPr>
      <w:r w:rsidRPr="00486A65">
        <w:rPr>
          <w:rStyle w:val="ECCParagraph"/>
        </w:rPr>
        <w:t>Taking into account the specificities of SRS (passive) missions that are not dedicated to measurements on Earth, sharing and compatibility studies with FS/MS in bands above 275 GHz are not required</w:t>
      </w:r>
      <w:r w:rsidR="009B6990" w:rsidRPr="00486A65">
        <w:rPr>
          <w:rStyle w:val="ECCParagraph"/>
        </w:rPr>
        <w:t>.</w:t>
      </w:r>
    </w:p>
    <w:p w14:paraId="7F927599" w14:textId="2A84776C" w:rsidR="003771D5" w:rsidRPr="00DD6CE9" w:rsidRDefault="003771D5" w:rsidP="00BD4E12">
      <w:pPr>
        <w:pStyle w:val="Heading1"/>
        <w:rPr>
          <w:lang w:val="en-GB"/>
        </w:rPr>
      </w:pPr>
      <w:r w:rsidRPr="00DD6CE9">
        <w:rPr>
          <w:lang w:val="en-GB"/>
        </w:rPr>
        <w:t>List of relevant documents</w:t>
      </w:r>
    </w:p>
    <w:p w14:paraId="30B65B28" w14:textId="77777777" w:rsidR="00220194" w:rsidRPr="00E41960" w:rsidRDefault="003771D5" w:rsidP="00C6184E">
      <w:pPr>
        <w:pStyle w:val="ECCBreak"/>
        <w:rPr>
          <w:rStyle w:val="ECCParagraph"/>
          <w:lang w:val="fr-FR"/>
        </w:rPr>
      </w:pPr>
      <w:r w:rsidRPr="00E41960">
        <w:rPr>
          <w:rStyle w:val="ECCParagraph"/>
          <w:lang w:val="fr-FR"/>
        </w:rPr>
        <w:t>ITU-Documentation (</w:t>
      </w:r>
      <w:proofErr w:type="spellStart"/>
      <w:r w:rsidRPr="00E41960">
        <w:rPr>
          <w:rStyle w:val="ECCParagraph"/>
          <w:lang w:val="fr-FR"/>
        </w:rPr>
        <w:t>Recommendations</w:t>
      </w:r>
      <w:proofErr w:type="spellEnd"/>
      <w:r w:rsidRPr="00E41960">
        <w:rPr>
          <w:rStyle w:val="ECCParagraph"/>
          <w:lang w:val="fr-FR"/>
        </w:rPr>
        <w:t xml:space="preserve">, Reports, </w:t>
      </w:r>
      <w:proofErr w:type="spellStart"/>
      <w:r w:rsidRPr="00E41960">
        <w:rPr>
          <w:rStyle w:val="ECCParagraph"/>
          <w:lang w:val="fr-FR"/>
        </w:rPr>
        <w:t>other</w:t>
      </w:r>
      <w:proofErr w:type="spellEnd"/>
      <w:r w:rsidRPr="00E41960">
        <w:rPr>
          <w:rStyle w:val="ECCParagraph"/>
          <w:lang w:val="fr-FR"/>
        </w:rPr>
        <w:t>)</w:t>
      </w:r>
    </w:p>
    <w:p w14:paraId="5ED3C8A6" w14:textId="77777777" w:rsidR="001E580A" w:rsidRPr="001E580A" w:rsidRDefault="001E580A" w:rsidP="001E580A">
      <w:pPr>
        <w:pStyle w:val="ECCBulletsLv1"/>
        <w:rPr>
          <w:rStyle w:val="ECCParagraph"/>
        </w:rPr>
      </w:pPr>
      <w:r w:rsidRPr="001E580A">
        <w:rPr>
          <w:rStyle w:val="ECCParagraph"/>
        </w:rPr>
        <w:t>Recommendation ITU-R RS.2017</w:t>
      </w:r>
    </w:p>
    <w:p w14:paraId="7DC56E34" w14:textId="77777777" w:rsidR="001E580A" w:rsidRPr="001E580A" w:rsidRDefault="001E580A" w:rsidP="001E580A">
      <w:pPr>
        <w:pStyle w:val="ECCBulletsLv1"/>
        <w:rPr>
          <w:rStyle w:val="ECCParagraph"/>
        </w:rPr>
      </w:pPr>
      <w:r w:rsidRPr="001E580A">
        <w:rPr>
          <w:rStyle w:val="ECCParagraph"/>
        </w:rPr>
        <w:t>Preliminary draft new Report ITU-R RS.[275-450 GHz CHARS]</w:t>
      </w:r>
    </w:p>
    <w:p w14:paraId="1A21C24B" w14:textId="77777777" w:rsidR="00AF5891" w:rsidRPr="00897EE1" w:rsidRDefault="00897EE1" w:rsidP="00AF5891">
      <w:pPr>
        <w:pStyle w:val="ECCBulletsLv1"/>
        <w:rPr>
          <w:rStyle w:val="ECCParagraph"/>
          <w:lang w:val="en-US"/>
        </w:rPr>
      </w:pPr>
      <w:proofErr w:type="spellStart"/>
      <w:r w:rsidRPr="00897EE1">
        <w:rPr>
          <w:rStyle w:val="ECCParagraph"/>
          <w:lang w:val="en-US"/>
        </w:rPr>
        <w:t>Preli</w:t>
      </w:r>
      <w:r>
        <w:rPr>
          <w:rStyle w:val="ECCParagraph"/>
        </w:rPr>
        <w:t>minary</w:t>
      </w:r>
      <w:proofErr w:type="spellEnd"/>
      <w:r>
        <w:rPr>
          <w:rStyle w:val="ECCParagraph"/>
        </w:rPr>
        <w:t xml:space="preserve"> d</w:t>
      </w:r>
      <w:r w:rsidRPr="00897EE1">
        <w:rPr>
          <w:rStyle w:val="ECCParagraph"/>
          <w:lang w:val="en-US"/>
        </w:rPr>
        <w:t xml:space="preserve">raft </w:t>
      </w:r>
      <w:r>
        <w:rPr>
          <w:rStyle w:val="ECCParagraph"/>
        </w:rPr>
        <w:t xml:space="preserve">new Report </w:t>
      </w:r>
      <w:r w:rsidR="00AF5891" w:rsidRPr="00897EE1">
        <w:rPr>
          <w:rStyle w:val="ECCParagraph"/>
          <w:lang w:val="en-US"/>
        </w:rPr>
        <w:t>ITU-R M.[300GHZ_MS_CHAR]</w:t>
      </w:r>
    </w:p>
    <w:p w14:paraId="1C278566" w14:textId="77777777" w:rsidR="00D11DBD" w:rsidRPr="000664AE" w:rsidRDefault="00897EE1" w:rsidP="00AF5891">
      <w:pPr>
        <w:pStyle w:val="ECCBulletsLv1"/>
        <w:rPr>
          <w:rStyle w:val="ECCParagraph"/>
          <w:lang w:val="en-US"/>
        </w:rPr>
      </w:pPr>
      <w:proofErr w:type="spellStart"/>
      <w:r w:rsidRPr="00897EE1">
        <w:rPr>
          <w:rStyle w:val="ECCParagraph"/>
          <w:lang w:val="en-US"/>
        </w:rPr>
        <w:t>Preli</w:t>
      </w:r>
      <w:r w:rsidRPr="00897EE1">
        <w:rPr>
          <w:rStyle w:val="ECCParagraph"/>
        </w:rPr>
        <w:t>minary</w:t>
      </w:r>
      <w:proofErr w:type="spellEnd"/>
      <w:r w:rsidRPr="00897EE1">
        <w:rPr>
          <w:rStyle w:val="ECCParagraph"/>
        </w:rPr>
        <w:t xml:space="preserve"> d</w:t>
      </w:r>
      <w:r w:rsidRPr="00897EE1">
        <w:rPr>
          <w:rStyle w:val="ECCParagraph"/>
          <w:lang w:val="en-US"/>
        </w:rPr>
        <w:t xml:space="preserve">raft </w:t>
      </w:r>
      <w:r w:rsidRPr="00897EE1">
        <w:rPr>
          <w:rStyle w:val="ECCParagraph"/>
        </w:rPr>
        <w:t xml:space="preserve">new Report </w:t>
      </w:r>
      <w:r w:rsidR="00AF5891" w:rsidRPr="00AF5891">
        <w:rPr>
          <w:rStyle w:val="ECCParagraph"/>
          <w:lang w:val="en-US"/>
        </w:rPr>
        <w:t xml:space="preserve">ITU-R </w:t>
      </w:r>
      <w:r w:rsidR="00AF5891">
        <w:rPr>
          <w:rStyle w:val="ECCParagraph"/>
        </w:rPr>
        <w:t>F</w:t>
      </w:r>
      <w:r w:rsidR="00AF5891">
        <w:rPr>
          <w:rStyle w:val="ECCParagraph"/>
          <w:lang w:val="en-US"/>
        </w:rPr>
        <w:t>.[300GHZ_</w:t>
      </w:r>
      <w:r w:rsidR="00AF5891">
        <w:rPr>
          <w:rStyle w:val="ECCParagraph"/>
        </w:rPr>
        <w:t>F</w:t>
      </w:r>
      <w:r w:rsidR="00AF5891" w:rsidRPr="00AF5891">
        <w:rPr>
          <w:rStyle w:val="ECCParagraph"/>
          <w:lang w:val="en-US"/>
        </w:rPr>
        <w:t>S_CHAR]</w:t>
      </w:r>
    </w:p>
    <w:p w14:paraId="33355ED7" w14:textId="77777777" w:rsidR="000664AE" w:rsidRPr="00A45E35" w:rsidRDefault="00752A2E" w:rsidP="00AF5891">
      <w:pPr>
        <w:pStyle w:val="ECCBulletsLv1"/>
        <w:rPr>
          <w:lang w:val="en-US"/>
        </w:rPr>
      </w:pPr>
      <w:r>
        <w:lastRenderedPageBreak/>
        <w:t xml:space="preserve">Report </w:t>
      </w:r>
      <w:r w:rsidR="000664AE" w:rsidRPr="00501213">
        <w:t xml:space="preserve">ITU-R </w:t>
      </w:r>
      <w:hyperlink r:id="rId11" w:history="1">
        <w:r w:rsidR="000664AE" w:rsidRPr="009C2914">
          <w:rPr>
            <w:rStyle w:val="Hyperlink"/>
          </w:rPr>
          <w:t>SM.2352</w:t>
        </w:r>
      </w:hyperlink>
      <w:r>
        <w:t xml:space="preserve"> on Technology trends of active services in the frequency range 275 - 3000 GHz</w:t>
      </w:r>
    </w:p>
    <w:p w14:paraId="21842E35" w14:textId="77777777" w:rsidR="00A45E35" w:rsidRPr="00A45E35" w:rsidRDefault="00A45E35" w:rsidP="00AF5891">
      <w:pPr>
        <w:pStyle w:val="ECCBulletsLv1"/>
        <w:rPr>
          <w:lang w:val="en-US"/>
        </w:rPr>
      </w:pPr>
      <w:r>
        <w:t>R</w:t>
      </w:r>
      <w:r w:rsidR="00752A2E">
        <w:t>eport ITU-R RS.2194 on Passive bands of scientific i</w:t>
      </w:r>
      <w:r>
        <w:t>nterest to EESS/SRS from 275 - 3000 GHz</w:t>
      </w:r>
    </w:p>
    <w:p w14:paraId="66ED6165" w14:textId="77777777" w:rsidR="00A45E35" w:rsidRPr="00AF5891" w:rsidRDefault="00C83202" w:rsidP="00AF5891">
      <w:pPr>
        <w:pStyle w:val="ECCBulletsLv1"/>
        <w:rPr>
          <w:rStyle w:val="ECCParagraph"/>
          <w:lang w:val="en-US"/>
        </w:rPr>
      </w:pPr>
      <w:r>
        <w:t xml:space="preserve">Report ITU-R RA.2189 on </w:t>
      </w:r>
      <w:r w:rsidRPr="00C83202">
        <w:t>Sharing between the radio astronomy service and active services in the frequency range 275-3 000 GHz</w:t>
      </w:r>
    </w:p>
    <w:p w14:paraId="3BBE5E19" w14:textId="77777777" w:rsidR="00220194" w:rsidRDefault="003771D5" w:rsidP="00C6184E">
      <w:pPr>
        <w:pStyle w:val="ECCBreak"/>
        <w:rPr>
          <w:rStyle w:val="ECCParagraph"/>
        </w:rPr>
      </w:pPr>
      <w:r w:rsidRPr="006C5C1C">
        <w:rPr>
          <w:rStyle w:val="ECCParagraph"/>
        </w:rPr>
        <w:t>CEPT and/or ECC Documentation (Decisions, Recommendations, Reports)</w:t>
      </w:r>
    </w:p>
    <w:p w14:paraId="112CA8F8" w14:textId="77777777" w:rsidR="00854128" w:rsidRPr="00854128" w:rsidRDefault="00854128" w:rsidP="00854128">
      <w:pPr>
        <w:rPr>
          <w:rStyle w:val="ECCParagraph"/>
        </w:rPr>
      </w:pPr>
    </w:p>
    <w:p w14:paraId="795AFB4C" w14:textId="77777777" w:rsidR="00E26BAC" w:rsidRDefault="003771D5" w:rsidP="00C6184E">
      <w:pPr>
        <w:pStyle w:val="ECCBreak"/>
        <w:rPr>
          <w:rStyle w:val="ECCParagraph"/>
        </w:rPr>
      </w:pPr>
      <w:r w:rsidRPr="006C5C1C">
        <w:rPr>
          <w:rStyle w:val="ECCParagraph"/>
        </w:rPr>
        <w:t>EU Documentation (Directives, Decisions, Recommendations, other), if applicable</w:t>
      </w:r>
    </w:p>
    <w:p w14:paraId="273EAD20" w14:textId="77777777" w:rsidR="00B75426" w:rsidRPr="00B75426" w:rsidRDefault="00B75426" w:rsidP="00B75426"/>
    <w:p w14:paraId="32677E35" w14:textId="77777777" w:rsidR="004C0D1F" w:rsidRDefault="00227CBD" w:rsidP="004C0D1F">
      <w:pPr>
        <w:rPr>
          <w:rStyle w:val="ECCHLbold"/>
        </w:rPr>
      </w:pPr>
      <w:r>
        <w:rPr>
          <w:rStyle w:val="ECCHLbold"/>
        </w:rPr>
        <w:t>IEEE</w:t>
      </w:r>
      <w:r w:rsidR="00B26F34">
        <w:rPr>
          <w:rStyle w:val="ECCHLbold"/>
        </w:rPr>
        <w:t xml:space="preserve"> Documentation</w:t>
      </w:r>
    </w:p>
    <w:p w14:paraId="47618ACC" w14:textId="77777777" w:rsidR="00C83D5F" w:rsidRPr="00C83D5F" w:rsidRDefault="00C83D5F" w:rsidP="00C83D5F">
      <w:pPr>
        <w:pStyle w:val="ECCBulletsLv1"/>
        <w:rPr>
          <w:rStyle w:val="ECCParagraph"/>
          <w:lang w:val="en-US"/>
        </w:rPr>
      </w:pPr>
      <w:r>
        <w:rPr>
          <w:rStyle w:val="ECCParagraph"/>
        </w:rPr>
        <w:t>IEEE Doc. 802.15-14-0304-16-003d Application Requirements Document</w:t>
      </w:r>
      <w:r>
        <w:rPr>
          <w:rStyle w:val="ECCParagraph"/>
        </w:rPr>
        <w:br/>
        <w:t>(</w:t>
      </w:r>
      <w:hyperlink r:id="rId12" w:history="1">
        <w:r w:rsidRPr="00C83D5F">
          <w:rPr>
            <w:rStyle w:val="Hyperlink"/>
          </w:rPr>
          <w:t>https://mentor.ieee.org/802.15/dcn/14/15-14-0304-16-003d-applications-requirement-document-ard.docx</w:t>
        </w:r>
      </w:hyperlink>
      <w:r>
        <w:rPr>
          <w:rStyle w:val="ECCParagraph"/>
        </w:rPr>
        <w:t>)</w:t>
      </w:r>
    </w:p>
    <w:p w14:paraId="0416A242" w14:textId="77777777" w:rsidR="00C83D5F" w:rsidRPr="00D21995" w:rsidRDefault="00C83D5F" w:rsidP="00C83D5F">
      <w:pPr>
        <w:pStyle w:val="ECCBulletsLv1"/>
        <w:rPr>
          <w:rStyle w:val="ECCParagraph"/>
          <w:lang w:val="fr-FR"/>
        </w:rPr>
      </w:pPr>
      <w:r w:rsidRPr="00D21995">
        <w:rPr>
          <w:rStyle w:val="ECCParagraph"/>
          <w:lang w:val="fr-FR"/>
        </w:rPr>
        <w:t>IEEE Doc. 802.15-13-0309-20-003d </w:t>
      </w:r>
      <w:proofErr w:type="spellStart"/>
      <w:r w:rsidRPr="00D21995">
        <w:rPr>
          <w:rStyle w:val="ECCParagraph"/>
          <w:lang w:val="fr-FR"/>
        </w:rPr>
        <w:t>Technical</w:t>
      </w:r>
      <w:proofErr w:type="spellEnd"/>
      <w:r w:rsidRPr="00D21995">
        <w:rPr>
          <w:rStyle w:val="ECCParagraph"/>
          <w:lang w:val="fr-FR"/>
        </w:rPr>
        <w:t> </w:t>
      </w:r>
      <w:proofErr w:type="spellStart"/>
      <w:r w:rsidRPr="00D21995">
        <w:rPr>
          <w:rStyle w:val="ECCParagraph"/>
          <w:lang w:val="fr-FR"/>
        </w:rPr>
        <w:t>Requirements</w:t>
      </w:r>
      <w:proofErr w:type="spellEnd"/>
      <w:r w:rsidRPr="00D21995">
        <w:rPr>
          <w:rStyle w:val="ECCParagraph"/>
          <w:lang w:val="fr-FR"/>
        </w:rPr>
        <w:t> Document (</w:t>
      </w:r>
      <w:hyperlink r:id="rId13" w:history="1">
        <w:r w:rsidRPr="00D21995">
          <w:rPr>
            <w:rStyle w:val="Hyperlink"/>
            <w:lang w:val="fr-FR"/>
          </w:rPr>
          <w:t>https://mentor.ieee.org/802.15/dcn/14/15-14-0309-20-003d-technical-requirements-document.docx</w:t>
        </w:r>
      </w:hyperlink>
      <w:r w:rsidRPr="00D21995">
        <w:rPr>
          <w:rStyle w:val="ECCParagraph"/>
          <w:lang w:val="fr-FR"/>
        </w:rPr>
        <w:t>)</w:t>
      </w:r>
    </w:p>
    <w:p w14:paraId="735B71E6" w14:textId="77777777" w:rsidR="00AF5891" w:rsidRPr="00C83D5F" w:rsidRDefault="00C83D5F" w:rsidP="00C83D5F">
      <w:pPr>
        <w:pStyle w:val="ECCBulletsLv1"/>
        <w:rPr>
          <w:rStyle w:val="ECCParagraph"/>
          <w:b/>
          <w:bCs/>
          <w:lang w:val="en-US"/>
        </w:rPr>
      </w:pPr>
      <w:r>
        <w:rPr>
          <w:rStyle w:val="ECCParagraph"/>
        </w:rPr>
        <w:t>IEEE Doc. 802.15-16-0610-00-003d Final Draft Proposal Explanation (</w:t>
      </w:r>
      <w:hyperlink r:id="rId14" w:history="1">
        <w:r w:rsidRPr="00C83D5F">
          <w:rPr>
            <w:rStyle w:val="Hyperlink"/>
          </w:rPr>
          <w:t>https://mentor.ieee.org/802.15/dcn/16/15-16-0610-00-003d-proposal-for-ieee802-15-3d-thz-phy-explanations.pptx</w:t>
        </w:r>
      </w:hyperlink>
      <w:r>
        <w:rPr>
          <w:rStyle w:val="ECCParagraph"/>
        </w:rPr>
        <w:t>)</w:t>
      </w:r>
    </w:p>
    <w:p w14:paraId="162D800A" w14:textId="77777777" w:rsidR="00C83D5F" w:rsidRPr="00C83D5F" w:rsidRDefault="00C83D5F" w:rsidP="00C83D5F">
      <w:pPr>
        <w:pStyle w:val="ECCBulletsLv1"/>
        <w:rPr>
          <w:rStyle w:val="ECCHLbold"/>
          <w:lang w:val="en-US"/>
        </w:rPr>
      </w:pPr>
      <w:r>
        <w:rPr>
          <w:rStyle w:val="ECCParagraph"/>
        </w:rPr>
        <w:t>IEEE Doc. 802.15-16-0592-00-003d Final Draft Proposal Explanation Channel</w:t>
      </w:r>
      <w:r w:rsidR="00204C4F">
        <w:rPr>
          <w:rStyle w:val="ECCParagraph"/>
        </w:rPr>
        <w:t>i</w:t>
      </w:r>
      <w:r>
        <w:rPr>
          <w:rStyle w:val="ECCParagraph"/>
        </w:rPr>
        <w:t>zation (</w:t>
      </w:r>
      <w:hyperlink r:id="rId15" w:history="1">
        <w:r w:rsidRPr="00C83D5F">
          <w:rPr>
            <w:rStyle w:val="Hyperlink"/>
          </w:rPr>
          <w:t>https://mentor.ieee.org/802.15/dcn/16/15-16-0592-00-003d-proposal-for-ieee802-15-3d-channel-assignment-plans.pdf</w:t>
        </w:r>
      </w:hyperlink>
      <w:r>
        <w:rPr>
          <w:rStyle w:val="ECCParagraph"/>
        </w:rPr>
        <w:t>)</w:t>
      </w:r>
    </w:p>
    <w:p w14:paraId="6A95C04B" w14:textId="77777777" w:rsidR="003771D5" w:rsidRDefault="003771D5" w:rsidP="00BD4E12">
      <w:pPr>
        <w:pStyle w:val="Heading1"/>
      </w:pPr>
      <w:r w:rsidRPr="00DD6CE9">
        <w:rPr>
          <w:lang w:val="en-GB"/>
        </w:rPr>
        <w:t>Actions to be taken</w:t>
      </w:r>
    </w:p>
    <w:p w14:paraId="0DFEF416" w14:textId="77777777" w:rsidR="004038B4" w:rsidRDefault="004038B4" w:rsidP="004038B4">
      <w:pPr>
        <w:rPr>
          <w:rStyle w:val="ECCParagraph"/>
        </w:rPr>
      </w:pPr>
      <w:r>
        <w:rPr>
          <w:rStyle w:val="ECCParagraph"/>
        </w:rPr>
        <w:t xml:space="preserve">The following actions need to be taken into account before identifying frequency bands </w:t>
      </w:r>
      <w:r w:rsidRPr="008140BD">
        <w:t>for land-mobile and fixed services applications operating in the frequency range 275-450 GHz</w:t>
      </w:r>
      <w:r>
        <w:rPr>
          <w:rStyle w:val="ECCParagraph"/>
        </w:rPr>
        <w:t>:</w:t>
      </w:r>
    </w:p>
    <w:p w14:paraId="08E6A69E" w14:textId="63231EE8" w:rsidR="004038B4" w:rsidRPr="004038B4" w:rsidRDefault="004038B4" w:rsidP="00580438">
      <w:pPr>
        <w:pStyle w:val="ECCBulletsLv2"/>
      </w:pPr>
      <w:r w:rsidRPr="004038B4">
        <w:t xml:space="preserve">to </w:t>
      </w:r>
      <w:r w:rsidR="001961CD">
        <w:t>confirm</w:t>
      </w:r>
      <w:r w:rsidR="001961CD" w:rsidRPr="004038B4">
        <w:t xml:space="preserve"> </w:t>
      </w:r>
      <w:r w:rsidRPr="004038B4">
        <w:t>technical and operational characteristics of systems in the land-mobile and fixed services operating at frequencies above 275 GHz, including the description of:</w:t>
      </w:r>
    </w:p>
    <w:p w14:paraId="1392BED6" w14:textId="77777777" w:rsidR="004038B4" w:rsidRPr="004038B4" w:rsidRDefault="004038B4" w:rsidP="00732568">
      <w:pPr>
        <w:pStyle w:val="ECCBulletsLv3"/>
      </w:pPr>
      <w:r w:rsidRPr="004038B4">
        <w:t>link elevation distribution expected in the band above 275 GHz</w:t>
      </w:r>
    </w:p>
    <w:p w14:paraId="7FAFDD7F" w14:textId="77777777" w:rsidR="004038B4" w:rsidRPr="004038B4" w:rsidRDefault="004038B4" w:rsidP="00732568">
      <w:pPr>
        <w:pStyle w:val="ECCBulletsLv3"/>
      </w:pPr>
      <w:r w:rsidRPr="004038B4">
        <w:t>antenna pattern(s)</w:t>
      </w:r>
    </w:p>
    <w:p w14:paraId="18D15576" w14:textId="3927D196" w:rsidR="004038B4" w:rsidRPr="004038B4" w:rsidRDefault="004038B4" w:rsidP="00732568">
      <w:pPr>
        <w:pStyle w:val="ECCBulletsLv3"/>
      </w:pPr>
      <w:r w:rsidRPr="004038B4">
        <w:t>deployment scenarios (densities of equipment per km²) in various environments (</w:t>
      </w:r>
      <w:r w:rsidR="00B75426">
        <w:t>r</w:t>
      </w:r>
      <w:r w:rsidRPr="004038B4">
        <w:t>ural, suburban and urban)</w:t>
      </w:r>
    </w:p>
    <w:p w14:paraId="31C86151" w14:textId="77777777" w:rsidR="004038B4" w:rsidRPr="004038B4" w:rsidRDefault="004038B4" w:rsidP="00732568">
      <w:pPr>
        <w:pStyle w:val="ECCBulletsLv3"/>
      </w:pPr>
      <w:r w:rsidRPr="004038B4">
        <w:t>emission masks</w:t>
      </w:r>
      <w:r w:rsidR="009B6990">
        <w:t xml:space="preserve"> including out of band emission and spurious emissions</w:t>
      </w:r>
    </w:p>
    <w:p w14:paraId="6F4A24E8" w14:textId="55658A1D" w:rsidR="00B45850" w:rsidRPr="00B45850" w:rsidRDefault="00B45850" w:rsidP="00580438">
      <w:pPr>
        <w:pStyle w:val="ECCBulletsLv2"/>
      </w:pPr>
      <w:r w:rsidRPr="00531E5B">
        <w:t xml:space="preserve">to </w:t>
      </w:r>
      <w:r w:rsidR="001961CD">
        <w:t>confirm</w:t>
      </w:r>
      <w:r w:rsidR="001961CD" w:rsidRPr="00531E5B">
        <w:t xml:space="preserve"> </w:t>
      </w:r>
      <w:r w:rsidRPr="00531E5B">
        <w:t>spectrum needs of systems in the land-mobile and fixed services, taking into</w:t>
      </w:r>
      <w:r w:rsidRPr="00B45850">
        <w:t xml:space="preserve"> account the results of the above studies;</w:t>
      </w:r>
    </w:p>
    <w:p w14:paraId="0A76D93D" w14:textId="77777777" w:rsidR="00B45850" w:rsidRPr="00B45850" w:rsidRDefault="00B45850" w:rsidP="00580438">
      <w:pPr>
        <w:pStyle w:val="ECCBulletsLv2"/>
      </w:pPr>
      <w:r w:rsidRPr="00531E5B">
        <w:t>to develop propagation models within the frequency range 275-450 GHz so as to</w:t>
      </w:r>
      <w:r w:rsidRPr="00B45850">
        <w:t xml:space="preserve"> enable sharing and compatibility studies between the land-mobile, fixed and passive services in this frequency range;</w:t>
      </w:r>
    </w:p>
    <w:p w14:paraId="0C789D81" w14:textId="77777777" w:rsidR="00B45850" w:rsidRPr="00B45850" w:rsidRDefault="00B45850" w:rsidP="00580438">
      <w:pPr>
        <w:pStyle w:val="ECCBulletsLv2"/>
      </w:pPr>
      <w:proofErr w:type="gramStart"/>
      <w:r w:rsidRPr="00531E5B">
        <w:t>to</w:t>
      </w:r>
      <w:proofErr w:type="gramEnd"/>
      <w:r w:rsidRPr="00531E5B">
        <w:t xml:space="preserve"> conduct sharing and compatibility studies between the land-mobile, fixed and</w:t>
      </w:r>
      <w:r w:rsidRPr="00B45850">
        <w:t xml:space="preserve"> passive services operating in the frequency range 275-450 GHz</w:t>
      </w:r>
      <w:r w:rsidR="001E580A">
        <w:t>, including single entry and aggregate scenarios</w:t>
      </w:r>
      <w:r>
        <w:t>.</w:t>
      </w:r>
    </w:p>
    <w:p w14:paraId="0A3F1504" w14:textId="77777777" w:rsidR="003771D5" w:rsidRPr="00DD6CE9" w:rsidRDefault="003771D5" w:rsidP="00BD4E12">
      <w:pPr>
        <w:pStyle w:val="Heading1"/>
        <w:rPr>
          <w:lang w:val="en-GB"/>
        </w:rPr>
      </w:pPr>
      <w:r w:rsidRPr="00DD6CE9">
        <w:rPr>
          <w:lang w:val="en-GB"/>
        </w:rPr>
        <w:t>Relevant information from outside CEPT (examples of these are below)</w:t>
      </w:r>
    </w:p>
    <w:p w14:paraId="3115E1F1" w14:textId="77777777" w:rsidR="003771D5" w:rsidRPr="00CF2EC7" w:rsidRDefault="003771D5" w:rsidP="00BD4E12">
      <w:pPr>
        <w:pStyle w:val="Heading2"/>
        <w:rPr>
          <w:lang w:val="en-US"/>
        </w:rPr>
      </w:pPr>
      <w:r w:rsidRPr="00DD6CE9">
        <w:rPr>
          <w:lang w:val="en-GB"/>
        </w:rPr>
        <w:t>European Union (date of proposal)</w:t>
      </w:r>
    </w:p>
    <w:p w14:paraId="2F89A9D4" w14:textId="77777777" w:rsidR="004F16F4" w:rsidRPr="006C5C1C" w:rsidRDefault="004F16F4" w:rsidP="004F16F4">
      <w:pPr>
        <w:rPr>
          <w:rStyle w:val="ECCParagraph"/>
        </w:rPr>
      </w:pPr>
    </w:p>
    <w:p w14:paraId="4F44E43C" w14:textId="77777777" w:rsidR="003771D5" w:rsidRPr="00DD6CE9" w:rsidRDefault="003771D5" w:rsidP="00BD4E12">
      <w:pPr>
        <w:pStyle w:val="Heading2"/>
        <w:rPr>
          <w:lang w:val="en-GB"/>
        </w:rPr>
      </w:pPr>
      <w:r w:rsidRPr="00DD6CE9">
        <w:rPr>
          <w:lang w:val="en-GB"/>
        </w:rPr>
        <w:lastRenderedPageBreak/>
        <w:t>Regional t</w:t>
      </w:r>
      <w:r w:rsidR="0057797A">
        <w:rPr>
          <w:lang w:val="en-GB"/>
        </w:rPr>
        <w:t>elecommunication organisations</w:t>
      </w:r>
    </w:p>
    <w:p w14:paraId="20F4B0CF" w14:textId="33706097" w:rsidR="003771D5" w:rsidRDefault="003771D5" w:rsidP="003A68D5">
      <w:pPr>
        <w:pStyle w:val="ECCBreak"/>
      </w:pPr>
      <w:r w:rsidRPr="00DD6CE9">
        <w:t>APT (</w:t>
      </w:r>
      <w:r w:rsidR="003740AA">
        <w:t>July 2017</w:t>
      </w:r>
      <w:r w:rsidRPr="00DD6CE9">
        <w:t>)</w:t>
      </w:r>
    </w:p>
    <w:p w14:paraId="662FB4F6" w14:textId="163E57A0" w:rsidR="006C5C1C" w:rsidRPr="00BC636E" w:rsidRDefault="003740AA" w:rsidP="006C5C1C">
      <w:pPr>
        <w:rPr>
          <w:rStyle w:val="ECCParagraph"/>
        </w:rPr>
      </w:pPr>
      <w:r w:rsidRPr="00BC636E">
        <w:rPr>
          <w:rStyle w:val="ECCParagraph"/>
        </w:rPr>
        <w:t>APT Members support the ITU-R studies to consider identification of frequency bands for use by the land-mobile and fixed service applications operating in the frequency range 275-450 GHz, provided that the protection on passive services identified in No.5.565 is ensured.</w:t>
      </w:r>
    </w:p>
    <w:p w14:paraId="4F3E314F" w14:textId="79364377" w:rsidR="003771D5" w:rsidRPr="007E41D1" w:rsidRDefault="003771D5" w:rsidP="003A68D5">
      <w:pPr>
        <w:pStyle w:val="ECCBreak"/>
        <w:rPr>
          <w:lang w:val="en-US"/>
        </w:rPr>
      </w:pPr>
      <w:r w:rsidRPr="007E41D1">
        <w:rPr>
          <w:lang w:val="en-US"/>
        </w:rPr>
        <w:t>ATU (</w:t>
      </w:r>
      <w:r w:rsidR="007C1E8D" w:rsidRPr="00B75426">
        <w:rPr>
          <w:lang w:val="en-US"/>
        </w:rPr>
        <w:t>September 2017</w:t>
      </w:r>
      <w:r w:rsidRPr="007E41D1">
        <w:rPr>
          <w:lang w:val="en-US"/>
        </w:rPr>
        <w:t>)</w:t>
      </w:r>
    </w:p>
    <w:p w14:paraId="16419B70" w14:textId="4CC6827C" w:rsidR="007C1E8D" w:rsidRDefault="007C1E8D" w:rsidP="00BD4E12">
      <w:r w:rsidRPr="007C1E8D">
        <w:t>APM19-2 Outcomes</w:t>
      </w:r>
    </w:p>
    <w:p w14:paraId="47A038DD" w14:textId="77777777" w:rsidR="00B75426" w:rsidRPr="00B75426" w:rsidRDefault="007C1E8D" w:rsidP="00B75426">
      <w:r w:rsidRPr="00B75426">
        <w:t xml:space="preserve">Encourage administrations to closely follow the ongoing studies on the identification of frequency bands in the range 275-450 GHz for Land Mobile and Fixed Service applications to ensure the protection of passive services identified in No </w:t>
      </w:r>
      <w:r w:rsidRPr="00B75426">
        <w:rPr>
          <w:rStyle w:val="ECCHLbold"/>
        </w:rPr>
        <w:t>5.565</w:t>
      </w:r>
      <w:r w:rsidRPr="00B75426">
        <w:t>.</w:t>
      </w:r>
    </w:p>
    <w:p w14:paraId="505D103B" w14:textId="68B25A2A" w:rsidR="003771D5" w:rsidRPr="00CF2EC7" w:rsidRDefault="003771D5" w:rsidP="003A68D5">
      <w:pPr>
        <w:pStyle w:val="ECCBreak"/>
        <w:rPr>
          <w:lang w:val="en-US"/>
        </w:rPr>
      </w:pPr>
      <w:r w:rsidRPr="00CF2EC7">
        <w:rPr>
          <w:lang w:val="en-US"/>
        </w:rPr>
        <w:t>Arab Group (</w:t>
      </w:r>
      <w:r w:rsidR="00165B82" w:rsidRPr="007E41D1">
        <w:rPr>
          <w:lang w:val="en-US"/>
        </w:rPr>
        <w:t>20 April 2017</w:t>
      </w:r>
      <w:r w:rsidRPr="00CF2EC7">
        <w:rPr>
          <w:lang w:val="en-US"/>
        </w:rPr>
        <w:t>)</w:t>
      </w:r>
    </w:p>
    <w:p w14:paraId="1D449774" w14:textId="77777777" w:rsidR="003771D5" w:rsidRPr="00B75426" w:rsidRDefault="00165B82" w:rsidP="00B75426">
      <w:r w:rsidRPr="00B75426">
        <w:t xml:space="preserve">Follow up and support the current studies to consider identification of frequency bands for use by administrations for the land-mobile and fixed services applications operating in the frequency range 275-450 GHz, while ensuring the protection of passive services identified in No </w:t>
      </w:r>
      <w:r w:rsidRPr="00B75426">
        <w:rPr>
          <w:rStyle w:val="ECCHLbold"/>
        </w:rPr>
        <w:t>5.565</w:t>
      </w:r>
      <w:r w:rsidRPr="00B75426">
        <w:t>, and not adding any additional constraints on these services.</w:t>
      </w:r>
    </w:p>
    <w:p w14:paraId="6B7305D2" w14:textId="3E00F287" w:rsidR="003771D5" w:rsidRPr="00CF2EC7" w:rsidRDefault="003771D5" w:rsidP="003A68D5">
      <w:pPr>
        <w:pStyle w:val="ECCBreak"/>
        <w:rPr>
          <w:lang w:val="en-US"/>
        </w:rPr>
      </w:pPr>
      <w:r w:rsidRPr="00CF2EC7">
        <w:rPr>
          <w:lang w:val="en-US"/>
        </w:rPr>
        <w:t>CITEL (</w:t>
      </w:r>
      <w:r w:rsidR="003740AA" w:rsidRPr="00BC636E">
        <w:rPr>
          <w:rStyle w:val="ECCParagraph"/>
        </w:rPr>
        <w:t>September</w:t>
      </w:r>
      <w:r w:rsidR="003740AA" w:rsidRPr="00165B82">
        <w:rPr>
          <w:lang w:val="en-US"/>
        </w:rPr>
        <w:t xml:space="preserve"> </w:t>
      </w:r>
      <w:r w:rsidR="00165B82" w:rsidRPr="00165B82">
        <w:rPr>
          <w:lang w:val="en-US"/>
        </w:rPr>
        <w:t>2017</w:t>
      </w:r>
      <w:r w:rsidRPr="00CF2EC7">
        <w:rPr>
          <w:lang w:val="en-US"/>
        </w:rPr>
        <w:t>)</w:t>
      </w:r>
    </w:p>
    <w:p w14:paraId="36B32A79" w14:textId="77777777" w:rsidR="003771D5" w:rsidRDefault="00165B82" w:rsidP="00BD4E12">
      <w:pPr>
        <w:rPr>
          <w:rStyle w:val="ECCParagraph"/>
        </w:rPr>
      </w:pPr>
      <w:r>
        <w:rPr>
          <w:rStyle w:val="ECCParagraph"/>
        </w:rPr>
        <w:t>USA:</w:t>
      </w:r>
    </w:p>
    <w:p w14:paraId="12712E10" w14:textId="597B0E3C" w:rsidR="00165B82" w:rsidRPr="00165B82" w:rsidRDefault="00165B82" w:rsidP="00BD4E12">
      <w:pPr>
        <w:rPr>
          <w:rStyle w:val="ECCParagraph"/>
          <w:lang w:val="en-US"/>
        </w:rPr>
      </w:pPr>
      <w:r w:rsidRPr="00165B82">
        <w:rPr>
          <w:lang w:val="en-US"/>
        </w:rPr>
        <w:t>The United States is of the view that it may be possible to develop a similar footnote to that in No. 5.565 for land-mobile and fixed services, identifying bands for terrestrial active service use. To this end, the United States supports studies in the ITU-R on sharing and compatibility between passive and active services as well as spectrum needs for the land-mobile and fixed services for WRC-19 agenda item 1.15 under the terms of Resolution </w:t>
      </w:r>
      <w:r w:rsidRPr="003740AA">
        <w:rPr>
          <w:rStyle w:val="ECCHLbold"/>
        </w:rPr>
        <w:t>767 (WRC-15)</w:t>
      </w:r>
      <w:r w:rsidRPr="00165B82">
        <w:rPr>
          <w:lang w:val="en-US"/>
        </w:rPr>
        <w:t>.</w:t>
      </w:r>
    </w:p>
    <w:p w14:paraId="1B00E7F1" w14:textId="77777777" w:rsidR="003771D5" w:rsidRPr="00CF2EC7" w:rsidRDefault="003771D5" w:rsidP="003A68D5">
      <w:pPr>
        <w:pStyle w:val="ECCBreak"/>
        <w:rPr>
          <w:lang w:val="en-US"/>
        </w:rPr>
      </w:pPr>
      <w:r w:rsidRPr="00CF2EC7">
        <w:rPr>
          <w:lang w:val="en-US"/>
        </w:rPr>
        <w:t>RCC (</w:t>
      </w:r>
      <w:r w:rsidR="00421752" w:rsidRPr="006C6699">
        <w:rPr>
          <w:lang w:val="en-GB"/>
        </w:rPr>
        <w:t>16 Sept</w:t>
      </w:r>
      <w:r w:rsidR="00732568" w:rsidRPr="00C51A53">
        <w:rPr>
          <w:lang w:val="en-US"/>
        </w:rPr>
        <w:t>ember</w:t>
      </w:r>
      <w:r w:rsidR="00421752" w:rsidRPr="006C6699">
        <w:rPr>
          <w:lang w:val="en-GB"/>
        </w:rPr>
        <w:t xml:space="preserve"> 2016</w:t>
      </w:r>
      <w:r w:rsidRPr="00CF2EC7">
        <w:rPr>
          <w:lang w:val="en-US"/>
        </w:rPr>
        <w:t>)</w:t>
      </w:r>
    </w:p>
    <w:p w14:paraId="0CCED103" w14:textId="60DDE684" w:rsidR="00AC46CA" w:rsidRPr="00AC46CA" w:rsidRDefault="00AC46CA" w:rsidP="00AC46CA">
      <w:r w:rsidRPr="00AC46CA">
        <w:t xml:space="preserve">The RCC Administrations consider it reasonable </w:t>
      </w:r>
      <w:r w:rsidR="00165B82" w:rsidRPr="00165B82">
        <w:t xml:space="preserve">that identification of </w:t>
      </w:r>
      <w:r w:rsidRPr="00AC46CA">
        <w:t>frequency bands for land-mobile and fixed services applications in 275-450 GHz band</w:t>
      </w:r>
      <w:r w:rsidR="00B75426">
        <w:t xml:space="preserve"> </w:t>
      </w:r>
      <w:r w:rsidR="00165B82" w:rsidRPr="00165B82">
        <w:t>in the RR No. 5.565 will facilitate global harmonization of radio frequencies for development and introduction of land mobile and fixed service applications above 275 GHz</w:t>
      </w:r>
      <w:r w:rsidRPr="00AC46CA">
        <w:t>.</w:t>
      </w:r>
    </w:p>
    <w:p w14:paraId="75350600" w14:textId="77777777" w:rsidR="00AC46CA" w:rsidRPr="00AC46CA" w:rsidRDefault="00AC46CA" w:rsidP="00AC46CA">
      <w:r w:rsidRPr="00AC46CA">
        <w:t>The RCC Administrations consider that when identifying frequency bands for active services</w:t>
      </w:r>
      <w:r w:rsidR="00165B82">
        <w:t xml:space="preserve"> </w:t>
      </w:r>
      <w:r w:rsidR="00165B82" w:rsidRPr="00165B82">
        <w:t>in 275-450 GHz range</w:t>
      </w:r>
      <w:r w:rsidRPr="00AC46CA">
        <w:t xml:space="preserve">, a balance of interests has to be observed in the use of this frequency </w:t>
      </w:r>
      <w:r w:rsidR="00165B82">
        <w:t>range</w:t>
      </w:r>
      <w:r w:rsidR="00165B82" w:rsidRPr="00AC46CA">
        <w:t xml:space="preserve"> </w:t>
      </w:r>
      <w:r w:rsidRPr="00AC46CA">
        <w:t>by both active and passive services</w:t>
      </w:r>
      <w:r w:rsidR="00165B82">
        <w:t xml:space="preserve">, </w:t>
      </w:r>
      <w:r w:rsidR="00165B82" w:rsidRPr="00165B82">
        <w:t xml:space="preserve">ensuring possibility for future development of new active service applications while excluding interferences to the passive services in the frequency bands already </w:t>
      </w:r>
      <w:r w:rsidR="005E7CD3">
        <w:t>identified in No</w:t>
      </w:r>
      <w:r w:rsidRPr="00AC46CA">
        <w:t xml:space="preserve"> </w:t>
      </w:r>
      <w:r w:rsidRPr="00486A65">
        <w:rPr>
          <w:rStyle w:val="ECCHLbold"/>
        </w:rPr>
        <w:t>5.565</w:t>
      </w:r>
      <w:r w:rsidRPr="00AC46CA">
        <w:t xml:space="preserve"> for passive services and </w:t>
      </w:r>
      <w:r w:rsidR="00165B82">
        <w:t>effect</w:t>
      </w:r>
      <w:r w:rsidRPr="00AC46CA">
        <w:t xml:space="preserve"> of active applications in the main and adjacent frequency bands.</w:t>
      </w:r>
    </w:p>
    <w:p w14:paraId="0E342AC2" w14:textId="77777777" w:rsidR="003771D5" w:rsidRPr="00DD6CE9" w:rsidRDefault="003771D5" w:rsidP="00BD4E12">
      <w:pPr>
        <w:pStyle w:val="Heading2"/>
        <w:rPr>
          <w:lang w:val="en-GB"/>
        </w:rPr>
      </w:pPr>
      <w:r w:rsidRPr="00DD6CE9">
        <w:rPr>
          <w:lang w:val="en-GB"/>
        </w:rPr>
        <w:t>International organisations</w:t>
      </w:r>
    </w:p>
    <w:p w14:paraId="02591897" w14:textId="77777777" w:rsidR="008E7C83" w:rsidRDefault="008E7C83" w:rsidP="008E7C83">
      <w:pPr>
        <w:pStyle w:val="ECCBreak"/>
      </w:pPr>
      <w:r>
        <w:t>IARU</w:t>
      </w:r>
      <w:r w:rsidRPr="008E7C83">
        <w:t xml:space="preserve"> (</w:t>
      </w:r>
      <w:r>
        <w:t>April 2017</w:t>
      </w:r>
      <w:r w:rsidRPr="008E7C83">
        <w:rPr>
          <w:lang w:val="en-US"/>
        </w:rPr>
        <w:t>)</w:t>
      </w:r>
    </w:p>
    <w:p w14:paraId="2F11109A" w14:textId="77777777" w:rsidR="008E7C83" w:rsidRPr="008E7C83" w:rsidRDefault="008E7C83" w:rsidP="008E7C83">
      <w:pPr>
        <w:rPr>
          <w:lang w:val="en-US"/>
        </w:rPr>
      </w:pPr>
      <w:r w:rsidRPr="008E7C83">
        <w:rPr>
          <w:lang w:val="en-US"/>
        </w:rPr>
        <w:t xml:space="preserve">Resolution </w:t>
      </w:r>
      <w:r w:rsidRPr="003740AA">
        <w:rPr>
          <w:rStyle w:val="ECCHLbold"/>
        </w:rPr>
        <w:t>767 (WRC-15)</w:t>
      </w:r>
      <w:r w:rsidRPr="008E7C83">
        <w:rPr>
          <w:lang w:val="en-US"/>
        </w:rPr>
        <w:t xml:space="preserve"> recognizes that the amateur service is developing and demonstrating applications above 275 GHz. As studies proceed to identify candidate frequency bands for the land-mobile and fixed services in the frequency range 275-450 GHz, the IARU supports maintaining access for non-commercial experimentation by stations in the amateur service to as much of the frequency range as possible, consistent with the protection of the passive and other active services.</w:t>
      </w:r>
    </w:p>
    <w:p w14:paraId="3CB6C32F" w14:textId="77777777" w:rsidR="003771D5" w:rsidRPr="008E7C83" w:rsidRDefault="003771D5" w:rsidP="003A68D5">
      <w:pPr>
        <w:pStyle w:val="ECCBreak"/>
        <w:rPr>
          <w:lang w:val="en-US"/>
        </w:rPr>
      </w:pPr>
      <w:r w:rsidRPr="008E7C83">
        <w:rPr>
          <w:lang w:val="en-US"/>
        </w:rPr>
        <w:lastRenderedPageBreak/>
        <w:t>IATA (date of proposal)</w:t>
      </w:r>
    </w:p>
    <w:p w14:paraId="4A6AA762" w14:textId="77777777" w:rsidR="003771D5" w:rsidRPr="006C5C1C" w:rsidRDefault="003771D5" w:rsidP="00BD4E12">
      <w:pPr>
        <w:rPr>
          <w:rStyle w:val="ECCParagraph"/>
        </w:rPr>
      </w:pPr>
    </w:p>
    <w:p w14:paraId="78A4351D" w14:textId="77777777" w:rsidR="003771D5" w:rsidRPr="008E7C83" w:rsidRDefault="003771D5" w:rsidP="003A68D5">
      <w:pPr>
        <w:pStyle w:val="ECCBreak"/>
        <w:rPr>
          <w:lang w:val="en-US"/>
        </w:rPr>
      </w:pPr>
      <w:r w:rsidRPr="008E7C83">
        <w:rPr>
          <w:lang w:val="en-US"/>
        </w:rPr>
        <w:t>ICAO (date of proposal)</w:t>
      </w:r>
    </w:p>
    <w:p w14:paraId="4E96838F" w14:textId="77777777" w:rsidR="003771D5" w:rsidRPr="006C5C1C" w:rsidRDefault="003771D5" w:rsidP="00BD4E12">
      <w:pPr>
        <w:rPr>
          <w:rStyle w:val="ECCParagraph"/>
        </w:rPr>
      </w:pPr>
    </w:p>
    <w:p w14:paraId="7F41DFAF" w14:textId="77777777" w:rsidR="003771D5" w:rsidRPr="008E7C83" w:rsidRDefault="003771D5" w:rsidP="003A68D5">
      <w:pPr>
        <w:pStyle w:val="ECCBreak"/>
        <w:rPr>
          <w:lang w:val="en-US"/>
        </w:rPr>
      </w:pPr>
      <w:r w:rsidRPr="008E7C83">
        <w:rPr>
          <w:lang w:val="en-US"/>
        </w:rPr>
        <w:t>IMO (date of proposal)</w:t>
      </w:r>
    </w:p>
    <w:p w14:paraId="1D2F3B81" w14:textId="77777777" w:rsidR="003771D5" w:rsidRPr="006C5C1C" w:rsidRDefault="003771D5" w:rsidP="00BD4E12">
      <w:pPr>
        <w:rPr>
          <w:rStyle w:val="ECCParagraph"/>
        </w:rPr>
      </w:pPr>
    </w:p>
    <w:p w14:paraId="380A9250" w14:textId="4564F238" w:rsidR="003771D5" w:rsidRPr="008E7C83" w:rsidRDefault="003771D5" w:rsidP="003A68D5">
      <w:pPr>
        <w:pStyle w:val="ECCBreak"/>
        <w:rPr>
          <w:lang w:val="en-US"/>
        </w:rPr>
      </w:pPr>
      <w:r w:rsidRPr="008E7C83">
        <w:rPr>
          <w:lang w:val="en-US"/>
        </w:rPr>
        <w:t>SFCG (</w:t>
      </w:r>
      <w:r w:rsidR="00CF38B5" w:rsidRPr="007E41D1">
        <w:rPr>
          <w:lang w:val="en-US"/>
        </w:rPr>
        <w:t>September</w:t>
      </w:r>
      <w:r w:rsidR="00EA5567">
        <w:rPr>
          <w:lang w:val="en-US"/>
        </w:rPr>
        <w:t xml:space="preserve"> 2017</w:t>
      </w:r>
      <w:r w:rsidRPr="008E7C83">
        <w:rPr>
          <w:lang w:val="en-US"/>
        </w:rPr>
        <w:t>)</w:t>
      </w:r>
    </w:p>
    <w:p w14:paraId="7A749163" w14:textId="121D14D1" w:rsidR="00EA5567" w:rsidRDefault="009455E9" w:rsidP="00EA5567">
      <w:pPr>
        <w:autoSpaceDE w:val="0"/>
        <w:autoSpaceDN w:val="0"/>
        <w:adjustRightInd w:val="0"/>
        <w:spacing w:before="100" w:beforeAutospacing="1"/>
      </w:pPr>
      <w:r>
        <w:t>Space Frequency Coordination Group (</w:t>
      </w:r>
      <w:r w:rsidR="00EA5567" w:rsidRPr="004D1269">
        <w:t>SFCG</w:t>
      </w:r>
      <w:r>
        <w:t>)</w:t>
      </w:r>
      <w:r w:rsidR="00EA5567" w:rsidRPr="004D1269">
        <w:t xml:space="preserve"> supports the identification of frequency bands</w:t>
      </w:r>
      <w:r w:rsidR="00EA5567">
        <w:t xml:space="preserve"> for use by systems operating in the land-mobile and fixed services, </w:t>
      </w:r>
      <w:r w:rsidR="00EA5567" w:rsidRPr="004D1269">
        <w:t>as</w:t>
      </w:r>
      <w:r w:rsidR="00EA5567">
        <w:t xml:space="preserve"> long as these applications are compatible with passive sensors and do not cause interference to the passive use</w:t>
      </w:r>
      <w:r w:rsidR="00EA5567" w:rsidRPr="004D1269">
        <w:t xml:space="preserve"> of the bands identified in </w:t>
      </w:r>
      <w:r w:rsidR="00EA5567">
        <w:t xml:space="preserve">RR </w:t>
      </w:r>
      <w:r w:rsidR="00EA5567" w:rsidRPr="004D1269">
        <w:t xml:space="preserve">No. </w:t>
      </w:r>
      <w:r w:rsidR="00EA5567" w:rsidRPr="004D1269">
        <w:rPr>
          <w:b/>
        </w:rPr>
        <w:t>5.565</w:t>
      </w:r>
      <w:r w:rsidR="00EA5567" w:rsidRPr="004D1269">
        <w:t>.</w:t>
      </w:r>
      <w:r w:rsidR="00EA5567">
        <w:t xml:space="preserve">  SFCG supports the concept that n</w:t>
      </w:r>
      <w:r w:rsidR="00EA5567" w:rsidRPr="001A77F2">
        <w:rPr>
          <w:lang w:val="en-US"/>
        </w:rPr>
        <w:t>o allocation</w:t>
      </w:r>
      <w:r w:rsidR="00EA5567">
        <w:rPr>
          <w:lang w:val="en-US"/>
        </w:rPr>
        <w:t>s</w:t>
      </w:r>
      <w:r w:rsidR="00EA5567" w:rsidRPr="001A77F2">
        <w:rPr>
          <w:lang w:val="en-US"/>
        </w:rPr>
        <w:t xml:space="preserve"> will be made to any service above 275 GHz</w:t>
      </w:r>
      <w:r w:rsidR="00EA5567">
        <w:rPr>
          <w:lang w:val="en-US"/>
        </w:rPr>
        <w:t xml:space="preserve"> at WRC-19</w:t>
      </w:r>
      <w:r w:rsidR="00EA5567" w:rsidRPr="001A77F2">
        <w:rPr>
          <w:lang w:val="en-US"/>
        </w:rPr>
        <w:t>.</w:t>
      </w:r>
    </w:p>
    <w:p w14:paraId="012EA015" w14:textId="20D9F06C" w:rsidR="00875526" w:rsidRDefault="00875526" w:rsidP="00875526">
      <w:r>
        <w:t xml:space="preserve">With a view to support the process of identifying appropriate spectrum for FS and LMS under this agenda item, space agencies in the framework of the </w:t>
      </w:r>
      <w:r w:rsidR="009455E9">
        <w:t>SFCG</w:t>
      </w:r>
      <w:r>
        <w:t xml:space="preserve"> considered these spectrum needs in light of compatibility with passive sensors and its current and planned use as well as the scientific spectrum requirements for atmospheric profiling and atmospheric chemistry measurements, </w:t>
      </w:r>
    </w:p>
    <w:p w14:paraId="74C00025" w14:textId="77777777" w:rsidR="00875526" w:rsidRPr="00BC636E" w:rsidRDefault="00875526" w:rsidP="00875526">
      <w:pPr>
        <w:rPr>
          <w:rStyle w:val="ECCParagraph"/>
        </w:rPr>
      </w:pPr>
      <w:r w:rsidRPr="00BC636E">
        <w:rPr>
          <w:rStyle w:val="ECCParagraph"/>
        </w:rPr>
        <w:t xml:space="preserve">According to this preliminary assessment, which has to be further consolidated and confirmed by WP 7C, the frequency bands below 313 GHz are currently predominantly considered and planned for use by limb sounding instruments. Corresponding preliminary sharing studies have shown that limb sounding instruments should be able to share frequencies with FS and LMS systems, while vertical sounding instruments using the band 313-356 GHz could not share with FS and LMS systems. The band 313-356 GHz is a band of high interest for meteorology (water vapour vertical sounding) and needs to be protected. </w:t>
      </w:r>
    </w:p>
    <w:p w14:paraId="04D28654" w14:textId="77777777" w:rsidR="00875526" w:rsidRPr="00DA4B6B" w:rsidRDefault="00875526" w:rsidP="00875526">
      <w:r w:rsidRPr="00BC636E">
        <w:rPr>
          <w:rStyle w:val="ECCParagraph"/>
        </w:rPr>
        <w:t>Considering this, SFCG discussed the possibility of sharing the range 275-310 GHz with FS and LMS, while avoiding FS/LMS identification in the 310-359 GHz range (3 GHz guard band). Together with FS/MS allocations in the adjacent band below 275 GHz this range could more than satisfy the identified spectrum requirement for FS and LMS. However, this initial assessment will have to be discussed and reviewed in depth by WP 7C before a conclusion can be drawn on this option</w:t>
      </w:r>
      <w:r>
        <w:t xml:space="preserve">. </w:t>
      </w:r>
    </w:p>
    <w:p w14:paraId="601563D2" w14:textId="77777777" w:rsidR="003771D5" w:rsidRPr="00CF2EC7" w:rsidRDefault="003771D5" w:rsidP="003A68D5">
      <w:pPr>
        <w:pStyle w:val="ECCBreak"/>
        <w:rPr>
          <w:lang w:val="en-US"/>
        </w:rPr>
      </w:pPr>
      <w:r w:rsidRPr="00CF2EC7">
        <w:rPr>
          <w:lang w:val="en-US"/>
        </w:rPr>
        <w:t>EUMETNET (</w:t>
      </w:r>
      <w:r w:rsidR="00182B12" w:rsidRPr="00732568">
        <w:rPr>
          <w:lang w:val="en-GB"/>
        </w:rPr>
        <w:t>21 November 2016</w:t>
      </w:r>
      <w:r w:rsidRPr="00CF2EC7">
        <w:rPr>
          <w:lang w:val="en-US"/>
        </w:rPr>
        <w:t>)</w:t>
      </w:r>
    </w:p>
    <w:p w14:paraId="2FA3514C" w14:textId="77777777" w:rsidR="00182B12" w:rsidRDefault="00182B12" w:rsidP="00182B12">
      <w:r w:rsidRPr="00182B12">
        <w:t>No opposition to FS/MS identification in the 275-450 GHz band provided that protection of EESS (passive) is ensured</w:t>
      </w:r>
    </w:p>
    <w:p w14:paraId="27729A91" w14:textId="5E01A429" w:rsidR="00122465" w:rsidRPr="00C51A53" w:rsidRDefault="00122465" w:rsidP="00122465">
      <w:pPr>
        <w:pStyle w:val="ECCBreak"/>
        <w:rPr>
          <w:lang w:val="en-US"/>
        </w:rPr>
      </w:pPr>
      <w:r w:rsidRPr="00C51A53">
        <w:rPr>
          <w:lang w:val="en-US"/>
        </w:rPr>
        <w:t>WMO (February 2017)</w:t>
      </w:r>
    </w:p>
    <w:p w14:paraId="72A06ADD" w14:textId="77777777" w:rsidR="00122465" w:rsidRDefault="00122465" w:rsidP="00122465">
      <w:r w:rsidRPr="00122465">
        <w:rPr>
          <w:rStyle w:val="ECCParagraph"/>
        </w:rPr>
        <w:t xml:space="preserve">WMO does not oppose the identification of land-mobile and fixed services in the 275-450 GHz band provided that protection of EESS (passive) is ensured and the identification is consistent with footnote </w:t>
      </w:r>
      <w:r w:rsidR="00B57FEC">
        <w:t>No</w:t>
      </w:r>
      <w:r w:rsidRPr="00F43983">
        <w:t xml:space="preserve"> </w:t>
      </w:r>
      <w:r w:rsidRPr="00B57FEC">
        <w:rPr>
          <w:rStyle w:val="ECCHLbold"/>
        </w:rPr>
        <w:t>5.565</w:t>
      </w:r>
      <w:r>
        <w:t xml:space="preserve">. </w:t>
      </w:r>
    </w:p>
    <w:p w14:paraId="0F309759" w14:textId="77777777" w:rsidR="00122465" w:rsidRDefault="00122465" w:rsidP="00122465">
      <w:r>
        <w:t>If allocations for active service are envisaged, the same</w:t>
      </w:r>
      <w:r w:rsidRPr="00F43983">
        <w:t xml:space="preserve"> </w:t>
      </w:r>
      <w:r>
        <w:t>approach would have to be applied to passive service.</w:t>
      </w:r>
    </w:p>
    <w:p w14:paraId="4A36413A" w14:textId="7840CAD9" w:rsidR="000E4B99" w:rsidRPr="000E4B99" w:rsidRDefault="000E4B99" w:rsidP="000E4B99">
      <w:pPr>
        <w:pStyle w:val="ECCBreak"/>
      </w:pPr>
      <w:r>
        <w:t>IEEE</w:t>
      </w:r>
      <w:r w:rsidR="00B75426">
        <w:t xml:space="preserve"> </w:t>
      </w:r>
      <w:r>
        <w:t>802 (date of proposal)</w:t>
      </w:r>
    </w:p>
    <w:p w14:paraId="1E713732" w14:textId="77777777" w:rsidR="000E4B99" w:rsidRDefault="000E4B99" w:rsidP="00BA3782">
      <w:pPr>
        <w:pStyle w:val="ECCBulletsLv1"/>
        <w:numPr>
          <w:ilvl w:val="0"/>
          <w:numId w:val="0"/>
        </w:numPr>
        <w:ind w:left="360" w:hanging="360"/>
        <w:rPr>
          <w:rStyle w:val="ECCParagraph"/>
        </w:rPr>
      </w:pPr>
    </w:p>
    <w:p w14:paraId="785F4CEE" w14:textId="77777777" w:rsidR="003771D5" w:rsidRPr="00DD6CE9" w:rsidRDefault="003771D5" w:rsidP="00BD4E12">
      <w:pPr>
        <w:pStyle w:val="Heading2"/>
      </w:pPr>
      <w:r w:rsidRPr="00DD6CE9">
        <w:lastRenderedPageBreak/>
        <w:t>Regional organisations</w:t>
      </w:r>
    </w:p>
    <w:p w14:paraId="7B174982" w14:textId="00039C7A" w:rsidR="003771D5" w:rsidRPr="00BD4E12" w:rsidRDefault="00421752" w:rsidP="003A68D5">
      <w:pPr>
        <w:pStyle w:val="ECCBreak"/>
      </w:pPr>
      <w:r>
        <w:t>ESA (October 201</w:t>
      </w:r>
      <w:r w:rsidR="008E26D0">
        <w:t>7</w:t>
      </w:r>
      <w:r w:rsidR="003771D5" w:rsidRPr="00BD4E12">
        <w:t>)</w:t>
      </w:r>
    </w:p>
    <w:p w14:paraId="476BF497" w14:textId="77777777" w:rsidR="003771D5" w:rsidRPr="006C5C1C" w:rsidRDefault="00421752" w:rsidP="00BD4E12">
      <w:pPr>
        <w:rPr>
          <w:rStyle w:val="ECCParagraph"/>
        </w:rPr>
      </w:pPr>
      <w:proofErr w:type="gramStart"/>
      <w:r>
        <w:rPr>
          <w:rStyle w:val="ECCParagraph"/>
        </w:rPr>
        <w:t>Supports the SFCG position.</w:t>
      </w:r>
      <w:proofErr w:type="gramEnd"/>
    </w:p>
    <w:p w14:paraId="13932225" w14:textId="77777777" w:rsidR="003771D5" w:rsidRPr="0057797A" w:rsidRDefault="003771D5" w:rsidP="003A68D5">
      <w:pPr>
        <w:pStyle w:val="ECCBreak"/>
      </w:pPr>
      <w:r w:rsidRPr="0057797A">
        <w:t xml:space="preserve">Eurocontrol (date </w:t>
      </w:r>
      <w:r w:rsidRPr="00BD4E12">
        <w:t>of proposal</w:t>
      </w:r>
      <w:r w:rsidRPr="0057797A">
        <w:t>)</w:t>
      </w:r>
    </w:p>
    <w:p w14:paraId="0E919E64" w14:textId="77777777" w:rsidR="00FE46BC" w:rsidRDefault="00FE46BC" w:rsidP="00FE46BC">
      <w:pPr>
        <w:rPr>
          <w:rStyle w:val="ECCParagraph"/>
        </w:rPr>
      </w:pPr>
    </w:p>
    <w:p w14:paraId="0376179B" w14:textId="2596B729" w:rsidR="00FE46BC" w:rsidRPr="005B4F69" w:rsidRDefault="00FE46BC" w:rsidP="00FE46BC">
      <w:pPr>
        <w:rPr>
          <w:rStyle w:val="ECCHLbold"/>
        </w:rPr>
      </w:pPr>
      <w:r w:rsidRPr="005B4F69">
        <w:rPr>
          <w:rStyle w:val="ECCHLbold"/>
        </w:rPr>
        <w:t>EUMETSAT (</w:t>
      </w:r>
      <w:r w:rsidR="00DD3A8E">
        <w:rPr>
          <w:rStyle w:val="ECCHLbold"/>
        </w:rPr>
        <w:t>October</w:t>
      </w:r>
      <w:r w:rsidRPr="005B4F69">
        <w:rPr>
          <w:rStyle w:val="ECCHLbold"/>
        </w:rPr>
        <w:t xml:space="preserve"> 2017)</w:t>
      </w:r>
    </w:p>
    <w:p w14:paraId="4BF182F4" w14:textId="77777777" w:rsidR="00DD3A8E" w:rsidRDefault="00DD3A8E" w:rsidP="00FE46BC">
      <w:r>
        <w:t>EUMETSAT supports the SFCG and WMO position.</w:t>
      </w:r>
    </w:p>
    <w:p w14:paraId="64744E67" w14:textId="0B39B066" w:rsidR="00FE46BC" w:rsidRPr="005F561C" w:rsidRDefault="00FE46BC" w:rsidP="00FE46BC">
      <w:r w:rsidRPr="00CC790B">
        <w:t xml:space="preserve">Since 2006, the European contribution to operational meteorological observations from polar orbit has been provided by the first generation of </w:t>
      </w:r>
      <w:r w:rsidRPr="005F561C">
        <w:t xml:space="preserve">the EUMETSAT Polar System (EPS) with its 3 </w:t>
      </w:r>
      <w:proofErr w:type="spellStart"/>
      <w:r w:rsidRPr="005F561C">
        <w:t>Metop</w:t>
      </w:r>
      <w:proofErr w:type="spellEnd"/>
      <w:r w:rsidRPr="005F561C">
        <w:t xml:space="preserve"> satellites. The second generation of this system with 6 </w:t>
      </w:r>
      <w:proofErr w:type="spellStart"/>
      <w:r w:rsidRPr="005F561C">
        <w:t>Metop</w:t>
      </w:r>
      <w:proofErr w:type="spellEnd"/>
      <w:r w:rsidRPr="005F561C">
        <w:t xml:space="preserve"> satellites (3x </w:t>
      </w:r>
      <w:proofErr w:type="spellStart"/>
      <w:r w:rsidRPr="005F561C">
        <w:t>Metop</w:t>
      </w:r>
      <w:proofErr w:type="spellEnd"/>
      <w:r w:rsidRPr="005F561C">
        <w:t xml:space="preserve">-SG-A and 3x </w:t>
      </w:r>
      <w:proofErr w:type="spellStart"/>
      <w:r w:rsidRPr="005F561C">
        <w:t>Metop</w:t>
      </w:r>
      <w:proofErr w:type="spellEnd"/>
      <w:r w:rsidRPr="005F561C">
        <w:t xml:space="preserve">-SG-B) will provide continuity and enhancement of these observations in the timeframe of 2020 to 2040. On the three </w:t>
      </w:r>
      <w:proofErr w:type="spellStart"/>
      <w:r w:rsidRPr="005F561C">
        <w:t>Metop</w:t>
      </w:r>
      <w:proofErr w:type="spellEnd"/>
      <w:r w:rsidRPr="005F561C">
        <w:t xml:space="preserve">-SG-B satellites, the conical scanning Ice Cloud Imager (ICI) instrument is planned to provide ice cloud and snowfall imaging in 11 channels in the frequency range from 183 to 664 GHz at a spatial resolution of 15 km. These 11 channels are </w:t>
      </w:r>
      <w:proofErr w:type="spellStart"/>
      <w:r w:rsidRPr="005F561C">
        <w:t>centered</w:t>
      </w:r>
      <w:proofErr w:type="spellEnd"/>
      <w:r w:rsidRPr="005F561C">
        <w:t xml:space="preserve"> at 183 GHz</w:t>
      </w:r>
      <w:r w:rsidR="00DD3A8E">
        <w:t xml:space="preserve"> (175-192 GHz)</w:t>
      </w:r>
      <w:r w:rsidRPr="005F561C">
        <w:t>, 243 GHz</w:t>
      </w:r>
      <w:r w:rsidR="00DD3A8E">
        <w:t xml:space="preserve"> (239-248 GHz)</w:t>
      </w:r>
      <w:r w:rsidRPr="005F561C">
        <w:t>, 325 GHz</w:t>
      </w:r>
      <w:r w:rsidR="00DD3A8E">
        <w:t xml:space="preserve"> (314-337 GHz)</w:t>
      </w:r>
      <w:r w:rsidRPr="005F561C">
        <w:t>, 448 GHz</w:t>
      </w:r>
      <w:r w:rsidR="00DD3A8E">
        <w:t xml:space="preserve"> (439-457 GHz)</w:t>
      </w:r>
      <w:r w:rsidRPr="005F561C">
        <w:t xml:space="preserve"> and 664 GHz</w:t>
      </w:r>
      <w:r w:rsidR="00DD3A8E">
        <w:t xml:space="preserve"> (657-671 GHz)</w:t>
      </w:r>
      <w:r w:rsidRPr="005F561C">
        <w:t xml:space="preserve">. </w:t>
      </w:r>
    </w:p>
    <w:p w14:paraId="5CF0AEFE" w14:textId="77777777" w:rsidR="00486A65" w:rsidRPr="00486A65" w:rsidRDefault="00FE46BC" w:rsidP="00486A65">
      <w:pPr>
        <w:rPr>
          <w:rStyle w:val="ECCParagraph"/>
        </w:rPr>
      </w:pPr>
      <w:r w:rsidRPr="00486A65">
        <w:rPr>
          <w:rStyle w:val="ECCParagraph"/>
        </w:rPr>
        <w:t xml:space="preserve">Given the importance of the bands above 275 GHz for passive sensing instruments like the ICI on </w:t>
      </w:r>
      <w:proofErr w:type="spellStart"/>
      <w:r w:rsidRPr="00486A65">
        <w:rPr>
          <w:rStyle w:val="ECCParagraph"/>
        </w:rPr>
        <w:t>Metop</w:t>
      </w:r>
      <w:proofErr w:type="spellEnd"/>
      <w:r w:rsidRPr="00486A65">
        <w:rPr>
          <w:rStyle w:val="ECCParagraph"/>
        </w:rPr>
        <w:t xml:space="preserve">-SG-B satellites, adequate protection of the frequency bands identified in </w:t>
      </w:r>
      <w:r w:rsidR="00486A65">
        <w:rPr>
          <w:rStyle w:val="ECCParagraph"/>
        </w:rPr>
        <w:t>No</w:t>
      </w:r>
      <w:r w:rsidR="00B57FEC">
        <w:rPr>
          <w:rStyle w:val="ECCParagraph"/>
        </w:rPr>
        <w:t xml:space="preserve"> </w:t>
      </w:r>
      <w:r w:rsidRPr="00486A65">
        <w:rPr>
          <w:rStyle w:val="ECCHLbold"/>
        </w:rPr>
        <w:t>5.565</w:t>
      </w:r>
      <w:r w:rsidRPr="00486A65">
        <w:rPr>
          <w:rStyle w:val="ECCParagraph"/>
        </w:rPr>
        <w:t xml:space="preserve"> has to be ensured when proposing identifications for use by administrations for the land-mobile and fixed service applications. </w:t>
      </w:r>
    </w:p>
    <w:p w14:paraId="18761D7E" w14:textId="77777777" w:rsidR="003771D5" w:rsidRPr="0057797A" w:rsidRDefault="003771D5" w:rsidP="00BD4E12">
      <w:pPr>
        <w:pStyle w:val="Heading2"/>
        <w:rPr>
          <w:lang w:val="en-GB"/>
        </w:rPr>
      </w:pPr>
      <w:r w:rsidRPr="00DD6CE9">
        <w:rPr>
          <w:lang w:val="en-GB"/>
        </w:rPr>
        <w:t xml:space="preserve">OTHER </w:t>
      </w:r>
      <w:r w:rsidRPr="0057797A">
        <w:rPr>
          <w:lang w:val="en-GB"/>
        </w:rPr>
        <w:t>INTERNATIONAL AND REGIONAL ORGANISATIONS</w:t>
      </w:r>
    </w:p>
    <w:p w14:paraId="06562EBD" w14:textId="77777777" w:rsidR="003771D5" w:rsidRPr="00DD6CE9" w:rsidRDefault="003771D5" w:rsidP="003A68D5">
      <w:pPr>
        <w:pStyle w:val="ECCBreak"/>
      </w:pPr>
      <w:r w:rsidRPr="00DD6CE9">
        <w:t>EBU (date of proposal)</w:t>
      </w:r>
    </w:p>
    <w:p w14:paraId="334BB279" w14:textId="77777777" w:rsidR="003771D5" w:rsidRPr="006C5C1C" w:rsidRDefault="003771D5" w:rsidP="00BD4E12">
      <w:pPr>
        <w:rPr>
          <w:rStyle w:val="ECCParagraph"/>
        </w:rPr>
      </w:pPr>
    </w:p>
    <w:p w14:paraId="7A0A8D11" w14:textId="77777777" w:rsidR="004A511D" w:rsidRDefault="003771D5" w:rsidP="003A68D5">
      <w:pPr>
        <w:pStyle w:val="ECCBreak"/>
      </w:pPr>
      <w:r w:rsidRPr="00DD6CE9">
        <w:t>GSMA (date of proposal)</w:t>
      </w:r>
    </w:p>
    <w:p w14:paraId="01D2BF76" w14:textId="77777777" w:rsidR="003A68D5" w:rsidRPr="006C5C1C" w:rsidRDefault="003A68D5" w:rsidP="003A68D5">
      <w:pPr>
        <w:rPr>
          <w:rStyle w:val="ECCParagraph"/>
        </w:rPr>
      </w:pPr>
    </w:p>
    <w:p w14:paraId="0D07D621" w14:textId="77777777" w:rsidR="003A68D5" w:rsidRDefault="003A68D5" w:rsidP="003A68D5">
      <w:pPr>
        <w:pStyle w:val="ECCBreak"/>
      </w:pPr>
      <w:r>
        <w:t>CRAF</w:t>
      </w:r>
      <w:r w:rsidRPr="00DD6CE9">
        <w:t xml:space="preserve"> (</w:t>
      </w:r>
      <w:r w:rsidR="00421752">
        <w:t>29 Sept</w:t>
      </w:r>
      <w:r w:rsidR="00732568">
        <w:t>ember</w:t>
      </w:r>
      <w:r w:rsidR="00421752">
        <w:t xml:space="preserve"> 2016</w:t>
      </w:r>
      <w:r w:rsidRPr="00DD6CE9">
        <w:t>)</w:t>
      </w:r>
    </w:p>
    <w:p w14:paraId="00AE75AE" w14:textId="77777777" w:rsidR="003A68D5" w:rsidRPr="006C5C1C" w:rsidRDefault="00726B18" w:rsidP="003A68D5">
      <w:pPr>
        <w:rPr>
          <w:rStyle w:val="ECCParagraph"/>
        </w:rPr>
      </w:pPr>
      <w:r w:rsidRPr="00A16703">
        <w:rPr>
          <w:rStyle w:val="ECCParagraph"/>
        </w:rPr>
        <w:t>CRAF supports the protection of existing RAS, SRS, and EESS (passive) frequency allocations. CRAF also supports the development of propagation models for this frequency range. No changes should be made to the Radio Regulations unless acceptable sharing and compatibility criteria are developed to ensure the protection of RAS, SRS, and EESS (passive) from future services and applications above 275 GHz.</w:t>
      </w:r>
    </w:p>
    <w:sectPr w:rsidR="003A68D5" w:rsidRPr="006C5C1C" w:rsidSect="003771D5">
      <w:headerReference w:type="even" r:id="rId16"/>
      <w:headerReference w:type="default" r:id="rId17"/>
      <w:footerReference w:type="even" r:id="rId18"/>
      <w:footerReference w:type="default" r:id="rId19"/>
      <w:headerReference w:type="first" r:id="rId20"/>
      <w:footerReference w:type="first" r:id="rId2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CF954" w14:textId="77777777" w:rsidR="00807205" w:rsidRDefault="00807205" w:rsidP="00D0121B">
      <w:r>
        <w:separator/>
      </w:r>
    </w:p>
    <w:p w14:paraId="4F15B09B" w14:textId="77777777" w:rsidR="00807205" w:rsidRDefault="00807205"/>
    <w:p w14:paraId="0E2500C7" w14:textId="77777777" w:rsidR="00807205" w:rsidRDefault="00807205"/>
  </w:endnote>
  <w:endnote w:type="continuationSeparator" w:id="0">
    <w:p w14:paraId="38EE3FA1" w14:textId="77777777" w:rsidR="00807205" w:rsidRDefault="00807205" w:rsidP="00D0121B">
      <w:r>
        <w:continuationSeparator/>
      </w:r>
    </w:p>
    <w:p w14:paraId="270BE738" w14:textId="77777777" w:rsidR="00807205" w:rsidRDefault="00807205"/>
    <w:p w14:paraId="0EB2201F" w14:textId="77777777" w:rsidR="00807205" w:rsidRDefault="00807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5D11" w14:textId="77777777" w:rsidR="00EB7B4D" w:rsidRDefault="00EB7B4D">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824DE" w14:textId="77777777" w:rsidR="00EB7B4D" w:rsidRDefault="00EB7B4D">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B50A" w14:textId="77777777" w:rsidR="00EB7B4D" w:rsidRDefault="00EB7B4D">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72C43" w14:textId="77777777" w:rsidR="00807205" w:rsidRDefault="00807205" w:rsidP="00D0121B">
      <w:r>
        <w:separator/>
      </w:r>
    </w:p>
    <w:p w14:paraId="5BF9C2CE" w14:textId="77777777" w:rsidR="00807205" w:rsidRDefault="00807205"/>
    <w:p w14:paraId="17B34915" w14:textId="77777777" w:rsidR="00807205" w:rsidRDefault="00807205"/>
  </w:footnote>
  <w:footnote w:type="continuationSeparator" w:id="0">
    <w:p w14:paraId="3A41BD04" w14:textId="77777777" w:rsidR="00807205" w:rsidRDefault="00807205" w:rsidP="00D0121B">
      <w:r>
        <w:continuationSeparator/>
      </w:r>
    </w:p>
    <w:p w14:paraId="06FD0D9C" w14:textId="77777777" w:rsidR="00807205" w:rsidRDefault="00807205"/>
    <w:p w14:paraId="34FFD444" w14:textId="77777777" w:rsidR="00807205" w:rsidRDefault="008072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2596" w14:textId="77777777" w:rsidR="00EB7B4D" w:rsidRPr="00CF2EC7" w:rsidRDefault="00EB7B4D" w:rsidP="003A68D5">
    <w:pPr>
      <w:pStyle w:val="ECCpageHeader"/>
      <w:rPr>
        <w:lang w:val="en-US"/>
      </w:rPr>
    </w:pPr>
    <w:r w:rsidRPr="00CF2EC7">
      <w:rPr>
        <w:lang w:val="en-US"/>
      </w:rPr>
      <w:t xml:space="preserve">Draft CEPT Brief on AI </w:t>
    </w:r>
    <w:r w:rsidRPr="006C6699">
      <w:rPr>
        <w:lang w:val="en-GB"/>
      </w:rPr>
      <w:t>1.15</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D630DA">
      <w:rPr>
        <w:noProof/>
        <w:lang w:val="en-US"/>
      </w:rPr>
      <w:t>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F61C" w14:textId="77777777" w:rsidR="00EB7B4D" w:rsidRPr="00CF2EC7" w:rsidRDefault="00EB7B4D" w:rsidP="003A68D5">
    <w:pPr>
      <w:pStyle w:val="ECCpageHeader"/>
      <w:rPr>
        <w:lang w:val="en-US"/>
      </w:rPr>
    </w:pPr>
    <w:r>
      <w:tab/>
    </w:r>
    <w:r>
      <w:tab/>
    </w:r>
    <w:r>
      <w:rPr>
        <w:lang w:val="en-US"/>
      </w:rPr>
      <w:t xml:space="preserve">Draft CEPT Brief on AI </w:t>
    </w:r>
    <w:r w:rsidRPr="006C6699">
      <w:rPr>
        <w:lang w:val="en-GB"/>
      </w:rPr>
      <w:t>1.15</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D630DA">
      <w:rPr>
        <w:noProof/>
        <w:lang w:val="en-US"/>
      </w:rPr>
      <w:t>7</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9E7C4" w14:textId="77777777" w:rsidR="00EB7B4D" w:rsidRDefault="00EB7B4D" w:rsidP="003A68D5">
    <w:pPr>
      <w:pStyle w:val="ECCpageHeader"/>
    </w:pPr>
    <w:r w:rsidRPr="008742E3">
      <w:rPr>
        <w:noProof/>
        <w:lang w:val="en-US"/>
      </w:rPr>
      <w:drawing>
        <wp:inline distT="0" distB="0" distL="0" distR="0" wp14:anchorId="3260047D" wp14:editId="2898F146">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0E6CD74F" wp14:editId="008CB31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315D1E33" w14:textId="77777777" w:rsidR="00EB7B4D" w:rsidRPr="005611D0" w:rsidRDefault="00EB7B4D"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10F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F665A4"/>
    <w:lvl w:ilvl="0">
      <w:start w:val="1"/>
      <w:numFmt w:val="decimal"/>
      <w:lvlText w:val="%1."/>
      <w:lvlJc w:val="left"/>
      <w:pPr>
        <w:tabs>
          <w:tab w:val="num" w:pos="1492"/>
        </w:tabs>
        <w:ind w:left="1492" w:hanging="360"/>
      </w:pPr>
    </w:lvl>
  </w:abstractNum>
  <w:abstractNum w:abstractNumId="2">
    <w:nsid w:val="FFFFFF7D"/>
    <w:multiLevelType w:val="singleLevel"/>
    <w:tmpl w:val="D0DC41BC"/>
    <w:lvl w:ilvl="0">
      <w:start w:val="1"/>
      <w:numFmt w:val="decimal"/>
      <w:lvlText w:val="%1."/>
      <w:lvlJc w:val="left"/>
      <w:pPr>
        <w:tabs>
          <w:tab w:val="num" w:pos="1209"/>
        </w:tabs>
        <w:ind w:left="1209" w:hanging="360"/>
      </w:pPr>
    </w:lvl>
  </w:abstractNum>
  <w:abstractNum w:abstractNumId="3">
    <w:nsid w:val="FFFFFF7E"/>
    <w:multiLevelType w:val="singleLevel"/>
    <w:tmpl w:val="FEB40020"/>
    <w:lvl w:ilvl="0">
      <w:start w:val="1"/>
      <w:numFmt w:val="decimal"/>
      <w:lvlText w:val="%1."/>
      <w:lvlJc w:val="left"/>
      <w:pPr>
        <w:tabs>
          <w:tab w:val="num" w:pos="926"/>
        </w:tabs>
        <w:ind w:left="926" w:hanging="360"/>
      </w:pPr>
    </w:lvl>
  </w:abstractNum>
  <w:abstractNum w:abstractNumId="4">
    <w:nsid w:val="FFFFFF7F"/>
    <w:multiLevelType w:val="singleLevel"/>
    <w:tmpl w:val="6B449D98"/>
    <w:lvl w:ilvl="0">
      <w:start w:val="1"/>
      <w:numFmt w:val="decimal"/>
      <w:lvlText w:val="%1."/>
      <w:lvlJc w:val="left"/>
      <w:pPr>
        <w:tabs>
          <w:tab w:val="num" w:pos="643"/>
        </w:tabs>
        <w:ind w:left="643" w:hanging="360"/>
      </w:pPr>
    </w:lvl>
  </w:abstractNum>
  <w:abstractNum w:abstractNumId="5">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D25076"/>
    <w:lvl w:ilvl="0">
      <w:start w:val="1"/>
      <w:numFmt w:val="decimal"/>
      <w:lvlText w:val="%1."/>
      <w:lvlJc w:val="left"/>
      <w:pPr>
        <w:tabs>
          <w:tab w:val="num" w:pos="360"/>
        </w:tabs>
        <w:ind w:left="360" w:hanging="360"/>
      </w:pPr>
    </w:lvl>
  </w:abstractNum>
  <w:abstractNum w:abstractNumId="10">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F65A0"/>
    <w:multiLevelType w:val="hybridMultilevel"/>
    <w:tmpl w:val="F99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CC3750F"/>
    <w:multiLevelType w:val="hybridMultilevel"/>
    <w:tmpl w:val="767E5D62"/>
    <w:lvl w:ilvl="0" w:tplc="9A24034A">
      <w:start w:val="5"/>
      <w:numFmt w:val="bullet"/>
      <w:lvlText w:val="-"/>
      <w:lvlJc w:val="left"/>
      <w:pPr>
        <w:ind w:left="72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62BAD"/>
    <w:multiLevelType w:val="hybridMultilevel"/>
    <w:tmpl w:val="16CA9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9">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E3B10BA"/>
    <w:multiLevelType w:val="hybridMultilevel"/>
    <w:tmpl w:val="F77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5C881553"/>
    <w:multiLevelType w:val="hybridMultilevel"/>
    <w:tmpl w:val="5F3AA6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61E2585A"/>
    <w:multiLevelType w:val="hybridMultilevel"/>
    <w:tmpl w:val="4AD08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2"/>
  </w:num>
  <w:num w:numId="4">
    <w:abstractNumId w:val="22"/>
  </w:num>
  <w:num w:numId="5">
    <w:abstractNumId w:val="18"/>
  </w:num>
  <w:num w:numId="6">
    <w:abstractNumId w:val="21"/>
  </w:num>
  <w:num w:numId="7">
    <w:abstractNumId w:val="19"/>
  </w:num>
  <w:num w:numId="8">
    <w:abstractNumId w:val="1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5"/>
  </w:num>
  <w:num w:numId="21">
    <w:abstractNumId w:val="11"/>
  </w:num>
  <w:num w:numId="22">
    <w:abstractNumId w:val="13"/>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5"/>
  </w:num>
  <w:num w:numId="30">
    <w:abstractNumId w:val="19"/>
  </w:num>
  <w:num w:numId="31">
    <w:abstractNumId w:val="22"/>
  </w:num>
  <w:num w:numId="32">
    <w:abstractNumId w:val="18"/>
  </w:num>
  <w:num w:numId="33">
    <w:abstractNumId w:val="21"/>
  </w:num>
  <w:num w:numId="34">
    <w:abstractNumId w:val="19"/>
  </w:num>
  <w:num w:numId="35">
    <w:abstractNumId w:val="19"/>
  </w:num>
  <w:num w:numId="36">
    <w:abstractNumId w:val="19"/>
  </w:num>
  <w:num w:numId="37">
    <w:abstractNumId w:val="14"/>
  </w:num>
  <w:num w:numId="38">
    <w:abstractNumId w:val="24"/>
  </w:num>
  <w:num w:numId="39">
    <w:abstractNumId w:val="20"/>
  </w:num>
  <w:num w:numId="40">
    <w:abstractNumId w:val="17"/>
  </w:num>
  <w:num w:numId="41">
    <w:abstractNumId w:val="23"/>
  </w:num>
  <w:num w:numId="42">
    <w:abstractNumId w:val="16"/>
  </w:num>
  <w:num w:numId="43">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us Dreis">
    <w15:presenceInfo w15:providerId="AD" w15:userId="S-1-5-21-993398506-3102826466-2400345913-2744"/>
  </w15:person>
  <w15:person w15:author="TRISTANT Philippe">
    <w15:presenceInfo w15:providerId="Windows Live" w15:userId="299f78c02daf72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C5"/>
    <w:rsid w:val="00000A85"/>
    <w:rsid w:val="00002B95"/>
    <w:rsid w:val="00003050"/>
    <w:rsid w:val="00006EA6"/>
    <w:rsid w:val="000145C9"/>
    <w:rsid w:val="00036330"/>
    <w:rsid w:val="00041A18"/>
    <w:rsid w:val="00045309"/>
    <w:rsid w:val="0004582F"/>
    <w:rsid w:val="00052CAE"/>
    <w:rsid w:val="000611F2"/>
    <w:rsid w:val="000613ED"/>
    <w:rsid w:val="00061762"/>
    <w:rsid w:val="00062CB1"/>
    <w:rsid w:val="000660F5"/>
    <w:rsid w:val="000664AE"/>
    <w:rsid w:val="000667DE"/>
    <w:rsid w:val="00067793"/>
    <w:rsid w:val="000701A5"/>
    <w:rsid w:val="00080D4D"/>
    <w:rsid w:val="00081610"/>
    <w:rsid w:val="00082DD7"/>
    <w:rsid w:val="00083EC6"/>
    <w:rsid w:val="00084964"/>
    <w:rsid w:val="000902D8"/>
    <w:rsid w:val="00091ED2"/>
    <w:rsid w:val="0009314C"/>
    <w:rsid w:val="00093950"/>
    <w:rsid w:val="00093B38"/>
    <w:rsid w:val="00095620"/>
    <w:rsid w:val="00096ACF"/>
    <w:rsid w:val="00097D7A"/>
    <w:rsid w:val="000A056E"/>
    <w:rsid w:val="000A3636"/>
    <w:rsid w:val="000A3897"/>
    <w:rsid w:val="000A3940"/>
    <w:rsid w:val="000A542D"/>
    <w:rsid w:val="000A6285"/>
    <w:rsid w:val="000B2156"/>
    <w:rsid w:val="000B5026"/>
    <w:rsid w:val="000C028F"/>
    <w:rsid w:val="000C082B"/>
    <w:rsid w:val="000C5CB6"/>
    <w:rsid w:val="000C7012"/>
    <w:rsid w:val="000C7CC6"/>
    <w:rsid w:val="000D1710"/>
    <w:rsid w:val="000D229A"/>
    <w:rsid w:val="000D33DB"/>
    <w:rsid w:val="000D7A37"/>
    <w:rsid w:val="000E42F5"/>
    <w:rsid w:val="000E4820"/>
    <w:rsid w:val="000E4B99"/>
    <w:rsid w:val="000F0594"/>
    <w:rsid w:val="000F083B"/>
    <w:rsid w:val="000F11A6"/>
    <w:rsid w:val="000F1620"/>
    <w:rsid w:val="000F24F5"/>
    <w:rsid w:val="000F3F0B"/>
    <w:rsid w:val="000F4559"/>
    <w:rsid w:val="001006CA"/>
    <w:rsid w:val="00100F8B"/>
    <w:rsid w:val="00105519"/>
    <w:rsid w:val="0011213D"/>
    <w:rsid w:val="0011285A"/>
    <w:rsid w:val="00114A4D"/>
    <w:rsid w:val="00115D54"/>
    <w:rsid w:val="00115FEE"/>
    <w:rsid w:val="001166CE"/>
    <w:rsid w:val="00122465"/>
    <w:rsid w:val="00123789"/>
    <w:rsid w:val="00123A70"/>
    <w:rsid w:val="00125233"/>
    <w:rsid w:val="00126B9E"/>
    <w:rsid w:val="00134A8B"/>
    <w:rsid w:val="00144ED9"/>
    <w:rsid w:val="00152ADC"/>
    <w:rsid w:val="00156B73"/>
    <w:rsid w:val="001600AD"/>
    <w:rsid w:val="0016113C"/>
    <w:rsid w:val="0016580C"/>
    <w:rsid w:val="00165B82"/>
    <w:rsid w:val="0017456E"/>
    <w:rsid w:val="001820E1"/>
    <w:rsid w:val="00182B12"/>
    <w:rsid w:val="00183925"/>
    <w:rsid w:val="00183FE0"/>
    <w:rsid w:val="0018553F"/>
    <w:rsid w:val="001961CD"/>
    <w:rsid w:val="001A5B36"/>
    <w:rsid w:val="001A67A9"/>
    <w:rsid w:val="001B5F71"/>
    <w:rsid w:val="001B657D"/>
    <w:rsid w:val="001C5F9F"/>
    <w:rsid w:val="001D15AA"/>
    <w:rsid w:val="001D1DE1"/>
    <w:rsid w:val="001D334F"/>
    <w:rsid w:val="001D4627"/>
    <w:rsid w:val="001E3202"/>
    <w:rsid w:val="001E477D"/>
    <w:rsid w:val="001E580A"/>
    <w:rsid w:val="001F72E8"/>
    <w:rsid w:val="0020079A"/>
    <w:rsid w:val="0020250F"/>
    <w:rsid w:val="00204C4F"/>
    <w:rsid w:val="002104C8"/>
    <w:rsid w:val="002109CB"/>
    <w:rsid w:val="0021510F"/>
    <w:rsid w:val="00217C74"/>
    <w:rsid w:val="00220194"/>
    <w:rsid w:val="002205A7"/>
    <w:rsid w:val="0022401D"/>
    <w:rsid w:val="002257B8"/>
    <w:rsid w:val="00226070"/>
    <w:rsid w:val="002274A5"/>
    <w:rsid w:val="00227CBD"/>
    <w:rsid w:val="00232560"/>
    <w:rsid w:val="00232DD9"/>
    <w:rsid w:val="00236978"/>
    <w:rsid w:val="002415C0"/>
    <w:rsid w:val="002448BA"/>
    <w:rsid w:val="00260D36"/>
    <w:rsid w:val="002620A2"/>
    <w:rsid w:val="00270176"/>
    <w:rsid w:val="00273354"/>
    <w:rsid w:val="00274F84"/>
    <w:rsid w:val="0028060B"/>
    <w:rsid w:val="00280B0F"/>
    <w:rsid w:val="00281114"/>
    <w:rsid w:val="0028120C"/>
    <w:rsid w:val="00284239"/>
    <w:rsid w:val="002926B1"/>
    <w:rsid w:val="00293920"/>
    <w:rsid w:val="00295827"/>
    <w:rsid w:val="00295F16"/>
    <w:rsid w:val="002A1806"/>
    <w:rsid w:val="002B013D"/>
    <w:rsid w:val="002B133F"/>
    <w:rsid w:val="002B7469"/>
    <w:rsid w:val="002C4234"/>
    <w:rsid w:val="002C5C63"/>
    <w:rsid w:val="002D0091"/>
    <w:rsid w:val="002D1FA9"/>
    <w:rsid w:val="002D50A3"/>
    <w:rsid w:val="002D6680"/>
    <w:rsid w:val="002E786C"/>
    <w:rsid w:val="002F1E6A"/>
    <w:rsid w:val="002F3C3F"/>
    <w:rsid w:val="002F4490"/>
    <w:rsid w:val="002F7F51"/>
    <w:rsid w:val="00302BE7"/>
    <w:rsid w:val="003031DA"/>
    <w:rsid w:val="00306651"/>
    <w:rsid w:val="003079A6"/>
    <w:rsid w:val="00307A79"/>
    <w:rsid w:val="00307D4C"/>
    <w:rsid w:val="0032102E"/>
    <w:rsid w:val="00321EE6"/>
    <w:rsid w:val="00322E6A"/>
    <w:rsid w:val="003314A0"/>
    <w:rsid w:val="0033384C"/>
    <w:rsid w:val="00335959"/>
    <w:rsid w:val="00340C12"/>
    <w:rsid w:val="00341496"/>
    <w:rsid w:val="003419EF"/>
    <w:rsid w:val="00342CB9"/>
    <w:rsid w:val="003442CB"/>
    <w:rsid w:val="00346D0F"/>
    <w:rsid w:val="00347784"/>
    <w:rsid w:val="00355F29"/>
    <w:rsid w:val="00357266"/>
    <w:rsid w:val="00361E54"/>
    <w:rsid w:val="00363A58"/>
    <w:rsid w:val="003657CE"/>
    <w:rsid w:val="0037364B"/>
    <w:rsid w:val="003740AA"/>
    <w:rsid w:val="003771D5"/>
    <w:rsid w:val="00382C66"/>
    <w:rsid w:val="0038358E"/>
    <w:rsid w:val="00387013"/>
    <w:rsid w:val="00391142"/>
    <w:rsid w:val="00391A01"/>
    <w:rsid w:val="00392FE6"/>
    <w:rsid w:val="00394580"/>
    <w:rsid w:val="00394E54"/>
    <w:rsid w:val="00397C03"/>
    <w:rsid w:val="003A5711"/>
    <w:rsid w:val="003A68D5"/>
    <w:rsid w:val="003A7211"/>
    <w:rsid w:val="003A76B8"/>
    <w:rsid w:val="003B3069"/>
    <w:rsid w:val="003B7070"/>
    <w:rsid w:val="003C053B"/>
    <w:rsid w:val="003C0615"/>
    <w:rsid w:val="003C5451"/>
    <w:rsid w:val="003C64D9"/>
    <w:rsid w:val="003E5044"/>
    <w:rsid w:val="003E583D"/>
    <w:rsid w:val="003E70E0"/>
    <w:rsid w:val="003F0B8B"/>
    <w:rsid w:val="003F5497"/>
    <w:rsid w:val="00400F9D"/>
    <w:rsid w:val="004038B4"/>
    <w:rsid w:val="00403CE6"/>
    <w:rsid w:val="004074CC"/>
    <w:rsid w:val="004110CA"/>
    <w:rsid w:val="00411C66"/>
    <w:rsid w:val="00415C97"/>
    <w:rsid w:val="00421752"/>
    <w:rsid w:val="0042245D"/>
    <w:rsid w:val="00423656"/>
    <w:rsid w:val="00424EDB"/>
    <w:rsid w:val="0042509E"/>
    <w:rsid w:val="004254AB"/>
    <w:rsid w:val="004363B5"/>
    <w:rsid w:val="00443482"/>
    <w:rsid w:val="00443912"/>
    <w:rsid w:val="00446E3E"/>
    <w:rsid w:val="00450174"/>
    <w:rsid w:val="00450308"/>
    <w:rsid w:val="00453CAE"/>
    <w:rsid w:val="00455DA3"/>
    <w:rsid w:val="00457AD1"/>
    <w:rsid w:val="00460EC1"/>
    <w:rsid w:val="0046427F"/>
    <w:rsid w:val="00470D4B"/>
    <w:rsid w:val="00471BE7"/>
    <w:rsid w:val="00472029"/>
    <w:rsid w:val="00473E60"/>
    <w:rsid w:val="00474DC4"/>
    <w:rsid w:val="00477A54"/>
    <w:rsid w:val="00477D2D"/>
    <w:rsid w:val="00485307"/>
    <w:rsid w:val="00486005"/>
    <w:rsid w:val="00486A65"/>
    <w:rsid w:val="00486B2C"/>
    <w:rsid w:val="00487306"/>
    <w:rsid w:val="0049028D"/>
    <w:rsid w:val="00491977"/>
    <w:rsid w:val="00492646"/>
    <w:rsid w:val="0049491B"/>
    <w:rsid w:val="004951B6"/>
    <w:rsid w:val="004959A8"/>
    <w:rsid w:val="004A1329"/>
    <w:rsid w:val="004A30E4"/>
    <w:rsid w:val="004A511D"/>
    <w:rsid w:val="004B5550"/>
    <w:rsid w:val="004B68E4"/>
    <w:rsid w:val="004C0204"/>
    <w:rsid w:val="004C0D1F"/>
    <w:rsid w:val="004C4A2E"/>
    <w:rsid w:val="004C6A25"/>
    <w:rsid w:val="004D0AF0"/>
    <w:rsid w:val="004D0B4B"/>
    <w:rsid w:val="004D5EA3"/>
    <w:rsid w:val="004D6C77"/>
    <w:rsid w:val="004E44C8"/>
    <w:rsid w:val="004E53BE"/>
    <w:rsid w:val="004F0AC6"/>
    <w:rsid w:val="004F16F4"/>
    <w:rsid w:val="004F3F81"/>
    <w:rsid w:val="004F6CA7"/>
    <w:rsid w:val="005028D4"/>
    <w:rsid w:val="0051168A"/>
    <w:rsid w:val="00524033"/>
    <w:rsid w:val="0052757A"/>
    <w:rsid w:val="00535050"/>
    <w:rsid w:val="00535403"/>
    <w:rsid w:val="00536039"/>
    <w:rsid w:val="00536783"/>
    <w:rsid w:val="00536F3C"/>
    <w:rsid w:val="0054260E"/>
    <w:rsid w:val="00544132"/>
    <w:rsid w:val="00545D87"/>
    <w:rsid w:val="00546EF4"/>
    <w:rsid w:val="00550D79"/>
    <w:rsid w:val="005559AC"/>
    <w:rsid w:val="00557B5A"/>
    <w:rsid w:val="005611D0"/>
    <w:rsid w:val="005650F5"/>
    <w:rsid w:val="005703D5"/>
    <w:rsid w:val="00571A40"/>
    <w:rsid w:val="005736B2"/>
    <w:rsid w:val="0057689A"/>
    <w:rsid w:val="00577889"/>
    <w:rsid w:val="0057797A"/>
    <w:rsid w:val="00580438"/>
    <w:rsid w:val="005817E4"/>
    <w:rsid w:val="00583BAA"/>
    <w:rsid w:val="0059047B"/>
    <w:rsid w:val="0059390F"/>
    <w:rsid w:val="00594186"/>
    <w:rsid w:val="005973CA"/>
    <w:rsid w:val="005A3D6F"/>
    <w:rsid w:val="005A53B8"/>
    <w:rsid w:val="005B12CB"/>
    <w:rsid w:val="005B4EE0"/>
    <w:rsid w:val="005B4F69"/>
    <w:rsid w:val="005C10EB"/>
    <w:rsid w:val="005D371D"/>
    <w:rsid w:val="005E078C"/>
    <w:rsid w:val="005E4A20"/>
    <w:rsid w:val="005E7495"/>
    <w:rsid w:val="005E7CD3"/>
    <w:rsid w:val="005F22C2"/>
    <w:rsid w:val="005F2CA2"/>
    <w:rsid w:val="005F3CBE"/>
    <w:rsid w:val="005F752B"/>
    <w:rsid w:val="005F7797"/>
    <w:rsid w:val="006054FA"/>
    <w:rsid w:val="006066BB"/>
    <w:rsid w:val="00606940"/>
    <w:rsid w:val="006102C2"/>
    <w:rsid w:val="00611EEF"/>
    <w:rsid w:val="00612964"/>
    <w:rsid w:val="0061775F"/>
    <w:rsid w:val="00621C12"/>
    <w:rsid w:val="00621C84"/>
    <w:rsid w:val="00625FA5"/>
    <w:rsid w:val="00632EB6"/>
    <w:rsid w:val="00635A22"/>
    <w:rsid w:val="006403A2"/>
    <w:rsid w:val="00640619"/>
    <w:rsid w:val="00641CA8"/>
    <w:rsid w:val="00642083"/>
    <w:rsid w:val="006449E4"/>
    <w:rsid w:val="0065550D"/>
    <w:rsid w:val="006555B1"/>
    <w:rsid w:val="00657B33"/>
    <w:rsid w:val="00665364"/>
    <w:rsid w:val="0068085F"/>
    <w:rsid w:val="00680EFE"/>
    <w:rsid w:val="0068221A"/>
    <w:rsid w:val="006876A8"/>
    <w:rsid w:val="00687B43"/>
    <w:rsid w:val="006963CE"/>
    <w:rsid w:val="006A220F"/>
    <w:rsid w:val="006A440E"/>
    <w:rsid w:val="006A49E3"/>
    <w:rsid w:val="006A5B4B"/>
    <w:rsid w:val="006A5C00"/>
    <w:rsid w:val="006B1EFD"/>
    <w:rsid w:val="006C1245"/>
    <w:rsid w:val="006C18B8"/>
    <w:rsid w:val="006C1C18"/>
    <w:rsid w:val="006C454C"/>
    <w:rsid w:val="006C5C1C"/>
    <w:rsid w:val="006C6699"/>
    <w:rsid w:val="006D0CFC"/>
    <w:rsid w:val="006E4705"/>
    <w:rsid w:val="006E4888"/>
    <w:rsid w:val="006F0442"/>
    <w:rsid w:val="006F389B"/>
    <w:rsid w:val="00700C53"/>
    <w:rsid w:val="00700EE1"/>
    <w:rsid w:val="007023A3"/>
    <w:rsid w:val="00703D3F"/>
    <w:rsid w:val="00703FC0"/>
    <w:rsid w:val="007160BE"/>
    <w:rsid w:val="00721539"/>
    <w:rsid w:val="00722F65"/>
    <w:rsid w:val="00725D45"/>
    <w:rsid w:val="00726836"/>
    <w:rsid w:val="00726B18"/>
    <w:rsid w:val="00727774"/>
    <w:rsid w:val="00732568"/>
    <w:rsid w:val="00734A4F"/>
    <w:rsid w:val="00735760"/>
    <w:rsid w:val="0073698C"/>
    <w:rsid w:val="00743384"/>
    <w:rsid w:val="00747D23"/>
    <w:rsid w:val="00750706"/>
    <w:rsid w:val="00752749"/>
    <w:rsid w:val="00752A2E"/>
    <w:rsid w:val="00762BCC"/>
    <w:rsid w:val="00763BA3"/>
    <w:rsid w:val="00765B66"/>
    <w:rsid w:val="00766DC7"/>
    <w:rsid w:val="00767BB2"/>
    <w:rsid w:val="007758F3"/>
    <w:rsid w:val="00780376"/>
    <w:rsid w:val="00784608"/>
    <w:rsid w:val="0079008F"/>
    <w:rsid w:val="00790E88"/>
    <w:rsid w:val="00791AAC"/>
    <w:rsid w:val="00792C0B"/>
    <w:rsid w:val="0079410C"/>
    <w:rsid w:val="007942CD"/>
    <w:rsid w:val="00795A99"/>
    <w:rsid w:val="00797D4C"/>
    <w:rsid w:val="007A1E82"/>
    <w:rsid w:val="007A5B5E"/>
    <w:rsid w:val="007A633F"/>
    <w:rsid w:val="007A6B5D"/>
    <w:rsid w:val="007B0E0A"/>
    <w:rsid w:val="007B4F5A"/>
    <w:rsid w:val="007B52C8"/>
    <w:rsid w:val="007C0E7E"/>
    <w:rsid w:val="007C1E8D"/>
    <w:rsid w:val="007C2CA5"/>
    <w:rsid w:val="007C478D"/>
    <w:rsid w:val="007C57CF"/>
    <w:rsid w:val="007C5A3B"/>
    <w:rsid w:val="007D0289"/>
    <w:rsid w:val="007D17C5"/>
    <w:rsid w:val="007D35AE"/>
    <w:rsid w:val="007D4215"/>
    <w:rsid w:val="007D52EC"/>
    <w:rsid w:val="007E0150"/>
    <w:rsid w:val="007E41D1"/>
    <w:rsid w:val="007E567B"/>
    <w:rsid w:val="007E5692"/>
    <w:rsid w:val="007F1CEE"/>
    <w:rsid w:val="007F32B3"/>
    <w:rsid w:val="007F330B"/>
    <w:rsid w:val="00800C40"/>
    <w:rsid w:val="00802383"/>
    <w:rsid w:val="008026E8"/>
    <w:rsid w:val="008062AC"/>
    <w:rsid w:val="00806DFC"/>
    <w:rsid w:val="00807205"/>
    <w:rsid w:val="00810F7E"/>
    <w:rsid w:val="00813FB9"/>
    <w:rsid w:val="00821E71"/>
    <w:rsid w:val="008246F0"/>
    <w:rsid w:val="00832E78"/>
    <w:rsid w:val="008374B3"/>
    <w:rsid w:val="00837537"/>
    <w:rsid w:val="00840EAC"/>
    <w:rsid w:val="00846E24"/>
    <w:rsid w:val="008508D9"/>
    <w:rsid w:val="00851F07"/>
    <w:rsid w:val="00853EA2"/>
    <w:rsid w:val="00854128"/>
    <w:rsid w:val="00855A01"/>
    <w:rsid w:val="0086094D"/>
    <w:rsid w:val="00860E8C"/>
    <w:rsid w:val="00866BE6"/>
    <w:rsid w:val="00872382"/>
    <w:rsid w:val="00872B56"/>
    <w:rsid w:val="008741CF"/>
    <w:rsid w:val="008742E3"/>
    <w:rsid w:val="00875510"/>
    <w:rsid w:val="00875526"/>
    <w:rsid w:val="00886A50"/>
    <w:rsid w:val="00897839"/>
    <w:rsid w:val="00897EE1"/>
    <w:rsid w:val="008A0667"/>
    <w:rsid w:val="008A1315"/>
    <w:rsid w:val="008A1425"/>
    <w:rsid w:val="008A38A9"/>
    <w:rsid w:val="008A54FC"/>
    <w:rsid w:val="008A777F"/>
    <w:rsid w:val="008A77FF"/>
    <w:rsid w:val="008B20C7"/>
    <w:rsid w:val="008B3D5E"/>
    <w:rsid w:val="008B61C5"/>
    <w:rsid w:val="008B70CD"/>
    <w:rsid w:val="008B7254"/>
    <w:rsid w:val="008B7CE5"/>
    <w:rsid w:val="008C58AF"/>
    <w:rsid w:val="008C71C2"/>
    <w:rsid w:val="008D4752"/>
    <w:rsid w:val="008D6557"/>
    <w:rsid w:val="008E26D0"/>
    <w:rsid w:val="008E437E"/>
    <w:rsid w:val="008E521D"/>
    <w:rsid w:val="008E5DBB"/>
    <w:rsid w:val="008E6109"/>
    <w:rsid w:val="008E7C83"/>
    <w:rsid w:val="008F09D7"/>
    <w:rsid w:val="008F6AD9"/>
    <w:rsid w:val="009032DE"/>
    <w:rsid w:val="0090420A"/>
    <w:rsid w:val="009059E3"/>
    <w:rsid w:val="009111A1"/>
    <w:rsid w:val="00911F31"/>
    <w:rsid w:val="009170EA"/>
    <w:rsid w:val="00917D1C"/>
    <w:rsid w:val="0092076F"/>
    <w:rsid w:val="00921FDD"/>
    <w:rsid w:val="0092234D"/>
    <w:rsid w:val="009256A5"/>
    <w:rsid w:val="00927833"/>
    <w:rsid w:val="009279AF"/>
    <w:rsid w:val="00930439"/>
    <w:rsid w:val="00930BDF"/>
    <w:rsid w:val="00935805"/>
    <w:rsid w:val="00937FE5"/>
    <w:rsid w:val="00942C75"/>
    <w:rsid w:val="00942C7A"/>
    <w:rsid w:val="009434C3"/>
    <w:rsid w:val="009455E9"/>
    <w:rsid w:val="00947A5A"/>
    <w:rsid w:val="009559E6"/>
    <w:rsid w:val="00955BAE"/>
    <w:rsid w:val="0097179B"/>
    <w:rsid w:val="0097376B"/>
    <w:rsid w:val="009770CA"/>
    <w:rsid w:val="00982501"/>
    <w:rsid w:val="00986677"/>
    <w:rsid w:val="0099421C"/>
    <w:rsid w:val="0099782C"/>
    <w:rsid w:val="009A23B9"/>
    <w:rsid w:val="009A2D66"/>
    <w:rsid w:val="009B0A78"/>
    <w:rsid w:val="009B4128"/>
    <w:rsid w:val="009B6990"/>
    <w:rsid w:val="009C2E5C"/>
    <w:rsid w:val="009C36D6"/>
    <w:rsid w:val="009C36E2"/>
    <w:rsid w:val="009D09D6"/>
    <w:rsid w:val="009D0B67"/>
    <w:rsid w:val="009D3496"/>
    <w:rsid w:val="009D4BA1"/>
    <w:rsid w:val="009D54A6"/>
    <w:rsid w:val="009D7206"/>
    <w:rsid w:val="009D7D5A"/>
    <w:rsid w:val="009E1237"/>
    <w:rsid w:val="009E4350"/>
    <w:rsid w:val="009E47EB"/>
    <w:rsid w:val="009E6DC3"/>
    <w:rsid w:val="009E74EC"/>
    <w:rsid w:val="009F0B56"/>
    <w:rsid w:val="009F3A37"/>
    <w:rsid w:val="009F5AA0"/>
    <w:rsid w:val="00A02090"/>
    <w:rsid w:val="00A0244F"/>
    <w:rsid w:val="00A0593B"/>
    <w:rsid w:val="00A06A28"/>
    <w:rsid w:val="00A076B5"/>
    <w:rsid w:val="00A10AEB"/>
    <w:rsid w:val="00A14C69"/>
    <w:rsid w:val="00A211DA"/>
    <w:rsid w:val="00A23632"/>
    <w:rsid w:val="00A23870"/>
    <w:rsid w:val="00A2537A"/>
    <w:rsid w:val="00A256E2"/>
    <w:rsid w:val="00A31525"/>
    <w:rsid w:val="00A33CC2"/>
    <w:rsid w:val="00A40198"/>
    <w:rsid w:val="00A437CA"/>
    <w:rsid w:val="00A43BD3"/>
    <w:rsid w:val="00A45E35"/>
    <w:rsid w:val="00A51401"/>
    <w:rsid w:val="00A537A1"/>
    <w:rsid w:val="00A60E79"/>
    <w:rsid w:val="00A61849"/>
    <w:rsid w:val="00A62432"/>
    <w:rsid w:val="00A632A0"/>
    <w:rsid w:val="00A63BEB"/>
    <w:rsid w:val="00A63F1D"/>
    <w:rsid w:val="00A65545"/>
    <w:rsid w:val="00A66A98"/>
    <w:rsid w:val="00A73298"/>
    <w:rsid w:val="00A90A32"/>
    <w:rsid w:val="00A919FE"/>
    <w:rsid w:val="00A93D92"/>
    <w:rsid w:val="00A95ACB"/>
    <w:rsid w:val="00A95DD6"/>
    <w:rsid w:val="00A97942"/>
    <w:rsid w:val="00AA079B"/>
    <w:rsid w:val="00AA086A"/>
    <w:rsid w:val="00AA29C6"/>
    <w:rsid w:val="00AA5AFC"/>
    <w:rsid w:val="00AB014D"/>
    <w:rsid w:val="00AB1C16"/>
    <w:rsid w:val="00AB2EA8"/>
    <w:rsid w:val="00AB3C46"/>
    <w:rsid w:val="00AB4339"/>
    <w:rsid w:val="00AB60FD"/>
    <w:rsid w:val="00AC3C92"/>
    <w:rsid w:val="00AC46CA"/>
    <w:rsid w:val="00AC4A41"/>
    <w:rsid w:val="00AC5477"/>
    <w:rsid w:val="00AD0358"/>
    <w:rsid w:val="00AD58F5"/>
    <w:rsid w:val="00AD5D33"/>
    <w:rsid w:val="00AD710F"/>
    <w:rsid w:val="00AD7257"/>
    <w:rsid w:val="00AE372A"/>
    <w:rsid w:val="00AF0012"/>
    <w:rsid w:val="00AF1AF4"/>
    <w:rsid w:val="00AF2D0C"/>
    <w:rsid w:val="00AF5891"/>
    <w:rsid w:val="00B040E0"/>
    <w:rsid w:val="00B07776"/>
    <w:rsid w:val="00B13294"/>
    <w:rsid w:val="00B1580B"/>
    <w:rsid w:val="00B241F1"/>
    <w:rsid w:val="00B2563E"/>
    <w:rsid w:val="00B26F34"/>
    <w:rsid w:val="00B3042F"/>
    <w:rsid w:val="00B30D3B"/>
    <w:rsid w:val="00B315C2"/>
    <w:rsid w:val="00B34BC7"/>
    <w:rsid w:val="00B36C8C"/>
    <w:rsid w:val="00B37DD5"/>
    <w:rsid w:val="00B40725"/>
    <w:rsid w:val="00B432D4"/>
    <w:rsid w:val="00B453E7"/>
    <w:rsid w:val="00B453ED"/>
    <w:rsid w:val="00B45850"/>
    <w:rsid w:val="00B460E4"/>
    <w:rsid w:val="00B576D7"/>
    <w:rsid w:val="00B57FEC"/>
    <w:rsid w:val="00B606CC"/>
    <w:rsid w:val="00B61CC0"/>
    <w:rsid w:val="00B65241"/>
    <w:rsid w:val="00B65C86"/>
    <w:rsid w:val="00B75426"/>
    <w:rsid w:val="00B80892"/>
    <w:rsid w:val="00B8213C"/>
    <w:rsid w:val="00B82735"/>
    <w:rsid w:val="00B841E6"/>
    <w:rsid w:val="00B856B3"/>
    <w:rsid w:val="00B86F15"/>
    <w:rsid w:val="00B92861"/>
    <w:rsid w:val="00BA2D77"/>
    <w:rsid w:val="00BA2E30"/>
    <w:rsid w:val="00BA3782"/>
    <w:rsid w:val="00BA524C"/>
    <w:rsid w:val="00BA7A69"/>
    <w:rsid w:val="00BB58FA"/>
    <w:rsid w:val="00BC1D85"/>
    <w:rsid w:val="00BC3CA5"/>
    <w:rsid w:val="00BC5184"/>
    <w:rsid w:val="00BC636E"/>
    <w:rsid w:val="00BC6794"/>
    <w:rsid w:val="00BD28DF"/>
    <w:rsid w:val="00BD46C0"/>
    <w:rsid w:val="00BD4E12"/>
    <w:rsid w:val="00BD5099"/>
    <w:rsid w:val="00BD7669"/>
    <w:rsid w:val="00BE2864"/>
    <w:rsid w:val="00BF26F2"/>
    <w:rsid w:val="00BF3831"/>
    <w:rsid w:val="00C04E8C"/>
    <w:rsid w:val="00C0561A"/>
    <w:rsid w:val="00C06997"/>
    <w:rsid w:val="00C06A57"/>
    <w:rsid w:val="00C076BF"/>
    <w:rsid w:val="00C10571"/>
    <w:rsid w:val="00C10C10"/>
    <w:rsid w:val="00C13F96"/>
    <w:rsid w:val="00C1763D"/>
    <w:rsid w:val="00C27F02"/>
    <w:rsid w:val="00C32305"/>
    <w:rsid w:val="00C32A00"/>
    <w:rsid w:val="00C33A7C"/>
    <w:rsid w:val="00C3583A"/>
    <w:rsid w:val="00C44519"/>
    <w:rsid w:val="00C44C08"/>
    <w:rsid w:val="00C44F69"/>
    <w:rsid w:val="00C47B9C"/>
    <w:rsid w:val="00C504F4"/>
    <w:rsid w:val="00C50D17"/>
    <w:rsid w:val="00C50DD6"/>
    <w:rsid w:val="00C51A53"/>
    <w:rsid w:val="00C559D2"/>
    <w:rsid w:val="00C57E85"/>
    <w:rsid w:val="00C6184E"/>
    <w:rsid w:val="00C642D3"/>
    <w:rsid w:val="00C65BB4"/>
    <w:rsid w:val="00C66B88"/>
    <w:rsid w:val="00C706AB"/>
    <w:rsid w:val="00C7101D"/>
    <w:rsid w:val="00C73862"/>
    <w:rsid w:val="00C8071C"/>
    <w:rsid w:val="00C816CB"/>
    <w:rsid w:val="00C82461"/>
    <w:rsid w:val="00C83202"/>
    <w:rsid w:val="00C83D5F"/>
    <w:rsid w:val="00C913EC"/>
    <w:rsid w:val="00CA07CC"/>
    <w:rsid w:val="00CA4ADB"/>
    <w:rsid w:val="00CA4FCE"/>
    <w:rsid w:val="00CA5501"/>
    <w:rsid w:val="00CA5F8F"/>
    <w:rsid w:val="00CB0B43"/>
    <w:rsid w:val="00CB7ADB"/>
    <w:rsid w:val="00CC3754"/>
    <w:rsid w:val="00CC5A6F"/>
    <w:rsid w:val="00CD0F5C"/>
    <w:rsid w:val="00CD22FE"/>
    <w:rsid w:val="00CE271A"/>
    <w:rsid w:val="00CE628C"/>
    <w:rsid w:val="00CE6FF5"/>
    <w:rsid w:val="00CF2EC7"/>
    <w:rsid w:val="00CF38B5"/>
    <w:rsid w:val="00CF4B2F"/>
    <w:rsid w:val="00CF5245"/>
    <w:rsid w:val="00CF6EBA"/>
    <w:rsid w:val="00D0121B"/>
    <w:rsid w:val="00D04BA8"/>
    <w:rsid w:val="00D06479"/>
    <w:rsid w:val="00D06CA9"/>
    <w:rsid w:val="00D076EE"/>
    <w:rsid w:val="00D07A6D"/>
    <w:rsid w:val="00D07B1A"/>
    <w:rsid w:val="00D11DBD"/>
    <w:rsid w:val="00D135BF"/>
    <w:rsid w:val="00D20625"/>
    <w:rsid w:val="00D21995"/>
    <w:rsid w:val="00D24CD0"/>
    <w:rsid w:val="00D30E46"/>
    <w:rsid w:val="00D31566"/>
    <w:rsid w:val="00D37DDA"/>
    <w:rsid w:val="00D40AC4"/>
    <w:rsid w:val="00D50AC8"/>
    <w:rsid w:val="00D51E9F"/>
    <w:rsid w:val="00D54158"/>
    <w:rsid w:val="00D568BF"/>
    <w:rsid w:val="00D628CA"/>
    <w:rsid w:val="00D630DA"/>
    <w:rsid w:val="00D73A5D"/>
    <w:rsid w:val="00D776F4"/>
    <w:rsid w:val="00D904D5"/>
    <w:rsid w:val="00D927C3"/>
    <w:rsid w:val="00D9531D"/>
    <w:rsid w:val="00DA0026"/>
    <w:rsid w:val="00DA444C"/>
    <w:rsid w:val="00DA4B6B"/>
    <w:rsid w:val="00DA5B58"/>
    <w:rsid w:val="00DA6921"/>
    <w:rsid w:val="00DA7F50"/>
    <w:rsid w:val="00DC12DC"/>
    <w:rsid w:val="00DC1E04"/>
    <w:rsid w:val="00DC4BCC"/>
    <w:rsid w:val="00DD3A8E"/>
    <w:rsid w:val="00DD6CE9"/>
    <w:rsid w:val="00DE010C"/>
    <w:rsid w:val="00DE0678"/>
    <w:rsid w:val="00DE2FA6"/>
    <w:rsid w:val="00DF2C67"/>
    <w:rsid w:val="00DF34C4"/>
    <w:rsid w:val="00DF3AE2"/>
    <w:rsid w:val="00DF6080"/>
    <w:rsid w:val="00DF7D21"/>
    <w:rsid w:val="00E03EF1"/>
    <w:rsid w:val="00E04C24"/>
    <w:rsid w:val="00E059C5"/>
    <w:rsid w:val="00E06B29"/>
    <w:rsid w:val="00E06C22"/>
    <w:rsid w:val="00E13D0B"/>
    <w:rsid w:val="00E22843"/>
    <w:rsid w:val="00E26743"/>
    <w:rsid w:val="00E26BAC"/>
    <w:rsid w:val="00E32592"/>
    <w:rsid w:val="00E3736C"/>
    <w:rsid w:val="00E41960"/>
    <w:rsid w:val="00E4781B"/>
    <w:rsid w:val="00E4784C"/>
    <w:rsid w:val="00E47854"/>
    <w:rsid w:val="00E51F8B"/>
    <w:rsid w:val="00E60351"/>
    <w:rsid w:val="00E6189A"/>
    <w:rsid w:val="00E6480A"/>
    <w:rsid w:val="00E71AE7"/>
    <w:rsid w:val="00E75112"/>
    <w:rsid w:val="00E752E6"/>
    <w:rsid w:val="00E7580C"/>
    <w:rsid w:val="00E8586A"/>
    <w:rsid w:val="00E85E8D"/>
    <w:rsid w:val="00E8609F"/>
    <w:rsid w:val="00E91669"/>
    <w:rsid w:val="00E91908"/>
    <w:rsid w:val="00E92A05"/>
    <w:rsid w:val="00E97060"/>
    <w:rsid w:val="00EA222F"/>
    <w:rsid w:val="00EA5567"/>
    <w:rsid w:val="00EA6088"/>
    <w:rsid w:val="00EA642D"/>
    <w:rsid w:val="00EB62A1"/>
    <w:rsid w:val="00EB7B4D"/>
    <w:rsid w:val="00EC1A2C"/>
    <w:rsid w:val="00EC4815"/>
    <w:rsid w:val="00ED4415"/>
    <w:rsid w:val="00EE5B45"/>
    <w:rsid w:val="00EF006B"/>
    <w:rsid w:val="00F10E1F"/>
    <w:rsid w:val="00F12162"/>
    <w:rsid w:val="00F212EB"/>
    <w:rsid w:val="00F21E29"/>
    <w:rsid w:val="00F268C0"/>
    <w:rsid w:val="00F30594"/>
    <w:rsid w:val="00F345FA"/>
    <w:rsid w:val="00F465D3"/>
    <w:rsid w:val="00F470B1"/>
    <w:rsid w:val="00F569C9"/>
    <w:rsid w:val="00F56F06"/>
    <w:rsid w:val="00F67F4D"/>
    <w:rsid w:val="00F71C56"/>
    <w:rsid w:val="00F71FED"/>
    <w:rsid w:val="00F73815"/>
    <w:rsid w:val="00F746C3"/>
    <w:rsid w:val="00F76D93"/>
    <w:rsid w:val="00F7770D"/>
    <w:rsid w:val="00F840E5"/>
    <w:rsid w:val="00F85984"/>
    <w:rsid w:val="00F868C9"/>
    <w:rsid w:val="00F93115"/>
    <w:rsid w:val="00F97AB3"/>
    <w:rsid w:val="00F97DAD"/>
    <w:rsid w:val="00FA4420"/>
    <w:rsid w:val="00FA5792"/>
    <w:rsid w:val="00FA5B5D"/>
    <w:rsid w:val="00FA63DC"/>
    <w:rsid w:val="00FB0032"/>
    <w:rsid w:val="00FB0F71"/>
    <w:rsid w:val="00FB15A2"/>
    <w:rsid w:val="00FB200D"/>
    <w:rsid w:val="00FB3B6B"/>
    <w:rsid w:val="00FC4E3B"/>
    <w:rsid w:val="00FD19DF"/>
    <w:rsid w:val="00FD56EB"/>
    <w:rsid w:val="00FE26E4"/>
    <w:rsid w:val="00FE46BC"/>
    <w:rsid w:val="00FE538A"/>
    <w:rsid w:val="00FE7EEC"/>
    <w:rsid w:val="00FF543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56F0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9059E3"/>
    <w:pPr>
      <w:tabs>
        <w:tab w:val="center" w:pos="4513"/>
        <w:tab w:val="right" w:pos="9026"/>
      </w:tabs>
      <w:spacing w:before="0" w:after="0"/>
    </w:pPr>
  </w:style>
  <w:style w:type="character" w:customStyle="1" w:styleId="FooterChar">
    <w:name w:val="Footer Char"/>
    <w:basedOn w:val="DefaultParagraphFont"/>
    <w:link w:val="Footer"/>
    <w:uiPriority w:val="99"/>
    <w:semiHidden/>
    <w:rsid w:val="009059E3"/>
    <w:rPr>
      <w:rFonts w:eastAsia="Calibri"/>
      <w:szCs w:val="22"/>
      <w:lang w:val="en-GB"/>
    </w:rPr>
  </w:style>
  <w:style w:type="paragraph" w:styleId="ListParagraph">
    <w:name w:val="List Paragraph"/>
    <w:basedOn w:val="Normal"/>
    <w:uiPriority w:val="34"/>
    <w:qFormat/>
    <w:locked/>
    <w:rsid w:val="009059E3"/>
    <w:pPr>
      <w:ind w:left="720"/>
      <w:contextualSpacing/>
    </w:pPr>
  </w:style>
  <w:style w:type="character" w:styleId="CommentReference">
    <w:name w:val="annotation reference"/>
    <w:basedOn w:val="DefaultParagraphFont"/>
    <w:uiPriority w:val="99"/>
    <w:semiHidden/>
    <w:unhideWhenUsed/>
    <w:locked/>
    <w:rsid w:val="004A30E4"/>
    <w:rPr>
      <w:sz w:val="16"/>
      <w:szCs w:val="16"/>
    </w:rPr>
  </w:style>
  <w:style w:type="paragraph" w:styleId="CommentText">
    <w:name w:val="annotation text"/>
    <w:basedOn w:val="Normal"/>
    <w:link w:val="CommentTextChar"/>
    <w:uiPriority w:val="99"/>
    <w:semiHidden/>
    <w:unhideWhenUsed/>
    <w:locked/>
    <w:rsid w:val="004A30E4"/>
    <w:rPr>
      <w:szCs w:val="20"/>
    </w:rPr>
  </w:style>
  <w:style w:type="character" w:customStyle="1" w:styleId="CommentTextChar">
    <w:name w:val="Comment Text Char"/>
    <w:basedOn w:val="DefaultParagraphFont"/>
    <w:link w:val="CommentText"/>
    <w:uiPriority w:val="99"/>
    <w:semiHidden/>
    <w:rsid w:val="004A30E4"/>
    <w:rPr>
      <w:rFonts w:eastAsia="Calibri"/>
      <w:lang w:val="en-GB"/>
    </w:rPr>
  </w:style>
  <w:style w:type="paragraph" w:styleId="CommentSubject">
    <w:name w:val="annotation subject"/>
    <w:basedOn w:val="CommentText"/>
    <w:next w:val="CommentText"/>
    <w:link w:val="CommentSubjectChar"/>
    <w:uiPriority w:val="99"/>
    <w:semiHidden/>
    <w:unhideWhenUsed/>
    <w:locked/>
    <w:rsid w:val="004A30E4"/>
    <w:rPr>
      <w:b/>
      <w:bCs/>
    </w:rPr>
  </w:style>
  <w:style w:type="character" w:customStyle="1" w:styleId="CommentSubjectChar">
    <w:name w:val="Comment Subject Char"/>
    <w:basedOn w:val="CommentTextChar"/>
    <w:link w:val="CommentSubject"/>
    <w:uiPriority w:val="99"/>
    <w:semiHidden/>
    <w:rsid w:val="004A30E4"/>
    <w:rPr>
      <w:rFonts w:eastAsia="Calibri"/>
      <w:b/>
      <w:bCs/>
      <w:lang w:val="en-GB"/>
    </w:rPr>
  </w:style>
  <w:style w:type="character" w:styleId="SubtleEmphasis">
    <w:name w:val="Subtle Emphasis"/>
    <w:basedOn w:val="DefaultParagraphFont"/>
    <w:uiPriority w:val="19"/>
    <w:qFormat/>
    <w:rsid w:val="003E5044"/>
    <w:rPr>
      <w:i/>
      <w:iCs/>
      <w:color w:val="808080" w:themeColor="text1" w:themeTint="7F"/>
    </w:rPr>
  </w:style>
  <w:style w:type="character" w:styleId="FollowedHyperlink">
    <w:name w:val="FollowedHyperlink"/>
    <w:basedOn w:val="DefaultParagraphFont"/>
    <w:uiPriority w:val="99"/>
    <w:semiHidden/>
    <w:unhideWhenUsed/>
    <w:locked/>
    <w:rsid w:val="00897EE1"/>
    <w:rPr>
      <w:color w:val="800080" w:themeColor="followedHyperlink"/>
      <w:u w:val="single"/>
    </w:rPr>
  </w:style>
  <w:style w:type="paragraph" w:styleId="DocumentMap">
    <w:name w:val="Document Map"/>
    <w:basedOn w:val="Normal"/>
    <w:link w:val="DocumentMapChar"/>
    <w:uiPriority w:val="99"/>
    <w:semiHidden/>
    <w:unhideWhenUsed/>
    <w:locked/>
    <w:rsid w:val="009C36D6"/>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C36D6"/>
    <w:rPr>
      <w:rFonts w:ascii="Lucida Grande" w:eastAsia="Calibri" w:hAnsi="Lucida Grande" w:cs="Lucida Grande"/>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9059E3"/>
    <w:pPr>
      <w:tabs>
        <w:tab w:val="center" w:pos="4513"/>
        <w:tab w:val="right" w:pos="9026"/>
      </w:tabs>
      <w:spacing w:before="0" w:after="0"/>
    </w:pPr>
  </w:style>
  <w:style w:type="character" w:customStyle="1" w:styleId="FooterChar">
    <w:name w:val="Footer Char"/>
    <w:basedOn w:val="DefaultParagraphFont"/>
    <w:link w:val="Footer"/>
    <w:uiPriority w:val="99"/>
    <w:semiHidden/>
    <w:rsid w:val="009059E3"/>
    <w:rPr>
      <w:rFonts w:eastAsia="Calibri"/>
      <w:szCs w:val="22"/>
      <w:lang w:val="en-GB"/>
    </w:rPr>
  </w:style>
  <w:style w:type="paragraph" w:styleId="ListParagraph">
    <w:name w:val="List Paragraph"/>
    <w:basedOn w:val="Normal"/>
    <w:uiPriority w:val="34"/>
    <w:qFormat/>
    <w:locked/>
    <w:rsid w:val="009059E3"/>
    <w:pPr>
      <w:ind w:left="720"/>
      <w:contextualSpacing/>
    </w:pPr>
  </w:style>
  <w:style w:type="character" w:styleId="CommentReference">
    <w:name w:val="annotation reference"/>
    <w:basedOn w:val="DefaultParagraphFont"/>
    <w:uiPriority w:val="99"/>
    <w:semiHidden/>
    <w:unhideWhenUsed/>
    <w:locked/>
    <w:rsid w:val="004A30E4"/>
    <w:rPr>
      <w:sz w:val="16"/>
      <w:szCs w:val="16"/>
    </w:rPr>
  </w:style>
  <w:style w:type="paragraph" w:styleId="CommentText">
    <w:name w:val="annotation text"/>
    <w:basedOn w:val="Normal"/>
    <w:link w:val="CommentTextChar"/>
    <w:uiPriority w:val="99"/>
    <w:semiHidden/>
    <w:unhideWhenUsed/>
    <w:locked/>
    <w:rsid w:val="004A30E4"/>
    <w:rPr>
      <w:szCs w:val="20"/>
    </w:rPr>
  </w:style>
  <w:style w:type="character" w:customStyle="1" w:styleId="CommentTextChar">
    <w:name w:val="Comment Text Char"/>
    <w:basedOn w:val="DefaultParagraphFont"/>
    <w:link w:val="CommentText"/>
    <w:uiPriority w:val="99"/>
    <w:semiHidden/>
    <w:rsid w:val="004A30E4"/>
    <w:rPr>
      <w:rFonts w:eastAsia="Calibri"/>
      <w:lang w:val="en-GB"/>
    </w:rPr>
  </w:style>
  <w:style w:type="paragraph" w:styleId="CommentSubject">
    <w:name w:val="annotation subject"/>
    <w:basedOn w:val="CommentText"/>
    <w:next w:val="CommentText"/>
    <w:link w:val="CommentSubjectChar"/>
    <w:uiPriority w:val="99"/>
    <w:semiHidden/>
    <w:unhideWhenUsed/>
    <w:locked/>
    <w:rsid w:val="004A30E4"/>
    <w:rPr>
      <w:b/>
      <w:bCs/>
    </w:rPr>
  </w:style>
  <w:style w:type="character" w:customStyle="1" w:styleId="CommentSubjectChar">
    <w:name w:val="Comment Subject Char"/>
    <w:basedOn w:val="CommentTextChar"/>
    <w:link w:val="CommentSubject"/>
    <w:uiPriority w:val="99"/>
    <w:semiHidden/>
    <w:rsid w:val="004A30E4"/>
    <w:rPr>
      <w:rFonts w:eastAsia="Calibri"/>
      <w:b/>
      <w:bCs/>
      <w:lang w:val="en-GB"/>
    </w:rPr>
  </w:style>
  <w:style w:type="character" w:styleId="SubtleEmphasis">
    <w:name w:val="Subtle Emphasis"/>
    <w:basedOn w:val="DefaultParagraphFont"/>
    <w:uiPriority w:val="19"/>
    <w:qFormat/>
    <w:rsid w:val="003E5044"/>
    <w:rPr>
      <w:i/>
      <w:iCs/>
      <w:color w:val="808080" w:themeColor="text1" w:themeTint="7F"/>
    </w:rPr>
  </w:style>
  <w:style w:type="character" w:styleId="FollowedHyperlink">
    <w:name w:val="FollowedHyperlink"/>
    <w:basedOn w:val="DefaultParagraphFont"/>
    <w:uiPriority w:val="99"/>
    <w:semiHidden/>
    <w:unhideWhenUsed/>
    <w:locked/>
    <w:rsid w:val="00897EE1"/>
    <w:rPr>
      <w:color w:val="800080" w:themeColor="followedHyperlink"/>
      <w:u w:val="single"/>
    </w:rPr>
  </w:style>
  <w:style w:type="paragraph" w:styleId="DocumentMap">
    <w:name w:val="Document Map"/>
    <w:basedOn w:val="Normal"/>
    <w:link w:val="DocumentMapChar"/>
    <w:uiPriority w:val="99"/>
    <w:semiHidden/>
    <w:unhideWhenUsed/>
    <w:locked/>
    <w:rsid w:val="009C36D6"/>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C36D6"/>
    <w:rPr>
      <w:rFonts w:ascii="Lucida Grande" w:eastAsia="Calibri"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1275">
      <w:bodyDiv w:val="1"/>
      <w:marLeft w:val="0"/>
      <w:marRight w:val="0"/>
      <w:marTop w:val="0"/>
      <w:marBottom w:val="0"/>
      <w:divBdr>
        <w:top w:val="none" w:sz="0" w:space="0" w:color="auto"/>
        <w:left w:val="none" w:sz="0" w:space="0" w:color="auto"/>
        <w:bottom w:val="none" w:sz="0" w:space="0" w:color="auto"/>
        <w:right w:val="none" w:sz="0" w:space="0" w:color="auto"/>
      </w:divBdr>
      <w:divsChild>
        <w:div w:id="1515681707">
          <w:marLeft w:val="1008"/>
          <w:marRight w:val="0"/>
          <w:marTop w:val="96"/>
          <w:marBottom w:val="0"/>
          <w:divBdr>
            <w:top w:val="none" w:sz="0" w:space="0" w:color="auto"/>
            <w:left w:val="none" w:sz="0" w:space="0" w:color="auto"/>
            <w:bottom w:val="none" w:sz="0" w:space="0" w:color="auto"/>
            <w:right w:val="none" w:sz="0" w:space="0" w:color="auto"/>
          </w:divBdr>
        </w:div>
      </w:divsChild>
    </w:div>
    <w:div w:id="599679095">
      <w:bodyDiv w:val="1"/>
      <w:marLeft w:val="0"/>
      <w:marRight w:val="0"/>
      <w:marTop w:val="0"/>
      <w:marBottom w:val="0"/>
      <w:divBdr>
        <w:top w:val="none" w:sz="0" w:space="0" w:color="auto"/>
        <w:left w:val="none" w:sz="0" w:space="0" w:color="auto"/>
        <w:bottom w:val="none" w:sz="0" w:space="0" w:color="auto"/>
        <w:right w:val="none" w:sz="0" w:space="0" w:color="auto"/>
      </w:divBdr>
    </w:div>
    <w:div w:id="1283685047">
      <w:bodyDiv w:val="1"/>
      <w:marLeft w:val="0"/>
      <w:marRight w:val="0"/>
      <w:marTop w:val="0"/>
      <w:marBottom w:val="0"/>
      <w:divBdr>
        <w:top w:val="none" w:sz="0" w:space="0" w:color="auto"/>
        <w:left w:val="none" w:sz="0" w:space="0" w:color="auto"/>
        <w:bottom w:val="none" w:sz="0" w:space="0" w:color="auto"/>
        <w:right w:val="none" w:sz="0" w:space="0" w:color="auto"/>
      </w:divBdr>
    </w:div>
    <w:div w:id="13776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4/15-14-0309-20-003d-technical-requirements-document.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mentor.ieee.org/802.15/dcn/14/15-14-0304-16-003d-applications-requirement-document-ard.docx"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REP-SM/publications.aspx?lang=en&amp;parent=R-REP-SM.2352" TargetMode="External"/><Relationship Id="rId5" Type="http://schemas.openxmlformats.org/officeDocument/2006/relationships/settings" Target="settings.xml"/><Relationship Id="rId15" Type="http://schemas.openxmlformats.org/officeDocument/2006/relationships/hyperlink" Target="https://mentor.ieee.org/802.15/dcn/16/15-16-0592-00-003d-proposal-for-ieee802-15-3d-channel-assignment-plans.pdf" TargetMode="External"/><Relationship Id="rId23" Type="http://schemas.openxmlformats.org/officeDocument/2006/relationships/theme" Target="theme/theme1.xml"/><Relationship Id="rId10" Type="http://schemas.openxmlformats.org/officeDocument/2006/relationships/hyperlink" Target="https://www.itu.int/md/R15-WP5C-C-0292/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itu.int/md/R15-WP5A-C-0469/en" TargetMode="External"/><Relationship Id="rId14" Type="http://schemas.openxmlformats.org/officeDocument/2006/relationships/hyperlink" Target="https://mentor.ieee.org/802.15/dcn/16/15-16-0610-00-003d-proposal-for-ieee802-15-3d-thz-phy-explanations.ppt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gowans\Downloads\CPG-PTD(16)Template%201_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533A-52CB-4151-8777-F57FC762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1_Template for CEPT Brief on Agenda item XY (WRC-19).dotx</Template>
  <TotalTime>0</TotalTime>
  <Pages>8</Pages>
  <Words>3201</Words>
  <Characters>18251</Characters>
  <Application>Microsoft Office Word</Application>
  <DocSecurity>0</DocSecurity>
  <Lines>152</Lines>
  <Paragraphs>42</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Company>LNV</Company>
  <LinksUpToDate>false</LinksUpToDate>
  <CharactersWithSpaces>21410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#1</dc:subject>
  <dc:creator>CEPT Coordinator 1.15</dc:creator>
  <cp:keywords>CEPT Brief</cp:keywords>
  <dc:description>Output CPG19-5</dc:description>
  <cp:lastModifiedBy>CPG</cp:lastModifiedBy>
  <cp:revision>3</cp:revision>
  <cp:lastPrinted>1901-01-01T00:00:00Z</cp:lastPrinted>
  <dcterms:created xsi:type="dcterms:W3CDTF">2018-01-19T16:20:00Z</dcterms:created>
  <dcterms:modified xsi:type="dcterms:W3CDTF">2018-01-23T09:17:00Z</dcterms:modified>
  <cp:category>protected templates</cp:category>
  <cp:contentStatus>Draft</cp:contentStatus>
</cp:coreProperties>
</file>