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2F3A7E" w:rsidRPr="00BC2F90" w:rsidTr="002F3A7E">
        <w:trPr>
          <w:cantSplit/>
          <w:trHeight w:val="1240"/>
        </w:trPr>
        <w:tc>
          <w:tcPr>
            <w:tcW w:w="4785" w:type="dxa"/>
            <w:gridSpan w:val="2"/>
            <w:tcBorders>
              <w:top w:val="nil"/>
              <w:left w:val="nil"/>
              <w:bottom w:val="nil"/>
              <w:right w:val="nil"/>
            </w:tcBorders>
          </w:tcPr>
          <w:p w:rsidR="002F3A7E" w:rsidRPr="00BC2F90" w:rsidRDefault="002F3A7E" w:rsidP="00BD4E12">
            <w:pPr>
              <w:pStyle w:val="ECCLetterHead"/>
            </w:pPr>
          </w:p>
        </w:tc>
        <w:tc>
          <w:tcPr>
            <w:tcW w:w="4996" w:type="dxa"/>
            <w:tcBorders>
              <w:top w:val="nil"/>
              <w:left w:val="nil"/>
              <w:bottom w:val="nil"/>
              <w:right w:val="nil"/>
            </w:tcBorders>
          </w:tcPr>
          <w:p w:rsidR="002F3A7E" w:rsidRPr="008E39BF" w:rsidRDefault="002F3A7E" w:rsidP="00624BF1">
            <w:pPr>
              <w:pStyle w:val="ECCLetterHead"/>
            </w:pPr>
            <w:r w:rsidRPr="008E39BF">
              <w:tab/>
            </w:r>
            <w:r w:rsidR="00EE2850" w:rsidRPr="008E39BF">
              <w:t xml:space="preserve">Doc. </w:t>
            </w:r>
            <w:bookmarkStart w:id="0" w:name="_GoBack"/>
            <w:bookmarkEnd w:id="0"/>
            <w:r w:rsidR="00C558FD" w:rsidRPr="008E39BF">
              <w:t>CPG(18)0</w:t>
            </w:r>
            <w:r w:rsidR="008E39BF" w:rsidRPr="008E39BF">
              <w:t>17</w:t>
            </w:r>
            <w:r w:rsidR="00C558FD" w:rsidRPr="008E39BF">
              <w:t xml:space="preserve"> </w:t>
            </w:r>
            <w:r w:rsidR="0067370C" w:rsidRPr="008E39BF">
              <w:t>ANNEX IV-21F</w:t>
            </w:r>
          </w:p>
        </w:tc>
      </w:tr>
      <w:tr w:rsidR="002F3A7E" w:rsidRPr="00BC2F90" w:rsidTr="002F3A7E">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2F3A7E" w:rsidRPr="00734360" w:rsidRDefault="008E39BF" w:rsidP="008E39BF">
            <w:pPr>
              <w:pStyle w:val="ECCLetterHead"/>
            </w:pPr>
            <w:r>
              <w:t>CPG19-5</w:t>
            </w:r>
          </w:p>
        </w:tc>
      </w:tr>
      <w:tr w:rsidR="002F3A7E" w:rsidRPr="00BC2F90" w:rsidTr="002F3A7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2F3A7E" w:rsidRPr="00734360" w:rsidRDefault="008E39BF" w:rsidP="008E39BF">
            <w:pPr>
              <w:pStyle w:val="ECCLetterHead"/>
            </w:pPr>
            <w:r>
              <w:t>Budapest</w:t>
            </w:r>
            <w:r w:rsidR="004B5EE9" w:rsidRPr="004B5EE9">
              <w:t xml:space="preserve">, </w:t>
            </w:r>
            <w:r>
              <w:t>Hungary,</w:t>
            </w:r>
            <w:r w:rsidR="004B5EE9" w:rsidRPr="004B5EE9">
              <w:t xml:space="preserve"> </w:t>
            </w:r>
            <w:r>
              <w:t>08</w:t>
            </w:r>
            <w:r w:rsidRPr="008E39BF">
              <w:rPr>
                <w:vertAlign w:val="superscript"/>
              </w:rPr>
              <w:t>th</w:t>
            </w:r>
            <w:r>
              <w:t xml:space="preserve"> - 11</w:t>
            </w:r>
            <w:r w:rsidRPr="008E39BF">
              <w:rPr>
                <w:vertAlign w:val="superscript"/>
              </w:rPr>
              <w:t>th</w:t>
            </w:r>
            <w:r>
              <w:t xml:space="preserve"> January</w:t>
            </w:r>
            <w:r w:rsidR="004B5EE9" w:rsidRPr="004B5EE9">
              <w:t xml:space="preserve"> 201</w:t>
            </w:r>
            <w:r>
              <w:t>8</w:t>
            </w:r>
          </w:p>
        </w:tc>
      </w:tr>
      <w:tr w:rsidR="002F3A7E" w:rsidRPr="00BC2F90" w:rsidTr="002F3A7E">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2F3A7E" w:rsidRPr="00734360" w:rsidRDefault="002F3A7E" w:rsidP="006A71B3">
            <w:pPr>
              <w:pStyle w:val="ECCLetterHead"/>
            </w:pPr>
          </w:p>
        </w:tc>
        <w:tc>
          <w:tcPr>
            <w:tcW w:w="4996" w:type="dxa"/>
            <w:tcBorders>
              <w:top w:val="nil"/>
              <w:left w:val="nil"/>
              <w:bottom w:val="nil"/>
              <w:right w:val="nil"/>
            </w:tcBorders>
            <w:vAlign w:val="center"/>
          </w:tcPr>
          <w:p w:rsidR="002F3A7E" w:rsidRPr="00734360" w:rsidRDefault="002F3A7E" w:rsidP="006A71B3">
            <w:pPr>
              <w:pStyle w:val="ECCLetterHead"/>
            </w:pPr>
          </w:p>
        </w:tc>
      </w:tr>
      <w:tr w:rsidR="002F3A7E" w:rsidRPr="00BC2F90" w:rsidTr="002F3A7E">
        <w:tblPrEx>
          <w:tblCellMar>
            <w:left w:w="108" w:type="dxa"/>
            <w:right w:w="108" w:type="dxa"/>
          </w:tblCellMar>
        </w:tblPrEx>
        <w:trPr>
          <w:cantSplit/>
          <w:trHeight w:val="405"/>
        </w:trPr>
        <w:tc>
          <w:tcPr>
            <w:tcW w:w="1694" w:type="dxa"/>
            <w:tcBorders>
              <w:top w:val="nil"/>
              <w:left w:val="nil"/>
              <w:bottom w:val="nil"/>
              <w:right w:val="nil"/>
            </w:tcBorders>
            <w:vAlign w:val="center"/>
          </w:tcPr>
          <w:p w:rsidR="002F3A7E" w:rsidRPr="00734360" w:rsidRDefault="002F3A7E" w:rsidP="006A71B3">
            <w:pPr>
              <w:pStyle w:val="ECCLetterHead"/>
            </w:pPr>
            <w:r w:rsidRPr="00734360">
              <w:t xml:space="preserve">Date issued: </w:t>
            </w:r>
          </w:p>
        </w:tc>
        <w:tc>
          <w:tcPr>
            <w:tcW w:w="8087" w:type="dxa"/>
            <w:gridSpan w:val="2"/>
            <w:tcBorders>
              <w:top w:val="nil"/>
              <w:left w:val="nil"/>
              <w:bottom w:val="nil"/>
              <w:right w:val="nil"/>
            </w:tcBorders>
            <w:vAlign w:val="center"/>
          </w:tcPr>
          <w:p w:rsidR="002F3A7E" w:rsidRPr="00734360" w:rsidRDefault="00EA4909" w:rsidP="008E39BF">
            <w:pPr>
              <w:pStyle w:val="ECCLetterHead"/>
            </w:pPr>
            <w:r>
              <w:t>1</w:t>
            </w:r>
            <w:r w:rsidR="008E39BF">
              <w:t>1</w:t>
            </w:r>
            <w:r w:rsidR="001F73BA" w:rsidRPr="001F73BA">
              <w:rPr>
                <w:vertAlign w:val="superscript"/>
              </w:rPr>
              <w:t>th</w:t>
            </w:r>
            <w:r w:rsidR="001F73BA">
              <w:t xml:space="preserve"> </w:t>
            </w:r>
            <w:r w:rsidR="008E39BF">
              <w:t xml:space="preserve">January </w:t>
            </w:r>
            <w:r w:rsidR="002F3A7E" w:rsidRPr="00906777">
              <w:t>201</w:t>
            </w:r>
            <w:r w:rsidR="008E39BF">
              <w:t>8</w:t>
            </w:r>
          </w:p>
        </w:tc>
      </w:tr>
      <w:tr w:rsidR="002F3A7E" w:rsidRPr="00BC2F90" w:rsidTr="002F3A7E">
        <w:tblPrEx>
          <w:tblCellMar>
            <w:left w:w="108" w:type="dxa"/>
            <w:right w:w="108" w:type="dxa"/>
          </w:tblCellMar>
        </w:tblPrEx>
        <w:trPr>
          <w:cantSplit/>
          <w:trHeight w:val="405"/>
        </w:trPr>
        <w:tc>
          <w:tcPr>
            <w:tcW w:w="1694" w:type="dxa"/>
            <w:tcBorders>
              <w:top w:val="nil"/>
              <w:left w:val="nil"/>
              <w:bottom w:val="nil"/>
              <w:right w:val="nil"/>
            </w:tcBorders>
            <w:vAlign w:val="center"/>
          </w:tcPr>
          <w:p w:rsidR="002F3A7E" w:rsidRPr="00734360" w:rsidRDefault="002F3A7E" w:rsidP="006A71B3">
            <w:pPr>
              <w:pStyle w:val="ECCLetterHead"/>
            </w:pPr>
            <w:r w:rsidRPr="00734360">
              <w:t xml:space="preserve">Source: </w:t>
            </w:r>
          </w:p>
        </w:tc>
        <w:tc>
          <w:tcPr>
            <w:tcW w:w="8087" w:type="dxa"/>
            <w:gridSpan w:val="2"/>
            <w:tcBorders>
              <w:top w:val="nil"/>
              <w:left w:val="nil"/>
              <w:bottom w:val="nil"/>
              <w:right w:val="nil"/>
            </w:tcBorders>
            <w:vAlign w:val="center"/>
          </w:tcPr>
          <w:p w:rsidR="002F3A7E" w:rsidRPr="00734360" w:rsidRDefault="008E39BF" w:rsidP="006A71B3">
            <w:pPr>
              <w:pStyle w:val="ECCLetterHead"/>
            </w:pPr>
            <w:r>
              <w:t>CPG19-5 Minutes</w:t>
            </w:r>
            <w:r w:rsidR="002F3A7E" w:rsidRPr="00734360">
              <w:t xml:space="preserve"> </w:t>
            </w:r>
          </w:p>
        </w:tc>
      </w:tr>
      <w:tr w:rsidR="002F3A7E" w:rsidRPr="00BC2F90" w:rsidTr="002F3A7E">
        <w:tblPrEx>
          <w:tblCellMar>
            <w:left w:w="108" w:type="dxa"/>
            <w:right w:w="108" w:type="dxa"/>
          </w:tblCellMar>
        </w:tblPrEx>
        <w:trPr>
          <w:cantSplit/>
          <w:trHeight w:val="405"/>
        </w:trPr>
        <w:tc>
          <w:tcPr>
            <w:tcW w:w="1694" w:type="dxa"/>
            <w:tcBorders>
              <w:top w:val="nil"/>
              <w:left w:val="nil"/>
              <w:bottom w:val="nil"/>
              <w:right w:val="nil"/>
            </w:tcBorders>
            <w:vAlign w:val="center"/>
          </w:tcPr>
          <w:p w:rsidR="002F3A7E" w:rsidRPr="00734360" w:rsidRDefault="002F3A7E" w:rsidP="006A71B3">
            <w:pPr>
              <w:pStyle w:val="ECCLetterHead"/>
            </w:pPr>
            <w:r w:rsidRPr="00734360">
              <w:t xml:space="preserve">Subject: </w:t>
            </w:r>
          </w:p>
        </w:tc>
        <w:tc>
          <w:tcPr>
            <w:tcW w:w="8087" w:type="dxa"/>
            <w:gridSpan w:val="2"/>
            <w:tcBorders>
              <w:top w:val="nil"/>
              <w:left w:val="nil"/>
              <w:bottom w:val="nil"/>
              <w:right w:val="nil"/>
            </w:tcBorders>
            <w:vAlign w:val="center"/>
          </w:tcPr>
          <w:p w:rsidR="002F3A7E" w:rsidRPr="00734360" w:rsidRDefault="001F73BA" w:rsidP="00EA4909">
            <w:pPr>
              <w:pStyle w:val="ECCLetterHead"/>
            </w:pPr>
            <w:r>
              <w:t>D</w:t>
            </w:r>
            <w:r w:rsidR="002F3A7E" w:rsidRPr="00DD6CE9">
              <w:t>raft CEPT Brief on WRC-1</w:t>
            </w:r>
            <w:r w:rsidR="002F3A7E" w:rsidRPr="00906777">
              <w:t>9 Agenda Item 9.1 i</w:t>
            </w:r>
            <w:r w:rsidR="002F3A7E">
              <w:t>ssue 9.1.6</w:t>
            </w:r>
          </w:p>
        </w:tc>
      </w:tr>
      <w:tr w:rsidR="002F3A7E" w:rsidRPr="00BC2F90" w:rsidTr="002F3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2F3A7E" w:rsidRPr="00811586" w:rsidRDefault="002F3A7E" w:rsidP="00734360">
            <w:pPr>
              <w:pStyle w:val="ECCLetterHead"/>
              <w:rPr>
                <w:rStyle w:val="ECCHLbold"/>
                <w:b/>
                <w:bCs w:val="0"/>
              </w:rPr>
            </w:pPr>
            <w:r w:rsidRPr="00734360">
              <w:t xml:space="preserve">Summary: </w:t>
            </w:r>
          </w:p>
        </w:tc>
      </w:tr>
      <w:tr w:rsidR="002F3A7E" w:rsidRPr="00BC2F90" w:rsidTr="002F3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2F3A7E" w:rsidRPr="00734360" w:rsidRDefault="002F3A7E" w:rsidP="00734360">
            <w:pPr>
              <w:pStyle w:val="ECCTabletext"/>
            </w:pPr>
          </w:p>
        </w:tc>
      </w:tr>
      <w:tr w:rsidR="002F3A7E" w:rsidRPr="00BC2F90" w:rsidTr="002F3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F3A7E" w:rsidRPr="00734360" w:rsidRDefault="002F3A7E" w:rsidP="00734360">
            <w:pPr>
              <w:pStyle w:val="ECCLetterHead"/>
            </w:pPr>
            <w:r w:rsidRPr="00734360">
              <w:t>Proposal:</w:t>
            </w:r>
          </w:p>
        </w:tc>
      </w:tr>
      <w:tr w:rsidR="002F3A7E" w:rsidRPr="00BC2F90" w:rsidTr="002F3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2F3A7E" w:rsidRPr="007B37B0" w:rsidRDefault="002F3A7E" w:rsidP="00734360">
            <w:pPr>
              <w:pStyle w:val="ECCTabletext"/>
              <w:rPr>
                <w:rStyle w:val="ECCParagraph"/>
              </w:rPr>
            </w:pPr>
          </w:p>
        </w:tc>
      </w:tr>
    </w:tbl>
    <w:p w:rsidR="009F4490" w:rsidRDefault="009F4490" w:rsidP="003A68D5">
      <w:pPr>
        <w:pStyle w:val="ECCHeadingnonumbering"/>
        <w:rPr>
          <w:lang w:val="en-GB"/>
        </w:rPr>
      </w:pPr>
    </w:p>
    <w:p w:rsidR="009F4490" w:rsidRDefault="009F4490">
      <w:pPr>
        <w:rPr>
          <w:rFonts w:cs="Arial"/>
          <w:b/>
          <w:bCs/>
          <w:caps/>
          <w:color w:val="D2232A"/>
          <w:kern w:val="32"/>
          <w:szCs w:val="32"/>
        </w:rPr>
      </w:pPr>
      <w:r>
        <w:br w:type="page"/>
      </w:r>
    </w:p>
    <w:p w:rsidR="003771D5" w:rsidRPr="00BC2F90" w:rsidRDefault="003771D5" w:rsidP="003A68D5">
      <w:pPr>
        <w:pStyle w:val="ECCHeadingnonumbering"/>
        <w:rPr>
          <w:lang w:val="en-GB"/>
        </w:rPr>
      </w:pPr>
      <w:r w:rsidRPr="00BC2F90">
        <w:rPr>
          <w:lang w:val="en-GB"/>
        </w:rPr>
        <w:lastRenderedPageBreak/>
        <w:t xml:space="preserve">DRAFT CEPT BRIEF ON AGENDA ITEM </w:t>
      </w:r>
      <w:r w:rsidR="008D7748" w:rsidRPr="00BC2F90">
        <w:rPr>
          <w:lang w:val="en-GB"/>
        </w:rPr>
        <w:t>9</w:t>
      </w:r>
      <w:r w:rsidR="00C0624A" w:rsidRPr="00BC2F90">
        <w:rPr>
          <w:lang w:val="en-GB"/>
        </w:rPr>
        <w:t>.1 – Issue 9.1</w:t>
      </w:r>
      <w:r w:rsidR="008D7748" w:rsidRPr="00BC2F90">
        <w:rPr>
          <w:lang w:val="en-GB"/>
        </w:rPr>
        <w:t>.6</w:t>
      </w:r>
      <w:r w:rsidRPr="00BC2F90">
        <w:rPr>
          <w:lang w:val="en-GB"/>
        </w:rPr>
        <w:t xml:space="preserve"> </w:t>
      </w:r>
      <w:r w:rsidR="00C0624A" w:rsidRPr="00BC2F90">
        <w:rPr>
          <w:lang w:val="en-GB"/>
        </w:rPr>
        <w:t xml:space="preserve">– </w:t>
      </w:r>
      <w:r w:rsidR="008750DA" w:rsidRPr="00BC2F90">
        <w:rPr>
          <w:lang w:val="en-GB"/>
        </w:rPr>
        <w:t>Resolutio</w:t>
      </w:r>
      <w:r w:rsidR="008750DA" w:rsidRPr="00A65BDD">
        <w:rPr>
          <w:lang w:val="en-US"/>
        </w:rPr>
        <w:t>N</w:t>
      </w:r>
      <w:r w:rsidR="008750DA" w:rsidRPr="00BC2F90">
        <w:rPr>
          <w:lang w:val="en-GB"/>
        </w:rPr>
        <w:t xml:space="preserve"> </w:t>
      </w:r>
      <w:r w:rsidR="00C0624A" w:rsidRPr="00BC2F90">
        <w:rPr>
          <w:lang w:val="en-GB"/>
        </w:rPr>
        <w:t xml:space="preserve">958 (WRC-15) </w:t>
      </w:r>
    </w:p>
    <w:p w:rsidR="003771D5" w:rsidRPr="004F51A8" w:rsidRDefault="008D7748" w:rsidP="00BD4E12">
      <w:pPr>
        <w:rPr>
          <w:rStyle w:val="ECCParagraph"/>
        </w:rPr>
      </w:pPr>
      <w:r w:rsidRPr="004F51A8">
        <w:rPr>
          <w:rStyle w:val="ECCParagraph"/>
        </w:rPr>
        <w:t>Resolution </w:t>
      </w:r>
      <w:r w:rsidRPr="00FF4D38">
        <w:rPr>
          <w:rStyle w:val="ECCHLbold"/>
        </w:rPr>
        <w:t>958 (WRC-15)</w:t>
      </w:r>
      <w:r w:rsidRPr="004F51A8">
        <w:rPr>
          <w:rStyle w:val="ECCParagraph"/>
        </w:rPr>
        <w:t> - Urgent studies required in preparation for WRC-19 - Studies concerning Wireless Power Transmission for electric vehicles</w:t>
      </w:r>
    </w:p>
    <w:p w:rsidR="003771D5" w:rsidRPr="00BC2F90" w:rsidRDefault="003771D5" w:rsidP="00BD4E12">
      <w:pPr>
        <w:pStyle w:val="Heading1"/>
        <w:rPr>
          <w:lang w:val="en-GB"/>
        </w:rPr>
      </w:pPr>
      <w:r w:rsidRPr="00BC2F90">
        <w:rPr>
          <w:lang w:val="en-GB"/>
        </w:rPr>
        <w:t>ISSUE</w:t>
      </w:r>
    </w:p>
    <w:p w:rsidR="00AF246F" w:rsidRPr="004F51A8" w:rsidRDefault="00AF246F" w:rsidP="00BD4E12">
      <w:pPr>
        <w:rPr>
          <w:rStyle w:val="ECCParagraph"/>
        </w:rPr>
      </w:pPr>
      <w:r w:rsidRPr="004F51A8">
        <w:rPr>
          <w:rStyle w:val="ECCParagraph"/>
        </w:rPr>
        <w:t xml:space="preserve">Resolution </w:t>
      </w:r>
      <w:r w:rsidRPr="002627B2">
        <w:rPr>
          <w:rStyle w:val="ECCHLbold"/>
        </w:rPr>
        <w:t>958 (WRC-15)</w:t>
      </w:r>
      <w:r w:rsidRPr="004F51A8">
        <w:rPr>
          <w:rStyle w:val="ECCParagraph"/>
        </w:rPr>
        <w:t xml:space="preserve"> </w:t>
      </w:r>
      <w:r w:rsidR="006200D7" w:rsidRPr="004F51A8">
        <w:rPr>
          <w:rStyle w:val="ECCParagraph"/>
        </w:rPr>
        <w:t>calls</w:t>
      </w:r>
      <w:r w:rsidRPr="004F51A8">
        <w:rPr>
          <w:rStyle w:val="ECCParagraph"/>
        </w:rPr>
        <w:t xml:space="preserve"> to complete </w:t>
      </w:r>
      <w:r w:rsidR="005E3DA3" w:rsidRPr="004F51A8">
        <w:rPr>
          <w:rStyle w:val="ECCParagraph"/>
        </w:rPr>
        <w:t xml:space="preserve">ITU-R </w:t>
      </w:r>
      <w:r w:rsidRPr="004F51A8">
        <w:rPr>
          <w:rStyle w:val="ECCParagraph"/>
        </w:rPr>
        <w:t>studies concern</w:t>
      </w:r>
      <w:r w:rsidR="00693735" w:rsidRPr="004F51A8">
        <w:rPr>
          <w:rStyle w:val="ECCParagraph"/>
        </w:rPr>
        <w:t>ing Wireless Power Transmission (WPT) for electric</w:t>
      </w:r>
      <w:r w:rsidRPr="004F51A8">
        <w:rPr>
          <w:rStyle w:val="ECCParagraph"/>
        </w:rPr>
        <w:t xml:space="preserve"> vehicles</w:t>
      </w:r>
      <w:r w:rsidR="00362E1A">
        <w:rPr>
          <w:rStyle w:val="ECCParagraph"/>
        </w:rPr>
        <w:t xml:space="preserve"> (EV)</w:t>
      </w:r>
      <w:r w:rsidR="00C42218" w:rsidRPr="004F51A8">
        <w:rPr>
          <w:rStyle w:val="ECCParagraph"/>
        </w:rPr>
        <w:t>:</w:t>
      </w:r>
    </w:p>
    <w:p w:rsidR="00AF246F" w:rsidRPr="008A0F37" w:rsidRDefault="00AF246F" w:rsidP="004F51A8">
      <w:pPr>
        <w:pStyle w:val="ECCLetteredList"/>
        <w:rPr>
          <w:lang w:val="en-GB"/>
        </w:rPr>
      </w:pPr>
      <w:r w:rsidRPr="008A0F37">
        <w:rPr>
          <w:lang w:val="en-GB"/>
        </w:rPr>
        <w:t xml:space="preserve">to assess the impact of WPT for electric vehicles on </w:t>
      </w:r>
      <w:proofErr w:type="spellStart"/>
      <w:r w:rsidRPr="008A0F37">
        <w:rPr>
          <w:lang w:val="en-GB"/>
        </w:rPr>
        <w:t>radiocommunication</w:t>
      </w:r>
      <w:proofErr w:type="spellEnd"/>
      <w:r w:rsidRPr="008A0F37">
        <w:rPr>
          <w:lang w:val="en-GB"/>
        </w:rPr>
        <w:t xml:space="preserve"> services;</w:t>
      </w:r>
    </w:p>
    <w:p w:rsidR="00D0121B" w:rsidRPr="008A0F37" w:rsidRDefault="00AF246F" w:rsidP="004F51A8">
      <w:pPr>
        <w:pStyle w:val="ECCLetteredList"/>
        <w:rPr>
          <w:lang w:val="en-GB"/>
        </w:rPr>
      </w:pPr>
      <w:proofErr w:type="gramStart"/>
      <w:r w:rsidRPr="008A0F37">
        <w:rPr>
          <w:lang w:val="en-GB"/>
        </w:rPr>
        <w:t>to</w:t>
      </w:r>
      <w:proofErr w:type="gramEnd"/>
      <w:r w:rsidRPr="008A0F37">
        <w:rPr>
          <w:lang w:val="en-GB"/>
        </w:rPr>
        <w:t xml:space="preserve"> study suitable harmonized frequency ranges which would minimize the impact on </w:t>
      </w:r>
      <w:proofErr w:type="spellStart"/>
      <w:r w:rsidRPr="008A0F37">
        <w:rPr>
          <w:lang w:val="en-GB"/>
        </w:rPr>
        <w:t>radiocommunication</w:t>
      </w:r>
      <w:proofErr w:type="spellEnd"/>
      <w:r w:rsidRPr="008A0F37">
        <w:rPr>
          <w:lang w:val="en-GB"/>
        </w:rPr>
        <w:t xml:space="preserve"> services from WPT for electrical vehicles.</w:t>
      </w:r>
    </w:p>
    <w:p w:rsidR="003771D5" w:rsidRPr="00BC2F90" w:rsidRDefault="003771D5" w:rsidP="00BD4E12">
      <w:pPr>
        <w:pStyle w:val="Heading1"/>
        <w:rPr>
          <w:lang w:val="en-GB"/>
        </w:rPr>
      </w:pPr>
      <w:r w:rsidRPr="00BC2F90">
        <w:rPr>
          <w:lang w:val="en-GB"/>
        </w:rPr>
        <w:t xml:space="preserve">Preliminary CEPT position </w:t>
      </w:r>
    </w:p>
    <w:p w:rsidR="006F57C2" w:rsidRDefault="004349BB" w:rsidP="004349BB">
      <w:pPr>
        <w:rPr>
          <w:rStyle w:val="ECCParagraph"/>
        </w:rPr>
      </w:pPr>
      <w:r>
        <w:rPr>
          <w:rStyle w:val="ECCParagraph"/>
        </w:rPr>
        <w:t xml:space="preserve">CEPT supports </w:t>
      </w:r>
      <w:r w:rsidRPr="004F51A8">
        <w:rPr>
          <w:rStyle w:val="ECCParagraph"/>
        </w:rPr>
        <w:t>studies concerning Wireless Power Transmission (WPT) for electric vehicles</w:t>
      </w:r>
      <w:r>
        <w:rPr>
          <w:rStyle w:val="ECCParagraph"/>
        </w:rPr>
        <w:t xml:space="preserve"> (EV) </w:t>
      </w:r>
      <w:r w:rsidR="006F57C2">
        <w:rPr>
          <w:rStyle w:val="ECCParagraph"/>
        </w:rPr>
        <w:t xml:space="preserve">to </w:t>
      </w:r>
      <w:r>
        <w:rPr>
          <w:rStyle w:val="ECCParagraph"/>
        </w:rPr>
        <w:t xml:space="preserve">assess the impact of WPT for </w:t>
      </w:r>
      <w:r w:rsidR="006F57C2">
        <w:rPr>
          <w:rStyle w:val="ECCParagraph"/>
        </w:rPr>
        <w:t>EV</w:t>
      </w:r>
      <w:r>
        <w:rPr>
          <w:rStyle w:val="ECCParagraph"/>
        </w:rPr>
        <w:t xml:space="preserve"> on </w:t>
      </w:r>
      <w:proofErr w:type="spellStart"/>
      <w:r>
        <w:rPr>
          <w:rStyle w:val="ECCParagraph"/>
        </w:rPr>
        <w:t>radiocommunication</w:t>
      </w:r>
      <w:proofErr w:type="spellEnd"/>
      <w:r>
        <w:rPr>
          <w:rStyle w:val="ECCParagraph"/>
        </w:rPr>
        <w:t xml:space="preserve"> services. </w:t>
      </w:r>
    </w:p>
    <w:p w:rsidR="001A41C1" w:rsidRDefault="004349BB" w:rsidP="004349BB">
      <w:r>
        <w:rPr>
          <w:rStyle w:val="ECCParagraph"/>
        </w:rPr>
        <w:t xml:space="preserve">CEPT </w:t>
      </w:r>
      <w:r w:rsidR="006F57C2">
        <w:rPr>
          <w:rStyle w:val="ECCParagraph"/>
        </w:rPr>
        <w:t xml:space="preserve">will consider </w:t>
      </w:r>
      <w:r w:rsidR="00542B1C">
        <w:rPr>
          <w:rStyle w:val="ECCParagraph"/>
        </w:rPr>
        <w:t xml:space="preserve">only </w:t>
      </w:r>
      <w:r w:rsidR="006F57C2">
        <w:rPr>
          <w:rStyle w:val="ECCParagraph"/>
        </w:rPr>
        <w:t xml:space="preserve">those potential candidate band(s) as suitable for WPT for EV, </w:t>
      </w:r>
      <w:r>
        <w:rPr>
          <w:rStyle w:val="ECCParagraph"/>
        </w:rPr>
        <w:t>which minimis</w:t>
      </w:r>
      <w:r w:rsidR="00542B1C">
        <w:rPr>
          <w:rStyle w:val="ECCParagraph"/>
        </w:rPr>
        <w:t>e</w:t>
      </w:r>
      <w:r>
        <w:rPr>
          <w:rStyle w:val="ECCParagraph"/>
        </w:rPr>
        <w:t xml:space="preserve"> the impact of WPT for EV</w:t>
      </w:r>
      <w:r w:rsidR="006F57C2">
        <w:rPr>
          <w:rStyle w:val="ECCParagraph"/>
        </w:rPr>
        <w:t xml:space="preserve"> on </w:t>
      </w:r>
      <w:proofErr w:type="spellStart"/>
      <w:r w:rsidR="006F57C2">
        <w:rPr>
          <w:rStyle w:val="ECCParagraph"/>
        </w:rPr>
        <w:t>radiocommunication</w:t>
      </w:r>
      <w:proofErr w:type="spellEnd"/>
      <w:r w:rsidR="006F57C2">
        <w:rPr>
          <w:rStyle w:val="ECCParagraph"/>
        </w:rPr>
        <w:t xml:space="preserve"> services</w:t>
      </w:r>
      <w:r>
        <w:rPr>
          <w:rStyle w:val="ECCParagraph"/>
        </w:rPr>
        <w:t xml:space="preserve">. </w:t>
      </w:r>
    </w:p>
    <w:p w:rsidR="00D257D4" w:rsidRPr="004F51A8" w:rsidRDefault="00D257D4" w:rsidP="004349BB">
      <w:pPr>
        <w:rPr>
          <w:rStyle w:val="ECCParagraph"/>
        </w:rPr>
      </w:pPr>
      <w:r>
        <w:rPr>
          <w:rStyle w:val="ECCParagraph"/>
        </w:rPr>
        <w:t>CEPT is of the view that no further regulatory action to the RR will be required.</w:t>
      </w:r>
    </w:p>
    <w:p w:rsidR="003771D5" w:rsidRPr="00BC2F90" w:rsidRDefault="003771D5" w:rsidP="003A68D5">
      <w:pPr>
        <w:pStyle w:val="Heading1"/>
        <w:rPr>
          <w:lang w:val="en-GB"/>
        </w:rPr>
      </w:pPr>
      <w:r w:rsidRPr="00BC2F90">
        <w:rPr>
          <w:lang w:val="en-GB"/>
        </w:rPr>
        <w:t xml:space="preserve">Background </w:t>
      </w:r>
    </w:p>
    <w:p w:rsidR="00C117D0" w:rsidRDefault="00C117D0" w:rsidP="00784330">
      <w:pPr>
        <w:rPr>
          <w:rStyle w:val="ECCParagraph"/>
        </w:rPr>
      </w:pPr>
      <w:r>
        <w:rPr>
          <w:rStyle w:val="ECCParagraph"/>
        </w:rPr>
        <w:t xml:space="preserve">Several </w:t>
      </w:r>
      <w:r w:rsidRPr="00FF02DB">
        <w:rPr>
          <w:rStyle w:val="ECCParagraph"/>
        </w:rPr>
        <w:t>frequenc</w:t>
      </w:r>
      <w:r>
        <w:rPr>
          <w:rStyle w:val="ECCParagraph"/>
        </w:rPr>
        <w:t xml:space="preserve">ies are under consideration </w:t>
      </w:r>
      <w:r w:rsidRPr="00FF02DB">
        <w:rPr>
          <w:rStyle w:val="ECCParagraph"/>
        </w:rPr>
        <w:t xml:space="preserve">for </w:t>
      </w:r>
      <w:r>
        <w:rPr>
          <w:rStyle w:val="ECCParagraph"/>
        </w:rPr>
        <w:t xml:space="preserve">generic </w:t>
      </w:r>
      <w:r w:rsidRPr="00FF02DB">
        <w:rPr>
          <w:rStyle w:val="ECCParagraph"/>
        </w:rPr>
        <w:t xml:space="preserve">WPT </w:t>
      </w:r>
      <w:r>
        <w:rPr>
          <w:rStyle w:val="ECCParagraph"/>
        </w:rPr>
        <w:t>applications (including WPT for EV), namely</w:t>
      </w:r>
      <w:r w:rsidRPr="00FF02DB">
        <w:rPr>
          <w:rStyle w:val="ECCParagraph"/>
        </w:rPr>
        <w:t>: 19-21 kHz; 59-61 kHz; 79-90 kHz</w:t>
      </w:r>
      <w:r>
        <w:rPr>
          <w:rStyle w:val="ECCParagraph"/>
        </w:rPr>
        <w:t xml:space="preserve"> and </w:t>
      </w:r>
      <w:r w:rsidRPr="00FF02DB">
        <w:rPr>
          <w:rStyle w:val="ECCParagraph"/>
        </w:rPr>
        <w:t>100-300 kHz.</w:t>
      </w:r>
    </w:p>
    <w:p w:rsidR="00C117D0" w:rsidRDefault="00E16D8E" w:rsidP="00784330">
      <w:pPr>
        <w:rPr>
          <w:rStyle w:val="ECCParagraph"/>
        </w:rPr>
      </w:pPr>
      <w:r>
        <w:rPr>
          <w:rStyle w:val="ECCParagraph"/>
        </w:rPr>
        <w:t>It</w:t>
      </w:r>
      <w:r w:rsidR="00C117D0">
        <w:rPr>
          <w:rStyle w:val="ECCParagraph"/>
        </w:rPr>
        <w:t xml:space="preserve"> needs to be noted that WPT for EV requires far higher power levels as for general WPT applications dedicated to charge batteries of user equipment (e.g. watches or mobile devices). Therefore concerns were raised at </w:t>
      </w:r>
      <w:r w:rsidR="00C117D0" w:rsidRPr="004F51A8">
        <w:rPr>
          <w:rStyle w:val="ECCParagraph"/>
        </w:rPr>
        <w:t xml:space="preserve">WRC-15 </w:t>
      </w:r>
      <w:r w:rsidR="00C117D0">
        <w:rPr>
          <w:rStyle w:val="ECCParagraph"/>
        </w:rPr>
        <w:t xml:space="preserve">that WPT for EV may cause harmful interference to </w:t>
      </w:r>
      <w:proofErr w:type="spellStart"/>
      <w:r w:rsidR="00C117D0">
        <w:rPr>
          <w:rStyle w:val="ECCParagraph"/>
        </w:rPr>
        <w:t>radiocommunication</w:t>
      </w:r>
      <w:proofErr w:type="spellEnd"/>
      <w:r w:rsidR="00C117D0">
        <w:rPr>
          <w:rStyle w:val="ECCParagraph"/>
        </w:rPr>
        <w:t xml:space="preserve"> services depend</w:t>
      </w:r>
      <w:r w:rsidR="001F73BA">
        <w:rPr>
          <w:rStyle w:val="ECCParagraph"/>
        </w:rPr>
        <w:t>ing</w:t>
      </w:r>
      <w:r w:rsidR="00C117D0">
        <w:rPr>
          <w:rStyle w:val="ECCParagraph"/>
        </w:rPr>
        <w:t xml:space="preserve"> on the frequency band used. </w:t>
      </w:r>
      <w:r w:rsidR="001F73BA">
        <w:rPr>
          <w:rStyle w:val="ECCParagraph"/>
        </w:rPr>
        <w:t>There</w:t>
      </w:r>
      <w:r w:rsidR="00C117D0">
        <w:rPr>
          <w:rStyle w:val="ECCParagraph"/>
        </w:rPr>
        <w:t xml:space="preserve"> was unanimous agreement at WRC-15 that WPT for EV itself is not considered as a </w:t>
      </w:r>
      <w:proofErr w:type="spellStart"/>
      <w:r w:rsidR="00C117D0">
        <w:rPr>
          <w:rStyle w:val="ECCParagraph"/>
        </w:rPr>
        <w:t>radiocommunication</w:t>
      </w:r>
      <w:proofErr w:type="spellEnd"/>
      <w:r w:rsidR="00C117D0">
        <w:rPr>
          <w:rStyle w:val="ECCParagraph"/>
        </w:rPr>
        <w:t xml:space="preserve"> service. Due to the increase of the number of electric vehicles, </w:t>
      </w:r>
      <w:r w:rsidR="002D1E04" w:rsidRPr="004F51A8">
        <w:rPr>
          <w:rStyle w:val="ECCParagraph"/>
        </w:rPr>
        <w:t xml:space="preserve">WRC-15 </w:t>
      </w:r>
      <w:r w:rsidR="00C117D0">
        <w:rPr>
          <w:rStyle w:val="ECCParagraph"/>
        </w:rPr>
        <w:t xml:space="preserve">agreed that the issue needs to be studied with urgency until WRC-19. </w:t>
      </w:r>
    </w:p>
    <w:p w:rsidR="00784330" w:rsidRDefault="00C117D0" w:rsidP="00784330">
      <w:pPr>
        <w:rPr>
          <w:rStyle w:val="ECCParagraph"/>
        </w:rPr>
      </w:pPr>
      <w:r>
        <w:rPr>
          <w:rStyle w:val="ECCParagraph"/>
        </w:rPr>
        <w:t xml:space="preserve">When considering the matter CEPT took account </w:t>
      </w:r>
      <w:r w:rsidR="00784330" w:rsidRPr="004F51A8">
        <w:rPr>
          <w:rStyle w:val="ECCParagraph"/>
        </w:rPr>
        <w:t xml:space="preserve">of the </w:t>
      </w:r>
      <w:r>
        <w:rPr>
          <w:rStyle w:val="ECCParagraph"/>
        </w:rPr>
        <w:t xml:space="preserve">current results of </w:t>
      </w:r>
      <w:r w:rsidR="00784330" w:rsidRPr="004F51A8">
        <w:rPr>
          <w:rStyle w:val="ECCParagraph"/>
        </w:rPr>
        <w:t>standardisation activities o</w:t>
      </w:r>
      <w:r>
        <w:rPr>
          <w:rStyle w:val="ECCParagraph"/>
        </w:rPr>
        <w:t>n</w:t>
      </w:r>
      <w:r w:rsidR="00784330" w:rsidRPr="004F51A8">
        <w:rPr>
          <w:rStyle w:val="ECCParagraph"/>
        </w:rPr>
        <w:t xml:space="preserve"> WPT technologies for electric vehicles in </w:t>
      </w:r>
      <w:r>
        <w:rPr>
          <w:rStyle w:val="ECCParagraph"/>
        </w:rPr>
        <w:t xml:space="preserve">relevant international fora, like </w:t>
      </w:r>
      <w:r w:rsidR="00784330" w:rsidRPr="004F51A8">
        <w:rPr>
          <w:rStyle w:val="ECCParagraph"/>
        </w:rPr>
        <w:t xml:space="preserve">the International </w:t>
      </w:r>
      <w:proofErr w:type="spellStart"/>
      <w:r w:rsidR="00784330" w:rsidRPr="004F51A8">
        <w:rPr>
          <w:rStyle w:val="ECCParagraph"/>
        </w:rPr>
        <w:t>Electrotechnical</w:t>
      </w:r>
      <w:proofErr w:type="spellEnd"/>
      <w:r w:rsidR="00784330" w:rsidRPr="004F51A8">
        <w:rPr>
          <w:rStyle w:val="ECCParagraph"/>
        </w:rPr>
        <w:t xml:space="preserve"> Commission (IEC), the International Organization for Standardization (ISO)</w:t>
      </w:r>
      <w:r>
        <w:rPr>
          <w:rStyle w:val="ECCParagraph"/>
        </w:rPr>
        <w:t>,</w:t>
      </w:r>
      <w:r w:rsidR="00784330" w:rsidRPr="004F51A8">
        <w:rPr>
          <w:rStyle w:val="ECCParagraph"/>
        </w:rPr>
        <w:t xml:space="preserve"> the Society of Automotive Engineers (SAE)</w:t>
      </w:r>
      <w:r>
        <w:rPr>
          <w:rStyle w:val="ECCParagraph"/>
        </w:rPr>
        <w:t>, and the European Telecommunication Standardisation Institute (ETSI)</w:t>
      </w:r>
      <w:r w:rsidR="00784330" w:rsidRPr="004F51A8">
        <w:rPr>
          <w:rStyle w:val="ECCParagraph"/>
        </w:rPr>
        <w:t>.</w:t>
      </w:r>
    </w:p>
    <w:p w:rsidR="00EF6B9A" w:rsidRDefault="00784330" w:rsidP="00043048">
      <w:pPr>
        <w:rPr>
          <w:rStyle w:val="ECCParagraph"/>
        </w:rPr>
      </w:pPr>
      <w:r w:rsidRPr="004F51A8">
        <w:rPr>
          <w:rStyle w:val="ECCParagraph"/>
        </w:rPr>
        <w:t>CEPT note</w:t>
      </w:r>
      <w:r w:rsidR="00043048" w:rsidRPr="004F51A8">
        <w:rPr>
          <w:rStyle w:val="ECCParagraph"/>
        </w:rPr>
        <w:t>s</w:t>
      </w:r>
      <w:r w:rsidRPr="004F51A8">
        <w:rPr>
          <w:rStyle w:val="ECCParagraph"/>
        </w:rPr>
        <w:t xml:space="preserve"> that several frequency bands ha</w:t>
      </w:r>
      <w:r w:rsidR="00043048" w:rsidRPr="004F51A8">
        <w:rPr>
          <w:rStyle w:val="ECCParagraph"/>
        </w:rPr>
        <w:t>ve</w:t>
      </w:r>
      <w:r w:rsidRPr="004F51A8">
        <w:rPr>
          <w:rStyle w:val="ECCParagraph"/>
        </w:rPr>
        <w:t xml:space="preserve"> been </w:t>
      </w:r>
      <w:r w:rsidR="00283FE2">
        <w:rPr>
          <w:rStyle w:val="ECCParagraph"/>
        </w:rPr>
        <w:t>made available</w:t>
      </w:r>
      <w:r w:rsidR="00283FE2" w:rsidRPr="004F51A8">
        <w:rPr>
          <w:rStyle w:val="ECCParagraph"/>
        </w:rPr>
        <w:t xml:space="preserve"> </w:t>
      </w:r>
      <w:r w:rsidRPr="004F51A8">
        <w:rPr>
          <w:rStyle w:val="ECCParagraph"/>
        </w:rPr>
        <w:t xml:space="preserve">for WPT for </w:t>
      </w:r>
      <w:r w:rsidR="00362E1A">
        <w:rPr>
          <w:rStyle w:val="ECCParagraph"/>
        </w:rPr>
        <w:t>EV</w:t>
      </w:r>
      <w:r w:rsidRPr="004F51A8">
        <w:rPr>
          <w:rStyle w:val="ECCParagraph"/>
        </w:rPr>
        <w:t xml:space="preserve"> </w:t>
      </w:r>
      <w:r w:rsidR="00693735" w:rsidRPr="004F51A8">
        <w:rPr>
          <w:rStyle w:val="ECCParagraph"/>
        </w:rPr>
        <w:t>in some countries</w:t>
      </w:r>
      <w:r w:rsidR="00283FE2">
        <w:rPr>
          <w:rStyle w:val="ECCParagraph"/>
        </w:rPr>
        <w:t xml:space="preserve"> in Region 3</w:t>
      </w:r>
      <w:r w:rsidR="00693735" w:rsidRPr="004F51A8">
        <w:rPr>
          <w:rStyle w:val="ECCParagraph"/>
        </w:rPr>
        <w:t xml:space="preserve">, </w:t>
      </w:r>
      <w:r w:rsidRPr="004F51A8">
        <w:rPr>
          <w:rStyle w:val="ECCParagraph"/>
        </w:rPr>
        <w:t>such as 19</w:t>
      </w:r>
      <w:r w:rsidRPr="004F51A8">
        <w:rPr>
          <w:rStyle w:val="ECCParagraph"/>
        </w:rPr>
        <w:noBreakHyphen/>
        <w:t>21 kHz and 59</w:t>
      </w:r>
      <w:r w:rsidRPr="004F51A8">
        <w:rPr>
          <w:rStyle w:val="ECCParagraph"/>
        </w:rPr>
        <w:noBreakHyphen/>
        <w:t>61 kHz for the shaped magnetic field resonance technology in Korea and 79</w:t>
      </w:r>
      <w:r w:rsidRPr="004F51A8">
        <w:rPr>
          <w:rStyle w:val="ECCParagraph"/>
        </w:rPr>
        <w:noBreakHyphen/>
        <w:t xml:space="preserve">90 kHz for magnetic resonant technology in Japan. </w:t>
      </w:r>
      <w:r w:rsidR="00043048" w:rsidRPr="004F51A8">
        <w:rPr>
          <w:rStyle w:val="ECCParagraph"/>
        </w:rPr>
        <w:t>It is also observed that SAE International J2954™ Task Force agreed on the band 81.38-90.00 kHz for light duty vehicle WPT</w:t>
      </w:r>
      <w:r w:rsidR="001F73BA">
        <w:rPr>
          <w:rStyle w:val="ECCParagraph"/>
        </w:rPr>
        <w:t xml:space="preserve"> a</w:t>
      </w:r>
      <w:r w:rsidR="00283FE2">
        <w:rPr>
          <w:rStyle w:val="ECCParagraph"/>
        </w:rPr>
        <w:t xml:space="preserve">nd </w:t>
      </w:r>
      <w:r w:rsidR="007E0572" w:rsidRPr="004F51A8">
        <w:rPr>
          <w:rStyle w:val="ECCParagraph"/>
        </w:rPr>
        <w:t xml:space="preserve">ETSI </w:t>
      </w:r>
      <w:r w:rsidR="00283FE2">
        <w:rPr>
          <w:rStyle w:val="ECCParagraph"/>
        </w:rPr>
        <w:t>work</w:t>
      </w:r>
      <w:r w:rsidR="001F73BA">
        <w:rPr>
          <w:rStyle w:val="ECCParagraph"/>
        </w:rPr>
        <w:t>ed</w:t>
      </w:r>
      <w:r w:rsidR="00283FE2">
        <w:rPr>
          <w:rStyle w:val="ECCParagraph"/>
        </w:rPr>
        <w:t xml:space="preserve"> </w:t>
      </w:r>
      <w:r w:rsidR="004349BB">
        <w:rPr>
          <w:rStyle w:val="ECCParagraph"/>
        </w:rPr>
        <w:t>on</w:t>
      </w:r>
      <w:r w:rsidR="004349BB" w:rsidRPr="004F51A8">
        <w:rPr>
          <w:rStyle w:val="ECCParagraph"/>
        </w:rPr>
        <w:t xml:space="preserve"> </w:t>
      </w:r>
      <w:r w:rsidR="00693735" w:rsidRPr="004F51A8">
        <w:rPr>
          <w:rStyle w:val="ECCParagraph"/>
        </w:rPr>
        <w:t>“Wireless Power Transmission (WPT) systems for EV opera</w:t>
      </w:r>
      <w:r w:rsidR="004F51A8" w:rsidRPr="004F51A8">
        <w:rPr>
          <w:rStyle w:val="ECCParagraph"/>
        </w:rPr>
        <w:t>ting in the frequency band 79-</w:t>
      </w:r>
      <w:r w:rsidR="00693735" w:rsidRPr="004F51A8">
        <w:rPr>
          <w:rStyle w:val="ECCParagraph"/>
        </w:rPr>
        <w:t xml:space="preserve">90 kHz”. </w:t>
      </w:r>
    </w:p>
    <w:p w:rsidR="007E0572" w:rsidRPr="004F51A8" w:rsidRDefault="00AB5287" w:rsidP="00043048">
      <w:pPr>
        <w:rPr>
          <w:rStyle w:val="ECCParagraph"/>
        </w:rPr>
      </w:pPr>
      <w:r w:rsidRPr="004F51A8">
        <w:rPr>
          <w:rStyle w:val="ECCParagraph"/>
        </w:rPr>
        <w:t xml:space="preserve">ETSI </w:t>
      </w:r>
      <w:r w:rsidR="004349BB">
        <w:rPr>
          <w:rStyle w:val="ECCParagraph"/>
        </w:rPr>
        <w:t xml:space="preserve">also </w:t>
      </w:r>
      <w:r w:rsidRPr="004F51A8">
        <w:rPr>
          <w:rStyle w:val="ECCParagraph"/>
        </w:rPr>
        <w:t>develop</w:t>
      </w:r>
      <w:r w:rsidR="004349BB">
        <w:rPr>
          <w:rStyle w:val="ECCParagraph"/>
        </w:rPr>
        <w:t>ed</w:t>
      </w:r>
      <w:r w:rsidRPr="004F51A8">
        <w:rPr>
          <w:rStyle w:val="ECCParagraph"/>
        </w:rPr>
        <w:t xml:space="preserve"> a new harmonised standard (EN 303 417) for </w:t>
      </w:r>
      <w:r w:rsidR="004349BB">
        <w:rPr>
          <w:rStyle w:val="ECCParagraph"/>
        </w:rPr>
        <w:t>“</w:t>
      </w:r>
      <w:r w:rsidRPr="004F51A8">
        <w:rPr>
          <w:rStyle w:val="ECCParagraph"/>
        </w:rPr>
        <w:t>Wireless power transmission using technologies other th</w:t>
      </w:r>
      <w:r w:rsidR="004F51A8" w:rsidRPr="004F51A8">
        <w:rPr>
          <w:rStyle w:val="ECCParagraph"/>
        </w:rPr>
        <w:t>an radio frequency beam in 19-21 kHz; 59-</w:t>
      </w:r>
      <w:r w:rsidRPr="004F51A8">
        <w:rPr>
          <w:rStyle w:val="ECCParagraph"/>
        </w:rPr>
        <w:t>61 kHz</w:t>
      </w:r>
      <w:r w:rsidR="004F51A8" w:rsidRPr="004F51A8">
        <w:rPr>
          <w:rStyle w:val="ECCParagraph"/>
        </w:rPr>
        <w:t>; 79-90 kHz; 100-300 kHz; 6 765-</w:t>
      </w:r>
      <w:r w:rsidR="002D7BD5" w:rsidRPr="004F51A8">
        <w:rPr>
          <w:rStyle w:val="ECCParagraph"/>
        </w:rPr>
        <w:t>6 795 k</w:t>
      </w:r>
      <w:r w:rsidRPr="004F51A8">
        <w:rPr>
          <w:rStyle w:val="ECCParagraph"/>
        </w:rPr>
        <w:t>Hz</w:t>
      </w:r>
      <w:r w:rsidR="004349BB">
        <w:rPr>
          <w:rStyle w:val="ECCParagraph"/>
        </w:rPr>
        <w:t>”</w:t>
      </w:r>
      <w:r w:rsidR="007E0572" w:rsidRPr="004F51A8">
        <w:rPr>
          <w:rStyle w:val="ECCParagraph"/>
        </w:rPr>
        <w:t>.</w:t>
      </w:r>
      <w:r w:rsidR="004349BB">
        <w:rPr>
          <w:rStyle w:val="ECCParagraph"/>
        </w:rPr>
        <w:t xml:space="preserve"> However, this </w:t>
      </w:r>
      <w:r w:rsidR="006D76F7">
        <w:rPr>
          <w:rStyle w:val="ECCParagraph"/>
        </w:rPr>
        <w:t>h</w:t>
      </w:r>
      <w:r w:rsidR="002F4C47">
        <w:rPr>
          <w:rStyle w:val="ECCParagraph"/>
        </w:rPr>
        <w:t xml:space="preserve">armonised </w:t>
      </w:r>
      <w:r w:rsidR="006D76F7">
        <w:rPr>
          <w:rStyle w:val="ECCParagraph"/>
        </w:rPr>
        <w:t>s</w:t>
      </w:r>
      <w:r w:rsidR="002F4C47">
        <w:rPr>
          <w:rStyle w:val="ECCParagraph"/>
        </w:rPr>
        <w:t>tandard</w:t>
      </w:r>
      <w:r w:rsidR="004349BB">
        <w:rPr>
          <w:rStyle w:val="ECCParagraph"/>
        </w:rPr>
        <w:t xml:space="preserve"> </w:t>
      </w:r>
      <w:r w:rsidR="0096345A">
        <w:rPr>
          <w:rStyle w:val="ECCParagraph"/>
        </w:rPr>
        <w:t>is not only on WPT for EV. It covers all kinds of WPT applications.</w:t>
      </w:r>
    </w:p>
    <w:p w:rsidR="00FF02DB" w:rsidRPr="00FF02DB" w:rsidRDefault="00283FE2" w:rsidP="00283FE2">
      <w:pPr>
        <w:rPr>
          <w:rStyle w:val="ECCParagraph"/>
        </w:rPr>
      </w:pPr>
      <w:r>
        <w:rPr>
          <w:rStyle w:val="ECCParagraph"/>
        </w:rPr>
        <w:t xml:space="preserve">Based on this, the main band under consideration for WPT for EV is 79-90 kHz, which is used in CEPT to transmit standard frequency and time signal (see FN 5.56). </w:t>
      </w:r>
    </w:p>
    <w:p w:rsidR="006E2439" w:rsidRPr="002F7688" w:rsidRDefault="00FF02DB" w:rsidP="00283FE2">
      <w:r w:rsidRPr="00FF02DB">
        <w:rPr>
          <w:rStyle w:val="ECCParagraph"/>
        </w:rPr>
        <w:lastRenderedPageBreak/>
        <w:t>WP</w:t>
      </w:r>
      <w:r w:rsidR="0096345A">
        <w:rPr>
          <w:rStyle w:val="ECCParagraph"/>
        </w:rPr>
        <w:t xml:space="preserve"> </w:t>
      </w:r>
      <w:r w:rsidRPr="00FF02DB">
        <w:rPr>
          <w:rStyle w:val="ECCParagraph"/>
        </w:rPr>
        <w:t>1B focus</w:t>
      </w:r>
      <w:r w:rsidR="00283FE2">
        <w:rPr>
          <w:rStyle w:val="ECCParagraph"/>
        </w:rPr>
        <w:t>es</w:t>
      </w:r>
      <w:r w:rsidRPr="00FF02DB">
        <w:rPr>
          <w:rStyle w:val="ECCParagraph"/>
        </w:rPr>
        <w:t xml:space="preserve"> its studies </w:t>
      </w:r>
      <w:r w:rsidR="00283FE2">
        <w:rPr>
          <w:rStyle w:val="ECCParagraph"/>
        </w:rPr>
        <w:t>on</w:t>
      </w:r>
      <w:r w:rsidR="00283FE2" w:rsidRPr="00FF02DB">
        <w:rPr>
          <w:rStyle w:val="ECCParagraph"/>
        </w:rPr>
        <w:t xml:space="preserve"> </w:t>
      </w:r>
      <w:r w:rsidRPr="00FF02DB">
        <w:rPr>
          <w:rStyle w:val="ECCParagraph"/>
        </w:rPr>
        <w:t xml:space="preserve">frequency ranges </w:t>
      </w:r>
      <w:r w:rsidRPr="00D40FF8">
        <w:rPr>
          <w:rStyle w:val="ECCParagraph"/>
        </w:rPr>
        <w:t>for</w:t>
      </w:r>
      <w:r w:rsidR="00D40FF8" w:rsidRPr="00FF02DB">
        <w:rPr>
          <w:rStyle w:val="ECCParagraph"/>
        </w:rPr>
        <w:t xml:space="preserve"> </w:t>
      </w:r>
      <w:r w:rsidR="00D40FF8">
        <w:rPr>
          <w:rStyle w:val="ECCParagraph"/>
        </w:rPr>
        <w:t xml:space="preserve">generic </w:t>
      </w:r>
      <w:r w:rsidR="00D40FF8" w:rsidRPr="00FF02DB">
        <w:rPr>
          <w:rStyle w:val="ECCParagraph"/>
        </w:rPr>
        <w:t xml:space="preserve">WPT </w:t>
      </w:r>
      <w:r w:rsidR="00D40FF8">
        <w:rPr>
          <w:rStyle w:val="ECCParagraph"/>
        </w:rPr>
        <w:t xml:space="preserve">applications </w:t>
      </w:r>
      <w:r w:rsidR="00944991">
        <w:rPr>
          <w:rStyle w:val="ECCParagraph"/>
        </w:rPr>
        <w:t xml:space="preserve">including </w:t>
      </w:r>
      <w:r w:rsidR="00D40FF8" w:rsidRPr="008A0F37">
        <w:t xml:space="preserve">WPT </w:t>
      </w:r>
      <w:r w:rsidR="00072CF5">
        <w:t xml:space="preserve">for EV </w:t>
      </w:r>
      <w:r w:rsidR="00944991">
        <w:t>applications</w:t>
      </w:r>
      <w:r w:rsidRPr="00FF02DB">
        <w:rPr>
          <w:rStyle w:val="ECCParagraph"/>
        </w:rPr>
        <w:t>.</w:t>
      </w:r>
      <w:r w:rsidR="0096345A">
        <w:rPr>
          <w:rStyle w:val="ECCParagraph"/>
        </w:rPr>
        <w:t xml:space="preserve"> </w:t>
      </w:r>
    </w:p>
    <w:p w:rsidR="003771D5" w:rsidRPr="00BC2F90" w:rsidRDefault="003771D5" w:rsidP="00BD4E12">
      <w:pPr>
        <w:pStyle w:val="Heading1"/>
        <w:rPr>
          <w:lang w:val="en-GB"/>
        </w:rPr>
      </w:pPr>
      <w:r w:rsidRPr="00BC2F90">
        <w:rPr>
          <w:lang w:val="en-GB"/>
        </w:rPr>
        <w:t>List of relevant documents</w:t>
      </w:r>
    </w:p>
    <w:p w:rsidR="007E0572" w:rsidRDefault="00DA02AC" w:rsidP="00362E1A">
      <w:pPr>
        <w:pStyle w:val="ECCBulletsLv1"/>
        <w:rPr>
          <w:rStyle w:val="ECCParagraph"/>
        </w:rPr>
      </w:pPr>
      <w:r w:rsidRPr="004F51A8">
        <w:rPr>
          <w:rStyle w:val="ECCParagraph"/>
        </w:rPr>
        <w:t xml:space="preserve">Report </w:t>
      </w:r>
      <w:r w:rsidR="003771D5" w:rsidRPr="004F51A8">
        <w:rPr>
          <w:rStyle w:val="ECCParagraph"/>
        </w:rPr>
        <w:t>ITU-</w:t>
      </w:r>
      <w:r w:rsidRPr="004F51A8">
        <w:rPr>
          <w:rStyle w:val="ECCParagraph"/>
        </w:rPr>
        <w:t>R SM.2303-1, Wireless power transmission using technologies other than radio frequency beam</w:t>
      </w:r>
    </w:p>
    <w:p w:rsidR="00516E5E" w:rsidRPr="004F51A8" w:rsidRDefault="008E39BF" w:rsidP="00362E1A">
      <w:pPr>
        <w:pStyle w:val="ECCBulletsLv1"/>
        <w:rPr>
          <w:rStyle w:val="ECCParagraph"/>
        </w:rPr>
      </w:pPr>
      <w:r>
        <w:rPr>
          <w:rStyle w:val="ECCParagraph"/>
        </w:rPr>
        <w:t>ITU-R Resolution 705 (Rev.WRC-</w:t>
      </w:r>
      <w:r w:rsidR="00516E5E">
        <w:rPr>
          <w:rStyle w:val="ECCParagraph"/>
        </w:rPr>
        <w:t>15), Mutual protection of radio services operating in the frequency band 70-130 kHz</w:t>
      </w:r>
    </w:p>
    <w:p w:rsidR="00C5648D" w:rsidRDefault="007E0572" w:rsidP="00362E1A">
      <w:pPr>
        <w:pStyle w:val="ECCBulletsLv1"/>
        <w:rPr>
          <w:rStyle w:val="ECCParagraph"/>
        </w:rPr>
      </w:pPr>
      <w:r w:rsidRPr="004F51A8">
        <w:rPr>
          <w:rStyle w:val="ECCParagraph"/>
        </w:rPr>
        <w:t>ETSI TR 103 409, System Reference document (</w:t>
      </w:r>
      <w:proofErr w:type="spellStart"/>
      <w:r w:rsidRPr="004F51A8">
        <w:rPr>
          <w:rStyle w:val="ECCParagraph"/>
        </w:rPr>
        <w:t>SRdoc</w:t>
      </w:r>
      <w:proofErr w:type="spellEnd"/>
      <w:r w:rsidRPr="004F51A8">
        <w:rPr>
          <w:rStyle w:val="ECCParagraph"/>
        </w:rPr>
        <w:t>); Wireless Power Transmission (WPT) systems for Electric Vehicles (EV) opera</w:t>
      </w:r>
      <w:r w:rsidR="004F51A8">
        <w:rPr>
          <w:rStyle w:val="ECCParagraph"/>
        </w:rPr>
        <w:t>ting in the frequency band 79-</w:t>
      </w:r>
      <w:r w:rsidRPr="004F51A8">
        <w:rPr>
          <w:rStyle w:val="ECCParagraph"/>
        </w:rPr>
        <w:t>90 kHz</w:t>
      </w:r>
    </w:p>
    <w:p w:rsidR="008E39BF" w:rsidRDefault="00C5648D" w:rsidP="00FA01CD">
      <w:pPr>
        <w:pStyle w:val="ECCBulletsLv1"/>
        <w:rPr>
          <w:rStyle w:val="ECCParagraph"/>
        </w:rPr>
      </w:pPr>
      <w:r w:rsidRPr="00C5648D">
        <w:t>ETSI EN 303 417</w:t>
      </w:r>
      <w:r>
        <w:t xml:space="preserve">, </w:t>
      </w:r>
      <w:r w:rsidRPr="00C5648D">
        <w:t>Wireless power transmission using technologies other than radio frequency beam in the 19-21 kHz, 59-61 kHz, 79-90 kHz, 100-300 kHz, 6 765-6 795 kHz ranges</w:t>
      </w:r>
      <w:r w:rsidR="007E0572" w:rsidRPr="004F51A8">
        <w:rPr>
          <w:rStyle w:val="ECCParagraph"/>
        </w:rPr>
        <w:t xml:space="preserve"> </w:t>
      </w:r>
    </w:p>
    <w:p w:rsidR="00BF0CD4" w:rsidRPr="00BF0CD4" w:rsidRDefault="00C12101" w:rsidP="00BF0CD4">
      <w:pPr>
        <w:pStyle w:val="ECCBulletsLv1"/>
        <w:rPr>
          <w:rStyle w:val="ECCParagraph"/>
        </w:rPr>
      </w:pPr>
      <w:r w:rsidRPr="00C12101">
        <w:rPr>
          <w:rStyle w:val="ECCParagraph"/>
        </w:rPr>
        <w:t>Annex</w:t>
      </w:r>
      <w:r>
        <w:rPr>
          <w:rStyle w:val="ECCParagraph"/>
        </w:rPr>
        <w:t> </w:t>
      </w:r>
      <w:r w:rsidRPr="00C12101">
        <w:rPr>
          <w:rStyle w:val="ECCParagraph"/>
        </w:rPr>
        <w:t xml:space="preserve">4  </w:t>
      </w:r>
      <w:r>
        <w:rPr>
          <w:rStyle w:val="ECCParagraph"/>
        </w:rPr>
        <w:t xml:space="preserve">to </w:t>
      </w:r>
      <w:r w:rsidR="00BF0CD4" w:rsidRPr="00BF0CD4">
        <w:rPr>
          <w:rStyle w:val="ECCParagraph"/>
        </w:rPr>
        <w:t>Document</w:t>
      </w:r>
      <w:r>
        <w:rPr>
          <w:rStyle w:val="ECCParagraph"/>
        </w:rPr>
        <w:t> </w:t>
      </w:r>
      <w:r w:rsidR="00BF0CD4" w:rsidRPr="00BF0CD4">
        <w:rPr>
          <w:rStyle w:val="ECCParagraph"/>
        </w:rPr>
        <w:t>1B/</w:t>
      </w:r>
      <w:r>
        <w:rPr>
          <w:rStyle w:val="ECCParagraph"/>
        </w:rPr>
        <w:t>260</w:t>
      </w:r>
      <w:r w:rsidR="00BF0CD4" w:rsidRPr="00BF0CD4">
        <w:rPr>
          <w:rStyle w:val="ECCParagraph"/>
        </w:rPr>
        <w:t xml:space="preserve"> </w:t>
      </w:r>
      <w:r w:rsidRPr="00C12101">
        <w:rPr>
          <w:rFonts w:hint="eastAsia"/>
        </w:rPr>
        <w:t>Working document towards a</w:t>
      </w:r>
      <w:r w:rsidRPr="00C12101">
        <w:t xml:space="preserve"> </w:t>
      </w:r>
      <w:r>
        <w:t xml:space="preserve">preliminary draft revision on Recommendation </w:t>
      </w:r>
      <w:r w:rsidRPr="00C12101">
        <w:t xml:space="preserve"> ITU-R SM.2110</w:t>
      </w:r>
      <w:r w:rsidRPr="00C12101">
        <w:rPr>
          <w:rFonts w:hint="eastAsia"/>
        </w:rPr>
        <w:t>-0</w:t>
      </w:r>
      <w:r w:rsidR="00BF0CD4" w:rsidRPr="00BF0CD4">
        <w:rPr>
          <w:rStyle w:val="ECCParagraph"/>
        </w:rPr>
        <w:t xml:space="preserve"> </w:t>
      </w:r>
      <w:r w:rsidRPr="00C12101">
        <w:t>Frequency ranges for operation of non-beam wireless</w:t>
      </w:r>
      <w:r w:rsidRPr="00C12101">
        <w:br/>
        <w:t>power transmission systems</w:t>
      </w:r>
      <w:r w:rsidRPr="00C12101" w:rsidDel="00C12101">
        <w:rPr>
          <w:rStyle w:val="ECCParagraph"/>
        </w:rPr>
        <w:t xml:space="preserve"> </w:t>
      </w:r>
    </w:p>
    <w:p w:rsidR="008915D0" w:rsidRDefault="006E5ABD" w:rsidP="00362E1A">
      <w:pPr>
        <w:pStyle w:val="ECCBulletsLv1"/>
      </w:pPr>
      <w:r>
        <w:t>Working Document towards a preliminary draft new Report ITU-R SM</w:t>
      </w:r>
      <w:proofErr w:type="gramStart"/>
      <w:r>
        <w:t>.[</w:t>
      </w:r>
      <w:proofErr w:type="gramEnd"/>
      <w:r>
        <w:t>WPT.SPEC.MNGM]; Methodology for spectrum management of wireless power transmission (WPT)</w:t>
      </w:r>
      <w:r w:rsidR="00E51A2D">
        <w:t xml:space="preserve"> </w:t>
      </w:r>
      <w:r>
        <w:t>.</w:t>
      </w:r>
    </w:p>
    <w:p w:rsidR="00D40FF8" w:rsidRPr="006E5ABD" w:rsidRDefault="00D40FF8" w:rsidP="00D40FF8">
      <w:pPr>
        <w:pStyle w:val="ECCBulletsLv1"/>
      </w:pPr>
      <w:r w:rsidRPr="00D40FF8">
        <w:t xml:space="preserve">ITU-R Question 210/3-1 </w:t>
      </w:r>
      <w:hyperlink r:id="rId9" w:history="1">
        <w:r w:rsidRPr="00D40FF8">
          <w:rPr>
            <w:rStyle w:val="Hyperlink"/>
          </w:rPr>
          <w:t>‘Wireless power transmission’</w:t>
        </w:r>
      </w:hyperlink>
      <w:r>
        <w:t xml:space="preserve"> </w:t>
      </w:r>
    </w:p>
    <w:p w:rsidR="003771D5" w:rsidRDefault="003771D5" w:rsidP="00BD4E12">
      <w:pPr>
        <w:pStyle w:val="Heading1"/>
      </w:pPr>
      <w:r w:rsidRPr="00BC2F90">
        <w:rPr>
          <w:lang w:val="en-GB"/>
        </w:rPr>
        <w:t>Actions to be taken</w:t>
      </w:r>
    </w:p>
    <w:p w:rsidR="00C20B5C" w:rsidRPr="00C20B5C" w:rsidRDefault="00C20B5C" w:rsidP="00C20B5C">
      <w:pPr>
        <w:pStyle w:val="ECCBulletsLv2"/>
        <w:rPr>
          <w:rStyle w:val="ECCParagraph"/>
        </w:rPr>
      </w:pPr>
      <w:r>
        <w:rPr>
          <w:rStyle w:val="ECCParagraph"/>
        </w:rPr>
        <w:t>CEPT has identified the following study issues which require clarification:</w:t>
      </w:r>
      <w:r w:rsidRPr="00C20B5C">
        <w:rPr>
          <w:rStyle w:val="ECCParagraph"/>
        </w:rPr>
        <w:t xml:space="preserve"> </w:t>
      </w:r>
    </w:p>
    <w:p w:rsidR="00C20B5C" w:rsidRPr="00C20B5C" w:rsidRDefault="00C20B5C" w:rsidP="00C20B5C">
      <w:pPr>
        <w:pStyle w:val="ECCBulletsLv3"/>
        <w:rPr>
          <w:rStyle w:val="ECCParagraph"/>
        </w:rPr>
      </w:pPr>
      <w:r>
        <w:rPr>
          <w:rStyle w:val="ECCParagraph"/>
        </w:rPr>
        <w:t>Definition of electric vehicle,</w:t>
      </w:r>
    </w:p>
    <w:p w:rsidR="00C20B5C" w:rsidRPr="00C20B5C" w:rsidRDefault="00C20B5C" w:rsidP="00C20B5C">
      <w:pPr>
        <w:pStyle w:val="ECCBulletsLv3"/>
      </w:pPr>
      <w:r w:rsidRPr="002F7688">
        <w:t>WPT Mechanisms</w:t>
      </w:r>
      <w:r w:rsidR="00B41183">
        <w:t>,</w:t>
      </w:r>
    </w:p>
    <w:p w:rsidR="001F73BA" w:rsidRPr="00C20B5C" w:rsidRDefault="00C20B5C" w:rsidP="00C20B5C">
      <w:pPr>
        <w:pStyle w:val="ECCBulletsLv3"/>
      </w:pPr>
      <w:r>
        <w:t>Regulatory basis for WPT,</w:t>
      </w:r>
    </w:p>
    <w:p w:rsidR="00C20B5C" w:rsidRPr="00C20B5C" w:rsidRDefault="00C20B5C" w:rsidP="00C20B5C">
      <w:pPr>
        <w:pStyle w:val="ECCBulletsLv3"/>
      </w:pPr>
      <w:r>
        <w:t>Power level categories and aggregation.</w:t>
      </w:r>
    </w:p>
    <w:p w:rsidR="006E2439" w:rsidRDefault="00E624D1" w:rsidP="002627B2">
      <w:pPr>
        <w:pStyle w:val="ECCBulletsLv2"/>
        <w:rPr>
          <w:rStyle w:val="ECCParagraph"/>
        </w:rPr>
      </w:pPr>
      <w:r>
        <w:rPr>
          <w:rStyle w:val="ECCParagraph"/>
        </w:rPr>
        <w:t xml:space="preserve">Consider the result of studies to be conducted by SE24 in the context of </w:t>
      </w:r>
      <w:r w:rsidR="00A1288C">
        <w:rPr>
          <w:rStyle w:val="ECCParagraph"/>
        </w:rPr>
        <w:t>Agenda item 9.1 - Issue 9.1.6</w:t>
      </w:r>
      <w:r>
        <w:rPr>
          <w:rStyle w:val="ECCParagraph"/>
        </w:rPr>
        <w:t>.</w:t>
      </w:r>
    </w:p>
    <w:p w:rsidR="005109A4" w:rsidRDefault="006E2439" w:rsidP="002627B2">
      <w:pPr>
        <w:pStyle w:val="ECCBulletsLv2"/>
        <w:rPr>
          <w:rStyle w:val="ECCParagraph"/>
        </w:rPr>
      </w:pPr>
      <w:r>
        <w:rPr>
          <w:rStyle w:val="ECCParagraph"/>
        </w:rPr>
        <w:t>Contribution</w:t>
      </w:r>
      <w:r w:rsidR="00C5648D">
        <w:rPr>
          <w:rStyle w:val="ECCParagraph"/>
        </w:rPr>
        <w:t>s</w:t>
      </w:r>
      <w:r>
        <w:rPr>
          <w:rStyle w:val="ECCParagraph"/>
        </w:rPr>
        <w:t xml:space="preserve"> on the issues identified for clarification should be submitted to ITU-R WP 1B.</w:t>
      </w:r>
    </w:p>
    <w:p w:rsidR="00C85BA7" w:rsidRPr="00C85BA7" w:rsidRDefault="005109A4" w:rsidP="00710BBF">
      <w:pPr>
        <w:pStyle w:val="ECCBulletsLv2"/>
      </w:pPr>
      <w:r w:rsidRPr="00C85BA7">
        <w:t>The basis for potential interference from high-power WPT devices shall be assessed taking account of high density usage and realistic growth in EV</w:t>
      </w:r>
      <w:r w:rsidR="00C85BA7" w:rsidRPr="00C85BA7">
        <w:t>.</w:t>
      </w:r>
      <w:r w:rsidRPr="00C85BA7">
        <w:t xml:space="preserve"> </w:t>
      </w:r>
    </w:p>
    <w:p w:rsidR="005109A4" w:rsidRPr="00C85BA7" w:rsidRDefault="005109A4" w:rsidP="00710BBF">
      <w:pPr>
        <w:pStyle w:val="ECCBulletsLv2"/>
      </w:pPr>
      <w:r w:rsidRPr="00710BBF">
        <w:t>In</w:t>
      </w:r>
      <w:r w:rsidRPr="00C85BA7">
        <w:t xml:space="preserve"> addition: </w:t>
      </w:r>
    </w:p>
    <w:p w:rsidR="005109A4" w:rsidRPr="00C85BA7" w:rsidRDefault="005109A4" w:rsidP="00C85BA7">
      <w:pPr>
        <w:pStyle w:val="ECCBulletsLv3"/>
      </w:pPr>
      <w:r w:rsidRPr="00C85BA7">
        <w:t>In cooperation with SE24, consider undertaking modelling or practical measurements for high density multiple WPT usage scenarios.</w:t>
      </w:r>
    </w:p>
    <w:p w:rsidR="0032651F" w:rsidRDefault="005109A4" w:rsidP="00C85BA7">
      <w:pPr>
        <w:pStyle w:val="ECCBulletsLv3"/>
      </w:pPr>
      <w:r w:rsidRPr="00C85BA7">
        <w:t>CEPT PTD may also wish to liaise with WGFM/SRD-MG regarding the development of a specific Annex to CEPT Recommendation 70-03 for WPT applications</w:t>
      </w:r>
      <w:r w:rsidR="003549A1" w:rsidRPr="00C85BA7">
        <w:t>.</w:t>
      </w:r>
      <w:r w:rsidR="00E624D1" w:rsidRPr="00C85BA7">
        <w:t xml:space="preserve"> </w:t>
      </w:r>
    </w:p>
    <w:p w:rsidR="00A320C2" w:rsidRPr="004F51A8" w:rsidRDefault="00A320C2" w:rsidP="00A320C2">
      <w:pPr>
        <w:pStyle w:val="ECCBulletsLv2"/>
        <w:rPr>
          <w:rStyle w:val="ECCParagraph"/>
        </w:rPr>
      </w:pPr>
      <w:r>
        <w:rPr>
          <w:rStyle w:val="ECCParagraph"/>
        </w:rPr>
        <w:t>To develop a draft ECP NOC</w:t>
      </w:r>
    </w:p>
    <w:p w:rsidR="003771D5" w:rsidRPr="00BC2F90" w:rsidRDefault="003771D5" w:rsidP="00BD4E12">
      <w:pPr>
        <w:pStyle w:val="Heading1"/>
        <w:rPr>
          <w:lang w:val="en-GB"/>
        </w:rPr>
      </w:pPr>
      <w:r w:rsidRPr="00BC2F90">
        <w:rPr>
          <w:lang w:val="en-GB"/>
        </w:rPr>
        <w:t>Relevant information from outside CEPT (examples of these are below)</w:t>
      </w:r>
    </w:p>
    <w:p w:rsidR="004F16F4" w:rsidRPr="004F51A8" w:rsidRDefault="003771D5" w:rsidP="004F16F4">
      <w:pPr>
        <w:pStyle w:val="Heading2"/>
        <w:rPr>
          <w:rStyle w:val="ECCParagraph"/>
        </w:rPr>
      </w:pPr>
      <w:r w:rsidRPr="00BC2F90">
        <w:rPr>
          <w:lang w:val="en-GB"/>
        </w:rPr>
        <w:t>European Union (date of proposal)</w:t>
      </w:r>
    </w:p>
    <w:p w:rsidR="003771D5" w:rsidRPr="00BC2F90" w:rsidRDefault="003771D5" w:rsidP="00BD4E12">
      <w:pPr>
        <w:pStyle w:val="Heading2"/>
        <w:rPr>
          <w:lang w:val="en-GB"/>
        </w:rPr>
      </w:pPr>
      <w:r w:rsidRPr="00BC2F90">
        <w:rPr>
          <w:lang w:val="en-GB"/>
        </w:rPr>
        <w:t>Regional t</w:t>
      </w:r>
      <w:r w:rsidR="0057797A" w:rsidRPr="00BC2F90">
        <w:rPr>
          <w:lang w:val="en-GB"/>
        </w:rPr>
        <w:t>elecommunication organisations</w:t>
      </w:r>
    </w:p>
    <w:p w:rsidR="003771D5" w:rsidRDefault="003771D5" w:rsidP="003A68D5">
      <w:pPr>
        <w:pStyle w:val="ECCBreak"/>
      </w:pPr>
      <w:r w:rsidRPr="00BC2F90">
        <w:rPr>
          <w:lang w:val="en-GB"/>
        </w:rPr>
        <w:t>APT (</w:t>
      </w:r>
      <w:r w:rsidR="00CA1D52">
        <w:t xml:space="preserve">21 July </w:t>
      </w:r>
      <w:r w:rsidR="008E5BFE">
        <w:t>2017</w:t>
      </w:r>
      <w:r w:rsidRPr="00BC2F90">
        <w:rPr>
          <w:lang w:val="en-GB"/>
        </w:rPr>
        <w:t>)</w:t>
      </w:r>
    </w:p>
    <w:p w:rsidR="00CA1D52" w:rsidRDefault="00CA1D52" w:rsidP="008E5BFE">
      <w:r w:rsidRPr="00CA1D52">
        <w:t xml:space="preserve">APT Members support the studies </w:t>
      </w:r>
      <w:r w:rsidRPr="00CA1D52">
        <w:rPr>
          <w:rFonts w:hint="eastAsia"/>
        </w:rPr>
        <w:t xml:space="preserve">carried out by ITU-R </w:t>
      </w:r>
      <w:r w:rsidRPr="00CA1D52">
        <w:t>in</w:t>
      </w:r>
      <w:r w:rsidR="00C85BA7">
        <w:t xml:space="preserve"> accordance with Resolution 958</w:t>
      </w:r>
      <w:r w:rsidRPr="00CA1D52">
        <w:t xml:space="preserve"> (WRC</w:t>
      </w:r>
      <w:r w:rsidRPr="00CA1D52">
        <w:noBreakHyphen/>
        <w:t xml:space="preserve">15) to assess </w:t>
      </w:r>
      <w:r w:rsidRPr="00CA1D52">
        <w:rPr>
          <w:rFonts w:hint="eastAsia"/>
        </w:rPr>
        <w:t xml:space="preserve">the </w:t>
      </w:r>
      <w:r w:rsidRPr="00CA1D52">
        <w:t xml:space="preserve">impacts of WPT for electric vehicles on </w:t>
      </w:r>
      <w:proofErr w:type="spellStart"/>
      <w:r w:rsidRPr="00CA1D52">
        <w:t>radiocommunication</w:t>
      </w:r>
      <w:proofErr w:type="spellEnd"/>
      <w:r w:rsidRPr="00CA1D52">
        <w:t xml:space="preserve"> services and to study suitable </w:t>
      </w:r>
      <w:r w:rsidRPr="00CA1D52">
        <w:lastRenderedPageBreak/>
        <w:t xml:space="preserve">harmonized frequency ranges which would minimize the impact on </w:t>
      </w:r>
      <w:proofErr w:type="spellStart"/>
      <w:r w:rsidRPr="00CA1D52">
        <w:t>radiocommunication</w:t>
      </w:r>
      <w:proofErr w:type="spellEnd"/>
      <w:r w:rsidRPr="00CA1D52">
        <w:t xml:space="preserve"> services from WPT for electrical vehicles</w:t>
      </w:r>
      <w:r w:rsidRPr="00CA1D52">
        <w:rPr>
          <w:rFonts w:hint="eastAsia"/>
        </w:rPr>
        <w:t>.</w:t>
      </w:r>
    </w:p>
    <w:p w:rsidR="008E5BFE" w:rsidRDefault="00836504" w:rsidP="008E5BFE">
      <w:r>
        <w:t xml:space="preserve">A </w:t>
      </w:r>
      <w:r w:rsidRPr="00836504">
        <w:t>Working document towards a draft new APT report on frequency ranges used for non-beam WPT for electric vehicles</w:t>
      </w:r>
      <w:r>
        <w:t xml:space="preserve"> has been recently </w:t>
      </w:r>
      <w:r w:rsidR="00DE4E62">
        <w:t>updat</w:t>
      </w:r>
      <w:r>
        <w:t xml:space="preserve">ed by APT which contains information on </w:t>
      </w:r>
      <w:r w:rsidRPr="00836504">
        <w:t>EV applications and technologies, Standardization status, National regulations on WPT for EV application in some APT member countries, Frequency Bands Studies for WPT in Some APT Member Countries</w:t>
      </w:r>
      <w:r>
        <w:t xml:space="preserve"> and</w:t>
      </w:r>
      <w:r w:rsidRPr="00836504">
        <w:t xml:space="preserve"> Status of studies on the impact </w:t>
      </w:r>
      <w:r>
        <w:t xml:space="preserve">of WPT EV </w:t>
      </w:r>
      <w:r w:rsidRPr="00836504">
        <w:t>to the incumbent systems in some APT member countries</w:t>
      </w:r>
      <w:r>
        <w:t>.</w:t>
      </w:r>
    </w:p>
    <w:p w:rsidR="006C5C1C" w:rsidRPr="004F51A8" w:rsidRDefault="00DE4E62" w:rsidP="006C5C1C">
      <w:pPr>
        <w:rPr>
          <w:rStyle w:val="ECCParagraph"/>
        </w:rPr>
      </w:pPr>
      <w:r>
        <w:t xml:space="preserve">This doesn’t provide the position of APT on the </w:t>
      </w:r>
      <w:r w:rsidR="00A1288C">
        <w:t>Agenda item 9.1 - Issue 9.1.6</w:t>
      </w:r>
      <w:r>
        <w:t>. It</w:t>
      </w:r>
      <w:r w:rsidR="00836504">
        <w:t xml:space="preserve"> has already </w:t>
      </w:r>
      <w:r w:rsidRPr="00DE4E62">
        <w:t xml:space="preserve">been </w:t>
      </w:r>
      <w:r w:rsidR="00836504">
        <w:t xml:space="preserve">submitted to WP 1B for consideration </w:t>
      </w:r>
      <w:r>
        <w:t>at the June 2017</w:t>
      </w:r>
      <w:r w:rsidR="00CA1D52">
        <w:t xml:space="preserve"> meeting</w:t>
      </w:r>
      <w:r>
        <w:t xml:space="preserve"> </w:t>
      </w:r>
      <w:r w:rsidR="00836504">
        <w:t>in the studies on WPT as document</w:t>
      </w:r>
      <w:r>
        <w:t xml:space="preserve"> WP1B-0143</w:t>
      </w:r>
      <w:r w:rsidR="00836504">
        <w:t xml:space="preserve"> (</w:t>
      </w:r>
      <w:hyperlink r:id="rId10" w:history="1">
        <w:r w:rsidR="00836504" w:rsidRPr="0018579A">
          <w:rPr>
            <w:rStyle w:val="Hyperlink"/>
          </w:rPr>
          <w:t>https://www.itu.int/md/R15-WP1B-C/en</w:t>
        </w:r>
      </w:hyperlink>
      <w:r w:rsidR="00836504">
        <w:t>)</w:t>
      </w:r>
      <w:r>
        <w:t>.</w:t>
      </w:r>
      <w:r w:rsidR="00836504">
        <w:t xml:space="preserve"> </w:t>
      </w:r>
      <w:r w:rsidRPr="00DE4E62">
        <w:t>It is scheduled to be finished in the next AWG meeting (AWG-22) which will be held in September 2017.</w:t>
      </w:r>
    </w:p>
    <w:p w:rsidR="003771D5" w:rsidRPr="00BC2F90" w:rsidRDefault="003771D5" w:rsidP="003A68D5">
      <w:pPr>
        <w:pStyle w:val="ECCBreak"/>
        <w:rPr>
          <w:lang w:val="en-GB"/>
        </w:rPr>
      </w:pPr>
      <w:r w:rsidRPr="00BC2F90">
        <w:rPr>
          <w:lang w:val="en-GB"/>
        </w:rPr>
        <w:t>ATU (date of proposal)</w:t>
      </w:r>
    </w:p>
    <w:p w:rsidR="003771D5" w:rsidRPr="004F51A8" w:rsidRDefault="003771D5" w:rsidP="00BD4E12">
      <w:pPr>
        <w:rPr>
          <w:rStyle w:val="ECCParagraph"/>
        </w:rPr>
      </w:pPr>
    </w:p>
    <w:p w:rsidR="003771D5" w:rsidRPr="00BC2F90" w:rsidRDefault="003771D5" w:rsidP="003A68D5">
      <w:pPr>
        <w:pStyle w:val="ECCBreak"/>
        <w:rPr>
          <w:lang w:val="en-GB"/>
        </w:rPr>
      </w:pPr>
      <w:r w:rsidRPr="00BC2F90">
        <w:rPr>
          <w:lang w:val="en-GB"/>
        </w:rPr>
        <w:t>Arab Group</w:t>
      </w:r>
      <w:r w:rsidR="00CA1D52" w:rsidRPr="006F57C2">
        <w:rPr>
          <w:lang w:val="en-GB"/>
        </w:rPr>
        <w:t xml:space="preserve"> (ASMG)</w:t>
      </w:r>
      <w:r w:rsidRPr="00BC2F90">
        <w:rPr>
          <w:lang w:val="en-GB"/>
        </w:rPr>
        <w:t xml:space="preserve"> (</w:t>
      </w:r>
      <w:r w:rsidR="00A65BDD" w:rsidRPr="00A65BDD">
        <w:rPr>
          <w:lang w:val="en-US"/>
        </w:rPr>
        <w:t>20 April 2017</w:t>
      </w:r>
      <w:r w:rsidRPr="00BC2F90">
        <w:rPr>
          <w:lang w:val="en-GB"/>
        </w:rPr>
        <w:t>)</w:t>
      </w:r>
    </w:p>
    <w:p w:rsidR="00C53016" w:rsidRPr="00A65BDD" w:rsidRDefault="00806C96" w:rsidP="00A65BDD">
      <w:pPr>
        <w:pStyle w:val="ECCBulletsLv1"/>
        <w:rPr>
          <w:lang w:val="en-US"/>
        </w:rPr>
      </w:pPr>
      <w:r w:rsidRPr="00A65BDD">
        <w:rPr>
          <w:lang w:val="en-US"/>
        </w:rPr>
        <w:t xml:space="preserve">Follow up and support the current studies to assess the impact of (WPT) for electric vehicles on </w:t>
      </w:r>
      <w:proofErr w:type="spellStart"/>
      <w:r w:rsidRPr="00A65BDD">
        <w:rPr>
          <w:lang w:val="en-US"/>
        </w:rPr>
        <w:t>radiocommunication</w:t>
      </w:r>
      <w:proofErr w:type="spellEnd"/>
      <w:r w:rsidRPr="00A65BDD">
        <w:rPr>
          <w:lang w:val="en-US"/>
        </w:rPr>
        <w:t xml:space="preserve"> services; and to study suitable harmonized frequency ranges which would minimize the impact on </w:t>
      </w:r>
      <w:proofErr w:type="spellStart"/>
      <w:r w:rsidRPr="00A65BDD">
        <w:rPr>
          <w:lang w:val="en-US"/>
        </w:rPr>
        <w:t>radiocommunication</w:t>
      </w:r>
      <w:proofErr w:type="spellEnd"/>
      <w:r w:rsidRPr="00A65BDD">
        <w:rPr>
          <w:lang w:val="en-US"/>
        </w:rPr>
        <w:t xml:space="preserve"> services from (WPT) for electrical vehicles.</w:t>
      </w:r>
    </w:p>
    <w:p w:rsidR="00C53016" w:rsidRPr="00A65BDD" w:rsidRDefault="00806C96" w:rsidP="00A65BDD">
      <w:pPr>
        <w:pStyle w:val="ECCBulletsLv1"/>
        <w:rPr>
          <w:lang w:val="en-US"/>
        </w:rPr>
      </w:pPr>
      <w:r w:rsidRPr="00A65BDD">
        <w:rPr>
          <w:lang w:val="en-US"/>
        </w:rPr>
        <w:t xml:space="preserve">Ensure the protection of the incumbent services and not add any additional constraints on these services. </w:t>
      </w:r>
    </w:p>
    <w:p w:rsidR="00C53016" w:rsidRPr="00A65BDD" w:rsidRDefault="00806C96" w:rsidP="00A65BDD">
      <w:pPr>
        <w:pStyle w:val="ECCBulletsLv1"/>
        <w:rPr>
          <w:lang w:val="en-US"/>
        </w:rPr>
      </w:pPr>
      <w:r w:rsidRPr="00A65BDD">
        <w:rPr>
          <w:lang w:val="en-US"/>
        </w:rPr>
        <w:t xml:space="preserve">Request ASMG administrations to identify their current and future uses in the frequency bands proposed in order to ensure the protection of these services in these bands. </w:t>
      </w:r>
    </w:p>
    <w:p w:rsidR="003771D5" w:rsidRPr="00BC2F90" w:rsidRDefault="003771D5" w:rsidP="003A68D5">
      <w:pPr>
        <w:pStyle w:val="ECCBreak"/>
        <w:rPr>
          <w:lang w:val="en-GB"/>
        </w:rPr>
      </w:pPr>
      <w:r w:rsidRPr="00BC2F90">
        <w:rPr>
          <w:lang w:val="en-GB"/>
        </w:rPr>
        <w:t>CITEL (date of proposal)</w:t>
      </w:r>
    </w:p>
    <w:p w:rsidR="003771D5" w:rsidRPr="004F51A8" w:rsidRDefault="003771D5" w:rsidP="00BD4E12">
      <w:pPr>
        <w:rPr>
          <w:rStyle w:val="ECCParagraph"/>
        </w:rPr>
      </w:pPr>
    </w:p>
    <w:p w:rsidR="003771D5" w:rsidRPr="00BC2F90" w:rsidRDefault="003771D5" w:rsidP="003A68D5">
      <w:pPr>
        <w:pStyle w:val="ECCBreak"/>
        <w:rPr>
          <w:lang w:val="en-GB"/>
        </w:rPr>
      </w:pPr>
      <w:r w:rsidRPr="00BC2F90">
        <w:rPr>
          <w:lang w:val="en-GB"/>
        </w:rPr>
        <w:t>RCC (</w:t>
      </w:r>
      <w:r w:rsidR="00A65BDD" w:rsidRPr="00EF7B2B">
        <w:rPr>
          <w:lang w:val="en-US"/>
        </w:rPr>
        <w:t>14 April 2017</w:t>
      </w:r>
      <w:r w:rsidRPr="00BC2F90">
        <w:rPr>
          <w:lang w:val="en-GB"/>
        </w:rPr>
        <w:t>)</w:t>
      </w:r>
    </w:p>
    <w:p w:rsidR="008A0F37" w:rsidRPr="008A0F37" w:rsidRDefault="008A0F37" w:rsidP="008A0F37">
      <w:r w:rsidRPr="008A0F37">
        <w:t>The RCC Administrations are in favour of harmonizing frequency bands to be used for Wireless Power Transmission (WPT) for electric vehicles, which could be implemented by the development of relevant Recommendation ITU-R.</w:t>
      </w:r>
    </w:p>
    <w:p w:rsidR="008A0F37" w:rsidRPr="008A0F37" w:rsidRDefault="008A0F37" w:rsidP="008A0F37">
      <w:r w:rsidRPr="008A0F37">
        <w:t>The RCC Administrations support the development of conditions for use of the frequency bands 19</w:t>
      </w:r>
      <w:r w:rsidRPr="008A0F37">
        <w:noBreakHyphen/>
        <w:t>21 kHz, 59</w:t>
      </w:r>
      <w:r w:rsidRPr="008A0F37">
        <w:noBreakHyphen/>
        <w:t>61 kHz, 79</w:t>
      </w:r>
      <w:r w:rsidRPr="008A0F37">
        <w:noBreakHyphen/>
        <w:t>90 kHz and 100</w:t>
      </w:r>
      <w:r w:rsidRPr="008A0F37">
        <w:noBreakHyphen/>
        <w:t xml:space="preserve">300 kHz by WPT devices, which would provide protection to stations of </w:t>
      </w:r>
      <w:proofErr w:type="spellStart"/>
      <w:r w:rsidRPr="008A0F37">
        <w:t>radiocommunication</w:t>
      </w:r>
      <w:proofErr w:type="spellEnd"/>
      <w:r w:rsidRPr="008A0F37">
        <w:t xml:space="preserve"> services from possible interference, and which have relevant allocations in the Radio Regulations on a primary or secondary basis.</w:t>
      </w:r>
    </w:p>
    <w:p w:rsidR="003771D5" w:rsidRPr="004F51A8" w:rsidRDefault="008A0F37" w:rsidP="00BD4E12">
      <w:pPr>
        <w:rPr>
          <w:rStyle w:val="ECCParagraph"/>
        </w:rPr>
      </w:pPr>
      <w:r w:rsidRPr="008A0F37">
        <w:t>The RCC Administrations do not oppose harmonizing the frequency band 6 765</w:t>
      </w:r>
      <w:r w:rsidRPr="008A0F37">
        <w:noBreakHyphen/>
        <w:t>6 795 kHz for WPT devices.</w:t>
      </w:r>
    </w:p>
    <w:p w:rsidR="003771D5" w:rsidRPr="00BC2F90" w:rsidRDefault="003771D5" w:rsidP="00BD4E12">
      <w:pPr>
        <w:pStyle w:val="Heading2"/>
        <w:rPr>
          <w:lang w:val="en-GB"/>
        </w:rPr>
      </w:pPr>
      <w:r w:rsidRPr="00BC2F90">
        <w:rPr>
          <w:lang w:val="en-GB"/>
        </w:rPr>
        <w:t>International organisations</w:t>
      </w:r>
    </w:p>
    <w:p w:rsidR="00A65BDD" w:rsidRDefault="00A65BDD" w:rsidP="00A65BDD">
      <w:pPr>
        <w:pStyle w:val="ECCBreak"/>
      </w:pPr>
      <w:r>
        <w:t>NATO</w:t>
      </w:r>
      <w:r w:rsidRPr="00A65BDD">
        <w:t xml:space="preserve"> (</w:t>
      </w:r>
      <w:r>
        <w:t>27 June 2017</w:t>
      </w:r>
      <w:r w:rsidRPr="00A65BDD">
        <w:t>)</w:t>
      </w:r>
    </w:p>
    <w:p w:rsidR="00A65BDD" w:rsidRPr="00A65BDD" w:rsidRDefault="00A65BDD" w:rsidP="00A65BDD">
      <w:r w:rsidRPr="00A65BDD">
        <w:t xml:space="preserve">This NATO military assessment summary is a common military assessment of the NATO Nations on the potential impacts and benefits of Agenda Item </w:t>
      </w:r>
      <w:r>
        <w:t>9.1 Issue 9.1.6</w:t>
      </w:r>
      <w:r w:rsidRPr="00A65BDD">
        <w:t>. It does not constitute a common position of the NATO Nations.</w:t>
      </w:r>
    </w:p>
    <w:p w:rsidR="00A65BDD" w:rsidRPr="00A65BDD" w:rsidRDefault="00A65BDD" w:rsidP="00A65BDD">
      <w:pPr>
        <w:rPr>
          <w:lang w:val="en-US"/>
        </w:rPr>
      </w:pPr>
      <w:r w:rsidRPr="00A65BDD">
        <w:rPr>
          <w:lang w:val="en-US"/>
        </w:rPr>
        <w:t>As candidate frequency bands or individual frequencies for WPT applications are 19-21 kHz, 59-61 kHz, 79-90 kHz and 100-300 kHz under discussion.</w:t>
      </w:r>
    </w:p>
    <w:p w:rsidR="00A65BDD" w:rsidRPr="00A65BDD" w:rsidRDefault="00A65BDD" w:rsidP="00A65BDD">
      <w:pPr>
        <w:rPr>
          <w:lang w:val="en-US"/>
        </w:rPr>
      </w:pPr>
      <w:r w:rsidRPr="00A65BDD">
        <w:rPr>
          <w:lang w:val="en-US"/>
        </w:rPr>
        <w:lastRenderedPageBreak/>
        <w:t xml:space="preserve">The range 14-148.5 </w:t>
      </w:r>
      <w:r w:rsidR="00FA01CD">
        <w:t>k</w:t>
      </w:r>
      <w:r w:rsidRPr="00A65BDD">
        <w:rPr>
          <w:lang w:val="en-US"/>
        </w:rPr>
        <w:t xml:space="preserve">Hz is a NATO </w:t>
      </w:r>
      <w:proofErr w:type="spellStart"/>
      <w:r w:rsidRPr="00A65BDD">
        <w:rPr>
          <w:lang w:val="en-US"/>
        </w:rPr>
        <w:t>harmonised</w:t>
      </w:r>
      <w:proofErr w:type="spellEnd"/>
      <w:r w:rsidRPr="00A65BDD">
        <w:rPr>
          <w:lang w:val="en-US"/>
        </w:rPr>
        <w:t xml:space="preserve"> band and essential to NATO and is in military use for naval communications and tactical non-directional beacons.</w:t>
      </w:r>
    </w:p>
    <w:p w:rsidR="00A65BDD" w:rsidRPr="00A65BDD" w:rsidRDefault="00A65BDD" w:rsidP="00A65BDD">
      <w:pPr>
        <w:rPr>
          <w:lang w:val="en-US"/>
        </w:rPr>
      </w:pPr>
      <w:r w:rsidRPr="00A65BDD">
        <w:rPr>
          <w:lang w:val="en-US"/>
        </w:rPr>
        <w:t>From a military perspective, studies will need to show compatibility with applications of the existing services and that the introduction of WPT systems for electric vehicles has no harmful impact on military usage.</w:t>
      </w:r>
    </w:p>
    <w:p w:rsidR="003771D5" w:rsidRPr="004F51A8" w:rsidRDefault="003771D5" w:rsidP="00FA01CD">
      <w:pPr>
        <w:pStyle w:val="ECCBreak"/>
        <w:rPr>
          <w:rStyle w:val="ECCParagraph"/>
        </w:rPr>
      </w:pPr>
      <w:r w:rsidRPr="00BC2F90">
        <w:rPr>
          <w:lang w:val="en-GB"/>
        </w:rPr>
        <w:t>IATA (date of proposal)</w:t>
      </w:r>
    </w:p>
    <w:p w:rsidR="003771D5" w:rsidRPr="00BC2F90" w:rsidRDefault="003771D5" w:rsidP="003A68D5">
      <w:pPr>
        <w:pStyle w:val="ECCBreak"/>
        <w:rPr>
          <w:lang w:val="en-GB"/>
        </w:rPr>
      </w:pPr>
      <w:r w:rsidRPr="00BC2F90">
        <w:rPr>
          <w:lang w:val="en-GB"/>
        </w:rPr>
        <w:t>ICAO (</w:t>
      </w:r>
      <w:r w:rsidR="00F601CA" w:rsidRPr="00C62988">
        <w:rPr>
          <w:lang w:val="en-GB"/>
        </w:rPr>
        <w:t>12</w:t>
      </w:r>
      <w:r w:rsidR="00261069" w:rsidRPr="00EB6FCF">
        <w:rPr>
          <w:lang w:val="en-US"/>
        </w:rPr>
        <w:t xml:space="preserve"> September </w:t>
      </w:r>
      <w:r w:rsidR="00F601CA" w:rsidRPr="00C62988">
        <w:rPr>
          <w:lang w:val="en-GB"/>
        </w:rPr>
        <w:t>2017</w:t>
      </w:r>
      <w:r w:rsidRPr="00BC2F90">
        <w:rPr>
          <w:lang w:val="en-GB"/>
        </w:rPr>
        <w:t>)</w:t>
      </w:r>
    </w:p>
    <w:p w:rsidR="003771D5" w:rsidRPr="004F51A8" w:rsidRDefault="00F601CA" w:rsidP="00BD4E12">
      <w:pPr>
        <w:rPr>
          <w:rStyle w:val="ECCParagraph"/>
        </w:rPr>
      </w:pPr>
      <w:r w:rsidRPr="001E7371">
        <w:t>To ensure that the protection of aeronautical systems is appropriately taken into account during the studies called for in response to Resolution 958 (WRC-15).</w:t>
      </w:r>
    </w:p>
    <w:p w:rsidR="003771D5" w:rsidRPr="00A65BDD" w:rsidRDefault="003771D5" w:rsidP="002F7688">
      <w:pPr>
        <w:pStyle w:val="ECCBreak"/>
        <w:rPr>
          <w:lang w:val="en-US"/>
        </w:rPr>
      </w:pPr>
      <w:r w:rsidRPr="00A65BDD">
        <w:rPr>
          <w:lang w:val="en-US"/>
        </w:rPr>
        <w:t>IMO (date of proposal)</w:t>
      </w:r>
    </w:p>
    <w:p w:rsidR="003771D5" w:rsidRDefault="003771D5" w:rsidP="00BD4E12">
      <w:pPr>
        <w:rPr>
          <w:rStyle w:val="ECCParagraph"/>
        </w:rPr>
      </w:pPr>
    </w:p>
    <w:p w:rsidR="008A0F37" w:rsidRPr="002F7688" w:rsidRDefault="008A0F37" w:rsidP="00BD4E12">
      <w:pPr>
        <w:rPr>
          <w:rStyle w:val="ECCParagraph"/>
          <w:iCs/>
          <w:szCs w:val="28"/>
        </w:rPr>
      </w:pPr>
      <w:r w:rsidRPr="002F7688">
        <w:rPr>
          <w:rStyle w:val="ECCHLbold"/>
        </w:rPr>
        <w:t>IARU (</w:t>
      </w:r>
      <w:r w:rsidR="00A65BDD">
        <w:rPr>
          <w:rStyle w:val="ECCHLbold"/>
        </w:rPr>
        <w:t>April 2017</w:t>
      </w:r>
      <w:r w:rsidRPr="002F7688">
        <w:rPr>
          <w:rStyle w:val="ECCHLbold"/>
        </w:rPr>
        <w:t>)</w:t>
      </w:r>
    </w:p>
    <w:p w:rsidR="008A0F37" w:rsidRPr="008A0F37" w:rsidRDefault="008A0F37" w:rsidP="008A0F37">
      <w:pPr>
        <w:rPr>
          <w:rStyle w:val="ECCParagraph"/>
        </w:rPr>
      </w:pPr>
      <w:r w:rsidRPr="008A0F37">
        <w:rPr>
          <w:rStyle w:val="ECCParagraph"/>
        </w:rPr>
        <w:t>IARU observes that the High Power Wireless Power Transfer (HPWPT) is an emerging technology which will in time become deployed on a widespread basis (one in every house).  IARU further observes the on-going work in ITU and standards organisations to propose frequency ranges for HPWPT. IARU is of the view that radio frequency emissions resulting from any kind of Wireless Power Transmission (WPT) must be confined to the frequency ranges already identified for equipment used for industrial, scientific, and medical (ISM) applications or if found necessary, to frequencies below 100 kHz.</w:t>
      </w:r>
    </w:p>
    <w:p w:rsidR="008A0F37" w:rsidRPr="008A0F37" w:rsidRDefault="008A0F37" w:rsidP="008A0F37">
      <w:pPr>
        <w:rPr>
          <w:rStyle w:val="ECCParagraph"/>
        </w:rPr>
      </w:pPr>
      <w:r w:rsidRPr="008A0F37">
        <w:rPr>
          <w:rStyle w:val="ECCParagraph"/>
        </w:rPr>
        <w:t xml:space="preserve">Since HPWPT involves very large amounts of RF power and an HPWPT installation involve components connected together in a system with associated power supplies and control equipment, the spurious emissions from all these system parts must be carefully controlled in order to avoid degrading the radio spectrum and cause interference to other </w:t>
      </w:r>
      <w:proofErr w:type="spellStart"/>
      <w:r w:rsidRPr="008A0F37">
        <w:rPr>
          <w:rStyle w:val="ECCParagraph"/>
        </w:rPr>
        <w:t>radiocommunication</w:t>
      </w:r>
      <w:proofErr w:type="spellEnd"/>
      <w:r w:rsidRPr="008A0F37">
        <w:rPr>
          <w:rStyle w:val="ECCParagraph"/>
        </w:rPr>
        <w:t xml:space="preserve"> systems or services in accordance with RR 15.12 and RR 15.13.</w:t>
      </w:r>
    </w:p>
    <w:p w:rsidR="008A0F37" w:rsidRPr="008A0F37" w:rsidRDefault="008A0F37" w:rsidP="008A0F37">
      <w:pPr>
        <w:rPr>
          <w:rStyle w:val="ECCParagraph"/>
        </w:rPr>
      </w:pPr>
      <w:r w:rsidRPr="008A0F37">
        <w:rPr>
          <w:rStyle w:val="ECCParagraph"/>
        </w:rPr>
        <w:t>Sources of emissions on frequencies other than the fundamental frequency of the HPWPT include:</w:t>
      </w:r>
    </w:p>
    <w:p w:rsidR="008A0F37" w:rsidRPr="008A0F37" w:rsidRDefault="008A0F37" w:rsidP="008A0F37">
      <w:pPr>
        <w:pStyle w:val="ECCBulletsLv1"/>
        <w:rPr>
          <w:rStyle w:val="ECCParagraph"/>
        </w:rPr>
      </w:pPr>
      <w:r w:rsidRPr="008A0F37">
        <w:rPr>
          <w:rStyle w:val="ECCParagraph"/>
        </w:rPr>
        <w:t>High order harmonics of the fundamental WPT frequency;</w:t>
      </w:r>
    </w:p>
    <w:p w:rsidR="008A0F37" w:rsidRPr="008A0F37" w:rsidRDefault="008A0F37" w:rsidP="008A0F37">
      <w:pPr>
        <w:pStyle w:val="ECCBulletsLv1"/>
        <w:rPr>
          <w:rStyle w:val="ECCParagraph"/>
        </w:rPr>
      </w:pPr>
      <w:r w:rsidRPr="008A0F37">
        <w:rPr>
          <w:rStyle w:val="ECCParagraph"/>
        </w:rPr>
        <w:t>Phase noise from the frequency control circuits (“jitter”) causing wideband noise;</w:t>
      </w:r>
    </w:p>
    <w:p w:rsidR="008A0F37" w:rsidRPr="008A0F37" w:rsidRDefault="008A0F37" w:rsidP="008A0F37">
      <w:pPr>
        <w:pStyle w:val="ECCBulletsLv1"/>
        <w:rPr>
          <w:rStyle w:val="ECCParagraph"/>
        </w:rPr>
      </w:pPr>
      <w:r w:rsidRPr="008A0F37">
        <w:rPr>
          <w:rStyle w:val="ECCParagraph"/>
        </w:rPr>
        <w:t>Spurious signals form the switch-mode power supply on all control and power ports – conducted and common mode;</w:t>
      </w:r>
    </w:p>
    <w:p w:rsidR="008A0F37" w:rsidRPr="008A0F37" w:rsidRDefault="008A0F37" w:rsidP="008A0F37">
      <w:pPr>
        <w:pStyle w:val="ECCBulletsLv1"/>
        <w:rPr>
          <w:rStyle w:val="ECCParagraph"/>
        </w:rPr>
      </w:pPr>
      <w:r w:rsidRPr="008A0F37">
        <w:rPr>
          <w:rStyle w:val="ECCParagraph"/>
        </w:rPr>
        <w:t>Common mode signals on control cables and power lines from data communication networks associated with the control of the unit.</w:t>
      </w:r>
    </w:p>
    <w:p w:rsidR="008A0F37" w:rsidRPr="008A0F37" w:rsidRDefault="008A0F37" w:rsidP="008A0F37">
      <w:pPr>
        <w:pStyle w:val="ECCBulletsLv1"/>
        <w:rPr>
          <w:rStyle w:val="ECCParagraph"/>
        </w:rPr>
      </w:pPr>
      <w:r w:rsidRPr="008A0F37">
        <w:rPr>
          <w:rStyle w:val="ECCParagraph"/>
        </w:rPr>
        <w:t>To ensure adequate protection to authorised radio services, proper compatibility and sharing studies should be conducted.</w:t>
      </w:r>
    </w:p>
    <w:p w:rsidR="008A0F37" w:rsidRPr="004F51A8" w:rsidRDefault="008A0F37" w:rsidP="008A0F37">
      <w:pPr>
        <w:rPr>
          <w:rStyle w:val="ECCParagraph"/>
        </w:rPr>
      </w:pPr>
      <w:r w:rsidRPr="008A0F37">
        <w:rPr>
          <w:rStyle w:val="ECCParagraph"/>
        </w:rPr>
        <w:t xml:space="preserve">IARU </w:t>
      </w:r>
      <w:r w:rsidR="00A65BDD" w:rsidRPr="00A65BDD">
        <w:t>regards cooperation</w:t>
      </w:r>
      <w:r w:rsidRPr="008A0F37">
        <w:rPr>
          <w:rStyle w:val="ECCParagraph"/>
        </w:rPr>
        <w:t xml:space="preserve"> between ITU and Standards organisations </w:t>
      </w:r>
      <w:r w:rsidR="00A65BDD">
        <w:rPr>
          <w:rStyle w:val="ECCParagraph"/>
        </w:rPr>
        <w:t xml:space="preserve">to be essential </w:t>
      </w:r>
      <w:r w:rsidRPr="008A0F37">
        <w:rPr>
          <w:rStyle w:val="ECCParagraph"/>
        </w:rPr>
        <w:t>in the evolution of standards and frequencies for HPWPT operation.</w:t>
      </w:r>
    </w:p>
    <w:p w:rsidR="003771D5" w:rsidRPr="00BC2F90" w:rsidRDefault="003771D5" w:rsidP="003A68D5">
      <w:pPr>
        <w:pStyle w:val="ECCBreak"/>
        <w:rPr>
          <w:lang w:val="en-GB"/>
        </w:rPr>
      </w:pPr>
      <w:r w:rsidRPr="00BC2F90">
        <w:rPr>
          <w:lang w:val="en-GB"/>
        </w:rPr>
        <w:t>SFCG (</w:t>
      </w:r>
      <w:r w:rsidR="004A6372" w:rsidRPr="002F7688">
        <w:rPr>
          <w:lang w:val="en-US"/>
        </w:rPr>
        <w:t>June 2016</w:t>
      </w:r>
      <w:r w:rsidRPr="00BC2F90">
        <w:rPr>
          <w:lang w:val="en-GB"/>
        </w:rPr>
        <w:t>)</w:t>
      </w:r>
    </w:p>
    <w:p w:rsidR="003771D5" w:rsidRPr="004F51A8" w:rsidRDefault="004A6372" w:rsidP="00BD4E12">
      <w:pPr>
        <w:rPr>
          <w:rStyle w:val="ECCParagraph"/>
        </w:rPr>
      </w:pPr>
      <w:r w:rsidRPr="00953D12">
        <w:t>While past work on the topic of WPT for electric vehicles has focused on bands below 400 kHz, and in the 6 765-6 795 kHz band, Resolution 958 (WRC-15) does not limit the studies to those bands. SFCG should continue to monitor the developments of this agenda item for any spectrum requirements identified that could impact space science services operations.</w:t>
      </w:r>
    </w:p>
    <w:p w:rsidR="003771D5" w:rsidRPr="00BC2F90" w:rsidRDefault="003771D5" w:rsidP="003A68D5">
      <w:pPr>
        <w:pStyle w:val="ECCBreak"/>
        <w:rPr>
          <w:lang w:val="en-GB"/>
        </w:rPr>
      </w:pPr>
      <w:r w:rsidRPr="00BC2F90">
        <w:rPr>
          <w:lang w:val="en-GB"/>
        </w:rPr>
        <w:t>WMO and EUMETNET (</w:t>
      </w:r>
      <w:r w:rsidR="00DD20EB" w:rsidRPr="00DD20EB">
        <w:rPr>
          <w:lang w:val="en-GB"/>
        </w:rPr>
        <w:t>8 February</w:t>
      </w:r>
      <w:r w:rsidR="00DE4E62" w:rsidRPr="002F7688">
        <w:rPr>
          <w:lang w:val="en-GB"/>
        </w:rPr>
        <w:t xml:space="preserve"> </w:t>
      </w:r>
      <w:r w:rsidR="008A0F37" w:rsidRPr="002F7688">
        <w:rPr>
          <w:lang w:val="en-GB"/>
        </w:rPr>
        <w:t>201</w:t>
      </w:r>
      <w:r w:rsidR="00DE4E62" w:rsidRPr="00EF6B9A">
        <w:rPr>
          <w:lang w:val="en-GB"/>
        </w:rPr>
        <w:t>7</w:t>
      </w:r>
      <w:r w:rsidRPr="00BC2F90">
        <w:rPr>
          <w:lang w:val="en-GB"/>
        </w:rPr>
        <w:t>)</w:t>
      </w:r>
    </w:p>
    <w:p w:rsidR="00D257D4" w:rsidRPr="00D257D4" w:rsidRDefault="00DD20EB" w:rsidP="00D257D4">
      <w:r w:rsidRPr="00D257D4">
        <w:lastRenderedPageBreak/>
        <w:t>WMO/</w:t>
      </w:r>
      <w:r w:rsidR="008A0F37" w:rsidRPr="00D257D4">
        <w:t>EUMETNET does not oppose to study suitable harmonized frequency ranges for WPT provided that it does not impact operation of lightning detection networks operating in the 20-3</w:t>
      </w:r>
      <w:r w:rsidRPr="00D257D4">
        <w:t>5</w:t>
      </w:r>
      <w:r w:rsidR="008A0F37" w:rsidRPr="00D257D4">
        <w:t>0 kHz range</w:t>
      </w:r>
      <w:r w:rsidR="00DE4E62" w:rsidRPr="00D257D4">
        <w:t xml:space="preserve"> and oceanographic radars operating in the 5250-5275 kHz frequency band</w:t>
      </w:r>
      <w:r w:rsidR="008A0F37" w:rsidRPr="00D257D4">
        <w:t>.</w:t>
      </w:r>
    </w:p>
    <w:p w:rsidR="003771D5" w:rsidRPr="00BC2F90" w:rsidRDefault="003771D5" w:rsidP="00BD4E12">
      <w:pPr>
        <w:pStyle w:val="Heading2"/>
        <w:rPr>
          <w:lang w:val="en-GB"/>
        </w:rPr>
      </w:pPr>
      <w:r w:rsidRPr="00BC2F90">
        <w:rPr>
          <w:lang w:val="en-GB"/>
        </w:rPr>
        <w:t>Regional organisations</w:t>
      </w:r>
    </w:p>
    <w:p w:rsidR="003771D5" w:rsidRDefault="003771D5" w:rsidP="003A68D5">
      <w:pPr>
        <w:pStyle w:val="ECCBreak"/>
      </w:pPr>
      <w:r w:rsidRPr="00BC2F90">
        <w:rPr>
          <w:lang w:val="en-GB"/>
        </w:rPr>
        <w:t>ESA (</w:t>
      </w:r>
      <w:r w:rsidR="00953D12">
        <w:t>28 November 2016</w:t>
      </w:r>
      <w:r w:rsidRPr="00BC2F90">
        <w:rPr>
          <w:lang w:val="en-GB"/>
        </w:rPr>
        <w:t>)</w:t>
      </w:r>
    </w:p>
    <w:p w:rsidR="004A6372" w:rsidRPr="004A6372" w:rsidRDefault="004A6372" w:rsidP="002F7688">
      <w:r>
        <w:t>ESA supports the SFCG position.</w:t>
      </w:r>
    </w:p>
    <w:p w:rsidR="003771D5" w:rsidRPr="004F51A8" w:rsidRDefault="003771D5" w:rsidP="00FA01CD">
      <w:pPr>
        <w:pStyle w:val="ECCBreak"/>
        <w:rPr>
          <w:rStyle w:val="ECCParagraph"/>
        </w:rPr>
      </w:pPr>
      <w:proofErr w:type="spellStart"/>
      <w:r w:rsidRPr="00BC2F90">
        <w:rPr>
          <w:lang w:val="en-GB"/>
        </w:rPr>
        <w:t>Eurocontrol</w:t>
      </w:r>
      <w:proofErr w:type="spellEnd"/>
      <w:r w:rsidRPr="00BC2F90">
        <w:rPr>
          <w:lang w:val="en-GB"/>
        </w:rPr>
        <w:t xml:space="preserve"> (date of proposal)</w:t>
      </w:r>
    </w:p>
    <w:p w:rsidR="003771D5" w:rsidRPr="00BC2F90" w:rsidRDefault="003771D5" w:rsidP="00BD4E12">
      <w:pPr>
        <w:pStyle w:val="Heading2"/>
        <w:rPr>
          <w:lang w:val="en-GB"/>
        </w:rPr>
      </w:pPr>
      <w:r w:rsidRPr="00BC2F90">
        <w:rPr>
          <w:lang w:val="en-GB"/>
        </w:rPr>
        <w:t>OTHER INTERNATIONAL AND REGIONAL ORGANISATIONS</w:t>
      </w:r>
    </w:p>
    <w:p w:rsidR="003771D5" w:rsidRPr="00BC2F90" w:rsidRDefault="003771D5" w:rsidP="003A68D5">
      <w:pPr>
        <w:pStyle w:val="ECCBreak"/>
        <w:rPr>
          <w:lang w:val="en-GB"/>
        </w:rPr>
      </w:pPr>
      <w:r w:rsidRPr="00BC2F90">
        <w:rPr>
          <w:lang w:val="en-GB"/>
        </w:rPr>
        <w:t>EBU (</w:t>
      </w:r>
      <w:r w:rsidR="002F7819" w:rsidRPr="00186D1D">
        <w:rPr>
          <w:lang w:val="en-GB"/>
        </w:rPr>
        <w:t>9 March</w:t>
      </w:r>
      <w:r w:rsidR="00100029" w:rsidRPr="00186D1D">
        <w:rPr>
          <w:lang w:val="en-GB"/>
        </w:rPr>
        <w:t xml:space="preserve"> 2017</w:t>
      </w:r>
      <w:r w:rsidRPr="00BC2F90">
        <w:rPr>
          <w:lang w:val="en-GB"/>
        </w:rPr>
        <w:t>)</w:t>
      </w:r>
    </w:p>
    <w:p w:rsidR="002F7819" w:rsidRPr="00395E66" w:rsidRDefault="002F7819" w:rsidP="002F7819">
      <w:pPr>
        <w:rPr>
          <w:rStyle w:val="ECCParagraph"/>
        </w:rPr>
      </w:pPr>
      <w:r w:rsidRPr="00395E66">
        <w:rPr>
          <w:rStyle w:val="ECCParagraph"/>
        </w:rPr>
        <w:t>EBU members operate amplitude modulation broadcasting stations in the MF, LF and HF bands. Initial studies show the possibility of interference to those stations because of harmonic emissions from WPT devices. Any use of WPT devices needs to be sufficiently regulated in order to limit such emissions to levels which will not cause harmful interference to the broadcasting service.</w:t>
      </w:r>
    </w:p>
    <w:p w:rsidR="002F7819" w:rsidRPr="00395E66" w:rsidRDefault="002F7819" w:rsidP="002F7819">
      <w:pPr>
        <w:rPr>
          <w:rStyle w:val="ECCParagraph"/>
        </w:rPr>
      </w:pPr>
      <w:r w:rsidRPr="00395E66">
        <w:rPr>
          <w:rStyle w:val="ECCParagraph"/>
        </w:rPr>
        <w:t>Furthermore, the EBU has not seen any explanation about why a frequency range is required for WPT for electric vehicles. The EBU urges that spot frequencies only be used for WPT.</w:t>
      </w:r>
    </w:p>
    <w:p w:rsidR="004A511D" w:rsidRPr="00BC2F90" w:rsidRDefault="003771D5" w:rsidP="003A68D5">
      <w:pPr>
        <w:pStyle w:val="ECCBreak"/>
        <w:rPr>
          <w:lang w:val="en-GB"/>
        </w:rPr>
      </w:pPr>
      <w:r w:rsidRPr="00BC2F90">
        <w:rPr>
          <w:lang w:val="en-GB"/>
        </w:rPr>
        <w:t>GSMA (date of proposal)</w:t>
      </w:r>
    </w:p>
    <w:p w:rsidR="003A68D5" w:rsidRPr="004F51A8" w:rsidRDefault="003A68D5" w:rsidP="003A68D5">
      <w:pPr>
        <w:rPr>
          <w:rStyle w:val="ECCParagraph"/>
        </w:rPr>
      </w:pPr>
    </w:p>
    <w:p w:rsidR="003A68D5" w:rsidRPr="00BC2F90" w:rsidRDefault="003A68D5" w:rsidP="003A68D5">
      <w:pPr>
        <w:pStyle w:val="ECCBreak"/>
        <w:rPr>
          <w:lang w:val="en-GB"/>
        </w:rPr>
      </w:pPr>
      <w:r w:rsidRPr="00BC2F90">
        <w:rPr>
          <w:lang w:val="en-GB"/>
        </w:rPr>
        <w:t>CRAF (date of proposal)</w:t>
      </w:r>
    </w:p>
    <w:p w:rsidR="003A68D5" w:rsidRPr="00BC2F90" w:rsidRDefault="003A68D5" w:rsidP="003A68D5">
      <w:pPr>
        <w:rPr>
          <w:rStyle w:val="ECCParagraph"/>
        </w:rPr>
      </w:pPr>
    </w:p>
    <w:sectPr w:rsidR="003A68D5" w:rsidRPr="00BC2F90"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FE" w:rsidRDefault="005E00FE" w:rsidP="00D0121B">
      <w:r>
        <w:separator/>
      </w:r>
    </w:p>
    <w:p w:rsidR="005E00FE" w:rsidRDefault="005E00FE"/>
    <w:p w:rsidR="005E00FE" w:rsidRDefault="005E00FE"/>
  </w:endnote>
  <w:endnote w:type="continuationSeparator" w:id="0">
    <w:p w:rsidR="005E00FE" w:rsidRDefault="005E00FE" w:rsidP="00D0121B">
      <w:r>
        <w:continuationSeparator/>
      </w:r>
    </w:p>
    <w:p w:rsidR="005E00FE" w:rsidRDefault="005E00FE"/>
    <w:p w:rsidR="005E00FE" w:rsidRDefault="005E0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1" w:rsidRDefault="0071224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1" w:rsidRDefault="0071224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1" w:rsidRDefault="0071224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FE" w:rsidRDefault="005E00FE" w:rsidP="00D0121B">
      <w:r>
        <w:separator/>
      </w:r>
    </w:p>
    <w:p w:rsidR="005E00FE" w:rsidRDefault="005E00FE"/>
    <w:p w:rsidR="005E00FE" w:rsidRDefault="005E00FE"/>
  </w:footnote>
  <w:footnote w:type="continuationSeparator" w:id="0">
    <w:p w:rsidR="005E00FE" w:rsidRDefault="005E00FE" w:rsidP="00D0121B">
      <w:r>
        <w:continuationSeparator/>
      </w:r>
    </w:p>
    <w:p w:rsidR="005E00FE" w:rsidRDefault="005E00FE"/>
    <w:p w:rsidR="005E00FE" w:rsidRDefault="005E0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712241" w:rsidRPr="008A0F37">
      <w:rPr>
        <w:lang w:val="en-GB"/>
      </w:rPr>
      <w:t>9.1.6</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624BF1">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712241" w:rsidRPr="008A0F37">
      <w:rPr>
        <w:lang w:val="en-GB"/>
      </w:rPr>
      <w:t>9.1.6</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624BF1">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7A74B02"/>
    <w:multiLevelType w:val="hybridMultilevel"/>
    <w:tmpl w:val="7D7C70E6"/>
    <w:lvl w:ilvl="0" w:tplc="AB8461D8">
      <w:start w:val="1"/>
      <w:numFmt w:val="bullet"/>
      <w:lvlText w:val="o"/>
      <w:lvlJc w:val="left"/>
      <w:pPr>
        <w:tabs>
          <w:tab w:val="num" w:pos="720"/>
        </w:tabs>
        <w:ind w:left="720" w:hanging="360"/>
      </w:pPr>
      <w:rPr>
        <w:rFonts w:ascii="Courier New" w:hAnsi="Courier New" w:hint="default"/>
      </w:rPr>
    </w:lvl>
    <w:lvl w:ilvl="1" w:tplc="34FE7FB8">
      <w:start w:val="1"/>
      <w:numFmt w:val="bullet"/>
      <w:lvlText w:val="o"/>
      <w:lvlJc w:val="left"/>
      <w:pPr>
        <w:tabs>
          <w:tab w:val="num" w:pos="1440"/>
        </w:tabs>
        <w:ind w:left="1440" w:hanging="360"/>
      </w:pPr>
      <w:rPr>
        <w:rFonts w:ascii="Courier New" w:hAnsi="Courier New" w:hint="default"/>
      </w:rPr>
    </w:lvl>
    <w:lvl w:ilvl="2" w:tplc="3306F8E4" w:tentative="1">
      <w:start w:val="1"/>
      <w:numFmt w:val="bullet"/>
      <w:lvlText w:val="o"/>
      <w:lvlJc w:val="left"/>
      <w:pPr>
        <w:tabs>
          <w:tab w:val="num" w:pos="2160"/>
        </w:tabs>
        <w:ind w:left="2160" w:hanging="360"/>
      </w:pPr>
      <w:rPr>
        <w:rFonts w:ascii="Courier New" w:hAnsi="Courier New" w:hint="default"/>
      </w:rPr>
    </w:lvl>
    <w:lvl w:ilvl="3" w:tplc="F24254C4" w:tentative="1">
      <w:start w:val="1"/>
      <w:numFmt w:val="bullet"/>
      <w:lvlText w:val="o"/>
      <w:lvlJc w:val="left"/>
      <w:pPr>
        <w:tabs>
          <w:tab w:val="num" w:pos="2880"/>
        </w:tabs>
        <w:ind w:left="2880" w:hanging="360"/>
      </w:pPr>
      <w:rPr>
        <w:rFonts w:ascii="Courier New" w:hAnsi="Courier New" w:hint="default"/>
      </w:rPr>
    </w:lvl>
    <w:lvl w:ilvl="4" w:tplc="59CC8372" w:tentative="1">
      <w:start w:val="1"/>
      <w:numFmt w:val="bullet"/>
      <w:lvlText w:val="o"/>
      <w:lvlJc w:val="left"/>
      <w:pPr>
        <w:tabs>
          <w:tab w:val="num" w:pos="3600"/>
        </w:tabs>
        <w:ind w:left="3600" w:hanging="360"/>
      </w:pPr>
      <w:rPr>
        <w:rFonts w:ascii="Courier New" w:hAnsi="Courier New" w:hint="default"/>
      </w:rPr>
    </w:lvl>
    <w:lvl w:ilvl="5" w:tplc="2D0EF002" w:tentative="1">
      <w:start w:val="1"/>
      <w:numFmt w:val="bullet"/>
      <w:lvlText w:val="o"/>
      <w:lvlJc w:val="left"/>
      <w:pPr>
        <w:tabs>
          <w:tab w:val="num" w:pos="4320"/>
        </w:tabs>
        <w:ind w:left="4320" w:hanging="360"/>
      </w:pPr>
      <w:rPr>
        <w:rFonts w:ascii="Courier New" w:hAnsi="Courier New" w:hint="default"/>
      </w:rPr>
    </w:lvl>
    <w:lvl w:ilvl="6" w:tplc="3B1038CE" w:tentative="1">
      <w:start w:val="1"/>
      <w:numFmt w:val="bullet"/>
      <w:lvlText w:val="o"/>
      <w:lvlJc w:val="left"/>
      <w:pPr>
        <w:tabs>
          <w:tab w:val="num" w:pos="5040"/>
        </w:tabs>
        <w:ind w:left="5040" w:hanging="360"/>
      </w:pPr>
      <w:rPr>
        <w:rFonts w:ascii="Courier New" w:hAnsi="Courier New" w:hint="default"/>
      </w:rPr>
    </w:lvl>
    <w:lvl w:ilvl="7" w:tplc="B3DA49CE" w:tentative="1">
      <w:start w:val="1"/>
      <w:numFmt w:val="bullet"/>
      <w:lvlText w:val="o"/>
      <w:lvlJc w:val="left"/>
      <w:pPr>
        <w:tabs>
          <w:tab w:val="num" w:pos="5760"/>
        </w:tabs>
        <w:ind w:left="5760" w:hanging="360"/>
      </w:pPr>
      <w:rPr>
        <w:rFonts w:ascii="Courier New" w:hAnsi="Courier New" w:hint="default"/>
      </w:rPr>
    </w:lvl>
    <w:lvl w:ilvl="8" w:tplc="E1A63B22" w:tentative="1">
      <w:start w:val="1"/>
      <w:numFmt w:val="bullet"/>
      <w:lvlText w:val="o"/>
      <w:lvlJc w:val="left"/>
      <w:pPr>
        <w:tabs>
          <w:tab w:val="num" w:pos="6480"/>
        </w:tabs>
        <w:ind w:left="6480" w:hanging="360"/>
      </w:pPr>
      <w:rPr>
        <w:rFonts w:ascii="Courier New" w:hAnsi="Courier New"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C32FC5"/>
    <w:multiLevelType w:val="hybridMultilevel"/>
    <w:tmpl w:val="CC5A0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CAE2B27"/>
    <w:multiLevelType w:val="hybridMultilevel"/>
    <w:tmpl w:val="77F0D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6AF45B7A"/>
    <w:multiLevelType w:val="hybridMultilevel"/>
    <w:tmpl w:val="3D486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3"/>
  </w:num>
  <w:num w:numId="4">
    <w:abstractNumId w:val="20"/>
  </w:num>
  <w:num w:numId="5">
    <w:abstractNumId w:val="16"/>
  </w:num>
  <w:num w:numId="6">
    <w:abstractNumId w:val="19"/>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1"/>
  </w:num>
  <w:num w:numId="22">
    <w:abstractNumId w:val="14"/>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5"/>
  </w:num>
  <w:num w:numId="30">
    <w:abstractNumId w:val="18"/>
  </w:num>
  <w:num w:numId="31">
    <w:abstractNumId w:val="20"/>
  </w:num>
  <w:num w:numId="32">
    <w:abstractNumId w:val="16"/>
  </w:num>
  <w:num w:numId="33">
    <w:abstractNumId w:val="19"/>
  </w:num>
  <w:num w:numId="34">
    <w:abstractNumId w:val="18"/>
  </w:num>
  <w:num w:numId="35">
    <w:abstractNumId w:val="18"/>
  </w:num>
  <w:num w:numId="36">
    <w:abstractNumId w:val="18"/>
  </w:num>
  <w:num w:numId="37">
    <w:abstractNumId w:val="21"/>
  </w:num>
  <w:num w:numId="38">
    <w:abstractNumId w:val="12"/>
  </w:num>
  <w:num w:numId="39">
    <w:abstractNumId w:val="17"/>
  </w:num>
  <w:num w:numId="40">
    <w:abstractNumId w:val="11"/>
  </w:num>
  <w:num w:numId="41">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_F.">
    <w15:presenceInfo w15:providerId="None" w15:userId="Editor_F."/>
  </w15:person>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9"/>
    <w:rsid w:val="00003470"/>
    <w:rsid w:val="0000756F"/>
    <w:rsid w:val="00041A18"/>
    <w:rsid w:val="00043048"/>
    <w:rsid w:val="00045EDE"/>
    <w:rsid w:val="00052CAE"/>
    <w:rsid w:val="000611F2"/>
    <w:rsid w:val="00061762"/>
    <w:rsid w:val="00062CB1"/>
    <w:rsid w:val="000660F5"/>
    <w:rsid w:val="00067793"/>
    <w:rsid w:val="000701A5"/>
    <w:rsid w:val="00072CF5"/>
    <w:rsid w:val="00080D4D"/>
    <w:rsid w:val="00082DD7"/>
    <w:rsid w:val="00085B26"/>
    <w:rsid w:val="00095620"/>
    <w:rsid w:val="0009702D"/>
    <w:rsid w:val="00097D7A"/>
    <w:rsid w:val="000A3940"/>
    <w:rsid w:val="000A6285"/>
    <w:rsid w:val="000B2156"/>
    <w:rsid w:val="000B5026"/>
    <w:rsid w:val="000C028F"/>
    <w:rsid w:val="000C5CB6"/>
    <w:rsid w:val="000C7D34"/>
    <w:rsid w:val="000D1710"/>
    <w:rsid w:val="000D7A37"/>
    <w:rsid w:val="000E42F5"/>
    <w:rsid w:val="000E4820"/>
    <w:rsid w:val="000F0594"/>
    <w:rsid w:val="000F1620"/>
    <w:rsid w:val="000F24F5"/>
    <w:rsid w:val="000F3F0B"/>
    <w:rsid w:val="00100029"/>
    <w:rsid w:val="001006CA"/>
    <w:rsid w:val="00100F8B"/>
    <w:rsid w:val="00103B6B"/>
    <w:rsid w:val="00122F8E"/>
    <w:rsid w:val="00126249"/>
    <w:rsid w:val="001378BE"/>
    <w:rsid w:val="00155987"/>
    <w:rsid w:val="00161DDA"/>
    <w:rsid w:val="00171094"/>
    <w:rsid w:val="00173B7E"/>
    <w:rsid w:val="0017456E"/>
    <w:rsid w:val="00175FB0"/>
    <w:rsid w:val="00183FE0"/>
    <w:rsid w:val="0018553F"/>
    <w:rsid w:val="00186D1D"/>
    <w:rsid w:val="001A41C1"/>
    <w:rsid w:val="001B2761"/>
    <w:rsid w:val="001B51F5"/>
    <w:rsid w:val="001D15AA"/>
    <w:rsid w:val="001D334F"/>
    <w:rsid w:val="001F73BA"/>
    <w:rsid w:val="0020079A"/>
    <w:rsid w:val="0020250F"/>
    <w:rsid w:val="00210D17"/>
    <w:rsid w:val="00212315"/>
    <w:rsid w:val="00217610"/>
    <w:rsid w:val="00220194"/>
    <w:rsid w:val="00226070"/>
    <w:rsid w:val="002307D2"/>
    <w:rsid w:val="00236978"/>
    <w:rsid w:val="00255AC1"/>
    <w:rsid w:val="00255E87"/>
    <w:rsid w:val="00261069"/>
    <w:rsid w:val="002614B6"/>
    <w:rsid w:val="002620A2"/>
    <w:rsid w:val="002627B2"/>
    <w:rsid w:val="00273354"/>
    <w:rsid w:val="00274F84"/>
    <w:rsid w:val="0028060B"/>
    <w:rsid w:val="00280F4E"/>
    <w:rsid w:val="0028120C"/>
    <w:rsid w:val="00283FE2"/>
    <w:rsid w:val="00293920"/>
    <w:rsid w:val="00295827"/>
    <w:rsid w:val="00295F16"/>
    <w:rsid w:val="00297471"/>
    <w:rsid w:val="002A69A6"/>
    <w:rsid w:val="002C04A1"/>
    <w:rsid w:val="002C32C7"/>
    <w:rsid w:val="002C5C63"/>
    <w:rsid w:val="002D1E04"/>
    <w:rsid w:val="002D1FA9"/>
    <w:rsid w:val="002D50A3"/>
    <w:rsid w:val="002D6680"/>
    <w:rsid w:val="002D7BD5"/>
    <w:rsid w:val="002E5E49"/>
    <w:rsid w:val="002E786C"/>
    <w:rsid w:val="002F1E6A"/>
    <w:rsid w:val="002F3A7E"/>
    <w:rsid w:val="002F4C47"/>
    <w:rsid w:val="002F7688"/>
    <w:rsid w:val="002F7819"/>
    <w:rsid w:val="0030044E"/>
    <w:rsid w:val="003031DA"/>
    <w:rsid w:val="00306D1B"/>
    <w:rsid w:val="00307A79"/>
    <w:rsid w:val="0031197C"/>
    <w:rsid w:val="00313A14"/>
    <w:rsid w:val="00322E6A"/>
    <w:rsid w:val="00325D10"/>
    <w:rsid w:val="0032651F"/>
    <w:rsid w:val="003314A0"/>
    <w:rsid w:val="00336054"/>
    <w:rsid w:val="00336898"/>
    <w:rsid w:val="003419EF"/>
    <w:rsid w:val="003549A1"/>
    <w:rsid w:val="00361E54"/>
    <w:rsid w:val="00362E1A"/>
    <w:rsid w:val="003771D5"/>
    <w:rsid w:val="0038358E"/>
    <w:rsid w:val="00385FD4"/>
    <w:rsid w:val="00391A01"/>
    <w:rsid w:val="003A2A93"/>
    <w:rsid w:val="003A5711"/>
    <w:rsid w:val="003A68D5"/>
    <w:rsid w:val="003B10A7"/>
    <w:rsid w:val="003B1750"/>
    <w:rsid w:val="003B7070"/>
    <w:rsid w:val="003C64D9"/>
    <w:rsid w:val="003E70E0"/>
    <w:rsid w:val="003F6BA5"/>
    <w:rsid w:val="00403CE6"/>
    <w:rsid w:val="004074CC"/>
    <w:rsid w:val="004110CA"/>
    <w:rsid w:val="0042509E"/>
    <w:rsid w:val="004349BB"/>
    <w:rsid w:val="00434D2F"/>
    <w:rsid w:val="00443482"/>
    <w:rsid w:val="00443912"/>
    <w:rsid w:val="00446E3E"/>
    <w:rsid w:val="00450308"/>
    <w:rsid w:val="00457AD1"/>
    <w:rsid w:val="0046427F"/>
    <w:rsid w:val="00470D4B"/>
    <w:rsid w:val="00474DC4"/>
    <w:rsid w:val="004760BA"/>
    <w:rsid w:val="00485307"/>
    <w:rsid w:val="00491977"/>
    <w:rsid w:val="0049491B"/>
    <w:rsid w:val="00494FFD"/>
    <w:rsid w:val="004978D7"/>
    <w:rsid w:val="004A1329"/>
    <w:rsid w:val="004A511D"/>
    <w:rsid w:val="004A6372"/>
    <w:rsid w:val="004B2B4C"/>
    <w:rsid w:val="004B5EE9"/>
    <w:rsid w:val="004C4A2E"/>
    <w:rsid w:val="004C6319"/>
    <w:rsid w:val="004D5EA3"/>
    <w:rsid w:val="004E44C8"/>
    <w:rsid w:val="004E53BE"/>
    <w:rsid w:val="004F16F4"/>
    <w:rsid w:val="004F3F81"/>
    <w:rsid w:val="004F51A8"/>
    <w:rsid w:val="004F6CA7"/>
    <w:rsid w:val="005028D4"/>
    <w:rsid w:val="005109A4"/>
    <w:rsid w:val="00511318"/>
    <w:rsid w:val="00516E5E"/>
    <w:rsid w:val="00521424"/>
    <w:rsid w:val="00525069"/>
    <w:rsid w:val="00530965"/>
    <w:rsid w:val="00535050"/>
    <w:rsid w:val="00536F3C"/>
    <w:rsid w:val="0054260E"/>
    <w:rsid w:val="00542B1C"/>
    <w:rsid w:val="00550D79"/>
    <w:rsid w:val="0055111D"/>
    <w:rsid w:val="0055208C"/>
    <w:rsid w:val="005559AC"/>
    <w:rsid w:val="00557B5A"/>
    <w:rsid w:val="005611D0"/>
    <w:rsid w:val="00571A40"/>
    <w:rsid w:val="005736B2"/>
    <w:rsid w:val="0057797A"/>
    <w:rsid w:val="005817E4"/>
    <w:rsid w:val="00594186"/>
    <w:rsid w:val="005A53B8"/>
    <w:rsid w:val="005B12CB"/>
    <w:rsid w:val="005C10EB"/>
    <w:rsid w:val="005D371D"/>
    <w:rsid w:val="005E00FE"/>
    <w:rsid w:val="005E3DA3"/>
    <w:rsid w:val="005E7495"/>
    <w:rsid w:val="005F2A2A"/>
    <w:rsid w:val="005F5CDA"/>
    <w:rsid w:val="006018F3"/>
    <w:rsid w:val="00613468"/>
    <w:rsid w:val="006145AD"/>
    <w:rsid w:val="006200D7"/>
    <w:rsid w:val="00621C12"/>
    <w:rsid w:val="00624BF1"/>
    <w:rsid w:val="0063040C"/>
    <w:rsid w:val="006324E1"/>
    <w:rsid w:val="0063432D"/>
    <w:rsid w:val="00635A22"/>
    <w:rsid w:val="00642083"/>
    <w:rsid w:val="00642D37"/>
    <w:rsid w:val="0065550D"/>
    <w:rsid w:val="00665364"/>
    <w:rsid w:val="0067370C"/>
    <w:rsid w:val="0068085F"/>
    <w:rsid w:val="006876A8"/>
    <w:rsid w:val="00687B43"/>
    <w:rsid w:val="00687E5A"/>
    <w:rsid w:val="00693735"/>
    <w:rsid w:val="006A49E3"/>
    <w:rsid w:val="006A71B3"/>
    <w:rsid w:val="006B1EFD"/>
    <w:rsid w:val="006C063B"/>
    <w:rsid w:val="006C454C"/>
    <w:rsid w:val="006C5C1C"/>
    <w:rsid w:val="006D76F7"/>
    <w:rsid w:val="006E2439"/>
    <w:rsid w:val="006E4888"/>
    <w:rsid w:val="006E585A"/>
    <w:rsid w:val="006E5ABD"/>
    <w:rsid w:val="006F0442"/>
    <w:rsid w:val="006F57C2"/>
    <w:rsid w:val="006F7265"/>
    <w:rsid w:val="00700319"/>
    <w:rsid w:val="007023A3"/>
    <w:rsid w:val="00703FC0"/>
    <w:rsid w:val="00710BBF"/>
    <w:rsid w:val="00712241"/>
    <w:rsid w:val="007160BE"/>
    <w:rsid w:val="00721539"/>
    <w:rsid w:val="00722F65"/>
    <w:rsid w:val="00726836"/>
    <w:rsid w:val="00734360"/>
    <w:rsid w:val="00734A4F"/>
    <w:rsid w:val="007411F5"/>
    <w:rsid w:val="0074279E"/>
    <w:rsid w:val="00762BCC"/>
    <w:rsid w:val="00763BA3"/>
    <w:rsid w:val="00764436"/>
    <w:rsid w:val="00765B66"/>
    <w:rsid w:val="00767BB2"/>
    <w:rsid w:val="00780376"/>
    <w:rsid w:val="00784330"/>
    <w:rsid w:val="00791AAC"/>
    <w:rsid w:val="0079410C"/>
    <w:rsid w:val="00797D4C"/>
    <w:rsid w:val="007B37B0"/>
    <w:rsid w:val="007B52C8"/>
    <w:rsid w:val="007B6A5D"/>
    <w:rsid w:val="007C0E7E"/>
    <w:rsid w:val="007C3D18"/>
    <w:rsid w:val="007C5A3B"/>
    <w:rsid w:val="007D17C5"/>
    <w:rsid w:val="007D4A67"/>
    <w:rsid w:val="007D52EC"/>
    <w:rsid w:val="007E0572"/>
    <w:rsid w:val="007E7205"/>
    <w:rsid w:val="007F1CEE"/>
    <w:rsid w:val="007F6828"/>
    <w:rsid w:val="008062AC"/>
    <w:rsid w:val="00806C96"/>
    <w:rsid w:val="00806CCC"/>
    <w:rsid w:val="00811586"/>
    <w:rsid w:val="00814937"/>
    <w:rsid w:val="00836504"/>
    <w:rsid w:val="00837537"/>
    <w:rsid w:val="0086094D"/>
    <w:rsid w:val="008622F0"/>
    <w:rsid w:val="00872382"/>
    <w:rsid w:val="008742E3"/>
    <w:rsid w:val="008750DA"/>
    <w:rsid w:val="008915D0"/>
    <w:rsid w:val="008A0F37"/>
    <w:rsid w:val="008A1315"/>
    <w:rsid w:val="008A38A9"/>
    <w:rsid w:val="008A54FC"/>
    <w:rsid w:val="008B6442"/>
    <w:rsid w:val="008B70CD"/>
    <w:rsid w:val="008B7CE5"/>
    <w:rsid w:val="008D0F9E"/>
    <w:rsid w:val="008D7748"/>
    <w:rsid w:val="008E11BB"/>
    <w:rsid w:val="008E39BF"/>
    <w:rsid w:val="008E5BFE"/>
    <w:rsid w:val="008E6109"/>
    <w:rsid w:val="00906777"/>
    <w:rsid w:val="00910D53"/>
    <w:rsid w:val="009170EA"/>
    <w:rsid w:val="00917D1C"/>
    <w:rsid w:val="0092076F"/>
    <w:rsid w:val="00927833"/>
    <w:rsid w:val="00927FDD"/>
    <w:rsid w:val="00930439"/>
    <w:rsid w:val="00930BDF"/>
    <w:rsid w:val="009350FD"/>
    <w:rsid w:val="00937FE5"/>
    <w:rsid w:val="009434C3"/>
    <w:rsid w:val="00944991"/>
    <w:rsid w:val="00946E19"/>
    <w:rsid w:val="00947A5A"/>
    <w:rsid w:val="0095327D"/>
    <w:rsid w:val="00953D12"/>
    <w:rsid w:val="0096345A"/>
    <w:rsid w:val="00974F14"/>
    <w:rsid w:val="0097535C"/>
    <w:rsid w:val="009770CA"/>
    <w:rsid w:val="00986677"/>
    <w:rsid w:val="0099421C"/>
    <w:rsid w:val="009A1953"/>
    <w:rsid w:val="009B0A78"/>
    <w:rsid w:val="009D3496"/>
    <w:rsid w:val="009D4BA1"/>
    <w:rsid w:val="009D7D5A"/>
    <w:rsid w:val="009E47EB"/>
    <w:rsid w:val="009E6DC3"/>
    <w:rsid w:val="009F0B56"/>
    <w:rsid w:val="009F3A37"/>
    <w:rsid w:val="009F4490"/>
    <w:rsid w:val="00A02090"/>
    <w:rsid w:val="00A076B5"/>
    <w:rsid w:val="00A1288C"/>
    <w:rsid w:val="00A173C6"/>
    <w:rsid w:val="00A23870"/>
    <w:rsid w:val="00A26A19"/>
    <w:rsid w:val="00A31525"/>
    <w:rsid w:val="00A320C2"/>
    <w:rsid w:val="00A43BD3"/>
    <w:rsid w:val="00A46F28"/>
    <w:rsid w:val="00A65BDD"/>
    <w:rsid w:val="00A73298"/>
    <w:rsid w:val="00A81640"/>
    <w:rsid w:val="00A81FC2"/>
    <w:rsid w:val="00A9046D"/>
    <w:rsid w:val="00A95ACB"/>
    <w:rsid w:val="00A95DD6"/>
    <w:rsid w:val="00A97942"/>
    <w:rsid w:val="00AA079B"/>
    <w:rsid w:val="00AA086A"/>
    <w:rsid w:val="00AB1C16"/>
    <w:rsid w:val="00AB2EA8"/>
    <w:rsid w:val="00AB3C46"/>
    <w:rsid w:val="00AB5287"/>
    <w:rsid w:val="00AD7257"/>
    <w:rsid w:val="00AE372A"/>
    <w:rsid w:val="00AF246F"/>
    <w:rsid w:val="00AF2D0C"/>
    <w:rsid w:val="00B05E0E"/>
    <w:rsid w:val="00B13ED4"/>
    <w:rsid w:val="00B1411E"/>
    <w:rsid w:val="00B221CB"/>
    <w:rsid w:val="00B2563E"/>
    <w:rsid w:val="00B2662C"/>
    <w:rsid w:val="00B3042F"/>
    <w:rsid w:val="00B30D3B"/>
    <w:rsid w:val="00B41183"/>
    <w:rsid w:val="00B432D4"/>
    <w:rsid w:val="00B453ED"/>
    <w:rsid w:val="00B460E4"/>
    <w:rsid w:val="00B576D7"/>
    <w:rsid w:val="00B804E5"/>
    <w:rsid w:val="00B80892"/>
    <w:rsid w:val="00B82735"/>
    <w:rsid w:val="00B92861"/>
    <w:rsid w:val="00B95E26"/>
    <w:rsid w:val="00BA2E30"/>
    <w:rsid w:val="00BA524C"/>
    <w:rsid w:val="00BA5A46"/>
    <w:rsid w:val="00BA7A69"/>
    <w:rsid w:val="00BB3300"/>
    <w:rsid w:val="00BB674A"/>
    <w:rsid w:val="00BC2F90"/>
    <w:rsid w:val="00BC3CA5"/>
    <w:rsid w:val="00BC6547"/>
    <w:rsid w:val="00BD28DF"/>
    <w:rsid w:val="00BD4E12"/>
    <w:rsid w:val="00BD7669"/>
    <w:rsid w:val="00BE010D"/>
    <w:rsid w:val="00BE2864"/>
    <w:rsid w:val="00BF0CD4"/>
    <w:rsid w:val="00BF1690"/>
    <w:rsid w:val="00BF3831"/>
    <w:rsid w:val="00C0069A"/>
    <w:rsid w:val="00C0561A"/>
    <w:rsid w:val="00C0624A"/>
    <w:rsid w:val="00C076BF"/>
    <w:rsid w:val="00C10C10"/>
    <w:rsid w:val="00C117D0"/>
    <w:rsid w:val="00C12101"/>
    <w:rsid w:val="00C20B5C"/>
    <w:rsid w:val="00C278C2"/>
    <w:rsid w:val="00C27F02"/>
    <w:rsid w:val="00C33A7C"/>
    <w:rsid w:val="00C376CC"/>
    <w:rsid w:val="00C41D34"/>
    <w:rsid w:val="00C42218"/>
    <w:rsid w:val="00C44519"/>
    <w:rsid w:val="00C504F4"/>
    <w:rsid w:val="00C53016"/>
    <w:rsid w:val="00C558FD"/>
    <w:rsid w:val="00C5648D"/>
    <w:rsid w:val="00C57E85"/>
    <w:rsid w:val="00C62988"/>
    <w:rsid w:val="00C65BB4"/>
    <w:rsid w:val="00C7055C"/>
    <w:rsid w:val="00C8071C"/>
    <w:rsid w:val="00C816CB"/>
    <w:rsid w:val="00C82461"/>
    <w:rsid w:val="00C846C0"/>
    <w:rsid w:val="00C85BA7"/>
    <w:rsid w:val="00C877B3"/>
    <w:rsid w:val="00C94C99"/>
    <w:rsid w:val="00CA07CC"/>
    <w:rsid w:val="00CA1D52"/>
    <w:rsid w:val="00CA4FCE"/>
    <w:rsid w:val="00CA5F8F"/>
    <w:rsid w:val="00CC5A6F"/>
    <w:rsid w:val="00CD499A"/>
    <w:rsid w:val="00CE271A"/>
    <w:rsid w:val="00CE6FF5"/>
    <w:rsid w:val="00CE7AA9"/>
    <w:rsid w:val="00CF2AE9"/>
    <w:rsid w:val="00CF2EC7"/>
    <w:rsid w:val="00CF5245"/>
    <w:rsid w:val="00D0121B"/>
    <w:rsid w:val="00D04BA8"/>
    <w:rsid w:val="00D05765"/>
    <w:rsid w:val="00D06479"/>
    <w:rsid w:val="00D06CA9"/>
    <w:rsid w:val="00D076EE"/>
    <w:rsid w:val="00D07B1A"/>
    <w:rsid w:val="00D24CD0"/>
    <w:rsid w:val="00D257D4"/>
    <w:rsid w:val="00D30625"/>
    <w:rsid w:val="00D30E46"/>
    <w:rsid w:val="00D40FF8"/>
    <w:rsid w:val="00D455EE"/>
    <w:rsid w:val="00D50AC8"/>
    <w:rsid w:val="00D55809"/>
    <w:rsid w:val="00D60676"/>
    <w:rsid w:val="00D904D5"/>
    <w:rsid w:val="00D93F14"/>
    <w:rsid w:val="00DA0026"/>
    <w:rsid w:val="00DA02AC"/>
    <w:rsid w:val="00DA444C"/>
    <w:rsid w:val="00DD20EB"/>
    <w:rsid w:val="00DD4C9E"/>
    <w:rsid w:val="00DD6CE9"/>
    <w:rsid w:val="00DE4E62"/>
    <w:rsid w:val="00DF2C67"/>
    <w:rsid w:val="00DF3AE2"/>
    <w:rsid w:val="00DF6EE3"/>
    <w:rsid w:val="00DF7D21"/>
    <w:rsid w:val="00E025D3"/>
    <w:rsid w:val="00E059C5"/>
    <w:rsid w:val="00E06B29"/>
    <w:rsid w:val="00E06C22"/>
    <w:rsid w:val="00E16D8E"/>
    <w:rsid w:val="00E24908"/>
    <w:rsid w:val="00E26BAC"/>
    <w:rsid w:val="00E270B5"/>
    <w:rsid w:val="00E4781B"/>
    <w:rsid w:val="00E51A2D"/>
    <w:rsid w:val="00E51F8B"/>
    <w:rsid w:val="00E573C2"/>
    <w:rsid w:val="00E60351"/>
    <w:rsid w:val="00E624D1"/>
    <w:rsid w:val="00E71AE7"/>
    <w:rsid w:val="00E72EB5"/>
    <w:rsid w:val="00E752E6"/>
    <w:rsid w:val="00E97060"/>
    <w:rsid w:val="00EA01AF"/>
    <w:rsid w:val="00EA2A65"/>
    <w:rsid w:val="00EA4909"/>
    <w:rsid w:val="00EA6088"/>
    <w:rsid w:val="00EB6FCF"/>
    <w:rsid w:val="00EC1A2C"/>
    <w:rsid w:val="00EE2850"/>
    <w:rsid w:val="00EE29B1"/>
    <w:rsid w:val="00EF48F2"/>
    <w:rsid w:val="00EF6B9A"/>
    <w:rsid w:val="00EF7B2B"/>
    <w:rsid w:val="00F04282"/>
    <w:rsid w:val="00F10E1F"/>
    <w:rsid w:val="00F212EB"/>
    <w:rsid w:val="00F268C0"/>
    <w:rsid w:val="00F465D3"/>
    <w:rsid w:val="00F55CAC"/>
    <w:rsid w:val="00F569C9"/>
    <w:rsid w:val="00F56F06"/>
    <w:rsid w:val="00F601CA"/>
    <w:rsid w:val="00F67427"/>
    <w:rsid w:val="00F73815"/>
    <w:rsid w:val="00F7770D"/>
    <w:rsid w:val="00F77ADD"/>
    <w:rsid w:val="00F81140"/>
    <w:rsid w:val="00F85984"/>
    <w:rsid w:val="00F868C9"/>
    <w:rsid w:val="00F93115"/>
    <w:rsid w:val="00F96943"/>
    <w:rsid w:val="00F97DAD"/>
    <w:rsid w:val="00FA01CD"/>
    <w:rsid w:val="00FA5792"/>
    <w:rsid w:val="00FA5B5D"/>
    <w:rsid w:val="00FA63DC"/>
    <w:rsid w:val="00FB200D"/>
    <w:rsid w:val="00FB4A21"/>
    <w:rsid w:val="00FB750C"/>
    <w:rsid w:val="00FC34D9"/>
    <w:rsid w:val="00FD28C9"/>
    <w:rsid w:val="00FE4C18"/>
    <w:rsid w:val="00FE538A"/>
    <w:rsid w:val="00FE7EEC"/>
    <w:rsid w:val="00FF02DB"/>
    <w:rsid w:val="00FF4D3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Strong">
    <w:name w:val="Strong"/>
    <w:basedOn w:val="DefaultParagraphFont"/>
    <w:qFormat/>
    <w:locked/>
    <w:rsid w:val="008D7748"/>
    <w:rPr>
      <w:b/>
      <w:bCs/>
    </w:rPr>
  </w:style>
  <w:style w:type="paragraph" w:styleId="ListParagraph">
    <w:name w:val="List Paragraph"/>
    <w:basedOn w:val="Normal"/>
    <w:uiPriority w:val="34"/>
    <w:qFormat/>
    <w:locked/>
    <w:rsid w:val="00AF246F"/>
    <w:pPr>
      <w:ind w:left="720"/>
      <w:contextualSpacing/>
    </w:pPr>
  </w:style>
  <w:style w:type="paragraph" w:styleId="Footer">
    <w:name w:val="footer"/>
    <w:basedOn w:val="Normal"/>
    <w:link w:val="FooterChar"/>
    <w:uiPriority w:val="99"/>
    <w:semiHidden/>
    <w:unhideWhenUsed/>
    <w:locked/>
    <w:rsid w:val="00712241"/>
    <w:pPr>
      <w:tabs>
        <w:tab w:val="center" w:pos="4703"/>
        <w:tab w:val="right" w:pos="9406"/>
      </w:tabs>
      <w:spacing w:before="0" w:after="0"/>
    </w:pPr>
  </w:style>
  <w:style w:type="character" w:customStyle="1" w:styleId="FooterChar">
    <w:name w:val="Footer Char"/>
    <w:basedOn w:val="DefaultParagraphFont"/>
    <w:link w:val="Footer"/>
    <w:uiPriority w:val="99"/>
    <w:semiHidden/>
    <w:rsid w:val="00712241"/>
    <w:rPr>
      <w:rFonts w:eastAsia="Calibri"/>
      <w:szCs w:val="22"/>
      <w:lang w:val="en-GB"/>
    </w:rPr>
  </w:style>
  <w:style w:type="character" w:customStyle="1" w:styleId="Mention1">
    <w:name w:val="Mention1"/>
    <w:basedOn w:val="DefaultParagraphFont"/>
    <w:uiPriority w:val="99"/>
    <w:semiHidden/>
    <w:unhideWhenUsed/>
    <w:rsid w:val="00836504"/>
    <w:rPr>
      <w:color w:val="2B579A"/>
      <w:shd w:val="clear" w:color="auto" w:fill="E6E6E6"/>
    </w:rPr>
  </w:style>
  <w:style w:type="character" w:styleId="CommentReference">
    <w:name w:val="annotation reference"/>
    <w:basedOn w:val="DefaultParagraphFont"/>
    <w:uiPriority w:val="99"/>
    <w:semiHidden/>
    <w:unhideWhenUsed/>
    <w:locked/>
    <w:rsid w:val="00EB6FCF"/>
    <w:rPr>
      <w:sz w:val="16"/>
      <w:szCs w:val="16"/>
    </w:rPr>
  </w:style>
  <w:style w:type="paragraph" w:styleId="CommentText">
    <w:name w:val="annotation text"/>
    <w:basedOn w:val="Normal"/>
    <w:link w:val="CommentTextChar"/>
    <w:uiPriority w:val="99"/>
    <w:semiHidden/>
    <w:unhideWhenUsed/>
    <w:locked/>
    <w:rsid w:val="00EB6FCF"/>
    <w:rPr>
      <w:szCs w:val="20"/>
    </w:rPr>
  </w:style>
  <w:style w:type="character" w:customStyle="1" w:styleId="CommentTextChar">
    <w:name w:val="Comment Text Char"/>
    <w:basedOn w:val="DefaultParagraphFont"/>
    <w:link w:val="CommentText"/>
    <w:uiPriority w:val="99"/>
    <w:semiHidden/>
    <w:rsid w:val="00EB6FCF"/>
    <w:rPr>
      <w:rFonts w:eastAsia="Calibri"/>
      <w:lang w:val="en-GB"/>
    </w:rPr>
  </w:style>
  <w:style w:type="paragraph" w:styleId="CommentSubject">
    <w:name w:val="annotation subject"/>
    <w:basedOn w:val="CommentText"/>
    <w:next w:val="CommentText"/>
    <w:link w:val="CommentSubjectChar"/>
    <w:uiPriority w:val="99"/>
    <w:semiHidden/>
    <w:unhideWhenUsed/>
    <w:locked/>
    <w:rsid w:val="00EB6FCF"/>
    <w:rPr>
      <w:b/>
      <w:bCs/>
    </w:rPr>
  </w:style>
  <w:style w:type="character" w:customStyle="1" w:styleId="CommentSubjectChar">
    <w:name w:val="Comment Subject Char"/>
    <w:basedOn w:val="CommentTextChar"/>
    <w:link w:val="CommentSubject"/>
    <w:uiPriority w:val="99"/>
    <w:semiHidden/>
    <w:rsid w:val="00EB6FCF"/>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Strong">
    <w:name w:val="Strong"/>
    <w:basedOn w:val="DefaultParagraphFont"/>
    <w:qFormat/>
    <w:locked/>
    <w:rsid w:val="008D7748"/>
    <w:rPr>
      <w:b/>
      <w:bCs/>
    </w:rPr>
  </w:style>
  <w:style w:type="paragraph" w:styleId="ListParagraph">
    <w:name w:val="List Paragraph"/>
    <w:basedOn w:val="Normal"/>
    <w:uiPriority w:val="34"/>
    <w:qFormat/>
    <w:locked/>
    <w:rsid w:val="00AF246F"/>
    <w:pPr>
      <w:ind w:left="720"/>
      <w:contextualSpacing/>
    </w:pPr>
  </w:style>
  <w:style w:type="paragraph" w:styleId="Footer">
    <w:name w:val="footer"/>
    <w:basedOn w:val="Normal"/>
    <w:link w:val="FooterChar"/>
    <w:uiPriority w:val="99"/>
    <w:semiHidden/>
    <w:unhideWhenUsed/>
    <w:locked/>
    <w:rsid w:val="00712241"/>
    <w:pPr>
      <w:tabs>
        <w:tab w:val="center" w:pos="4703"/>
        <w:tab w:val="right" w:pos="9406"/>
      </w:tabs>
      <w:spacing w:before="0" w:after="0"/>
    </w:pPr>
  </w:style>
  <w:style w:type="character" w:customStyle="1" w:styleId="FooterChar">
    <w:name w:val="Footer Char"/>
    <w:basedOn w:val="DefaultParagraphFont"/>
    <w:link w:val="Footer"/>
    <w:uiPriority w:val="99"/>
    <w:semiHidden/>
    <w:rsid w:val="00712241"/>
    <w:rPr>
      <w:rFonts w:eastAsia="Calibri"/>
      <w:szCs w:val="22"/>
      <w:lang w:val="en-GB"/>
    </w:rPr>
  </w:style>
  <w:style w:type="character" w:customStyle="1" w:styleId="Mention1">
    <w:name w:val="Mention1"/>
    <w:basedOn w:val="DefaultParagraphFont"/>
    <w:uiPriority w:val="99"/>
    <w:semiHidden/>
    <w:unhideWhenUsed/>
    <w:rsid w:val="00836504"/>
    <w:rPr>
      <w:color w:val="2B579A"/>
      <w:shd w:val="clear" w:color="auto" w:fill="E6E6E6"/>
    </w:rPr>
  </w:style>
  <w:style w:type="character" w:styleId="CommentReference">
    <w:name w:val="annotation reference"/>
    <w:basedOn w:val="DefaultParagraphFont"/>
    <w:uiPriority w:val="99"/>
    <w:semiHidden/>
    <w:unhideWhenUsed/>
    <w:locked/>
    <w:rsid w:val="00EB6FCF"/>
    <w:rPr>
      <w:sz w:val="16"/>
      <w:szCs w:val="16"/>
    </w:rPr>
  </w:style>
  <w:style w:type="paragraph" w:styleId="CommentText">
    <w:name w:val="annotation text"/>
    <w:basedOn w:val="Normal"/>
    <w:link w:val="CommentTextChar"/>
    <w:uiPriority w:val="99"/>
    <w:semiHidden/>
    <w:unhideWhenUsed/>
    <w:locked/>
    <w:rsid w:val="00EB6FCF"/>
    <w:rPr>
      <w:szCs w:val="20"/>
    </w:rPr>
  </w:style>
  <w:style w:type="character" w:customStyle="1" w:styleId="CommentTextChar">
    <w:name w:val="Comment Text Char"/>
    <w:basedOn w:val="DefaultParagraphFont"/>
    <w:link w:val="CommentText"/>
    <w:uiPriority w:val="99"/>
    <w:semiHidden/>
    <w:rsid w:val="00EB6FCF"/>
    <w:rPr>
      <w:rFonts w:eastAsia="Calibri"/>
      <w:lang w:val="en-GB"/>
    </w:rPr>
  </w:style>
  <w:style w:type="paragraph" w:styleId="CommentSubject">
    <w:name w:val="annotation subject"/>
    <w:basedOn w:val="CommentText"/>
    <w:next w:val="CommentText"/>
    <w:link w:val="CommentSubjectChar"/>
    <w:uiPriority w:val="99"/>
    <w:semiHidden/>
    <w:unhideWhenUsed/>
    <w:locked/>
    <w:rsid w:val="00EB6FCF"/>
    <w:rPr>
      <w:b/>
      <w:bCs/>
    </w:rPr>
  </w:style>
  <w:style w:type="character" w:customStyle="1" w:styleId="CommentSubjectChar">
    <w:name w:val="Comment Subject Char"/>
    <w:basedOn w:val="CommentTextChar"/>
    <w:link w:val="CommentSubject"/>
    <w:uiPriority w:val="99"/>
    <w:semiHidden/>
    <w:rsid w:val="00EB6FCF"/>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9004">
      <w:bodyDiv w:val="1"/>
      <w:marLeft w:val="0"/>
      <w:marRight w:val="0"/>
      <w:marTop w:val="0"/>
      <w:marBottom w:val="0"/>
      <w:divBdr>
        <w:top w:val="none" w:sz="0" w:space="0" w:color="auto"/>
        <w:left w:val="none" w:sz="0" w:space="0" w:color="auto"/>
        <w:bottom w:val="none" w:sz="0" w:space="0" w:color="auto"/>
        <w:right w:val="none" w:sz="0" w:space="0" w:color="auto"/>
      </w:divBdr>
    </w:div>
    <w:div w:id="1111431660">
      <w:bodyDiv w:val="1"/>
      <w:marLeft w:val="0"/>
      <w:marRight w:val="0"/>
      <w:marTop w:val="0"/>
      <w:marBottom w:val="0"/>
      <w:divBdr>
        <w:top w:val="none" w:sz="0" w:space="0" w:color="auto"/>
        <w:left w:val="none" w:sz="0" w:space="0" w:color="auto"/>
        <w:bottom w:val="none" w:sz="0" w:space="0" w:color="auto"/>
        <w:right w:val="none" w:sz="0" w:space="0" w:color="auto"/>
      </w:divBdr>
    </w:div>
    <w:div w:id="1348487090">
      <w:bodyDiv w:val="1"/>
      <w:marLeft w:val="0"/>
      <w:marRight w:val="0"/>
      <w:marTop w:val="0"/>
      <w:marBottom w:val="0"/>
      <w:divBdr>
        <w:top w:val="none" w:sz="0" w:space="0" w:color="auto"/>
        <w:left w:val="none" w:sz="0" w:space="0" w:color="auto"/>
        <w:bottom w:val="none" w:sz="0" w:space="0" w:color="auto"/>
        <w:right w:val="none" w:sz="0" w:space="0" w:color="auto"/>
      </w:divBdr>
      <w:divsChild>
        <w:div w:id="1927500020">
          <w:marLeft w:val="1008"/>
          <w:marRight w:val="0"/>
          <w:marTop w:val="96"/>
          <w:marBottom w:val="0"/>
          <w:divBdr>
            <w:top w:val="none" w:sz="0" w:space="0" w:color="auto"/>
            <w:left w:val="none" w:sz="0" w:space="0" w:color="auto"/>
            <w:bottom w:val="none" w:sz="0" w:space="0" w:color="auto"/>
            <w:right w:val="none" w:sz="0" w:space="0" w:color="auto"/>
          </w:divBdr>
        </w:div>
        <w:div w:id="2072918480">
          <w:marLeft w:val="1008"/>
          <w:marRight w:val="0"/>
          <w:marTop w:val="96"/>
          <w:marBottom w:val="0"/>
          <w:divBdr>
            <w:top w:val="none" w:sz="0" w:space="0" w:color="auto"/>
            <w:left w:val="none" w:sz="0" w:space="0" w:color="auto"/>
            <w:bottom w:val="none" w:sz="0" w:space="0" w:color="auto"/>
            <w:right w:val="none" w:sz="0" w:space="0" w:color="auto"/>
          </w:divBdr>
        </w:div>
        <w:div w:id="371661054">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tu.int/md/R15-WP1B-C/en" TargetMode="External"/><Relationship Id="rId4" Type="http://schemas.microsoft.com/office/2007/relationships/stylesWithEffects" Target="stylesWithEffects.xml"/><Relationship Id="rId9" Type="http://schemas.openxmlformats.org/officeDocument/2006/relationships/hyperlink" Target="http://www.itu.int/pub/R-QUE-SG01.21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Kholod_Office\International\CEPT\ECC\CPG19\Project%20Team%20D\1.%20Meeting%20(20-20%20Sept%202016,%20Rome)\Preparations\CPG-PTD(16)Template%2001%20-%20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0514-9639-4E3C-874C-63109F6B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01 - Template for CEPT Brief on Agenda item XY (WRC-19).dotx</Template>
  <TotalTime>1</TotalTime>
  <Pages>6</Pages>
  <Words>1845</Words>
  <Characters>10517</Characters>
  <Application>Microsoft Office Word</Application>
  <DocSecurity>0</DocSecurity>
  <Lines>87</Lines>
  <Paragraphs>24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9.1.6</vt:lpstr>
      <vt:lpstr>Draft CEPT Brief on AI 9.1.6</vt:lpstr>
      <vt:lpstr>Draft CEPT Brief on AI 9.1.6</vt:lpstr>
      <vt:lpstr>Draft CEPT Brief on AI XX</vt:lpstr>
    </vt:vector>
  </TitlesOfParts>
  <Manager>stella.lyubchenko@eco.cept.org</Manager>
  <Company>ECO</Company>
  <LinksUpToDate>false</LinksUpToDate>
  <CharactersWithSpaces>12338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9.1.6</dc:title>
  <dc:subject>Report PT D #4</dc:subject>
  <dc:creator>Alexandre Kholod</dc:creator>
  <cp:keywords>CEPT Brief</cp:keywords>
  <dc:description>Output CPG19-5</dc:description>
  <cp:lastModifiedBy>CPG</cp:lastModifiedBy>
  <cp:revision>3</cp:revision>
  <cp:lastPrinted>1901-01-01T00:00:00Z</cp:lastPrinted>
  <dcterms:created xsi:type="dcterms:W3CDTF">2018-01-22T15:09:00Z</dcterms:created>
  <dcterms:modified xsi:type="dcterms:W3CDTF">2018-01-23T09:08:00Z</dcterms:modified>
  <cp:category>protected templates</cp:category>
  <cp:contentStatus>Draft</cp:contentStatus>
</cp:coreProperties>
</file>