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Ind w:w="-72" w:type="dxa"/>
        <w:tblLayout w:type="fixed"/>
        <w:tblCellMar>
          <w:left w:w="70" w:type="dxa"/>
          <w:right w:w="70" w:type="dxa"/>
        </w:tblCellMar>
        <w:tblLook w:val="0000" w:firstRow="0" w:lastRow="0" w:firstColumn="0" w:lastColumn="0" w:noHBand="0" w:noVBand="0"/>
      </w:tblPr>
      <w:tblGrid>
        <w:gridCol w:w="1819"/>
        <w:gridCol w:w="2928"/>
        <w:gridCol w:w="5034"/>
      </w:tblGrid>
      <w:tr w:rsidR="00F80171" w:rsidRPr="00D83BF2" w:rsidTr="00263483">
        <w:trPr>
          <w:cantSplit/>
          <w:trHeight w:val="1560"/>
        </w:trPr>
        <w:tc>
          <w:tcPr>
            <w:tcW w:w="4747" w:type="dxa"/>
            <w:gridSpan w:val="2"/>
            <w:tcBorders>
              <w:top w:val="nil"/>
              <w:left w:val="nil"/>
              <w:bottom w:val="nil"/>
              <w:right w:val="nil"/>
            </w:tcBorders>
            <w:vAlign w:val="center"/>
          </w:tcPr>
          <w:p w:rsidR="00F80171" w:rsidRPr="00D83BF2" w:rsidRDefault="00F80171" w:rsidP="00FF4881">
            <w:pPr>
              <w:pStyle w:val="ECCLetterHead"/>
            </w:pPr>
          </w:p>
        </w:tc>
        <w:tc>
          <w:tcPr>
            <w:tcW w:w="5034" w:type="dxa"/>
            <w:tcBorders>
              <w:top w:val="nil"/>
              <w:left w:val="nil"/>
              <w:bottom w:val="nil"/>
              <w:right w:val="nil"/>
            </w:tcBorders>
          </w:tcPr>
          <w:p w:rsidR="00F80171" w:rsidRPr="00D83BF2" w:rsidRDefault="00F80171" w:rsidP="00247461">
            <w:pPr>
              <w:pStyle w:val="ECCLetterHead"/>
            </w:pPr>
            <w:r w:rsidRPr="00D83BF2">
              <w:tab/>
            </w:r>
            <w:r w:rsidR="00D201D8" w:rsidRPr="00D83BF2">
              <w:t xml:space="preserve">Doc. </w:t>
            </w:r>
            <w:r w:rsidR="00537A58" w:rsidRPr="00D83BF2">
              <w:t>CPG</w:t>
            </w:r>
            <w:r w:rsidR="00D201D8" w:rsidRPr="00D83BF2">
              <w:t>(18)</w:t>
            </w:r>
            <w:r w:rsidR="008E5FDC" w:rsidRPr="00D83BF2">
              <w:t>0</w:t>
            </w:r>
            <w:r w:rsidR="00247461" w:rsidRPr="00D83BF2">
              <w:t>73</w:t>
            </w:r>
            <w:r w:rsidR="00D201D8" w:rsidRPr="00D83BF2">
              <w:t xml:space="preserve"> ANNEX IV-0</w:t>
            </w:r>
            <w:r w:rsidR="00B56168" w:rsidRPr="00D83BF2">
              <w:t>1</w:t>
            </w:r>
          </w:p>
        </w:tc>
      </w:tr>
      <w:tr w:rsidR="00FF4881" w:rsidRPr="00D83BF2" w:rsidTr="00911FDD">
        <w:tblPrEx>
          <w:tblCellMar>
            <w:left w:w="108" w:type="dxa"/>
            <w:right w:w="108" w:type="dxa"/>
          </w:tblCellMar>
        </w:tblPrEx>
        <w:trPr>
          <w:cantSplit/>
          <w:trHeight w:val="405"/>
        </w:trPr>
        <w:tc>
          <w:tcPr>
            <w:tcW w:w="9781" w:type="dxa"/>
            <w:gridSpan w:val="3"/>
            <w:tcBorders>
              <w:top w:val="nil"/>
              <w:left w:val="nil"/>
              <w:bottom w:val="nil"/>
              <w:right w:val="nil"/>
            </w:tcBorders>
            <w:vAlign w:val="center"/>
          </w:tcPr>
          <w:p w:rsidR="00FF4881" w:rsidRPr="00D83BF2" w:rsidRDefault="00247461" w:rsidP="00177928">
            <w:pPr>
              <w:pStyle w:val="ECCLetterHead"/>
            </w:pPr>
            <w:r w:rsidRPr="00D83BF2">
              <w:t>CPG19-7</w:t>
            </w:r>
          </w:p>
        </w:tc>
      </w:tr>
      <w:tr w:rsidR="00FF4881" w:rsidRPr="00D83BF2" w:rsidTr="00784AE6">
        <w:tblPrEx>
          <w:tblCellMar>
            <w:left w:w="108" w:type="dxa"/>
            <w:right w:w="108" w:type="dxa"/>
          </w:tblCellMar>
        </w:tblPrEx>
        <w:trPr>
          <w:cantSplit/>
          <w:trHeight w:val="405"/>
        </w:trPr>
        <w:tc>
          <w:tcPr>
            <w:tcW w:w="9781" w:type="dxa"/>
            <w:gridSpan w:val="3"/>
            <w:tcBorders>
              <w:top w:val="nil"/>
              <w:left w:val="nil"/>
              <w:bottom w:val="nil"/>
              <w:right w:val="nil"/>
            </w:tcBorders>
            <w:vAlign w:val="center"/>
          </w:tcPr>
          <w:p w:rsidR="00FF4881" w:rsidRPr="00D83BF2" w:rsidRDefault="00247461" w:rsidP="00247461">
            <w:pPr>
              <w:pStyle w:val="ECCLetterHead"/>
            </w:pPr>
            <w:r w:rsidRPr="00D83BF2">
              <w:t>Hilversum, The Netherlands</w:t>
            </w:r>
            <w:r w:rsidR="00FF4881" w:rsidRPr="00D83BF2">
              <w:t xml:space="preserve">, </w:t>
            </w:r>
            <w:r w:rsidRPr="00D83BF2">
              <w:t>27</w:t>
            </w:r>
            <w:r w:rsidR="00B86010" w:rsidRPr="00D83BF2">
              <w:rPr>
                <w:vertAlign w:val="superscript"/>
              </w:rPr>
              <w:t>th</w:t>
            </w:r>
            <w:r w:rsidR="00B86010" w:rsidRPr="00D83BF2">
              <w:t xml:space="preserve"> </w:t>
            </w:r>
            <w:r w:rsidR="00FF4881" w:rsidRPr="00D83BF2">
              <w:t xml:space="preserve">- </w:t>
            </w:r>
            <w:r w:rsidRPr="00D83BF2">
              <w:t>20</w:t>
            </w:r>
            <w:r w:rsidR="00B86010" w:rsidRPr="00D83BF2">
              <w:rPr>
                <w:vertAlign w:val="superscript"/>
              </w:rPr>
              <w:t>th</w:t>
            </w:r>
            <w:r w:rsidR="00B86010" w:rsidRPr="00D83BF2">
              <w:t xml:space="preserve"> </w:t>
            </w:r>
            <w:r w:rsidRPr="00D83BF2">
              <w:t xml:space="preserve">November </w:t>
            </w:r>
            <w:r w:rsidR="00FF4881" w:rsidRPr="00D83BF2">
              <w:t>2018</w:t>
            </w:r>
          </w:p>
        </w:tc>
      </w:tr>
      <w:tr w:rsidR="00177928" w:rsidRPr="00D83BF2" w:rsidTr="00263483">
        <w:tblPrEx>
          <w:tblCellMar>
            <w:left w:w="108" w:type="dxa"/>
            <w:right w:w="108" w:type="dxa"/>
          </w:tblCellMar>
        </w:tblPrEx>
        <w:trPr>
          <w:cantSplit/>
          <w:trHeight w:hRule="exact" w:val="79"/>
        </w:trPr>
        <w:tc>
          <w:tcPr>
            <w:tcW w:w="4747" w:type="dxa"/>
            <w:gridSpan w:val="2"/>
            <w:tcBorders>
              <w:top w:val="nil"/>
              <w:left w:val="nil"/>
              <w:bottom w:val="nil"/>
              <w:right w:val="nil"/>
            </w:tcBorders>
            <w:vAlign w:val="center"/>
          </w:tcPr>
          <w:p w:rsidR="00177928" w:rsidRPr="00D83BF2" w:rsidRDefault="00177928" w:rsidP="00177928">
            <w:pPr>
              <w:pStyle w:val="ECCLetterHead"/>
            </w:pPr>
          </w:p>
        </w:tc>
        <w:tc>
          <w:tcPr>
            <w:tcW w:w="5034" w:type="dxa"/>
            <w:tcBorders>
              <w:top w:val="nil"/>
              <w:left w:val="nil"/>
              <w:bottom w:val="nil"/>
              <w:right w:val="nil"/>
            </w:tcBorders>
            <w:vAlign w:val="center"/>
          </w:tcPr>
          <w:p w:rsidR="00177928" w:rsidRPr="00D83BF2" w:rsidRDefault="00177928" w:rsidP="00177928">
            <w:pPr>
              <w:pStyle w:val="ECCLetterHead"/>
            </w:pPr>
          </w:p>
        </w:tc>
      </w:tr>
      <w:tr w:rsidR="00177928" w:rsidRPr="00D83BF2" w:rsidTr="00263483">
        <w:tblPrEx>
          <w:tblCellMar>
            <w:left w:w="108" w:type="dxa"/>
            <w:right w:w="108" w:type="dxa"/>
          </w:tblCellMar>
        </w:tblPrEx>
        <w:trPr>
          <w:cantSplit/>
          <w:trHeight w:val="405"/>
        </w:trPr>
        <w:tc>
          <w:tcPr>
            <w:tcW w:w="1819" w:type="dxa"/>
            <w:tcBorders>
              <w:top w:val="nil"/>
              <w:left w:val="nil"/>
              <w:bottom w:val="nil"/>
              <w:right w:val="nil"/>
            </w:tcBorders>
            <w:vAlign w:val="center"/>
          </w:tcPr>
          <w:p w:rsidR="00177928" w:rsidRPr="00D83BF2" w:rsidRDefault="00177928" w:rsidP="00177928">
            <w:pPr>
              <w:pStyle w:val="ECCLetterHead"/>
            </w:pPr>
            <w:r w:rsidRPr="00D83BF2">
              <w:t xml:space="preserve">Date issued: </w:t>
            </w:r>
          </w:p>
        </w:tc>
        <w:tc>
          <w:tcPr>
            <w:tcW w:w="7962" w:type="dxa"/>
            <w:gridSpan w:val="2"/>
            <w:tcBorders>
              <w:top w:val="nil"/>
              <w:left w:val="nil"/>
              <w:bottom w:val="nil"/>
              <w:right w:val="nil"/>
            </w:tcBorders>
            <w:vAlign w:val="center"/>
          </w:tcPr>
          <w:p w:rsidR="00177928" w:rsidRPr="00D83BF2" w:rsidRDefault="00247461" w:rsidP="0076199B">
            <w:pPr>
              <w:pStyle w:val="ECCLetterHead"/>
            </w:pPr>
            <w:r w:rsidRPr="00D83BF2">
              <w:t>30</w:t>
            </w:r>
            <w:r w:rsidRPr="00D83BF2">
              <w:rPr>
                <w:vertAlign w:val="superscript"/>
              </w:rPr>
              <w:t>th</w:t>
            </w:r>
            <w:r w:rsidRPr="00D83BF2">
              <w:t xml:space="preserve"> </w:t>
            </w:r>
            <w:r w:rsidR="0076199B" w:rsidRPr="00D83BF2">
              <w:t xml:space="preserve">November </w:t>
            </w:r>
            <w:r w:rsidR="00177928" w:rsidRPr="00D83BF2">
              <w:t>2018</w:t>
            </w:r>
          </w:p>
        </w:tc>
      </w:tr>
      <w:tr w:rsidR="00177928" w:rsidRPr="00D83BF2" w:rsidTr="00263483">
        <w:tblPrEx>
          <w:tblCellMar>
            <w:left w:w="108" w:type="dxa"/>
            <w:right w:w="108" w:type="dxa"/>
          </w:tblCellMar>
        </w:tblPrEx>
        <w:trPr>
          <w:cantSplit/>
          <w:trHeight w:val="405"/>
        </w:trPr>
        <w:tc>
          <w:tcPr>
            <w:tcW w:w="1819" w:type="dxa"/>
            <w:tcBorders>
              <w:top w:val="nil"/>
              <w:left w:val="nil"/>
              <w:bottom w:val="nil"/>
              <w:right w:val="nil"/>
            </w:tcBorders>
            <w:vAlign w:val="center"/>
          </w:tcPr>
          <w:p w:rsidR="00177928" w:rsidRPr="00D83BF2" w:rsidRDefault="00177928" w:rsidP="00177928">
            <w:pPr>
              <w:pStyle w:val="ECCLetterHead"/>
            </w:pPr>
            <w:r w:rsidRPr="00D83BF2">
              <w:t xml:space="preserve">Source: </w:t>
            </w:r>
          </w:p>
        </w:tc>
        <w:tc>
          <w:tcPr>
            <w:tcW w:w="7962" w:type="dxa"/>
            <w:gridSpan w:val="2"/>
            <w:tcBorders>
              <w:top w:val="nil"/>
              <w:left w:val="nil"/>
              <w:bottom w:val="nil"/>
              <w:right w:val="nil"/>
            </w:tcBorders>
            <w:vAlign w:val="center"/>
          </w:tcPr>
          <w:p w:rsidR="00177928" w:rsidRPr="00D83BF2" w:rsidRDefault="0076199B" w:rsidP="00177928">
            <w:pPr>
              <w:pStyle w:val="ECCLetterHead"/>
            </w:pPr>
            <w:r w:rsidRPr="00D83BF2">
              <w:t>Minutes CPG19-7</w:t>
            </w:r>
          </w:p>
        </w:tc>
      </w:tr>
      <w:tr w:rsidR="00177928" w:rsidRPr="00D83BF2" w:rsidTr="00263483">
        <w:tblPrEx>
          <w:tblCellMar>
            <w:left w:w="108" w:type="dxa"/>
            <w:right w:w="108" w:type="dxa"/>
          </w:tblCellMar>
        </w:tblPrEx>
        <w:trPr>
          <w:cantSplit/>
          <w:trHeight w:val="405"/>
        </w:trPr>
        <w:tc>
          <w:tcPr>
            <w:tcW w:w="1819" w:type="dxa"/>
            <w:tcBorders>
              <w:top w:val="nil"/>
              <w:left w:val="nil"/>
              <w:bottom w:val="nil"/>
              <w:right w:val="nil"/>
            </w:tcBorders>
            <w:vAlign w:val="center"/>
          </w:tcPr>
          <w:p w:rsidR="00177928" w:rsidRPr="00D83BF2" w:rsidRDefault="00177928" w:rsidP="00177928">
            <w:pPr>
              <w:pStyle w:val="ECCLetterHead"/>
            </w:pPr>
            <w:r w:rsidRPr="00D83BF2">
              <w:t xml:space="preserve">Subject: </w:t>
            </w:r>
          </w:p>
        </w:tc>
        <w:tc>
          <w:tcPr>
            <w:tcW w:w="7962" w:type="dxa"/>
            <w:gridSpan w:val="2"/>
            <w:tcBorders>
              <w:top w:val="nil"/>
              <w:left w:val="nil"/>
              <w:bottom w:val="nil"/>
              <w:right w:val="nil"/>
            </w:tcBorders>
            <w:vAlign w:val="center"/>
          </w:tcPr>
          <w:p w:rsidR="00177928" w:rsidRPr="00D83BF2" w:rsidRDefault="0007495D" w:rsidP="00177928">
            <w:pPr>
              <w:pStyle w:val="ECCLetterHead"/>
            </w:pPr>
            <w:r w:rsidRPr="00D83BF2">
              <w:t>Draft CEPT Brief on WRC-19 Agenda item 1.1</w:t>
            </w:r>
          </w:p>
        </w:tc>
      </w:tr>
      <w:tr w:rsidR="00F80171" w:rsidRPr="00D83BF2" w:rsidTr="00263483">
        <w:tblPrEx>
          <w:tblCellMar>
            <w:left w:w="108" w:type="dxa"/>
            <w:right w:w="108" w:type="dxa"/>
          </w:tblCellMar>
        </w:tblPrEx>
        <w:trPr>
          <w:cantSplit/>
          <w:trHeight w:hRule="exact" w:val="74"/>
        </w:trPr>
        <w:tc>
          <w:tcPr>
            <w:tcW w:w="9781" w:type="dxa"/>
            <w:gridSpan w:val="3"/>
            <w:tcBorders>
              <w:top w:val="nil"/>
              <w:left w:val="nil"/>
              <w:bottom w:val="nil"/>
              <w:right w:val="nil"/>
            </w:tcBorders>
            <w:vAlign w:val="center"/>
          </w:tcPr>
          <w:p w:rsidR="00F80171" w:rsidRPr="00D83BF2" w:rsidRDefault="00F80171" w:rsidP="00F80171">
            <w:pPr>
              <w:rPr>
                <w:rStyle w:val="ECCParagraph"/>
              </w:rPr>
            </w:pPr>
            <w:bookmarkStart w:id="0" w:name="_GoBack"/>
            <w:bookmarkEnd w:id="0"/>
          </w:p>
          <w:p w:rsidR="00F80171" w:rsidRPr="00D83BF2" w:rsidRDefault="00F80171" w:rsidP="00F80171"/>
        </w:tc>
      </w:tr>
      <w:tr w:rsidR="00F80171" w:rsidRPr="00D83BF2" w:rsidTr="00263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6"/>
        </w:trPr>
        <w:tc>
          <w:tcPr>
            <w:tcW w:w="9781" w:type="dxa"/>
            <w:gridSpan w:val="3"/>
            <w:tcBorders>
              <w:top w:val="single" w:sz="6" w:space="0" w:color="C00000"/>
              <w:left w:val="single" w:sz="6" w:space="0" w:color="C00000"/>
              <w:bottom w:val="nil"/>
              <w:right w:val="single" w:sz="6" w:space="0" w:color="C00000"/>
            </w:tcBorders>
            <w:vAlign w:val="center"/>
          </w:tcPr>
          <w:p w:rsidR="00F80171" w:rsidRPr="00D83BF2" w:rsidRDefault="00F80171" w:rsidP="00F80171">
            <w:pPr>
              <w:pStyle w:val="ECCLetterHead"/>
            </w:pPr>
            <w:r w:rsidRPr="00D83BF2">
              <w:t xml:space="preserve">Summary: </w:t>
            </w:r>
          </w:p>
        </w:tc>
      </w:tr>
      <w:tr w:rsidR="00F80171" w:rsidRPr="00D83BF2" w:rsidTr="00263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2"/>
        </w:trPr>
        <w:tc>
          <w:tcPr>
            <w:tcW w:w="9781" w:type="dxa"/>
            <w:gridSpan w:val="3"/>
            <w:tcBorders>
              <w:top w:val="nil"/>
              <w:left w:val="single" w:sz="6" w:space="0" w:color="C00000"/>
              <w:bottom w:val="single" w:sz="6" w:space="0" w:color="C00000"/>
              <w:right w:val="single" w:sz="6" w:space="0" w:color="C00000"/>
            </w:tcBorders>
          </w:tcPr>
          <w:p w:rsidR="00F80171" w:rsidRPr="00D83BF2" w:rsidRDefault="00F80171" w:rsidP="00F80171">
            <w:pPr>
              <w:pStyle w:val="ECCTabletext"/>
            </w:pPr>
          </w:p>
        </w:tc>
      </w:tr>
      <w:tr w:rsidR="00F80171" w:rsidRPr="00D83BF2" w:rsidTr="00263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3"/>
        </w:trPr>
        <w:tc>
          <w:tcPr>
            <w:tcW w:w="9781" w:type="dxa"/>
            <w:gridSpan w:val="3"/>
            <w:tcBorders>
              <w:top w:val="single" w:sz="6" w:space="0" w:color="C00000"/>
              <w:left w:val="single" w:sz="6" w:space="0" w:color="C00000"/>
              <w:bottom w:val="nil"/>
              <w:right w:val="single" w:sz="6" w:space="0" w:color="C00000"/>
            </w:tcBorders>
            <w:vAlign w:val="center"/>
          </w:tcPr>
          <w:p w:rsidR="00F80171" w:rsidRPr="00D83BF2" w:rsidRDefault="00F80171" w:rsidP="00F80171">
            <w:pPr>
              <w:pStyle w:val="ECCLetterHead"/>
            </w:pPr>
            <w:r w:rsidRPr="00D83BF2">
              <w:t>Proposal:</w:t>
            </w:r>
          </w:p>
        </w:tc>
      </w:tr>
      <w:tr w:rsidR="00F80171" w:rsidRPr="00D83BF2" w:rsidTr="002634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32"/>
        </w:trPr>
        <w:tc>
          <w:tcPr>
            <w:tcW w:w="9781" w:type="dxa"/>
            <w:gridSpan w:val="3"/>
            <w:tcBorders>
              <w:top w:val="nil"/>
              <w:left w:val="single" w:sz="6" w:space="0" w:color="C00000"/>
              <w:bottom w:val="single" w:sz="6" w:space="0" w:color="C00000"/>
              <w:right w:val="single" w:sz="6" w:space="0" w:color="C00000"/>
            </w:tcBorders>
          </w:tcPr>
          <w:p w:rsidR="00F80171" w:rsidRPr="00D83BF2" w:rsidRDefault="00F80171" w:rsidP="006A133F">
            <w:pPr>
              <w:pStyle w:val="ECCBulletsLv2"/>
              <w:numPr>
                <w:ilvl w:val="0"/>
                <w:numId w:val="0"/>
              </w:numPr>
              <w:ind w:left="680" w:hanging="340"/>
            </w:pPr>
          </w:p>
        </w:tc>
      </w:tr>
    </w:tbl>
    <w:p w:rsidR="00F80171" w:rsidRPr="00D83BF2" w:rsidRDefault="00F80171" w:rsidP="00F80171">
      <w:pPr>
        <w:rPr>
          <w:rStyle w:val="ECCParagraph"/>
        </w:rPr>
      </w:pPr>
      <w:r w:rsidRPr="00D83BF2">
        <w:rPr>
          <w:rStyle w:val="ECCParagraph"/>
        </w:rPr>
        <w:br w:type="page"/>
      </w:r>
    </w:p>
    <w:p w:rsidR="003771D5" w:rsidRPr="00D83BF2" w:rsidRDefault="003771D5" w:rsidP="003A68D5">
      <w:pPr>
        <w:pStyle w:val="ECCHeadingnonumbering"/>
        <w:rPr>
          <w:lang w:val="en-GB"/>
        </w:rPr>
      </w:pPr>
      <w:r w:rsidRPr="00D83BF2">
        <w:rPr>
          <w:lang w:val="en-GB"/>
        </w:rPr>
        <w:lastRenderedPageBreak/>
        <w:t xml:space="preserve">DRAFT CEPT BRIEF ON AGENDA ITEM </w:t>
      </w:r>
      <w:r w:rsidR="005E407D" w:rsidRPr="00D83BF2">
        <w:rPr>
          <w:lang w:val="en-GB"/>
        </w:rPr>
        <w:t>1.1</w:t>
      </w:r>
      <w:r w:rsidRPr="00D83BF2">
        <w:rPr>
          <w:lang w:val="en-GB"/>
        </w:rPr>
        <w:t xml:space="preserve"> </w:t>
      </w:r>
    </w:p>
    <w:p w:rsidR="003771D5" w:rsidRPr="00D83BF2" w:rsidRDefault="005E407D" w:rsidP="00120F7B">
      <w:pPr>
        <w:rPr>
          <w:rStyle w:val="ECCParagraph"/>
        </w:rPr>
      </w:pPr>
      <w:r w:rsidRPr="00D83BF2">
        <w:rPr>
          <w:rStyle w:val="ECCParagraph"/>
        </w:rPr>
        <w:t>1.1</w:t>
      </w:r>
      <w:r w:rsidR="003771D5" w:rsidRPr="00D83BF2">
        <w:rPr>
          <w:rStyle w:val="ECCParagraph"/>
        </w:rPr>
        <w:tab/>
      </w:r>
      <w:proofErr w:type="gramStart"/>
      <w:r w:rsidRPr="00D83BF2">
        <w:t>to</w:t>
      </w:r>
      <w:proofErr w:type="gramEnd"/>
      <w:r w:rsidRPr="00D83BF2">
        <w:t xml:space="preserve"> consider an allocation of the frequency band 50-54 MHz to the amateur service in Region 1, in accordance with Resolution </w:t>
      </w:r>
      <w:r w:rsidRPr="00D83BF2">
        <w:rPr>
          <w:rStyle w:val="ECCHLbold"/>
        </w:rPr>
        <w:t>658 (WRC</w:t>
      </w:r>
      <w:r w:rsidR="00DB0CE5" w:rsidRPr="00D83BF2">
        <w:rPr>
          <w:rStyle w:val="ECCHLbold"/>
        </w:rPr>
        <w:t>-</w:t>
      </w:r>
      <w:r w:rsidRPr="00D83BF2">
        <w:rPr>
          <w:rStyle w:val="ECCHLbold"/>
        </w:rPr>
        <w:t>15)</w:t>
      </w:r>
    </w:p>
    <w:p w:rsidR="003771D5" w:rsidRPr="00D83BF2" w:rsidRDefault="003771D5" w:rsidP="00BD4E12">
      <w:pPr>
        <w:pStyle w:val="berschrift1"/>
        <w:rPr>
          <w:lang w:val="en-GB"/>
        </w:rPr>
      </w:pPr>
      <w:r w:rsidRPr="00D83BF2">
        <w:rPr>
          <w:lang w:val="en-GB"/>
        </w:rPr>
        <w:t>ISSUE</w:t>
      </w:r>
    </w:p>
    <w:p w:rsidR="00593BDB" w:rsidRPr="00D83BF2" w:rsidRDefault="00593BDB" w:rsidP="00593BDB">
      <w:pPr>
        <w:rPr>
          <w:rStyle w:val="ECCParagraph"/>
        </w:rPr>
      </w:pPr>
      <w:r w:rsidRPr="00D83BF2">
        <w:rPr>
          <w:rStyle w:val="ECCParagraph"/>
        </w:rPr>
        <w:t xml:space="preserve">CEPT has identified the following elements, relevant for this </w:t>
      </w:r>
      <w:r w:rsidR="00F22EFD">
        <w:rPr>
          <w:rStyle w:val="ECCParagraph"/>
        </w:rPr>
        <w:t>A</w:t>
      </w:r>
      <w:r w:rsidR="00F22EFD" w:rsidRPr="00D83BF2">
        <w:rPr>
          <w:rStyle w:val="ECCParagraph"/>
        </w:rPr>
        <w:t xml:space="preserve">genda </w:t>
      </w:r>
      <w:r w:rsidRPr="00D83BF2">
        <w:rPr>
          <w:rStyle w:val="ECCParagraph"/>
        </w:rPr>
        <w:t>item:</w:t>
      </w:r>
    </w:p>
    <w:p w:rsidR="00593BDB" w:rsidRPr="00D83BF2" w:rsidRDefault="00593BDB" w:rsidP="00C20F3D">
      <w:pPr>
        <w:pStyle w:val="ECCBulletsLv1"/>
      </w:pPr>
      <w:r w:rsidRPr="00D83BF2">
        <w:t xml:space="preserve">to study spectrum </w:t>
      </w:r>
      <w:r w:rsidR="009B206B" w:rsidRPr="00D83BF2">
        <w:t>needs</w:t>
      </w:r>
      <w:r w:rsidRPr="00D83BF2">
        <w:t xml:space="preserve"> for the amateur service in the band 50-54 MHz;</w:t>
      </w:r>
    </w:p>
    <w:p w:rsidR="00593BDB" w:rsidRPr="00D83BF2" w:rsidRDefault="00593BDB" w:rsidP="00C20F3D">
      <w:pPr>
        <w:pStyle w:val="ECCBulletsLv1"/>
      </w:pPr>
      <w:r w:rsidRPr="00D83BF2">
        <w:t xml:space="preserve">to </w:t>
      </w:r>
      <w:r w:rsidR="004D26B6" w:rsidRPr="00D83BF2">
        <w:t xml:space="preserve">study </w:t>
      </w:r>
      <w:r w:rsidRPr="00D83BF2">
        <w:t xml:space="preserve">sharing </w:t>
      </w:r>
      <w:r w:rsidR="004D26B6" w:rsidRPr="00D83BF2">
        <w:t>between the amateur service, and the mobile, fixed, radiolocation and broadcasting</w:t>
      </w:r>
      <w:r w:rsidR="00867A05" w:rsidRPr="00D83BF2">
        <w:t xml:space="preserve"> </w:t>
      </w:r>
      <w:r w:rsidRPr="00D83BF2">
        <w:t>services</w:t>
      </w:r>
      <w:r w:rsidR="004D26B6" w:rsidRPr="00D83BF2">
        <w:t>, in order to ensure protection of these services</w:t>
      </w:r>
      <w:r w:rsidRPr="00D83BF2">
        <w:t xml:space="preserve"> </w:t>
      </w:r>
    </w:p>
    <w:p w:rsidR="003771D5" w:rsidRPr="00D83BF2" w:rsidRDefault="003771D5" w:rsidP="00BD4E12">
      <w:pPr>
        <w:pStyle w:val="berschrift1"/>
        <w:rPr>
          <w:lang w:val="en-GB"/>
        </w:rPr>
      </w:pPr>
      <w:r w:rsidRPr="00D83BF2">
        <w:rPr>
          <w:lang w:val="en-GB"/>
        </w:rPr>
        <w:t xml:space="preserve">Preliminary CEPT position </w:t>
      </w:r>
    </w:p>
    <w:p w:rsidR="003869ED" w:rsidRPr="00D83BF2" w:rsidRDefault="003A2BA4" w:rsidP="003869ED">
      <w:r w:rsidRPr="00D83BF2">
        <w:t xml:space="preserve">CEPT supports an allocation of 2 MHz in the frequency range 50-52 MHz to the amateur service in Region 1 on a secondary basis. </w:t>
      </w:r>
      <w:r w:rsidR="003869ED" w:rsidRPr="00D83BF2">
        <w:t xml:space="preserve">CEPT is still discussing </w:t>
      </w:r>
      <w:r w:rsidR="00A02840" w:rsidRPr="00D83BF2">
        <w:t xml:space="preserve">the future </w:t>
      </w:r>
      <w:r w:rsidR="003869ED" w:rsidRPr="00D83BF2">
        <w:t xml:space="preserve">regulatory status of the amateur service in part of the band 50-52 </w:t>
      </w:r>
      <w:proofErr w:type="spellStart"/>
      <w:r w:rsidR="003869ED" w:rsidRPr="00D83BF2">
        <w:t>MHz.</w:t>
      </w:r>
      <w:proofErr w:type="spellEnd"/>
      <w:r w:rsidR="003869ED" w:rsidRPr="00D83BF2">
        <w:t xml:space="preserve"> </w:t>
      </w:r>
    </w:p>
    <w:p w:rsidR="00B8103B" w:rsidRPr="00B8103B" w:rsidRDefault="003A2BA4" w:rsidP="00B8103B">
      <w:r w:rsidRPr="00B8103B">
        <w:t>CEPT is of the view that the amateur service shall not cause harmful interference to, nor claim protection from harmful interference caused by the incumbent services.</w:t>
      </w:r>
    </w:p>
    <w:p w:rsidR="003771D5" w:rsidRPr="00D83BF2" w:rsidRDefault="003771D5" w:rsidP="003A68D5">
      <w:pPr>
        <w:pStyle w:val="berschrift1"/>
        <w:rPr>
          <w:lang w:val="en-GB"/>
        </w:rPr>
      </w:pPr>
      <w:r w:rsidRPr="00D83BF2">
        <w:rPr>
          <w:lang w:val="en-GB"/>
        </w:rPr>
        <w:t xml:space="preserve">Background </w:t>
      </w:r>
    </w:p>
    <w:p w:rsidR="00000977" w:rsidRPr="00D83BF2" w:rsidRDefault="00000977" w:rsidP="00000977">
      <w:r w:rsidRPr="00D83BF2">
        <w:t xml:space="preserve">This </w:t>
      </w:r>
      <w:r w:rsidR="00D83BF2" w:rsidRPr="00D83BF2">
        <w:t xml:space="preserve">Agenda </w:t>
      </w:r>
      <w:r w:rsidRPr="00D83BF2">
        <w:t xml:space="preserve">item was developed based on proposals of CEPT and ASMG administrations during WRC-15. According to the Radio Regulations (RR) the band 50-54 MHz is allocated to the </w:t>
      </w:r>
      <w:r w:rsidR="00D83BF2" w:rsidRPr="00D83BF2">
        <w:t xml:space="preserve">Amateur </w:t>
      </w:r>
      <w:r w:rsidRPr="00D83BF2">
        <w:t xml:space="preserve">service in Regions 2 and 3. Therefore an allocation of this frequency band to the amateur service in Region </w:t>
      </w:r>
      <w:r w:rsidR="005643FC" w:rsidRPr="00D83BF2">
        <w:t>1</w:t>
      </w:r>
      <w:r w:rsidRPr="00D83BF2">
        <w:t xml:space="preserve"> </w:t>
      </w:r>
      <w:r w:rsidR="00F56394" w:rsidRPr="00D83BF2">
        <w:t>would contribute to</w:t>
      </w:r>
      <w:r w:rsidRPr="00D83BF2">
        <w:t xml:space="preserve"> the harmonized use of this band by amateur service in all ITU-R Regions.</w:t>
      </w:r>
    </w:p>
    <w:p w:rsidR="00000977" w:rsidRPr="00D83BF2" w:rsidRDefault="00F56394" w:rsidP="00000977">
      <w:r w:rsidRPr="00D83BF2">
        <w:t>I</w:t>
      </w:r>
      <w:r w:rsidR="00000977" w:rsidRPr="00D83BF2">
        <w:t xml:space="preserve">n Region 1 the frequency band 50-54 MHz is allocated </w:t>
      </w:r>
      <w:r w:rsidRPr="00D83BF2">
        <w:t xml:space="preserve">in </w:t>
      </w:r>
      <w:r w:rsidR="00CE37BA" w:rsidRPr="00D83BF2">
        <w:t xml:space="preserve">the </w:t>
      </w:r>
      <w:r w:rsidRPr="00D83BF2">
        <w:t xml:space="preserve">RR </w:t>
      </w:r>
      <w:r w:rsidR="00000977" w:rsidRPr="00D83BF2">
        <w:t xml:space="preserve">to </w:t>
      </w:r>
      <w:r w:rsidRPr="00D83BF2">
        <w:t xml:space="preserve">the </w:t>
      </w:r>
      <w:r w:rsidR="00000977" w:rsidRPr="00D83BF2">
        <w:t>broadcasting service on primary basis.</w:t>
      </w:r>
    </w:p>
    <w:p w:rsidR="00000977" w:rsidRPr="00D83BF2" w:rsidRDefault="00000977" w:rsidP="00FC5309">
      <w:pPr>
        <w:tabs>
          <w:tab w:val="left" w:pos="5954"/>
        </w:tabs>
      </w:pPr>
      <w:r w:rsidRPr="00D83BF2">
        <w:t xml:space="preserve">While the Region 1 African countries listed in No </w:t>
      </w:r>
      <w:r w:rsidRPr="00D83BF2">
        <w:rPr>
          <w:rStyle w:val="ECCHLbold"/>
        </w:rPr>
        <w:t>5.169</w:t>
      </w:r>
      <w:r w:rsidRPr="00D83BF2">
        <w:t xml:space="preserve"> have an alternative allocation to the amateur service in the frequency band 50-54 MHz on a primary basis, a number of other Region 1 countries have authorised the use of all or parts of the band 50-52 MHz by the amateur service on a mainly secondary (but sometimes national primary) basis in accordance with No </w:t>
      </w:r>
      <w:r w:rsidRPr="00D83BF2">
        <w:rPr>
          <w:rStyle w:val="ECCHLbold"/>
        </w:rPr>
        <w:t>4.4</w:t>
      </w:r>
      <w:r w:rsidRPr="00D83BF2">
        <w:t>.</w:t>
      </w:r>
    </w:p>
    <w:p w:rsidR="00F85079" w:rsidRPr="00D83BF2" w:rsidRDefault="00000977" w:rsidP="00000977">
      <w:pPr>
        <w:rPr>
          <w:shd w:val="solid" w:color="00FFFF" w:fill="auto"/>
        </w:rPr>
      </w:pPr>
      <w:r w:rsidRPr="00D83BF2">
        <w:t xml:space="preserve">The frequency band 47-68 MHz or part of it, </w:t>
      </w:r>
      <w:r w:rsidR="00F56394" w:rsidRPr="00D83BF2">
        <w:t>also has</w:t>
      </w:r>
      <w:r w:rsidRPr="00D83BF2">
        <w:t xml:space="preserve"> </w:t>
      </w:r>
      <w:r w:rsidR="00F56394" w:rsidRPr="00D83BF2">
        <w:t xml:space="preserve">an </w:t>
      </w:r>
      <w:r w:rsidRPr="00D83BF2">
        <w:t xml:space="preserve">additional allocation to the land mobile service on a primary basis in a number of countries in Region 1 according to No </w:t>
      </w:r>
      <w:r w:rsidRPr="00D83BF2">
        <w:rPr>
          <w:rStyle w:val="ECCHLbold"/>
        </w:rPr>
        <w:t>5.164</w:t>
      </w:r>
      <w:r w:rsidRPr="00D83BF2">
        <w:t>. The frequency band 50-54 MHz is also allocated to the land mobile service on a primary basis as shown in the European Table of Frequency Allocations.</w:t>
      </w:r>
    </w:p>
    <w:p w:rsidR="00F85079" w:rsidRPr="00D83BF2" w:rsidRDefault="00000977" w:rsidP="00000977">
      <w:pPr>
        <w:rPr>
          <w:shd w:val="solid" w:color="00FFFF" w:fill="auto"/>
        </w:rPr>
      </w:pPr>
      <w:r w:rsidRPr="00D83BF2">
        <w:t xml:space="preserve">No </w:t>
      </w:r>
      <w:r w:rsidRPr="00D83BF2">
        <w:rPr>
          <w:rStyle w:val="ECCHLbold"/>
        </w:rPr>
        <w:t>5.162A</w:t>
      </w:r>
      <w:r w:rsidRPr="00D83BF2">
        <w:t xml:space="preserve"> provides for an additional allocation to the radiolocation service on a secondary basis in a number of countries, limited to the operation of </w:t>
      </w:r>
      <w:proofErr w:type="spellStart"/>
      <w:r w:rsidRPr="00D83BF2">
        <w:t>windprofiler</w:t>
      </w:r>
      <w:proofErr w:type="spellEnd"/>
      <w:r w:rsidRPr="00D83BF2">
        <w:t xml:space="preserve"> radars in accordance with Resolution 217 (</w:t>
      </w:r>
      <w:r w:rsidRPr="00D83BF2">
        <w:rPr>
          <w:b/>
        </w:rPr>
        <w:t>WRC-97</w:t>
      </w:r>
      <w:r w:rsidRPr="00D83BF2">
        <w:t>).</w:t>
      </w:r>
    </w:p>
    <w:p w:rsidR="00000977" w:rsidRPr="00D83BF2" w:rsidRDefault="00000977" w:rsidP="00000977">
      <w:proofErr w:type="spellStart"/>
      <w:proofErr w:type="gramStart"/>
      <w:r w:rsidRPr="00D83BF2">
        <w:t>lTU</w:t>
      </w:r>
      <w:proofErr w:type="spellEnd"/>
      <w:r w:rsidRPr="00D83BF2">
        <w:t>-R</w:t>
      </w:r>
      <w:proofErr w:type="gramEnd"/>
      <w:r w:rsidRPr="00D83BF2">
        <w:t xml:space="preserve"> WP 5A was designated as the responsible group for studies under WRC-19 </w:t>
      </w:r>
      <w:r w:rsidR="00D83BF2">
        <w:t>A</w:t>
      </w:r>
      <w:r w:rsidR="00D83BF2" w:rsidRPr="00D83BF2">
        <w:t xml:space="preserve">genda </w:t>
      </w:r>
      <w:r w:rsidRPr="00D83BF2">
        <w:t xml:space="preserve">item 1.1. During its latest meeting (22 May - </w:t>
      </w:r>
      <w:r w:rsidR="0079092F" w:rsidRPr="00D83BF2">
        <w:t xml:space="preserve">1 </w:t>
      </w:r>
      <w:r w:rsidRPr="00D83BF2">
        <w:t xml:space="preserve">June 2017) WP 5A continues work for WRC-19 </w:t>
      </w:r>
      <w:r w:rsidR="00D83BF2">
        <w:t>A</w:t>
      </w:r>
      <w:r w:rsidR="00D83BF2" w:rsidRPr="00D83BF2">
        <w:t xml:space="preserve">genda </w:t>
      </w:r>
      <w:r w:rsidRPr="00D83BF2">
        <w:t xml:space="preserve">item 1.1. The preliminary draft CPM text and work plan for this </w:t>
      </w:r>
      <w:r w:rsidR="00D83BF2">
        <w:t>A</w:t>
      </w:r>
      <w:r w:rsidR="00D83BF2" w:rsidRPr="00D83BF2">
        <w:t xml:space="preserve">genda </w:t>
      </w:r>
      <w:r w:rsidRPr="00D83BF2">
        <w:t>item appear in Annexes 4 and 5 of Doc. 5A/469, respectively. WP 5A developed a working document towards a preliminary draft new Report ITU-R M</w:t>
      </w:r>
      <w:proofErr w:type="gramStart"/>
      <w:r w:rsidRPr="00D83BF2">
        <w:t>.[</w:t>
      </w:r>
      <w:proofErr w:type="gramEnd"/>
      <w:r w:rsidRPr="00D83BF2">
        <w:t>AMATEUR_50_MHz] (Annex 14 of Doc. 5A/469</w:t>
      </w:r>
      <w:r w:rsidRPr="00D83BF2">
        <w:rPr>
          <w:i/>
          <w:iCs/>
        </w:rPr>
        <w:t>).</w:t>
      </w:r>
      <w:r w:rsidRPr="00D83BF2">
        <w:t>This PDNR includes studies on spectrum needs, sharing and compatibility. WP 5A noted the need to continue work on these studies during next meeting, as a lot of issues still need to be clarified (e.g. more explanation of a method determining spectrum needs is required as well as some assumptions for others studies also should be clarified). It was also noted that the preliminary draft. CPM text is in a very early stage and needs further developing.</w:t>
      </w:r>
    </w:p>
    <w:p w:rsidR="00A02840" w:rsidRPr="00D83BF2" w:rsidRDefault="009E4913" w:rsidP="00000977">
      <w:pPr>
        <w:rPr>
          <w:rStyle w:val="ECCParagraph"/>
        </w:rPr>
      </w:pPr>
      <w:r w:rsidRPr="00D83BF2">
        <w:rPr>
          <w:rStyle w:val="ECCParagraph"/>
        </w:rPr>
        <w:lastRenderedPageBreak/>
        <w:t>The amateur community highlighted their need to access the band 50-54 MHz or parts therein on a primary basis in order to secure its operation in the future. </w:t>
      </w:r>
    </w:p>
    <w:p w:rsidR="005643FC" w:rsidRPr="00D83BF2" w:rsidRDefault="005643FC" w:rsidP="005643FC">
      <w:pPr>
        <w:pStyle w:val="ECCEditorsNote"/>
        <w:rPr>
          <w:lang w:val="en-GB"/>
        </w:rPr>
      </w:pPr>
      <w:r w:rsidRPr="00D83BF2">
        <w:rPr>
          <w:lang w:val="en-GB"/>
        </w:rPr>
        <w:t>further justification is to be provided</w:t>
      </w:r>
    </w:p>
    <w:p w:rsidR="003E16D9" w:rsidRPr="00D83BF2" w:rsidRDefault="003E16D9" w:rsidP="003E16D9">
      <w:pPr>
        <w:pStyle w:val="berschrift2"/>
        <w:rPr>
          <w:lang w:val="en-GB"/>
        </w:rPr>
      </w:pPr>
      <w:r w:rsidRPr="00D83BF2">
        <w:rPr>
          <w:lang w:val="en-GB"/>
        </w:rPr>
        <w:t>Spectrum Needs Summary</w:t>
      </w:r>
    </w:p>
    <w:p w:rsidR="007F180E" w:rsidRPr="00D83BF2" w:rsidRDefault="007F180E" w:rsidP="007F180E">
      <w:pPr>
        <w:rPr>
          <w:rStyle w:val="ECCParagraph"/>
        </w:rPr>
      </w:pPr>
      <w:r w:rsidRPr="00D83BF2">
        <w:rPr>
          <w:rStyle w:val="ECCParagraph"/>
        </w:rPr>
        <w:t xml:space="preserve">An application-based approach to assess amateur spectrum needs for the frequency band 50–54 MHz </w:t>
      </w:r>
      <w:r w:rsidR="003A2BD8" w:rsidRPr="00D83BF2">
        <w:rPr>
          <w:rStyle w:val="ECCParagraph"/>
        </w:rPr>
        <w:t xml:space="preserve">has been </w:t>
      </w:r>
      <w:r w:rsidRPr="00D83BF2">
        <w:rPr>
          <w:rStyle w:val="ECCParagraph"/>
        </w:rPr>
        <w:t>consider</w:t>
      </w:r>
      <w:r w:rsidR="00383E0C" w:rsidRPr="00D83BF2">
        <w:rPr>
          <w:rStyle w:val="ECCParagraph"/>
        </w:rPr>
        <w:t>ed</w:t>
      </w:r>
      <w:r w:rsidR="0040511C" w:rsidRPr="00D83BF2">
        <w:rPr>
          <w:rStyle w:val="ECCParagraph"/>
        </w:rPr>
        <w:t>.</w:t>
      </w:r>
    </w:p>
    <w:p w:rsidR="00F87737" w:rsidRPr="00D83BF2" w:rsidRDefault="00FA25DD" w:rsidP="00F87737">
      <w:r w:rsidRPr="00D83BF2">
        <w:fldChar w:fldCharType="begin"/>
      </w:r>
      <w:r w:rsidRPr="00D83BF2">
        <w:instrText xml:space="preserve"> REF _Ref474338967 \h </w:instrText>
      </w:r>
      <w:r w:rsidRPr="00D83BF2">
        <w:fldChar w:fldCharType="separate"/>
      </w:r>
      <w:r w:rsidRPr="00D83BF2">
        <w:t>Table 1</w:t>
      </w:r>
      <w:r w:rsidRPr="00D83BF2">
        <w:fldChar w:fldCharType="end"/>
      </w:r>
      <w:r w:rsidR="00F87737" w:rsidRPr="00D83BF2">
        <w:t xml:space="preserve"> shows a comparison between two calculations. The</w:t>
      </w:r>
      <w:r w:rsidR="00B54CE4" w:rsidRPr="00D83BF2">
        <w:t>se</w:t>
      </w:r>
      <w:r w:rsidR="00F87737" w:rsidRPr="00D83BF2">
        <w:t xml:space="preserve"> calculations reflect the achieved results according to different densities taken into account.</w:t>
      </w:r>
    </w:p>
    <w:p w:rsidR="00C34133" w:rsidRPr="00D83BF2" w:rsidRDefault="00FA25DD" w:rsidP="00C34133">
      <w:pPr>
        <w:pStyle w:val="Beschriftung"/>
        <w:rPr>
          <w:lang w:val="en-GB"/>
        </w:rPr>
      </w:pPr>
      <w:bookmarkStart w:id="1" w:name="_Ref474338967"/>
      <w:r w:rsidRPr="00D83BF2">
        <w:rPr>
          <w:lang w:val="en-GB"/>
        </w:rPr>
        <w:t xml:space="preserve">Table </w:t>
      </w:r>
      <w:r w:rsidRPr="00D83BF2">
        <w:rPr>
          <w:lang w:val="en-GB"/>
        </w:rPr>
        <w:fldChar w:fldCharType="begin"/>
      </w:r>
      <w:r w:rsidRPr="00D83BF2">
        <w:rPr>
          <w:lang w:val="en-GB"/>
        </w:rPr>
        <w:instrText xml:space="preserve"> SEQ Table \* ARABIC </w:instrText>
      </w:r>
      <w:r w:rsidRPr="00D83BF2">
        <w:rPr>
          <w:lang w:val="en-GB"/>
        </w:rPr>
        <w:fldChar w:fldCharType="separate"/>
      </w:r>
      <w:r w:rsidRPr="00D83BF2">
        <w:rPr>
          <w:lang w:val="en-GB"/>
        </w:rPr>
        <w:t>1</w:t>
      </w:r>
      <w:r w:rsidRPr="00D83BF2">
        <w:rPr>
          <w:lang w:val="en-GB"/>
        </w:rPr>
        <w:fldChar w:fldCharType="end"/>
      </w:r>
      <w:bookmarkEnd w:id="1"/>
      <w:r w:rsidRPr="00D83BF2">
        <w:rPr>
          <w:lang w:val="en-GB"/>
        </w:rPr>
        <w:t>: Required spectrum for amateurs in the 50-54 MHz band</w:t>
      </w:r>
    </w:p>
    <w:tbl>
      <w:tblPr>
        <w:tblStyle w:val="ECCTable-redheader"/>
        <w:tblW w:w="0" w:type="auto"/>
        <w:tblInd w:w="0" w:type="dxa"/>
        <w:tblLook w:val="04A0" w:firstRow="1" w:lastRow="0" w:firstColumn="1" w:lastColumn="0" w:noHBand="0" w:noVBand="1"/>
      </w:tblPr>
      <w:tblGrid>
        <w:gridCol w:w="4085"/>
        <w:gridCol w:w="1217"/>
        <w:gridCol w:w="1894"/>
        <w:gridCol w:w="1276"/>
        <w:gridCol w:w="1383"/>
      </w:tblGrid>
      <w:tr w:rsidR="00F87737" w:rsidRPr="00D83BF2" w:rsidTr="00955B74">
        <w:trPr>
          <w:cnfStyle w:val="100000000000" w:firstRow="1" w:lastRow="0" w:firstColumn="0" w:lastColumn="0" w:oddVBand="0" w:evenVBand="0" w:oddHBand="0" w:evenHBand="0" w:firstRowFirstColumn="0" w:firstRowLastColumn="0" w:lastRowFirstColumn="0" w:lastRowLastColumn="0"/>
        </w:trPr>
        <w:tc>
          <w:tcPr>
            <w:tcW w:w="9855" w:type="dxa"/>
            <w:gridSpan w:val="5"/>
          </w:tcPr>
          <w:p w:rsidR="00F87737" w:rsidRPr="00D83BF2" w:rsidRDefault="005643FC" w:rsidP="00955B74">
            <w:pPr>
              <w:pStyle w:val="ECCTableHeaderwhitefont"/>
            </w:pPr>
            <w:r w:rsidRPr="00D83BF2">
              <w:t>Required Spectrum (MHz)</w:t>
            </w:r>
          </w:p>
        </w:tc>
      </w:tr>
      <w:tr w:rsidR="00955B74" w:rsidRPr="00D83BF2" w:rsidTr="00955B74">
        <w:tc>
          <w:tcPr>
            <w:tcW w:w="4085" w:type="dxa"/>
            <w:vMerge w:val="restart"/>
          </w:tcPr>
          <w:p w:rsidR="00F87737" w:rsidRPr="00D83BF2" w:rsidRDefault="00F87737" w:rsidP="00955B74">
            <w:pPr>
              <w:pStyle w:val="ECCTabletext"/>
            </w:pPr>
            <w:r w:rsidRPr="00D83BF2">
              <w:t>Amateur Applications</w:t>
            </w:r>
          </w:p>
        </w:tc>
        <w:tc>
          <w:tcPr>
            <w:tcW w:w="3111" w:type="dxa"/>
            <w:gridSpan w:val="2"/>
          </w:tcPr>
          <w:p w:rsidR="00F87737" w:rsidRPr="00D83BF2" w:rsidRDefault="00F87737" w:rsidP="00955B74">
            <w:pPr>
              <w:pStyle w:val="ECCTabletext"/>
            </w:pPr>
            <w:r w:rsidRPr="00D83BF2">
              <w:t>Results calculated with parameters based on a traffic measurement approach</w:t>
            </w:r>
          </w:p>
        </w:tc>
        <w:tc>
          <w:tcPr>
            <w:tcW w:w="2659" w:type="dxa"/>
            <w:gridSpan w:val="2"/>
          </w:tcPr>
          <w:p w:rsidR="00F87737" w:rsidRPr="00D83BF2" w:rsidRDefault="00F87737" w:rsidP="00955B74">
            <w:pPr>
              <w:pStyle w:val="ECCTabletext"/>
            </w:pPr>
            <w:r w:rsidRPr="00D83BF2">
              <w:t>Results calculated based on estimated parameters</w:t>
            </w:r>
          </w:p>
        </w:tc>
      </w:tr>
      <w:tr w:rsidR="00955B74" w:rsidRPr="00D83BF2" w:rsidTr="00955B74">
        <w:tc>
          <w:tcPr>
            <w:tcW w:w="4085" w:type="dxa"/>
            <w:vMerge/>
          </w:tcPr>
          <w:p w:rsidR="00F87737" w:rsidRPr="00D83BF2" w:rsidRDefault="00F87737" w:rsidP="00955B74">
            <w:pPr>
              <w:pStyle w:val="ECCTabletext"/>
            </w:pPr>
          </w:p>
        </w:tc>
        <w:tc>
          <w:tcPr>
            <w:tcW w:w="1217" w:type="dxa"/>
          </w:tcPr>
          <w:p w:rsidR="00F87737" w:rsidRPr="00D83BF2" w:rsidRDefault="00F87737" w:rsidP="00955B74">
            <w:pPr>
              <w:pStyle w:val="ECCTabletext"/>
            </w:pPr>
            <w:r w:rsidRPr="00D83BF2">
              <w:t>Average use* (</w:t>
            </w:r>
            <w:proofErr w:type="spellStart"/>
            <w:r w:rsidRPr="00D83BF2">
              <w:t>avg</w:t>
            </w:r>
            <w:proofErr w:type="spellEnd"/>
            <w:r w:rsidRPr="00D83BF2">
              <w:t>)</w:t>
            </w:r>
          </w:p>
        </w:tc>
        <w:tc>
          <w:tcPr>
            <w:tcW w:w="1894" w:type="dxa"/>
          </w:tcPr>
          <w:p w:rsidR="00F87737" w:rsidRPr="00D83BF2" w:rsidRDefault="00F87737" w:rsidP="00955B74">
            <w:pPr>
              <w:pStyle w:val="ECCTabletext"/>
            </w:pPr>
            <w:r w:rsidRPr="00D83BF2">
              <w:t>Maximum use** (max)</w:t>
            </w:r>
          </w:p>
        </w:tc>
        <w:tc>
          <w:tcPr>
            <w:tcW w:w="1276" w:type="dxa"/>
          </w:tcPr>
          <w:p w:rsidR="00F87737" w:rsidRPr="00D83BF2" w:rsidRDefault="00F87737" w:rsidP="00955B74">
            <w:pPr>
              <w:pStyle w:val="ECCTabletext"/>
            </w:pPr>
            <w:r w:rsidRPr="00D83BF2">
              <w:t>Calculation</w:t>
            </w:r>
          </w:p>
        </w:tc>
        <w:tc>
          <w:tcPr>
            <w:tcW w:w="1383" w:type="dxa"/>
          </w:tcPr>
          <w:p w:rsidR="00F87737" w:rsidRPr="00D83BF2" w:rsidRDefault="00F87737" w:rsidP="00955B74">
            <w:pPr>
              <w:pStyle w:val="ECCTabletext"/>
            </w:pPr>
            <w:r w:rsidRPr="00D83BF2">
              <w:t>Band plan</w:t>
            </w:r>
          </w:p>
        </w:tc>
      </w:tr>
      <w:tr w:rsidR="00955B74" w:rsidRPr="00D83BF2" w:rsidTr="00955B74">
        <w:tc>
          <w:tcPr>
            <w:tcW w:w="4085" w:type="dxa"/>
          </w:tcPr>
          <w:p w:rsidR="00F87737" w:rsidRPr="00D83BF2" w:rsidRDefault="00F87737" w:rsidP="00955B74">
            <w:pPr>
              <w:pStyle w:val="ECCTabletext"/>
            </w:pPr>
            <w:r w:rsidRPr="00D83BF2">
              <w:t>SSB, FM, WB</w:t>
            </w:r>
          </w:p>
        </w:tc>
        <w:tc>
          <w:tcPr>
            <w:tcW w:w="1217" w:type="dxa"/>
          </w:tcPr>
          <w:p w:rsidR="00F87737" w:rsidRPr="00D83BF2" w:rsidRDefault="00F87737" w:rsidP="00955B74">
            <w:pPr>
              <w:pStyle w:val="ECCTabletext"/>
            </w:pPr>
            <w:r w:rsidRPr="00D83BF2">
              <w:t>0.540</w:t>
            </w:r>
          </w:p>
        </w:tc>
        <w:tc>
          <w:tcPr>
            <w:tcW w:w="1894" w:type="dxa"/>
          </w:tcPr>
          <w:p w:rsidR="00F87737" w:rsidRPr="00D83BF2" w:rsidRDefault="00F87737" w:rsidP="00955B74">
            <w:pPr>
              <w:pStyle w:val="ECCTabletext"/>
            </w:pPr>
            <w:r w:rsidRPr="00D83BF2">
              <w:t>0.765</w:t>
            </w:r>
          </w:p>
        </w:tc>
        <w:tc>
          <w:tcPr>
            <w:tcW w:w="1276" w:type="dxa"/>
          </w:tcPr>
          <w:p w:rsidR="00F87737" w:rsidRPr="00D83BF2" w:rsidRDefault="00F87737" w:rsidP="00955B74">
            <w:pPr>
              <w:pStyle w:val="ECCTabletext"/>
            </w:pPr>
            <w:r w:rsidRPr="00D83BF2">
              <w:t>0.712</w:t>
            </w:r>
          </w:p>
        </w:tc>
        <w:tc>
          <w:tcPr>
            <w:tcW w:w="1383" w:type="dxa"/>
          </w:tcPr>
          <w:p w:rsidR="00F87737" w:rsidRPr="00D83BF2" w:rsidRDefault="00F87737" w:rsidP="00955B74">
            <w:pPr>
              <w:pStyle w:val="ECCTabletext"/>
            </w:pPr>
            <w:r w:rsidRPr="00D83BF2">
              <w:t>0.925*****</w:t>
            </w:r>
          </w:p>
        </w:tc>
      </w:tr>
      <w:tr w:rsidR="00955B74" w:rsidRPr="00D83BF2" w:rsidTr="00955B74">
        <w:tc>
          <w:tcPr>
            <w:tcW w:w="4085" w:type="dxa"/>
          </w:tcPr>
          <w:p w:rsidR="00F87737" w:rsidRPr="00D83BF2" w:rsidRDefault="00F87737" w:rsidP="00955B74">
            <w:pPr>
              <w:pStyle w:val="ECCTabletext"/>
            </w:pPr>
            <w:r w:rsidRPr="00D83BF2">
              <w:t>SSB, FM, WB, Repeaters</w:t>
            </w:r>
          </w:p>
        </w:tc>
        <w:tc>
          <w:tcPr>
            <w:tcW w:w="1217" w:type="dxa"/>
          </w:tcPr>
          <w:p w:rsidR="00F87737" w:rsidRPr="00D83BF2" w:rsidRDefault="00F87737" w:rsidP="00955B74">
            <w:pPr>
              <w:pStyle w:val="ECCTabletext"/>
            </w:pPr>
            <w:r w:rsidRPr="00D83BF2">
              <w:t>0.740</w:t>
            </w:r>
          </w:p>
        </w:tc>
        <w:tc>
          <w:tcPr>
            <w:tcW w:w="1894" w:type="dxa"/>
          </w:tcPr>
          <w:p w:rsidR="00F87737" w:rsidRPr="00D83BF2" w:rsidRDefault="00F87737" w:rsidP="00955B74">
            <w:pPr>
              <w:pStyle w:val="ECCTabletext"/>
            </w:pPr>
            <w:r w:rsidRPr="00D83BF2">
              <w:t>1.865****</w:t>
            </w:r>
          </w:p>
        </w:tc>
        <w:tc>
          <w:tcPr>
            <w:tcW w:w="1276" w:type="dxa"/>
          </w:tcPr>
          <w:p w:rsidR="00F87737" w:rsidRPr="00D83BF2" w:rsidRDefault="00F87737" w:rsidP="00955B74">
            <w:pPr>
              <w:pStyle w:val="ECCTabletext"/>
            </w:pPr>
            <w:r w:rsidRPr="00D83BF2">
              <w:t>1.662</w:t>
            </w:r>
          </w:p>
        </w:tc>
        <w:tc>
          <w:tcPr>
            <w:tcW w:w="1383" w:type="dxa"/>
          </w:tcPr>
          <w:p w:rsidR="00F87737" w:rsidRPr="00D83BF2" w:rsidRDefault="00F87737" w:rsidP="00955B74">
            <w:pPr>
              <w:pStyle w:val="ECCTabletext"/>
            </w:pPr>
            <w:r w:rsidRPr="00D83BF2">
              <w:t>1.875</w:t>
            </w:r>
          </w:p>
        </w:tc>
      </w:tr>
      <w:tr w:rsidR="00955B74" w:rsidRPr="00D83BF2" w:rsidTr="00955B74">
        <w:tc>
          <w:tcPr>
            <w:tcW w:w="4085" w:type="dxa"/>
          </w:tcPr>
          <w:p w:rsidR="00F87737" w:rsidRPr="00D83BF2" w:rsidRDefault="00F87737" w:rsidP="00955B74">
            <w:pPr>
              <w:pStyle w:val="ECCTabletext"/>
            </w:pPr>
            <w:r w:rsidRPr="00D83BF2">
              <w:t>SSB, FM, WB, Repeaters, Infrastructure</w:t>
            </w:r>
          </w:p>
        </w:tc>
        <w:tc>
          <w:tcPr>
            <w:tcW w:w="1217" w:type="dxa"/>
          </w:tcPr>
          <w:p w:rsidR="00F87737" w:rsidRPr="00D83BF2" w:rsidRDefault="00F87737" w:rsidP="00955B74">
            <w:pPr>
              <w:pStyle w:val="ECCTabletext"/>
            </w:pPr>
            <w:r w:rsidRPr="00D83BF2">
              <w:t>1.240</w:t>
            </w:r>
          </w:p>
        </w:tc>
        <w:tc>
          <w:tcPr>
            <w:tcW w:w="1894" w:type="dxa"/>
          </w:tcPr>
          <w:p w:rsidR="00F87737" w:rsidRPr="00D83BF2" w:rsidRDefault="00F87737" w:rsidP="00955B74">
            <w:pPr>
              <w:pStyle w:val="ECCTabletext"/>
            </w:pPr>
            <w:r w:rsidRPr="00D83BF2">
              <w:t>4.865****</w:t>
            </w:r>
          </w:p>
          <w:p w:rsidR="00F87737" w:rsidRPr="00D83BF2" w:rsidRDefault="00F87737" w:rsidP="00955B74">
            <w:pPr>
              <w:pStyle w:val="ECCTabletext"/>
            </w:pPr>
          </w:p>
        </w:tc>
        <w:tc>
          <w:tcPr>
            <w:tcW w:w="1276" w:type="dxa"/>
          </w:tcPr>
          <w:p w:rsidR="00F87737" w:rsidRPr="00D83BF2" w:rsidRDefault="00F87737" w:rsidP="00955B74">
            <w:pPr>
              <w:pStyle w:val="ECCTabletext"/>
            </w:pPr>
            <w:r w:rsidRPr="00D83BF2">
              <w:t>4.162</w:t>
            </w:r>
          </w:p>
        </w:tc>
        <w:tc>
          <w:tcPr>
            <w:tcW w:w="1383" w:type="dxa"/>
          </w:tcPr>
          <w:p w:rsidR="00F87737" w:rsidRPr="00D83BF2" w:rsidRDefault="00F87737" w:rsidP="00955B74">
            <w:pPr>
              <w:pStyle w:val="ECCTabletext"/>
            </w:pPr>
            <w:r w:rsidRPr="00D83BF2">
              <w:t>3.475</w:t>
            </w:r>
          </w:p>
        </w:tc>
      </w:tr>
      <w:tr w:rsidR="00955B74" w:rsidRPr="00D83BF2" w:rsidTr="00955B74">
        <w:tc>
          <w:tcPr>
            <w:tcW w:w="4085" w:type="dxa"/>
          </w:tcPr>
          <w:p w:rsidR="00F87737" w:rsidRPr="00D83BF2" w:rsidRDefault="00F87737" w:rsidP="00955B74">
            <w:pPr>
              <w:pStyle w:val="ECCTabletext"/>
            </w:pPr>
            <w:r w:rsidRPr="00D83BF2">
              <w:t>Repeaters (</w:t>
            </w:r>
            <w:proofErr w:type="spellStart"/>
            <w:r w:rsidRPr="00D83BF2">
              <w:t>avg</w:t>
            </w:r>
            <w:proofErr w:type="spellEnd"/>
            <w:r w:rsidRPr="00D83BF2">
              <w:t>);WB, SSB, FM (max)</w:t>
            </w:r>
          </w:p>
        </w:tc>
        <w:tc>
          <w:tcPr>
            <w:tcW w:w="3111" w:type="dxa"/>
            <w:gridSpan w:val="2"/>
          </w:tcPr>
          <w:p w:rsidR="00F87737" w:rsidRPr="00D83BF2" w:rsidRDefault="00F87737" w:rsidP="00955B74">
            <w:pPr>
              <w:pStyle w:val="ECCTabletext"/>
            </w:pPr>
            <w:r w:rsidRPr="00D83BF2">
              <w:t>0.965</w:t>
            </w:r>
          </w:p>
        </w:tc>
        <w:tc>
          <w:tcPr>
            <w:tcW w:w="1276" w:type="dxa"/>
          </w:tcPr>
          <w:p w:rsidR="00F87737" w:rsidRPr="00D83BF2" w:rsidRDefault="00F87737" w:rsidP="00955B74">
            <w:pPr>
              <w:pStyle w:val="ECCTabletext"/>
            </w:pPr>
            <w:r w:rsidRPr="00D83BF2">
              <w:t>-</w:t>
            </w:r>
          </w:p>
        </w:tc>
        <w:tc>
          <w:tcPr>
            <w:tcW w:w="1383" w:type="dxa"/>
          </w:tcPr>
          <w:p w:rsidR="00F87737" w:rsidRPr="00D83BF2" w:rsidRDefault="00F87737" w:rsidP="00955B74">
            <w:pPr>
              <w:pStyle w:val="ECCTabletext"/>
            </w:pPr>
            <w:r w:rsidRPr="00D83BF2">
              <w:t>-</w:t>
            </w:r>
          </w:p>
        </w:tc>
      </w:tr>
      <w:tr w:rsidR="00F87737" w:rsidRPr="00D83BF2" w:rsidTr="00955B74">
        <w:tc>
          <w:tcPr>
            <w:tcW w:w="9855" w:type="dxa"/>
            <w:gridSpan w:val="5"/>
          </w:tcPr>
          <w:p w:rsidR="00F87737" w:rsidRPr="00D83BF2" w:rsidRDefault="00F87737" w:rsidP="00955B74">
            <w:pPr>
              <w:pStyle w:val="ECCTabletext"/>
            </w:pPr>
            <w:r w:rsidRPr="00D83BF2">
              <w:t>Remarks / Parameters</w:t>
            </w:r>
          </w:p>
        </w:tc>
      </w:tr>
      <w:tr w:rsidR="00955B74" w:rsidRPr="00D83BF2" w:rsidTr="00955B74">
        <w:tc>
          <w:tcPr>
            <w:tcW w:w="4085" w:type="dxa"/>
          </w:tcPr>
          <w:p w:rsidR="00F87737" w:rsidRPr="00D83BF2" w:rsidRDefault="00F87737" w:rsidP="00955B74">
            <w:pPr>
              <w:pStyle w:val="ECCTabletext"/>
            </w:pPr>
            <w:r w:rsidRPr="00D83BF2">
              <w:t>Amateur License density</w:t>
            </w:r>
          </w:p>
        </w:tc>
        <w:tc>
          <w:tcPr>
            <w:tcW w:w="1217" w:type="dxa"/>
          </w:tcPr>
          <w:p w:rsidR="00F87737" w:rsidRPr="00D83BF2" w:rsidRDefault="00F87737" w:rsidP="00955B74">
            <w:pPr>
              <w:pStyle w:val="ECCTabletext"/>
            </w:pPr>
            <w:r w:rsidRPr="00D83BF2">
              <w:t>0.117</w:t>
            </w:r>
            <w:r w:rsidRPr="00D83BF2">
              <w:br/>
              <w:t>(forecasted SUI density)</w:t>
            </w:r>
          </w:p>
        </w:tc>
        <w:tc>
          <w:tcPr>
            <w:tcW w:w="1894" w:type="dxa"/>
          </w:tcPr>
          <w:p w:rsidR="00F87737" w:rsidRPr="00D83BF2" w:rsidRDefault="00F87737" w:rsidP="00955B74">
            <w:pPr>
              <w:pStyle w:val="ECCTabletext"/>
            </w:pPr>
            <w:r w:rsidRPr="00D83BF2">
              <w:t>0.117</w:t>
            </w:r>
            <w:r w:rsidRPr="00D83BF2">
              <w:br/>
              <w:t>(forecasted SUI density)</w:t>
            </w:r>
          </w:p>
        </w:tc>
        <w:tc>
          <w:tcPr>
            <w:tcW w:w="1276" w:type="dxa"/>
          </w:tcPr>
          <w:p w:rsidR="00F87737" w:rsidRPr="00D83BF2" w:rsidRDefault="00F87737" w:rsidP="00955B74">
            <w:pPr>
              <w:pStyle w:val="ECCTabletext"/>
            </w:pPr>
            <w:r w:rsidRPr="00D83BF2">
              <w:t>0.07</w:t>
            </w:r>
            <w:r w:rsidRPr="00D83BF2">
              <w:br/>
              <w:t>(average European density)</w:t>
            </w:r>
          </w:p>
        </w:tc>
        <w:tc>
          <w:tcPr>
            <w:tcW w:w="1383" w:type="dxa"/>
          </w:tcPr>
          <w:p w:rsidR="00F87737" w:rsidRPr="00D83BF2" w:rsidRDefault="00F87737" w:rsidP="00955B74">
            <w:pPr>
              <w:pStyle w:val="ECCTabletext"/>
            </w:pPr>
            <w:r w:rsidRPr="00D83BF2">
              <w:t>-</w:t>
            </w:r>
          </w:p>
        </w:tc>
      </w:tr>
      <w:tr w:rsidR="00955B74" w:rsidRPr="00D83BF2" w:rsidTr="00955B74">
        <w:tc>
          <w:tcPr>
            <w:tcW w:w="4085" w:type="dxa"/>
          </w:tcPr>
          <w:p w:rsidR="00F87737" w:rsidRPr="00D83BF2" w:rsidRDefault="00F87737" w:rsidP="00955B74">
            <w:pPr>
              <w:pStyle w:val="ECCTabletext"/>
            </w:pPr>
            <w:r w:rsidRPr="00D83BF2">
              <w:t>Amateur Station density using 50 MHz frequency band</w:t>
            </w:r>
          </w:p>
        </w:tc>
        <w:tc>
          <w:tcPr>
            <w:tcW w:w="1217" w:type="dxa"/>
          </w:tcPr>
          <w:p w:rsidR="00F87737" w:rsidRPr="00D83BF2" w:rsidRDefault="00F87737" w:rsidP="00955B74">
            <w:pPr>
              <w:pStyle w:val="ECCTabletext"/>
            </w:pPr>
            <w:r w:rsidRPr="00D83BF2">
              <w:t>0.00936</w:t>
            </w:r>
            <w:r w:rsidRPr="00D83BF2">
              <w:br/>
              <w:t>(forecasted SUI density)</w:t>
            </w:r>
          </w:p>
        </w:tc>
        <w:tc>
          <w:tcPr>
            <w:tcW w:w="1894" w:type="dxa"/>
          </w:tcPr>
          <w:p w:rsidR="00F87737" w:rsidRPr="00D83BF2" w:rsidRDefault="00F87737" w:rsidP="00955B74">
            <w:pPr>
              <w:pStyle w:val="ECCTabletext"/>
            </w:pPr>
            <w:r w:rsidRPr="00D83BF2">
              <w:t>0.00936</w:t>
            </w:r>
            <w:r w:rsidRPr="00D83BF2">
              <w:br/>
              <w:t>(forecasted SUI density)</w:t>
            </w:r>
          </w:p>
        </w:tc>
        <w:tc>
          <w:tcPr>
            <w:tcW w:w="1276" w:type="dxa"/>
          </w:tcPr>
          <w:p w:rsidR="00F87737" w:rsidRPr="00D83BF2" w:rsidRDefault="00F87737" w:rsidP="00955B74">
            <w:pPr>
              <w:pStyle w:val="ECCTabletext"/>
            </w:pPr>
            <w:r w:rsidRPr="00D83BF2">
              <w:t>0.0056</w:t>
            </w:r>
            <w:r w:rsidRPr="00D83BF2">
              <w:br/>
              <w:t>(average European density)</w:t>
            </w:r>
          </w:p>
        </w:tc>
        <w:tc>
          <w:tcPr>
            <w:tcW w:w="1383" w:type="dxa"/>
          </w:tcPr>
          <w:p w:rsidR="00F87737" w:rsidRPr="00D83BF2" w:rsidRDefault="00F87737" w:rsidP="00955B74">
            <w:pPr>
              <w:pStyle w:val="ECCTabletext"/>
            </w:pPr>
            <w:r w:rsidRPr="00D83BF2">
              <w:t>-</w:t>
            </w:r>
          </w:p>
        </w:tc>
      </w:tr>
      <w:tr w:rsidR="00955B74" w:rsidRPr="00D83BF2" w:rsidTr="00955B74">
        <w:tc>
          <w:tcPr>
            <w:tcW w:w="4085" w:type="dxa"/>
          </w:tcPr>
          <w:p w:rsidR="00F87737" w:rsidRPr="00D83BF2" w:rsidRDefault="00F87737" w:rsidP="00955B74">
            <w:pPr>
              <w:pStyle w:val="ECCTabletext"/>
            </w:pPr>
            <w:r w:rsidRPr="00D83BF2">
              <w:t>Fraction of Amateurs Stations which are active</w:t>
            </w:r>
          </w:p>
        </w:tc>
        <w:tc>
          <w:tcPr>
            <w:tcW w:w="1217" w:type="dxa"/>
          </w:tcPr>
          <w:p w:rsidR="00F87737" w:rsidRPr="00D83BF2" w:rsidRDefault="00F87737" w:rsidP="00955B74">
            <w:pPr>
              <w:pStyle w:val="ECCTabletext"/>
            </w:pPr>
            <w:r w:rsidRPr="00D83BF2">
              <w:t>10.3%***</w:t>
            </w:r>
          </w:p>
        </w:tc>
        <w:tc>
          <w:tcPr>
            <w:tcW w:w="1894" w:type="dxa"/>
          </w:tcPr>
          <w:p w:rsidR="00F87737" w:rsidRPr="00D83BF2" w:rsidRDefault="00F87737" w:rsidP="00955B74">
            <w:pPr>
              <w:pStyle w:val="ECCTabletext"/>
            </w:pPr>
            <w:r w:rsidRPr="00D83BF2">
              <w:t>74.7%</w:t>
            </w:r>
          </w:p>
        </w:tc>
        <w:tc>
          <w:tcPr>
            <w:tcW w:w="1276" w:type="dxa"/>
          </w:tcPr>
          <w:p w:rsidR="00F87737" w:rsidRPr="00D83BF2" w:rsidRDefault="00F87737" w:rsidP="00955B74">
            <w:pPr>
              <w:pStyle w:val="ECCTabletext"/>
            </w:pPr>
            <w:r w:rsidRPr="00D83BF2">
              <w:t>100%</w:t>
            </w:r>
          </w:p>
        </w:tc>
        <w:tc>
          <w:tcPr>
            <w:tcW w:w="1383" w:type="dxa"/>
          </w:tcPr>
          <w:p w:rsidR="00F87737" w:rsidRPr="00D83BF2" w:rsidRDefault="00F87737" w:rsidP="00955B74">
            <w:pPr>
              <w:pStyle w:val="ECCTabletext"/>
            </w:pPr>
            <w:r w:rsidRPr="00D83BF2">
              <w:t>-</w:t>
            </w:r>
          </w:p>
        </w:tc>
      </w:tr>
      <w:tr w:rsidR="00955B74" w:rsidRPr="00D83BF2" w:rsidTr="00955B74">
        <w:tc>
          <w:tcPr>
            <w:tcW w:w="4085" w:type="dxa"/>
          </w:tcPr>
          <w:p w:rsidR="00F87737" w:rsidRPr="00D83BF2" w:rsidRDefault="00F87737" w:rsidP="00955B74">
            <w:pPr>
              <w:pStyle w:val="ECCTabletext"/>
            </w:pPr>
            <w:r w:rsidRPr="00D83BF2">
              <w:t>Fraction of time where the spectrum is required</w:t>
            </w:r>
          </w:p>
        </w:tc>
        <w:tc>
          <w:tcPr>
            <w:tcW w:w="1217" w:type="dxa"/>
          </w:tcPr>
          <w:p w:rsidR="00F87737" w:rsidRPr="00D83BF2" w:rsidRDefault="00F87737" w:rsidP="00955B74">
            <w:pPr>
              <w:pStyle w:val="ECCTabletext"/>
            </w:pPr>
            <w:r w:rsidRPr="00D83BF2">
              <w:t>98%</w:t>
            </w:r>
          </w:p>
        </w:tc>
        <w:tc>
          <w:tcPr>
            <w:tcW w:w="1894" w:type="dxa"/>
          </w:tcPr>
          <w:p w:rsidR="00F87737" w:rsidRPr="00D83BF2" w:rsidRDefault="00F87737" w:rsidP="00955B74">
            <w:pPr>
              <w:pStyle w:val="ECCTabletext"/>
            </w:pPr>
            <w:r w:rsidRPr="00D83BF2">
              <w:t>2%</w:t>
            </w:r>
          </w:p>
        </w:tc>
        <w:tc>
          <w:tcPr>
            <w:tcW w:w="1276" w:type="dxa"/>
          </w:tcPr>
          <w:p w:rsidR="00F87737" w:rsidRPr="00D83BF2" w:rsidRDefault="00F87737" w:rsidP="00955B74">
            <w:pPr>
              <w:pStyle w:val="ECCTabletext"/>
            </w:pPr>
            <w:r w:rsidRPr="00D83BF2">
              <w:t>-</w:t>
            </w:r>
          </w:p>
        </w:tc>
        <w:tc>
          <w:tcPr>
            <w:tcW w:w="1383" w:type="dxa"/>
          </w:tcPr>
          <w:p w:rsidR="00F87737" w:rsidRPr="00D83BF2" w:rsidRDefault="00F87737" w:rsidP="00955B74">
            <w:pPr>
              <w:pStyle w:val="ECCTabletext"/>
            </w:pPr>
            <w:r w:rsidRPr="00D83BF2">
              <w:t>-</w:t>
            </w:r>
          </w:p>
        </w:tc>
      </w:tr>
    </w:tbl>
    <w:p w:rsidR="00F87737" w:rsidRPr="00D83BF2" w:rsidRDefault="00C34133" w:rsidP="00C34133">
      <w:pPr>
        <w:pStyle w:val="ECCTablenote"/>
      </w:pPr>
      <w:r w:rsidRPr="00D83BF2">
        <w:t>*</w:t>
      </w:r>
      <w:r w:rsidR="00F87737" w:rsidRPr="00D83BF2">
        <w:t>average spectrum use occurring in about 98% of time (average day)</w:t>
      </w:r>
    </w:p>
    <w:p w:rsidR="00F87737" w:rsidRPr="00D83BF2" w:rsidRDefault="00C34133" w:rsidP="00C34133">
      <w:pPr>
        <w:pStyle w:val="ECCTablenote"/>
      </w:pPr>
      <w:r w:rsidRPr="00D83BF2">
        <w:t>**</w:t>
      </w:r>
      <w:r w:rsidR="00F87737" w:rsidRPr="00D83BF2">
        <w:t>exceptional intensive spectrum use (e.g., contest) occurring in about 2% of time</w:t>
      </w:r>
    </w:p>
    <w:p w:rsidR="00F87737" w:rsidRPr="00D83BF2" w:rsidRDefault="00C34133" w:rsidP="00C34133">
      <w:pPr>
        <w:pStyle w:val="ECCTablenote"/>
      </w:pPr>
      <w:r w:rsidRPr="00D83BF2">
        <w:t>***</w:t>
      </w:r>
      <w:r w:rsidR="00F87737" w:rsidRPr="00D83BF2">
        <w:t>including a margin of 200% by multiplying the calculated number by 3.</w:t>
      </w:r>
    </w:p>
    <w:p w:rsidR="00F87737" w:rsidRPr="00D83BF2" w:rsidRDefault="00C34133" w:rsidP="00C34133">
      <w:pPr>
        <w:pStyle w:val="ECCTablenote"/>
      </w:pPr>
      <w:r w:rsidRPr="00D83BF2">
        <w:t>****t</w:t>
      </w:r>
      <w:r w:rsidR="00F87737" w:rsidRPr="00D83BF2">
        <w:t>he spectrum needs calculation regarding infrastructure and repeaters in the intensive use case assumes the same value for the fraction of active amateur stations using SSB; however, such situation is unlikely to occur in practice and may need to be ignored</w:t>
      </w:r>
    </w:p>
    <w:p w:rsidR="00F87737" w:rsidRPr="00D83BF2" w:rsidRDefault="00F87737" w:rsidP="00C34133">
      <w:pPr>
        <w:pStyle w:val="ECCTablenote"/>
      </w:pPr>
      <w:r w:rsidRPr="00D83BF2">
        <w:t>*****</w:t>
      </w:r>
      <w:r w:rsidR="00C34133" w:rsidRPr="00D83BF2">
        <w:t>i</w:t>
      </w:r>
      <w:r w:rsidRPr="00D83BF2">
        <w:t>ncluding a single wide band channel</w:t>
      </w:r>
    </w:p>
    <w:p w:rsidR="003A2BA4" w:rsidRPr="00D83BF2" w:rsidRDefault="003A2BA4" w:rsidP="0040511C">
      <w:r w:rsidRPr="00D83BF2">
        <w:t>In view of one administration the amateur service does not need an</w:t>
      </w:r>
      <w:r w:rsidR="0040511C" w:rsidRPr="00D83BF2">
        <w:t>y</w:t>
      </w:r>
      <w:r w:rsidRPr="00D83BF2">
        <w:t xml:space="preserve"> additional spectrum in the band 50</w:t>
      </w:r>
      <w:r w:rsidR="005643FC" w:rsidRPr="00D83BF2">
        <w:noBreakHyphen/>
      </w:r>
      <w:r w:rsidRPr="00D83BF2">
        <w:t>54</w:t>
      </w:r>
      <w:r w:rsidR="005643FC" w:rsidRPr="00D83BF2">
        <w:t> </w:t>
      </w:r>
      <w:proofErr w:type="spellStart"/>
      <w:r w:rsidRPr="00D83BF2">
        <w:t>MHz.</w:t>
      </w:r>
      <w:proofErr w:type="spellEnd"/>
      <w:r w:rsidRPr="00D83BF2">
        <w:t xml:space="preserve"> </w:t>
      </w:r>
    </w:p>
    <w:p w:rsidR="00C44CF0" w:rsidRPr="00D83BF2" w:rsidRDefault="00F2577F" w:rsidP="00C44CF0">
      <w:pPr>
        <w:pStyle w:val="berschrift2"/>
        <w:rPr>
          <w:lang w:val="en-GB"/>
        </w:rPr>
      </w:pPr>
      <w:r w:rsidRPr="00D83BF2">
        <w:rPr>
          <w:lang w:val="en-GB"/>
        </w:rPr>
        <w:t xml:space="preserve">sharing with broadcasting service </w:t>
      </w:r>
    </w:p>
    <w:p w:rsidR="00922E34" w:rsidRDefault="00922E34" w:rsidP="00B279E4">
      <w:r>
        <w:t>Option 1</w:t>
      </w:r>
    </w:p>
    <w:p w:rsidR="00922E34" w:rsidRDefault="00B72622" w:rsidP="00B279E4">
      <w:r w:rsidRPr="00D83BF2">
        <w:lastRenderedPageBreak/>
        <w:t>[</w:t>
      </w:r>
      <w:r w:rsidR="00981A61" w:rsidRPr="00D83BF2">
        <w:t xml:space="preserve">Protection of the broadcasting service requires that the amateur service stations’ field strength values do not exceed 6 </w:t>
      </w:r>
      <w:proofErr w:type="spellStart"/>
      <w:r w:rsidR="00981A61" w:rsidRPr="00D83BF2">
        <w:t>dBμV</w:t>
      </w:r>
      <w:proofErr w:type="spellEnd"/>
      <w:r w:rsidR="00981A61" w:rsidRPr="00D83BF2">
        <w:t>/m within 50-51</w:t>
      </w:r>
      <w:r w:rsidR="005643FC" w:rsidRPr="00D83BF2">
        <w:t>.</w:t>
      </w:r>
      <w:r w:rsidR="00981A61" w:rsidRPr="00D83BF2">
        <w:t xml:space="preserve">25 MHz band and 12 </w:t>
      </w:r>
      <w:proofErr w:type="spellStart"/>
      <w:r w:rsidR="00981A61" w:rsidRPr="00D83BF2">
        <w:t>dBμV</w:t>
      </w:r>
      <w:proofErr w:type="spellEnd"/>
      <w:r w:rsidR="00981A61" w:rsidRPr="00D83BF2">
        <w:t>/m within 51</w:t>
      </w:r>
      <w:r w:rsidR="005643FC" w:rsidRPr="00D83BF2">
        <w:t>.</w:t>
      </w:r>
      <w:r w:rsidR="00981A61" w:rsidRPr="00D83BF2">
        <w:t xml:space="preserve">25-52 MHz band for more than 10% of time at any point inside the service area (within the 46 </w:t>
      </w:r>
      <w:proofErr w:type="spellStart"/>
      <w:r w:rsidR="00981A61" w:rsidRPr="00D83BF2">
        <w:t>dBμV</w:t>
      </w:r>
      <w:proofErr w:type="spellEnd"/>
      <w:r w:rsidR="00981A61" w:rsidRPr="00D83BF2">
        <w:t>/m boundary in 50% of the locations, 90% of the time for each station) of a broadcasting station in operation, measured at a height of 10 m above ground.</w:t>
      </w:r>
      <w:r w:rsidRPr="00D83BF2">
        <w:t>]</w:t>
      </w:r>
    </w:p>
    <w:p w:rsidR="00922E34" w:rsidRDefault="00922E34" w:rsidP="00B279E4">
      <w:r>
        <w:t>Option 2</w:t>
      </w:r>
    </w:p>
    <w:p w:rsidR="00922E34" w:rsidRDefault="00922E34" w:rsidP="00B279E4">
      <w:r>
        <w:t>[</w:t>
      </w:r>
      <w:r w:rsidR="00B279E4" w:rsidRPr="00D83BF2">
        <w:t xml:space="preserve">Adequate protection of the broadcasting service requires that the amateur service stations’ field strength values do not exceed 6 </w:t>
      </w:r>
      <w:proofErr w:type="spellStart"/>
      <w:r w:rsidR="00B279E4" w:rsidRPr="00D83BF2">
        <w:t>dBμV</w:t>
      </w:r>
      <w:proofErr w:type="spellEnd"/>
      <w:r w:rsidR="00B279E4" w:rsidRPr="00D83BF2">
        <w:t xml:space="preserve">/m for more than 10% of time along the border </w:t>
      </w:r>
      <w:r w:rsidR="009E4913" w:rsidRPr="00D83BF2">
        <w:t>of</w:t>
      </w:r>
      <w:r w:rsidR="009E4913" w:rsidRPr="00D83BF2">
        <w:rPr>
          <w:rStyle w:val="ECCParagraph"/>
        </w:rPr>
        <w:t xml:space="preserve"> a country with operational analogue broadcasting stations</w:t>
      </w:r>
      <w:r w:rsidR="009E4913" w:rsidRPr="00D83BF2">
        <w:t>, measured at a height of 10 m above ground.</w:t>
      </w:r>
      <w:r>
        <w:t>]</w:t>
      </w:r>
      <w:r w:rsidR="009E4913" w:rsidRPr="00D83BF2">
        <w:t xml:space="preserve"> </w:t>
      </w:r>
    </w:p>
    <w:p w:rsidR="00922E34" w:rsidRDefault="00922E34" w:rsidP="00B279E4">
      <w:r>
        <w:t>End of options</w:t>
      </w:r>
    </w:p>
    <w:p w:rsidR="00F87737" w:rsidRPr="00D83BF2" w:rsidRDefault="009E4913" w:rsidP="00B279E4">
      <w:r w:rsidRPr="00D83BF2">
        <w:rPr>
          <w:rStyle w:val="ECCParagraph"/>
        </w:rPr>
        <w:t>Administrations shall be required to assess and if necessary to coordinate the usage of the band by the amateur service</w:t>
      </w:r>
      <w:r w:rsidR="00D5084C" w:rsidRPr="00D83BF2">
        <w:t>.</w:t>
      </w:r>
    </w:p>
    <w:p w:rsidR="009E4913" w:rsidRPr="00D83BF2" w:rsidRDefault="00E834E6" w:rsidP="00DD56E1">
      <w:r w:rsidRPr="00D83BF2">
        <w:t>This provision does not apply to</w:t>
      </w:r>
      <w:r w:rsidR="006A133F" w:rsidRPr="00D83BF2">
        <w:t xml:space="preserve"> countries listed in No</w:t>
      </w:r>
      <w:r w:rsidRPr="00D83BF2">
        <w:t xml:space="preserve"> </w:t>
      </w:r>
      <w:r w:rsidRPr="00D83BF2">
        <w:rPr>
          <w:rStyle w:val="ECCHLbold"/>
        </w:rPr>
        <w:t>5.169</w:t>
      </w:r>
      <w:r w:rsidR="00DD56E1" w:rsidRPr="00D83BF2">
        <w:t>.</w:t>
      </w:r>
    </w:p>
    <w:p w:rsidR="00C44CF0" w:rsidRPr="00D83BF2" w:rsidRDefault="00F2577F" w:rsidP="00C44CF0">
      <w:pPr>
        <w:pStyle w:val="berschrift2"/>
        <w:rPr>
          <w:lang w:val="en-GB"/>
        </w:rPr>
      </w:pPr>
      <w:r w:rsidRPr="00D83BF2">
        <w:rPr>
          <w:lang w:val="en-GB"/>
        </w:rPr>
        <w:t>sharing with mobile service</w:t>
      </w:r>
    </w:p>
    <w:p w:rsidR="005E6FBD" w:rsidRPr="00D83BF2" w:rsidRDefault="00B87E95" w:rsidP="00B87E95">
      <w:r w:rsidRPr="00D83BF2">
        <w:t xml:space="preserve">Interference is inevitable if two transmitters operating within the same area transmit on the </w:t>
      </w:r>
      <w:r w:rsidR="008E3E91" w:rsidRPr="00D83BF2">
        <w:t>same frequency at the same time. I</w:t>
      </w:r>
      <w:r w:rsidRPr="00D83BF2">
        <w:t>n this case sharing a frequency is unlikely to be possible, unless acceptable mitigation techniques are defined</w:t>
      </w:r>
      <w:r w:rsidR="008E3E91" w:rsidRPr="00D83BF2">
        <w:t>.</w:t>
      </w:r>
      <w:r w:rsidR="00D90DBC" w:rsidRPr="00D83BF2">
        <w:t xml:space="preserve"> </w:t>
      </w:r>
    </w:p>
    <w:p w:rsidR="00A04E3A" w:rsidRPr="00D83BF2" w:rsidRDefault="00A04E3A" w:rsidP="00A04E3A">
      <w:r w:rsidRPr="00D83BF2">
        <w:t>ITU-R is developing a working document towards a preliminary draft new Report ITU-R M</w:t>
      </w:r>
      <w:proofErr w:type="gramStart"/>
      <w:r w:rsidRPr="00D83BF2">
        <w:t>.[</w:t>
      </w:r>
      <w:proofErr w:type="gramEnd"/>
      <w:r w:rsidRPr="00D83BF2">
        <w:t>AMATEUR_50_MHz]. This PDNR includes studies on spectrum needs, sharing and compatibi</w:t>
      </w:r>
      <w:r w:rsidR="00654D39" w:rsidRPr="00D83BF2">
        <w:t xml:space="preserve">lity. </w:t>
      </w:r>
      <w:r w:rsidRPr="00D83BF2">
        <w:t xml:space="preserve">A number of open issues still need to be clarified. </w:t>
      </w:r>
    </w:p>
    <w:p w:rsidR="00C44CF0" w:rsidRPr="00D83BF2" w:rsidRDefault="00FA25DD" w:rsidP="00C44CF0">
      <w:r w:rsidRPr="00D83BF2">
        <w:t>C</w:t>
      </w:r>
      <w:r w:rsidR="00654D39" w:rsidRPr="00D83BF2">
        <w:t xml:space="preserve">o-existence studies </w:t>
      </w:r>
      <w:r w:rsidR="00CB24EE" w:rsidRPr="00D83BF2">
        <w:t xml:space="preserve">conducted within PTD </w:t>
      </w:r>
      <w:r w:rsidR="00654D39" w:rsidRPr="00D83BF2">
        <w:t>to assess the separation distances between an amateur radio transmitter and a mobile</w:t>
      </w:r>
      <w:r w:rsidR="00654D39" w:rsidRPr="00D83BF2" w:rsidDel="004C60A0">
        <w:t xml:space="preserve"> </w:t>
      </w:r>
      <w:r w:rsidR="00654D39" w:rsidRPr="00D83BF2">
        <w:t>radio receiver</w:t>
      </w:r>
      <w:r w:rsidR="00CB24EE" w:rsidRPr="00D83BF2">
        <w:t xml:space="preserve">, </w:t>
      </w:r>
      <w:r w:rsidR="00654D39" w:rsidRPr="00D83BF2">
        <w:t xml:space="preserve">suggest separation distances between </w:t>
      </w:r>
      <w:r w:rsidR="003A2BD8" w:rsidRPr="00D83BF2">
        <w:t xml:space="preserve">172 </w:t>
      </w:r>
      <w:r w:rsidR="00654D39" w:rsidRPr="00D83BF2">
        <w:t xml:space="preserve">– </w:t>
      </w:r>
      <w:r w:rsidR="003A2BD8" w:rsidRPr="00D83BF2">
        <w:t>&gt;500</w:t>
      </w:r>
      <w:r w:rsidR="00AF13B9" w:rsidRPr="00D83BF2">
        <w:t xml:space="preserve"> </w:t>
      </w:r>
      <w:r w:rsidR="00654D39" w:rsidRPr="00D83BF2">
        <w:t xml:space="preserve">km, depending on amateur operation mode and frequency offset. </w:t>
      </w:r>
    </w:p>
    <w:p w:rsidR="009E4913" w:rsidRPr="00D83BF2" w:rsidRDefault="009E4913" w:rsidP="009E4913">
      <w:r w:rsidRPr="00D83BF2">
        <w:t>The sharing between the mobile service and the amateur service applications such as SSB, Beacons and FM may be possible. The sharing with other amateur service applications, such as wide band mode and repeaters, may only be possible for the average use case (100 kHz for repeaters and 500 kHz for wideband). However, for these latter applications a careful evaluation of sharing conditions needs to be done</w:t>
      </w:r>
      <w:r w:rsidR="00DD56E1" w:rsidRPr="00D83BF2">
        <w:t>.</w:t>
      </w:r>
    </w:p>
    <w:p w:rsidR="0022240F" w:rsidRPr="00D83BF2" w:rsidRDefault="00DD56E1" w:rsidP="0022240F">
      <w:r w:rsidRPr="00D83BF2">
        <w:t xml:space="preserve">Monte </w:t>
      </w:r>
      <w:r w:rsidR="0022240F" w:rsidRPr="00D83BF2">
        <w:t>Carlo simulations conducted with no mitigation techniques have shown that the probability of interference is highly dependent on the usage density of the band by amateurs. For the SSB mode, it has been shown that the probability of harmful interference ranges between 8 and 86% given the number of active amateur channels considered in the simulation radius. For the FM mode, it is about 28%. For the wideband digital mode, the probability of interference is around 93% for the in-band case (affecting up to 20 land mobile channels) and decreases for the out-of-band emissions.</w:t>
      </w:r>
    </w:p>
    <w:p w:rsidR="00C44CF0" w:rsidRPr="00D83BF2" w:rsidRDefault="00F2577F" w:rsidP="00C44CF0">
      <w:pPr>
        <w:pStyle w:val="berschrift2"/>
        <w:rPr>
          <w:lang w:val="en-GB"/>
        </w:rPr>
      </w:pPr>
      <w:r w:rsidRPr="00D83BF2">
        <w:rPr>
          <w:lang w:val="en-GB"/>
        </w:rPr>
        <w:t>sharing with radiolocation service</w:t>
      </w:r>
      <w:r w:rsidRPr="00D83BF2" w:rsidDel="00F2577F">
        <w:rPr>
          <w:lang w:val="en-GB"/>
        </w:rPr>
        <w:t xml:space="preserve"> </w:t>
      </w:r>
    </w:p>
    <w:p w:rsidR="004A7125" w:rsidRPr="00D83BF2" w:rsidRDefault="00B87E95" w:rsidP="004A7125">
      <w:r w:rsidRPr="00D83BF2">
        <w:t>Taking into account the low number of WPR stations sharing can be con</w:t>
      </w:r>
      <w:r w:rsidR="004A7125" w:rsidRPr="00D83BF2">
        <w:t xml:space="preserve">sidered on a case-by-case basis </w:t>
      </w:r>
      <w:r w:rsidRPr="00D83BF2">
        <w:t>provided that amateurs do not claim protection from or priority over WPR.</w:t>
      </w:r>
      <w:r w:rsidR="004A7125" w:rsidRPr="00D83BF2">
        <w:t xml:space="preserve"> </w:t>
      </w:r>
    </w:p>
    <w:p w:rsidR="009E4913" w:rsidRPr="00D83BF2" w:rsidRDefault="009E4913" w:rsidP="004A7125">
      <w:r w:rsidRPr="00D83BF2">
        <w:t>Recognizing the secondary status of the radiolocati</w:t>
      </w:r>
      <w:r w:rsidR="006A133F" w:rsidRPr="00D83BF2">
        <w:t xml:space="preserve">on service in this band (see </w:t>
      </w:r>
      <w:r w:rsidRPr="00D83BF2">
        <w:t xml:space="preserve">No </w:t>
      </w:r>
      <w:r w:rsidRPr="00D83BF2">
        <w:rPr>
          <w:rStyle w:val="ECCHLbold"/>
        </w:rPr>
        <w:t>5.162A</w:t>
      </w:r>
      <w:r w:rsidRPr="00D83BF2">
        <w:t xml:space="preserve">), an allocation of the band 50-54 MHz or part therein to the amateur service can only be made on the secondary status. It needs to be noted that there are currently no wind profiler radars in the band 50-52 MHz operating in CEPT countries, whereas there are a few in the band 52-54 </w:t>
      </w:r>
      <w:proofErr w:type="spellStart"/>
      <w:r w:rsidRPr="00D83BF2">
        <w:t>MHz.</w:t>
      </w:r>
      <w:proofErr w:type="spellEnd"/>
    </w:p>
    <w:p w:rsidR="00DD56E1" w:rsidRPr="00D83BF2" w:rsidRDefault="00DD56E1" w:rsidP="00DD56E1">
      <w:pPr>
        <w:pStyle w:val="ECCEditorsNote"/>
        <w:rPr>
          <w:lang w:val="en-GB"/>
        </w:rPr>
      </w:pPr>
      <w:r w:rsidRPr="00D83BF2">
        <w:rPr>
          <w:lang w:val="en-GB"/>
        </w:rPr>
        <w:t>’A consequential update of Report ITU-R M.2013 may be required to specify the sharing conditions between WPR and the Amateur service</w:t>
      </w:r>
    </w:p>
    <w:p w:rsidR="00550915" w:rsidRPr="00D83BF2" w:rsidRDefault="00F2577F" w:rsidP="00550915">
      <w:pPr>
        <w:pStyle w:val="berschrift2"/>
        <w:rPr>
          <w:lang w:val="en-GB"/>
        </w:rPr>
      </w:pPr>
      <w:r w:rsidRPr="00D83BF2">
        <w:rPr>
          <w:lang w:val="en-GB"/>
        </w:rPr>
        <w:lastRenderedPageBreak/>
        <w:t>sharing with fixed service and other services</w:t>
      </w:r>
      <w:r w:rsidRPr="00D83BF2" w:rsidDel="00F2577F">
        <w:rPr>
          <w:lang w:val="en-GB"/>
        </w:rPr>
        <w:t xml:space="preserve"> </w:t>
      </w:r>
    </w:p>
    <w:p w:rsidR="00550915" w:rsidRPr="00D83BF2" w:rsidRDefault="006D0228" w:rsidP="00550915">
      <w:r w:rsidRPr="00D83BF2">
        <w:t>This does not apply to CEPT</w:t>
      </w:r>
      <w:r w:rsidR="00FA25DD" w:rsidRPr="00D83BF2">
        <w:t>.</w:t>
      </w:r>
    </w:p>
    <w:p w:rsidR="003771D5" w:rsidRPr="00D83BF2" w:rsidRDefault="003771D5" w:rsidP="00BD4E12">
      <w:pPr>
        <w:pStyle w:val="berschrift1"/>
        <w:rPr>
          <w:lang w:val="en-GB"/>
        </w:rPr>
      </w:pPr>
      <w:r w:rsidRPr="00D83BF2">
        <w:rPr>
          <w:lang w:val="en-GB"/>
        </w:rPr>
        <w:t>List of relevant documents</w:t>
      </w:r>
    </w:p>
    <w:p w:rsidR="00220194" w:rsidRPr="00D83BF2" w:rsidRDefault="003771D5" w:rsidP="006476ED">
      <w:pPr>
        <w:pStyle w:val="ECCBreak"/>
        <w:rPr>
          <w:lang w:val="en-GB"/>
        </w:rPr>
      </w:pPr>
      <w:r w:rsidRPr="00D83BF2">
        <w:rPr>
          <w:lang w:val="en-GB"/>
        </w:rPr>
        <w:t>ITU-Documentation (Recommendations, Reports, other)</w:t>
      </w:r>
    </w:p>
    <w:p w:rsidR="000A29BC" w:rsidRPr="00D83BF2" w:rsidRDefault="002830B7" w:rsidP="0076199B">
      <w:pPr>
        <w:pStyle w:val="ECCBulletsLv2"/>
      </w:pPr>
      <w:r w:rsidRPr="00D83BF2">
        <w:t>Recommendation ITU-R M.1732-</w:t>
      </w:r>
      <w:r w:rsidR="002456CC" w:rsidRPr="00D83BF2">
        <w:t>1</w:t>
      </w:r>
      <w:r w:rsidRPr="00D83BF2">
        <w:t xml:space="preserve"> </w:t>
      </w:r>
      <w:r w:rsidR="005D3559" w:rsidRPr="00D83BF2">
        <w:t>‘</w:t>
      </w:r>
      <w:r w:rsidRPr="00D83BF2">
        <w:t>Characteristics of systems operating in the amateur and amateur-satellite services for use in sharing studies</w:t>
      </w:r>
      <w:r w:rsidR="005D3559" w:rsidRPr="00D83BF2">
        <w:t>´</w:t>
      </w:r>
      <w:r w:rsidRPr="00D83BF2">
        <w:t>;</w:t>
      </w:r>
    </w:p>
    <w:p w:rsidR="002456CC" w:rsidRPr="00D83BF2" w:rsidRDefault="002456CC" w:rsidP="0076199B">
      <w:pPr>
        <w:pStyle w:val="ECCBulletsLv2"/>
      </w:pPr>
      <w:r w:rsidRPr="00D83BF2">
        <w:t>Amateur and amateur-satellite services Handbook</w:t>
      </w:r>
    </w:p>
    <w:p w:rsidR="002456CC" w:rsidRPr="00D83BF2" w:rsidRDefault="002456CC" w:rsidP="0076199B">
      <w:pPr>
        <w:pStyle w:val="ECCBulletsLv2"/>
      </w:pPr>
      <w:r w:rsidRPr="00D83BF2">
        <w:t>Work plan for WRC-19 Agenda item 1.1</w:t>
      </w:r>
    </w:p>
    <w:p w:rsidR="002456CC" w:rsidRPr="00D83BF2" w:rsidRDefault="002456CC" w:rsidP="0076199B">
      <w:pPr>
        <w:pStyle w:val="ECCBulletsLv2"/>
      </w:pPr>
      <w:r w:rsidRPr="00D83BF2">
        <w:t>Resolution 658 (WRC-15)</w:t>
      </w:r>
    </w:p>
    <w:p w:rsidR="00593BDB" w:rsidRPr="00D83BF2" w:rsidRDefault="00593BDB" w:rsidP="0076199B">
      <w:pPr>
        <w:pStyle w:val="ECCBulletsLv2"/>
      </w:pPr>
      <w:r w:rsidRPr="00D83BF2">
        <w:t>Working Document Toward Preliminary Draft New report ITU-R M.[AMATEUR_50_MHz]</w:t>
      </w:r>
    </w:p>
    <w:p w:rsidR="00593BDB" w:rsidRPr="00D83BF2" w:rsidRDefault="00593BDB" w:rsidP="0076199B">
      <w:pPr>
        <w:pStyle w:val="ECCBulletsLv2"/>
      </w:pPr>
      <w:r w:rsidRPr="00D83BF2">
        <w:t>Report ITU-R BT. 2387-0 (07/2015) contains information on responses from administrations on use of various frequency bands, including 50-54 MHz for broadcasting.</w:t>
      </w:r>
    </w:p>
    <w:p w:rsidR="00593BDB" w:rsidRPr="00D83BF2" w:rsidRDefault="00593BDB" w:rsidP="0076199B">
      <w:pPr>
        <w:pStyle w:val="ECCBulletsLv2"/>
      </w:pPr>
      <w:r w:rsidRPr="00D83BF2">
        <w:t xml:space="preserve">Recommendation ITU-R BT.1368 </w:t>
      </w:r>
      <w:r w:rsidR="007E7E61" w:rsidRPr="00D83BF2">
        <w:t>‘</w:t>
      </w:r>
      <w:r w:rsidRPr="00D83BF2">
        <w:t>Planning criteria, including protection ratios, for digital terrestrial television services in the VHF/UHF bands</w:t>
      </w:r>
      <w:r w:rsidR="007E7E61" w:rsidRPr="00D83BF2">
        <w:t>’</w:t>
      </w:r>
      <w:r w:rsidRPr="00D83BF2">
        <w:t>.</w:t>
      </w:r>
    </w:p>
    <w:p w:rsidR="00593BDB" w:rsidRPr="00D83BF2" w:rsidRDefault="00593BDB" w:rsidP="0076199B">
      <w:pPr>
        <w:pStyle w:val="ECCBulletsLv2"/>
      </w:pPr>
      <w:r w:rsidRPr="00D83BF2">
        <w:t xml:space="preserve">Recommendation ITU-R BT.2033 </w:t>
      </w:r>
      <w:r w:rsidR="007E7E61" w:rsidRPr="00D83BF2">
        <w:t>‘</w:t>
      </w:r>
      <w:r w:rsidRPr="00D83BF2">
        <w:t>Planning criteria, including protection ratios, for second generation of digital terrestrial television broadcasting systems in the VHF/UHF bands</w:t>
      </w:r>
      <w:r w:rsidR="007E7E61" w:rsidRPr="00D83BF2">
        <w:t>’</w:t>
      </w:r>
      <w:r w:rsidRPr="00D83BF2">
        <w:t>.</w:t>
      </w:r>
    </w:p>
    <w:p w:rsidR="00593BDB" w:rsidRPr="00D83BF2" w:rsidRDefault="00593BDB" w:rsidP="0076199B">
      <w:pPr>
        <w:pStyle w:val="ECCBulletsLv2"/>
      </w:pPr>
      <w:r w:rsidRPr="00D83BF2">
        <w:t xml:space="preserve">Recommendation ITU-R SM.851 </w:t>
      </w:r>
      <w:r w:rsidR="007E7E61" w:rsidRPr="00D83BF2">
        <w:t>‘</w:t>
      </w:r>
      <w:r w:rsidRPr="00D83BF2">
        <w:t>Sharing between the broadcasting service and the fixed and/or mobile services in the VHF and UHF bands</w:t>
      </w:r>
      <w:r w:rsidR="007E7E61" w:rsidRPr="00D83BF2">
        <w:t>’</w:t>
      </w:r>
      <w:r w:rsidRPr="00D83BF2">
        <w:t>.</w:t>
      </w:r>
    </w:p>
    <w:p w:rsidR="00593BDB" w:rsidRPr="00D83BF2" w:rsidRDefault="00593BDB" w:rsidP="0076199B">
      <w:pPr>
        <w:pStyle w:val="ECCBulletsLv2"/>
      </w:pPr>
      <w:r w:rsidRPr="00D83BF2">
        <w:t>Final Acts of the European Broadcasting Conference (Stockholm, 1961 as revised in Geneva, 2006) (“ST61”) in the European Broadcasting Area</w:t>
      </w:r>
    </w:p>
    <w:p w:rsidR="00593BDB" w:rsidRPr="00D83BF2" w:rsidRDefault="00593BDB" w:rsidP="0076199B">
      <w:pPr>
        <w:pStyle w:val="ECCBulletsLv2"/>
      </w:pPr>
      <w:r w:rsidRPr="00D83BF2">
        <w:t xml:space="preserve">Final Acts of the African Broadcasting Conference (Geneva, 1989 as revised in Geneva, 2006) (“GE89”) in the African Broadcasting Area and </w:t>
      </w:r>
      <w:proofErr w:type="spellStart"/>
      <w:r w:rsidR="00402EEE" w:rsidRPr="00D83BF2">
        <w:t>neighboring</w:t>
      </w:r>
      <w:proofErr w:type="spellEnd"/>
      <w:r w:rsidRPr="00D83BF2">
        <w:t xml:space="preserve"> countries.</w:t>
      </w:r>
    </w:p>
    <w:p w:rsidR="00220194" w:rsidRPr="00D83BF2" w:rsidRDefault="003771D5" w:rsidP="006476ED">
      <w:pPr>
        <w:pStyle w:val="ECCBreak"/>
        <w:rPr>
          <w:lang w:val="en-GB"/>
        </w:rPr>
      </w:pPr>
      <w:r w:rsidRPr="00D83BF2">
        <w:rPr>
          <w:lang w:val="en-GB"/>
        </w:rPr>
        <w:t>CEPT and/or ECC Documentation (Decisions, Recommendations, Reports)</w:t>
      </w:r>
    </w:p>
    <w:p w:rsidR="00DD56E1" w:rsidRPr="00D83BF2" w:rsidRDefault="00DD56E1" w:rsidP="0076199B">
      <w:pPr>
        <w:pStyle w:val="ECCBulletsLv2"/>
        <w:rPr>
          <w:rStyle w:val="ECCParagraph"/>
        </w:rPr>
      </w:pPr>
      <w:r w:rsidRPr="00D83BF2">
        <w:rPr>
          <w:rStyle w:val="ECCParagraph"/>
        </w:rPr>
        <w:t>ECC Report 117 ´Managing the transition to Digital Sound Broadcasting in the frequency bands below 80 MHz</w:t>
      </w:r>
    </w:p>
    <w:p w:rsidR="00DD56E1" w:rsidRPr="00D83BF2" w:rsidRDefault="00DD56E1" w:rsidP="0076199B">
      <w:pPr>
        <w:pStyle w:val="ECCBulletsLv2"/>
      </w:pPr>
      <w:r w:rsidRPr="00D83BF2">
        <w:rPr>
          <w:rStyle w:val="ECCParagraph"/>
        </w:rPr>
        <w:t>ECC Recommendation T/R 25-08 ´Planning criteria and coordination of frequencies for land mobile systems in the range 29.7-470 MHz´</w:t>
      </w:r>
    </w:p>
    <w:p w:rsidR="00E26BAC" w:rsidRPr="00D83BF2" w:rsidRDefault="003771D5" w:rsidP="006C0CCB">
      <w:pPr>
        <w:pStyle w:val="ECCBreak"/>
        <w:rPr>
          <w:lang w:val="en-GB"/>
        </w:rPr>
      </w:pPr>
      <w:r w:rsidRPr="00D83BF2">
        <w:rPr>
          <w:lang w:val="en-GB"/>
        </w:rPr>
        <w:t>EU Documentation (Directives, Decisions, Recommendations, other), if applicable</w:t>
      </w:r>
    </w:p>
    <w:p w:rsidR="00DD56E1" w:rsidRPr="00D83BF2" w:rsidRDefault="00DD56E1" w:rsidP="0076199B">
      <w:pPr>
        <w:pStyle w:val="ECCBulletsLv2"/>
      </w:pPr>
    </w:p>
    <w:p w:rsidR="00DD56E1" w:rsidRPr="00D83BF2" w:rsidRDefault="00DD56E1" w:rsidP="00DD56E1">
      <w:pPr>
        <w:pStyle w:val="ECCBreak"/>
        <w:rPr>
          <w:lang w:val="en-GB"/>
        </w:rPr>
      </w:pPr>
      <w:r w:rsidRPr="00D83BF2">
        <w:rPr>
          <w:lang w:val="en-GB"/>
        </w:rPr>
        <w:t>ETSI Documentation</w:t>
      </w:r>
    </w:p>
    <w:p w:rsidR="00DD56E1" w:rsidRPr="00D83BF2" w:rsidRDefault="00DD56E1" w:rsidP="0076199B">
      <w:pPr>
        <w:pStyle w:val="ECCBulletsLv2"/>
        <w:rPr>
          <w:rStyle w:val="ECCParagraph"/>
        </w:rPr>
      </w:pPr>
      <w:r w:rsidRPr="00D83BF2">
        <w:rPr>
          <w:rStyle w:val="ECCParagraph"/>
        </w:rPr>
        <w:t>ETSI EN 301 783 ´Commercially available amateur radio equipment; Harmonised Standard covering the essential requirements of article 3.2 of the Directive 2014/53/EU´</w:t>
      </w:r>
    </w:p>
    <w:p w:rsidR="003771D5" w:rsidRPr="00D83BF2" w:rsidRDefault="003771D5" w:rsidP="00BD4E12">
      <w:pPr>
        <w:pStyle w:val="berschrift1"/>
        <w:rPr>
          <w:lang w:val="en-GB"/>
        </w:rPr>
      </w:pPr>
      <w:r w:rsidRPr="00D83BF2">
        <w:rPr>
          <w:lang w:val="en-GB"/>
        </w:rPr>
        <w:t>Actions to be taken</w:t>
      </w:r>
      <w:r w:rsidR="00815883" w:rsidRPr="00D83BF2">
        <w:rPr>
          <w:lang w:val="en-GB"/>
        </w:rPr>
        <w:t xml:space="preserve"> </w:t>
      </w:r>
    </w:p>
    <w:p w:rsidR="005E1DBD" w:rsidRPr="00D83BF2" w:rsidRDefault="00C34133" w:rsidP="005E1DBD">
      <w:pPr>
        <w:pStyle w:val="ECCBulletsLv2"/>
      </w:pPr>
      <w:r w:rsidRPr="00D83BF2">
        <w:t xml:space="preserve">Continue to assess </w:t>
      </w:r>
      <w:r w:rsidR="00EF22CF" w:rsidRPr="00D83BF2">
        <w:t>compatibility studies based on characteristics, protection criteria and interference scenarios;</w:t>
      </w:r>
    </w:p>
    <w:p w:rsidR="005E1DBD" w:rsidRPr="00D83BF2" w:rsidRDefault="009E4913" w:rsidP="00061114">
      <w:pPr>
        <w:pStyle w:val="ECCBulletsLv3"/>
      </w:pPr>
      <w:r w:rsidRPr="00D83BF2">
        <w:t>f</w:t>
      </w:r>
      <w:r w:rsidR="005E1DBD" w:rsidRPr="00D83BF2">
        <w:t xml:space="preserve">or mobile sharing update the </w:t>
      </w:r>
      <w:r w:rsidR="005643FC" w:rsidRPr="00D83BF2">
        <w:t xml:space="preserve">SEAMCAT </w:t>
      </w:r>
      <w:r w:rsidR="005E1DBD" w:rsidRPr="00D83BF2">
        <w:t>studies</w:t>
      </w:r>
    </w:p>
    <w:p w:rsidR="005643FC" w:rsidRDefault="00014532" w:rsidP="0076199B">
      <w:pPr>
        <w:pStyle w:val="ECCBulletsLv3"/>
      </w:pPr>
      <w:proofErr w:type="gramStart"/>
      <w:r w:rsidRPr="00D83BF2">
        <w:t>further</w:t>
      </w:r>
      <w:proofErr w:type="gramEnd"/>
      <w:r w:rsidRPr="00D83BF2">
        <w:t xml:space="preserve"> discuss a possible</w:t>
      </w:r>
      <w:r w:rsidR="0049639C" w:rsidRPr="00D83BF2">
        <w:t xml:space="preserve"> partial primary allocation</w:t>
      </w:r>
      <w:r w:rsidRPr="00D83BF2">
        <w:t xml:space="preserve"> for the amateur service</w:t>
      </w:r>
      <w:r w:rsidR="007A5F62" w:rsidRPr="00D83BF2">
        <w:t xml:space="preserve"> and consequently propose regulatory solution(s) to protect incumbent services</w:t>
      </w:r>
      <w:r w:rsidR="00B72622" w:rsidRPr="00D83BF2">
        <w:t>.</w:t>
      </w:r>
    </w:p>
    <w:p w:rsidR="00922E34" w:rsidRPr="00D83BF2" w:rsidRDefault="00922E34" w:rsidP="00922E34">
      <w:pPr>
        <w:pStyle w:val="ECCBulletsLv2"/>
      </w:pPr>
      <w:r>
        <w:t xml:space="preserve">Develop two options for an ECP with the considered regulatory status </w:t>
      </w:r>
    </w:p>
    <w:p w:rsidR="003771D5" w:rsidRPr="00D83BF2" w:rsidRDefault="003771D5" w:rsidP="00BD4E12">
      <w:pPr>
        <w:pStyle w:val="berschrift1"/>
        <w:rPr>
          <w:lang w:val="en-GB"/>
        </w:rPr>
      </w:pPr>
      <w:r w:rsidRPr="00D83BF2">
        <w:rPr>
          <w:lang w:val="en-GB"/>
        </w:rPr>
        <w:lastRenderedPageBreak/>
        <w:t>Relevant</w:t>
      </w:r>
      <w:r w:rsidR="004706E2" w:rsidRPr="00D83BF2">
        <w:rPr>
          <w:lang w:val="en-GB"/>
        </w:rPr>
        <w:t xml:space="preserve"> information from outside CEPT </w:t>
      </w:r>
    </w:p>
    <w:p w:rsidR="004F16F4" w:rsidRPr="00D83BF2" w:rsidRDefault="003771D5" w:rsidP="004F16F4">
      <w:pPr>
        <w:pStyle w:val="berschrift2"/>
        <w:rPr>
          <w:lang w:val="en-GB"/>
        </w:rPr>
      </w:pPr>
      <w:r w:rsidRPr="00D83BF2">
        <w:rPr>
          <w:lang w:val="en-GB"/>
        </w:rPr>
        <w:t>European Union (date of proposal)</w:t>
      </w:r>
    </w:p>
    <w:p w:rsidR="006476ED" w:rsidRPr="00D83BF2" w:rsidRDefault="006476ED" w:rsidP="006476ED"/>
    <w:p w:rsidR="003771D5" w:rsidRPr="00D83BF2" w:rsidRDefault="003771D5" w:rsidP="00BD4E12">
      <w:pPr>
        <w:pStyle w:val="berschrift2"/>
        <w:rPr>
          <w:lang w:val="en-GB"/>
        </w:rPr>
      </w:pPr>
      <w:r w:rsidRPr="00D83BF2">
        <w:rPr>
          <w:lang w:val="en-GB"/>
        </w:rPr>
        <w:t>Regional t</w:t>
      </w:r>
      <w:r w:rsidR="0057797A" w:rsidRPr="00D83BF2">
        <w:rPr>
          <w:lang w:val="en-GB"/>
        </w:rPr>
        <w:t>elecommunication organisations</w:t>
      </w:r>
    </w:p>
    <w:p w:rsidR="006C5C1C" w:rsidRPr="00D83BF2" w:rsidRDefault="003771D5" w:rsidP="004706E2">
      <w:pPr>
        <w:pStyle w:val="ECCBreak"/>
        <w:rPr>
          <w:lang w:val="en-GB"/>
        </w:rPr>
      </w:pPr>
      <w:r w:rsidRPr="00D83BF2">
        <w:rPr>
          <w:lang w:val="en-GB"/>
        </w:rPr>
        <w:t>APT (</w:t>
      </w:r>
      <w:r w:rsidR="00B82A66" w:rsidRPr="00D83BF2">
        <w:rPr>
          <w:lang w:val="en-GB"/>
        </w:rPr>
        <w:t xml:space="preserve">June </w:t>
      </w:r>
      <w:r w:rsidR="00C34133" w:rsidRPr="00D83BF2">
        <w:rPr>
          <w:lang w:val="en-GB"/>
        </w:rPr>
        <w:t>2018</w:t>
      </w:r>
      <w:r w:rsidRPr="00D83BF2">
        <w:rPr>
          <w:lang w:val="en-GB"/>
        </w:rPr>
        <w:t>)</w:t>
      </w:r>
    </w:p>
    <w:p w:rsidR="00D62BFC" w:rsidRPr="00D83BF2" w:rsidRDefault="00D62BFC" w:rsidP="00D62BFC">
      <w:pPr>
        <w:rPr>
          <w:rStyle w:val="ECCParagraph"/>
        </w:rPr>
      </w:pPr>
      <w:r w:rsidRPr="00D83BF2">
        <w:rPr>
          <w:rStyle w:val="ECCParagraph"/>
        </w:rPr>
        <w:t>Preliminary View</w:t>
      </w:r>
      <w:r w:rsidR="00B82A66" w:rsidRPr="00D83BF2">
        <w:rPr>
          <w:rStyle w:val="ECCParagraph"/>
        </w:rPr>
        <w:t>s</w:t>
      </w:r>
    </w:p>
    <w:p w:rsidR="00C34133" w:rsidRPr="00D83BF2" w:rsidRDefault="00C34133" w:rsidP="00C34133">
      <w:r w:rsidRPr="00D83BF2">
        <w:t>APT Members support ongoing ITU-R studies relevant to WRC-19 agenda item 1.1.</w:t>
      </w:r>
    </w:p>
    <w:p w:rsidR="00C34133" w:rsidRPr="00D83BF2" w:rsidRDefault="00C34133" w:rsidP="00C34133">
      <w:r w:rsidRPr="00D83BF2">
        <w:t xml:space="preserve">Noting this is a Region 1 </w:t>
      </w:r>
      <w:proofErr w:type="gramStart"/>
      <w:r w:rsidRPr="00D83BF2">
        <w:t>issue,</w:t>
      </w:r>
      <w:proofErr w:type="gramEnd"/>
      <w:r w:rsidRPr="00D83BF2">
        <w:t xml:space="preserve"> APT Members agree that any changes made to the Radio Regulations under WRC-19 Agenda Item 1.1 shall not adversely impact the incumbent amateur, broadcasting, fixed and mobile services in the 50 – 54 MHz frequency band and adjacent frequency bands in Region 3.</w:t>
      </w:r>
    </w:p>
    <w:p w:rsidR="003771D5" w:rsidRPr="00D83BF2" w:rsidRDefault="003771D5" w:rsidP="004706E2">
      <w:pPr>
        <w:pStyle w:val="ECCBreak"/>
        <w:rPr>
          <w:lang w:val="en-GB"/>
        </w:rPr>
      </w:pPr>
      <w:r w:rsidRPr="00D83BF2">
        <w:rPr>
          <w:lang w:val="en-GB"/>
        </w:rPr>
        <w:t>ATU (</w:t>
      </w:r>
      <w:r w:rsidR="00374A1A" w:rsidRPr="00D83BF2">
        <w:rPr>
          <w:lang w:val="en-GB"/>
        </w:rPr>
        <w:t xml:space="preserve">October </w:t>
      </w:r>
      <w:r w:rsidR="00691FDA" w:rsidRPr="00D83BF2">
        <w:rPr>
          <w:lang w:val="en-GB"/>
        </w:rPr>
        <w:t>201</w:t>
      </w:r>
      <w:r w:rsidR="00374A1A" w:rsidRPr="00D83BF2">
        <w:rPr>
          <w:lang w:val="en-GB"/>
        </w:rPr>
        <w:t>8</w:t>
      </w:r>
      <w:r w:rsidRPr="00D83BF2">
        <w:rPr>
          <w:lang w:val="en-GB"/>
        </w:rPr>
        <w:t>)</w:t>
      </w:r>
    </w:p>
    <w:p w:rsidR="0004370F" w:rsidRPr="00D83BF2" w:rsidRDefault="0004370F" w:rsidP="0004370F">
      <w:r w:rsidRPr="00D83BF2">
        <w:t xml:space="preserve">Method A, which entails an allocation to the amateur service on a primary basis in </w:t>
      </w:r>
      <w:proofErr w:type="gramStart"/>
      <w:r w:rsidRPr="00D83BF2">
        <w:t>all the</w:t>
      </w:r>
      <w:proofErr w:type="gramEnd"/>
      <w:r w:rsidRPr="00D83BF2">
        <w:t xml:space="preserve"> band 50-54 MHz, or part thereof, with appropriate footnotes to provide protection to services which already have an allocation in the band –this preliminary position is therefore in principle and is subject to favourable compatibility studies with the incumbent services.</w:t>
      </w:r>
    </w:p>
    <w:p w:rsidR="003771D5" w:rsidRPr="00D83BF2" w:rsidRDefault="003771D5" w:rsidP="004706E2">
      <w:pPr>
        <w:pStyle w:val="ECCBreak"/>
        <w:rPr>
          <w:lang w:val="en-GB"/>
        </w:rPr>
      </w:pPr>
      <w:r w:rsidRPr="00D83BF2">
        <w:rPr>
          <w:lang w:val="en-GB"/>
        </w:rPr>
        <w:t>Arab Group (</w:t>
      </w:r>
      <w:r w:rsidR="00DB1FD7" w:rsidRPr="00D83BF2">
        <w:rPr>
          <w:lang w:val="en-GB"/>
        </w:rPr>
        <w:t>11 April 2018</w:t>
      </w:r>
      <w:r w:rsidRPr="00D83BF2">
        <w:rPr>
          <w:lang w:val="en-GB"/>
        </w:rPr>
        <w:t>)</w:t>
      </w:r>
    </w:p>
    <w:p w:rsidR="009C4B47" w:rsidRPr="00D83BF2" w:rsidRDefault="0041479A" w:rsidP="00150F77">
      <w:pPr>
        <w:pStyle w:val="ECCBulletsLv1"/>
      </w:pPr>
      <w:r w:rsidRPr="00D83BF2">
        <w:t>Some administrations support frequency allocation for amateur service within the band 50-54 MHz on a primary basis.</w:t>
      </w:r>
    </w:p>
    <w:p w:rsidR="009C4B47" w:rsidRPr="00D83BF2" w:rsidRDefault="0041479A" w:rsidP="00150F77">
      <w:pPr>
        <w:pStyle w:val="ECCBulletsLv1"/>
      </w:pPr>
      <w:r w:rsidRPr="00D83BF2">
        <w:t>Some administration prefers to wait and follow up the studies at this stage.</w:t>
      </w:r>
    </w:p>
    <w:p w:rsidR="00DB1FD7" w:rsidRPr="00D83BF2" w:rsidRDefault="00DB1FD7" w:rsidP="00150F77">
      <w:pPr>
        <w:pStyle w:val="ECCBulletsLv1"/>
      </w:pPr>
      <w:r w:rsidRPr="00D83BF2">
        <w:t>Some administration doesn’t support frequency allocation for amateur service within the band 50-54 MHz on an initial basis</w:t>
      </w:r>
    </w:p>
    <w:p w:rsidR="003771D5" w:rsidRPr="00D83BF2" w:rsidRDefault="003771D5" w:rsidP="004706E2">
      <w:pPr>
        <w:pStyle w:val="ECCBreak"/>
        <w:rPr>
          <w:lang w:val="en-GB"/>
        </w:rPr>
      </w:pPr>
      <w:r w:rsidRPr="00D83BF2">
        <w:rPr>
          <w:lang w:val="en-GB"/>
        </w:rPr>
        <w:t>CITEL (</w:t>
      </w:r>
      <w:r w:rsidR="00DB1FD7" w:rsidRPr="00D83BF2">
        <w:rPr>
          <w:lang w:val="en-GB"/>
        </w:rPr>
        <w:t>June 2018</w:t>
      </w:r>
      <w:r w:rsidRPr="00D83BF2">
        <w:rPr>
          <w:lang w:val="en-GB"/>
        </w:rPr>
        <w:t>)</w:t>
      </w:r>
    </w:p>
    <w:p w:rsidR="00DB1FD7" w:rsidRPr="00D83BF2" w:rsidRDefault="00DB1FD7" w:rsidP="00DB1FD7">
      <w:r w:rsidRPr="00D83BF2">
        <w:t>Outcome should not impact our region or studies do not support taking action</w:t>
      </w:r>
    </w:p>
    <w:p w:rsidR="0052205C" w:rsidRPr="00D83BF2" w:rsidRDefault="0052205C" w:rsidP="0052205C">
      <w:pPr>
        <w:pStyle w:val="ECCBreak"/>
        <w:rPr>
          <w:lang w:val="en-GB"/>
        </w:rPr>
      </w:pPr>
      <w:r w:rsidRPr="00D83BF2">
        <w:rPr>
          <w:lang w:val="en-GB"/>
        </w:rPr>
        <w:t>RCC (</w:t>
      </w:r>
      <w:r w:rsidR="009E4913" w:rsidRPr="00D83BF2">
        <w:rPr>
          <w:lang w:val="en-GB"/>
        </w:rPr>
        <w:t xml:space="preserve">15 </w:t>
      </w:r>
      <w:r w:rsidR="00B82A66" w:rsidRPr="00D83BF2">
        <w:rPr>
          <w:lang w:val="en-GB"/>
        </w:rPr>
        <w:t xml:space="preserve">November </w:t>
      </w:r>
      <w:r w:rsidR="009E4913" w:rsidRPr="00D83BF2">
        <w:rPr>
          <w:lang w:val="en-GB"/>
        </w:rPr>
        <w:t>2018</w:t>
      </w:r>
      <w:r w:rsidRPr="00D83BF2">
        <w:rPr>
          <w:lang w:val="en-GB"/>
        </w:rPr>
        <w:t>)</w:t>
      </w:r>
    </w:p>
    <w:p w:rsidR="006A2E7F" w:rsidRPr="00D83BF2" w:rsidRDefault="0041479A" w:rsidP="006A212A">
      <w:r w:rsidRPr="00D83BF2">
        <w:t xml:space="preserve">The RCC Administrations consider that </w:t>
      </w:r>
      <w:r w:rsidR="009E4913" w:rsidRPr="00D83BF2">
        <w:t xml:space="preserve">in order to decide on possible allocation of the frequency band 50-54 MHz or a part of the band to the amateur service in Region </w:t>
      </w:r>
      <w:proofErr w:type="gramStart"/>
      <w:r w:rsidR="009E4913" w:rsidRPr="00D83BF2">
        <w:t>1,</w:t>
      </w:r>
      <w:proofErr w:type="gramEnd"/>
      <w:r w:rsidRPr="00D83BF2">
        <w:t xml:space="preserve"> spectrum requirements for the amateur service shall be</w:t>
      </w:r>
      <w:r w:rsidR="006A2E7F" w:rsidRPr="00D83BF2">
        <w:t xml:space="preserve"> justified and agreed upon in ITU-R</w:t>
      </w:r>
      <w:r w:rsidRPr="00D83BF2">
        <w:t>.</w:t>
      </w:r>
    </w:p>
    <w:p w:rsidR="0041479A" w:rsidRPr="00D83BF2" w:rsidRDefault="0041479A" w:rsidP="006A212A">
      <w:r w:rsidRPr="00D83BF2">
        <w:t>The RCC Administrations consider that, when identifying technical and regulatory conditions for such allocation, protection shall be ensured to the broadcasting service to which this frequency band is allocated on a primary basis, including stations of the broadcasting service in the frequency band 50-54 MHz, regulated by Stockholm-61 and Geneva-89.</w:t>
      </w:r>
    </w:p>
    <w:p w:rsidR="004F1C31" w:rsidRPr="00D83BF2" w:rsidRDefault="004F1C31" w:rsidP="006A212A">
      <w:r w:rsidRPr="00D83BF2">
        <w:t>The RCC Administrations allow for the possibility of allocation of a part of the frequency band 50 – 54 MHz to the amateur service on a secondary basis provided that additional measures will be introduced to protect broadcasting service on the border of an administration using broadcasting service.</w:t>
      </w:r>
    </w:p>
    <w:p w:rsidR="003771D5" w:rsidRPr="00D83BF2" w:rsidRDefault="003771D5" w:rsidP="00BD4E12">
      <w:pPr>
        <w:pStyle w:val="berschrift2"/>
        <w:rPr>
          <w:lang w:val="en-GB"/>
        </w:rPr>
      </w:pPr>
      <w:r w:rsidRPr="00D83BF2">
        <w:rPr>
          <w:lang w:val="en-GB"/>
        </w:rPr>
        <w:lastRenderedPageBreak/>
        <w:t>International organisations</w:t>
      </w:r>
    </w:p>
    <w:p w:rsidR="0052205C" w:rsidRPr="00D83BF2" w:rsidRDefault="0052205C" w:rsidP="0052205C">
      <w:pPr>
        <w:pStyle w:val="ECCBreak"/>
        <w:rPr>
          <w:lang w:val="en-GB"/>
        </w:rPr>
      </w:pPr>
      <w:r w:rsidRPr="00D83BF2">
        <w:rPr>
          <w:lang w:val="en-GB"/>
        </w:rPr>
        <w:t>IARU (</w:t>
      </w:r>
      <w:r w:rsidR="0043384A" w:rsidRPr="00D83BF2">
        <w:rPr>
          <w:lang w:val="en-GB"/>
        </w:rPr>
        <w:t>April 2017</w:t>
      </w:r>
      <w:r w:rsidRPr="00D83BF2">
        <w:rPr>
          <w:lang w:val="en-GB"/>
        </w:rPr>
        <w:t>)</w:t>
      </w:r>
      <w:r w:rsidR="00550915" w:rsidRPr="00D83BF2">
        <w:rPr>
          <w:lang w:val="en-GB"/>
        </w:rPr>
        <w:t xml:space="preserve"> </w:t>
      </w:r>
      <w:r w:rsidR="005D3559" w:rsidRPr="00D83BF2">
        <w:rPr>
          <w:lang w:val="en-GB"/>
        </w:rPr>
        <w:t>and EURAO (2 September 2017)</w:t>
      </w:r>
    </w:p>
    <w:p w:rsidR="002830B7" w:rsidRPr="00D83BF2" w:rsidRDefault="0052205C" w:rsidP="009E34E7">
      <w:r w:rsidRPr="00D83BF2">
        <w:rPr>
          <w:rStyle w:val="ECCParagraph"/>
        </w:rPr>
        <w:t>The IARU</w:t>
      </w:r>
      <w:r w:rsidR="005D3559" w:rsidRPr="00D83BF2">
        <w:rPr>
          <w:rStyle w:val="ECCParagraph"/>
        </w:rPr>
        <w:t xml:space="preserve"> and EURAO</w:t>
      </w:r>
      <w:r w:rsidRPr="00D83BF2">
        <w:rPr>
          <w:rStyle w:val="ECCParagraph"/>
        </w:rPr>
        <w:t xml:space="preserve"> support modification of the Table of Frequency Allocations to allocate the band 50-54 MHz to the Amateur Service on a primary basis in Region 1</w:t>
      </w:r>
      <w:r w:rsidR="0043384A" w:rsidRPr="00D83BF2">
        <w:rPr>
          <w:rStyle w:val="ECCParagraph"/>
        </w:rPr>
        <w:t xml:space="preserve"> </w:t>
      </w:r>
      <w:r w:rsidR="0043384A" w:rsidRPr="00D83BF2">
        <w:t>and so provide a harmonized allocation across all three Regions</w:t>
      </w:r>
      <w:r w:rsidRPr="00D83BF2">
        <w:rPr>
          <w:rStyle w:val="ECCParagraph"/>
        </w:rPr>
        <w:t>.</w:t>
      </w:r>
    </w:p>
    <w:p w:rsidR="006476ED" w:rsidRPr="00D83BF2" w:rsidRDefault="003771D5" w:rsidP="006C0CCB">
      <w:pPr>
        <w:pStyle w:val="ECCBreak"/>
        <w:rPr>
          <w:lang w:val="en-GB"/>
        </w:rPr>
      </w:pPr>
      <w:r w:rsidRPr="00D83BF2">
        <w:rPr>
          <w:lang w:val="en-GB"/>
        </w:rPr>
        <w:t>IATA (date of proposal)</w:t>
      </w:r>
    </w:p>
    <w:p w:rsidR="005D2B93" w:rsidRPr="00D83BF2" w:rsidRDefault="005D2B93" w:rsidP="005D2B93"/>
    <w:p w:rsidR="003771D5" w:rsidRPr="00D83BF2" w:rsidRDefault="003771D5" w:rsidP="004706E2">
      <w:pPr>
        <w:pStyle w:val="ECCBreak"/>
        <w:rPr>
          <w:lang w:val="en-GB"/>
        </w:rPr>
      </w:pPr>
      <w:r w:rsidRPr="00D83BF2">
        <w:rPr>
          <w:lang w:val="en-GB"/>
        </w:rPr>
        <w:t>ICAO (</w:t>
      </w:r>
      <w:r w:rsidR="00D62BFC" w:rsidRPr="00D83BF2">
        <w:rPr>
          <w:lang w:val="en-GB"/>
        </w:rPr>
        <w:t>November 2017</w:t>
      </w:r>
      <w:r w:rsidRPr="00D83BF2">
        <w:rPr>
          <w:lang w:val="en-GB"/>
        </w:rPr>
        <w:t>)</w:t>
      </w:r>
    </w:p>
    <w:p w:rsidR="00D62BFC" w:rsidRPr="00D83BF2" w:rsidRDefault="00D62BFC" w:rsidP="00D62BFC">
      <w:pPr>
        <w:rPr>
          <w:rStyle w:val="ECCParagraph"/>
        </w:rPr>
      </w:pPr>
      <w:r w:rsidRPr="00D83BF2">
        <w:rPr>
          <w:rStyle w:val="ECCParagraph"/>
        </w:rPr>
        <w:t xml:space="preserve">No impact on aeronautical services has been identified from WRC-19 Agenda Items 1.1 </w:t>
      </w:r>
    </w:p>
    <w:p w:rsidR="003771D5" w:rsidRPr="00D83BF2" w:rsidRDefault="003771D5" w:rsidP="004706E2">
      <w:pPr>
        <w:pStyle w:val="ECCBreak"/>
        <w:rPr>
          <w:lang w:val="en-GB"/>
        </w:rPr>
      </w:pPr>
      <w:r w:rsidRPr="00D83BF2">
        <w:rPr>
          <w:lang w:val="en-GB"/>
        </w:rPr>
        <w:t>IMO (date of proposal)</w:t>
      </w:r>
    </w:p>
    <w:p w:rsidR="00EA7E24" w:rsidRPr="00D83BF2" w:rsidRDefault="00EA7E24" w:rsidP="006C0CCB">
      <w:pPr>
        <w:pStyle w:val="ECCBreak"/>
        <w:rPr>
          <w:lang w:val="en-GB"/>
        </w:rPr>
      </w:pPr>
      <w:r w:rsidRPr="00D83BF2">
        <w:rPr>
          <w:lang w:val="en-GB"/>
        </w:rPr>
        <w:t xml:space="preserve">NATO </w:t>
      </w:r>
      <w:r w:rsidR="00864F69" w:rsidRPr="00D83BF2">
        <w:rPr>
          <w:lang w:val="en-GB"/>
        </w:rPr>
        <w:t>(</w:t>
      </w:r>
      <w:r w:rsidR="001F720B" w:rsidRPr="00D83BF2">
        <w:rPr>
          <w:lang w:val="en-GB"/>
        </w:rPr>
        <w:t>22 November</w:t>
      </w:r>
      <w:r w:rsidR="00DB1FD7" w:rsidRPr="00D83BF2">
        <w:rPr>
          <w:lang w:val="en-GB"/>
        </w:rPr>
        <w:t xml:space="preserve"> 2018</w:t>
      </w:r>
      <w:r w:rsidR="00864F69" w:rsidRPr="00D83BF2">
        <w:rPr>
          <w:lang w:val="en-GB"/>
        </w:rPr>
        <w:t>)</w:t>
      </w:r>
    </w:p>
    <w:p w:rsidR="00091912" w:rsidRPr="00D83BF2" w:rsidRDefault="005D2B93" w:rsidP="00864F69">
      <w:r w:rsidRPr="00D83BF2">
        <w:t>NATO Military Assessment</w:t>
      </w:r>
      <w:r w:rsidR="00824A42" w:rsidRPr="00D83BF2" w:rsidDel="00824A42">
        <w:t xml:space="preserve"> </w:t>
      </w:r>
    </w:p>
    <w:p w:rsidR="00DB1FD7" w:rsidRPr="00D83BF2" w:rsidRDefault="00864F69" w:rsidP="00864F69">
      <w:pPr>
        <w:rPr>
          <w:bCs/>
        </w:rPr>
      </w:pPr>
      <w:r w:rsidRPr="00D83BF2">
        <w:rPr>
          <w:bCs/>
        </w:rPr>
        <w:t xml:space="preserve">The whole range 30.005 - 87.5 MHz is essential for NATO military tactical communication. A diminished access to the whole band would reduce the ability to </w:t>
      </w:r>
      <w:proofErr w:type="spellStart"/>
      <w:r w:rsidRPr="00D83BF2">
        <w:rPr>
          <w:bCs/>
        </w:rPr>
        <w:t>fulfill</w:t>
      </w:r>
      <w:proofErr w:type="spellEnd"/>
      <w:r w:rsidRPr="00D83BF2">
        <w:rPr>
          <w:bCs/>
        </w:rPr>
        <w:t xml:space="preserve"> combined missions.</w:t>
      </w:r>
      <w:r w:rsidR="001F720B" w:rsidRPr="00D83BF2">
        <w:t xml:space="preserve"> </w:t>
      </w:r>
      <w:r w:rsidR="00DB1FD7" w:rsidRPr="00D83BF2">
        <w:t>At this stage studies show difficulties with sharing between amateur service and mobile service in fixed channel mode</w:t>
      </w:r>
    </w:p>
    <w:p w:rsidR="00824A42" w:rsidRPr="00D83BF2" w:rsidRDefault="00824A42" w:rsidP="00824A42">
      <w:r w:rsidRPr="00D83BF2">
        <w:t>NATO Position </w:t>
      </w:r>
    </w:p>
    <w:p w:rsidR="0076199B" w:rsidRPr="00D83BF2" w:rsidRDefault="001F720B" w:rsidP="0076199B">
      <w:pPr>
        <w:rPr>
          <w:rStyle w:val="ECCParagraph"/>
        </w:rPr>
      </w:pPr>
      <w:r w:rsidRPr="00D83BF2">
        <w:rPr>
          <w:rStyle w:val="ECCParagraph"/>
        </w:rPr>
        <w:t xml:space="preserve">NATO does not oppose to an amateur service allocation in 50-52 MHz in Region 1 provided that the military systems operated under the land mobile service are protected and not further constrained. Thus NATO is still assessing the appropriate regulatory status associated with that allocation. </w:t>
      </w:r>
    </w:p>
    <w:p w:rsidR="003771D5" w:rsidRPr="00D83BF2" w:rsidRDefault="003771D5" w:rsidP="004706E2">
      <w:pPr>
        <w:pStyle w:val="ECCBreak"/>
        <w:rPr>
          <w:lang w:val="en-GB"/>
        </w:rPr>
      </w:pPr>
      <w:r w:rsidRPr="00D83BF2">
        <w:rPr>
          <w:lang w:val="en-GB"/>
        </w:rPr>
        <w:t>SFCG (date of proposal)</w:t>
      </w:r>
    </w:p>
    <w:p w:rsidR="005D2B93" w:rsidRPr="00D83BF2" w:rsidRDefault="005D2B93" w:rsidP="005D2B93"/>
    <w:p w:rsidR="00F35DC6" w:rsidRPr="00D83BF2" w:rsidRDefault="0052205C" w:rsidP="00F35DC6">
      <w:pPr>
        <w:pStyle w:val="ECCBreak"/>
        <w:rPr>
          <w:lang w:val="en-GB"/>
        </w:rPr>
      </w:pPr>
      <w:r w:rsidRPr="00D83BF2">
        <w:rPr>
          <w:lang w:val="en-GB"/>
        </w:rPr>
        <w:t xml:space="preserve">WMO and EUMETNET </w:t>
      </w:r>
      <w:r w:rsidR="00F35DC6" w:rsidRPr="00D83BF2">
        <w:rPr>
          <w:lang w:val="en-GB"/>
        </w:rPr>
        <w:t>(</w:t>
      </w:r>
      <w:r w:rsidR="006D0228" w:rsidRPr="00D83BF2">
        <w:rPr>
          <w:lang w:val="en-GB"/>
        </w:rPr>
        <w:t>February</w:t>
      </w:r>
      <w:r w:rsidR="006A2E7F" w:rsidRPr="00D83BF2">
        <w:rPr>
          <w:lang w:val="en-GB"/>
        </w:rPr>
        <w:t xml:space="preserve"> 2018</w:t>
      </w:r>
      <w:r w:rsidR="00F35DC6" w:rsidRPr="00D83BF2">
        <w:rPr>
          <w:lang w:val="en-GB"/>
        </w:rPr>
        <w:t>)</w:t>
      </w:r>
    </w:p>
    <w:p w:rsidR="00F35DC6" w:rsidRPr="00D83BF2" w:rsidRDefault="00F35DC6" w:rsidP="00F35DC6">
      <w:r w:rsidRPr="00D83BF2">
        <w:t>WMO does not oppose an allocation to amateur service in the 50-54 MHz provided that:</w:t>
      </w:r>
    </w:p>
    <w:p w:rsidR="00F35DC6" w:rsidRPr="00D83BF2" w:rsidRDefault="00F35DC6" w:rsidP="003D2E8E">
      <w:pPr>
        <w:pStyle w:val="ECCBulletsLv1"/>
      </w:pPr>
      <w:r w:rsidRPr="00D83BF2">
        <w:t xml:space="preserve">appropriate protection of radiolocation service allocated by RR No 5.162A is ensured </w:t>
      </w:r>
      <w:r w:rsidR="006A2E7F" w:rsidRPr="00D83BF2">
        <w:t xml:space="preserve">based on a case by case approach </w:t>
      </w:r>
      <w:r w:rsidRPr="00D83BF2">
        <w:t>and</w:t>
      </w:r>
    </w:p>
    <w:p w:rsidR="00F35DC6" w:rsidRPr="00D83BF2" w:rsidRDefault="00F35DC6" w:rsidP="003D2E8E">
      <w:pPr>
        <w:pStyle w:val="ECCBulletsLv1"/>
      </w:pPr>
      <w:proofErr w:type="gramStart"/>
      <w:r w:rsidRPr="00D83BF2">
        <w:t>the</w:t>
      </w:r>
      <w:proofErr w:type="gramEnd"/>
      <w:r w:rsidRPr="00D83BF2">
        <w:t xml:space="preserve"> status of the new allocation to amateur service provides the radiolocation service equality or precedence relative to the amateur service.</w:t>
      </w:r>
    </w:p>
    <w:p w:rsidR="00F35DC6" w:rsidRPr="00D83BF2" w:rsidRDefault="00F35DC6" w:rsidP="00F35DC6">
      <w:r w:rsidRPr="00D83BF2">
        <w:t>WMO opposes any new allocation to amateur-satellite service in this frequency band</w:t>
      </w:r>
    </w:p>
    <w:p w:rsidR="003771D5" w:rsidRPr="00D83BF2" w:rsidRDefault="003771D5" w:rsidP="00BD4E12">
      <w:pPr>
        <w:pStyle w:val="berschrift2"/>
        <w:rPr>
          <w:lang w:val="en-GB"/>
        </w:rPr>
      </w:pPr>
      <w:r w:rsidRPr="00D83BF2">
        <w:rPr>
          <w:lang w:val="en-GB"/>
        </w:rPr>
        <w:t>Regional organisations</w:t>
      </w:r>
    </w:p>
    <w:p w:rsidR="003771D5" w:rsidRPr="00D83BF2" w:rsidRDefault="003771D5" w:rsidP="004706E2">
      <w:pPr>
        <w:pStyle w:val="ECCBreak"/>
        <w:rPr>
          <w:lang w:val="en-GB"/>
        </w:rPr>
      </w:pPr>
      <w:r w:rsidRPr="00D83BF2">
        <w:rPr>
          <w:lang w:val="en-GB"/>
        </w:rPr>
        <w:t>ESA (date of proposal)</w:t>
      </w:r>
    </w:p>
    <w:p w:rsidR="0022257C" w:rsidRPr="00D83BF2" w:rsidRDefault="0022257C" w:rsidP="0022257C"/>
    <w:p w:rsidR="003771D5" w:rsidRPr="00D83BF2" w:rsidRDefault="003771D5" w:rsidP="004706E2">
      <w:pPr>
        <w:pStyle w:val="ECCBreak"/>
        <w:rPr>
          <w:lang w:val="en-GB"/>
        </w:rPr>
      </w:pPr>
      <w:proofErr w:type="spellStart"/>
      <w:r w:rsidRPr="00D83BF2">
        <w:rPr>
          <w:lang w:val="en-GB"/>
        </w:rPr>
        <w:t>Eurocontrol</w:t>
      </w:r>
      <w:proofErr w:type="spellEnd"/>
      <w:r w:rsidRPr="00D83BF2">
        <w:rPr>
          <w:lang w:val="en-GB"/>
        </w:rPr>
        <w:t xml:space="preserve"> (date of proposal)</w:t>
      </w:r>
    </w:p>
    <w:p w:rsidR="0022257C" w:rsidRPr="00D83BF2" w:rsidRDefault="0022257C" w:rsidP="0022257C"/>
    <w:p w:rsidR="003771D5" w:rsidRPr="00D83BF2" w:rsidRDefault="003771D5" w:rsidP="00BD4E12">
      <w:pPr>
        <w:pStyle w:val="berschrift2"/>
        <w:rPr>
          <w:lang w:val="en-GB"/>
        </w:rPr>
      </w:pPr>
      <w:r w:rsidRPr="00D83BF2">
        <w:rPr>
          <w:lang w:val="en-GB"/>
        </w:rPr>
        <w:t>OTHER INTERNATIONAL AND REGIONAL ORGANISATIONS</w:t>
      </w:r>
    </w:p>
    <w:p w:rsidR="00F35DC6" w:rsidRPr="00D83BF2" w:rsidRDefault="003771D5" w:rsidP="00F35DC6">
      <w:pPr>
        <w:pStyle w:val="ECCBreak"/>
        <w:rPr>
          <w:lang w:val="en-GB"/>
        </w:rPr>
      </w:pPr>
      <w:r w:rsidRPr="00D83BF2">
        <w:rPr>
          <w:lang w:val="en-GB"/>
        </w:rPr>
        <w:t xml:space="preserve">EBU </w:t>
      </w:r>
      <w:r w:rsidR="00F35DC6" w:rsidRPr="00D83BF2">
        <w:rPr>
          <w:lang w:val="en-GB"/>
        </w:rPr>
        <w:t>(</w:t>
      </w:r>
      <w:r w:rsidR="001F720B" w:rsidRPr="00D83BF2">
        <w:rPr>
          <w:lang w:val="en-GB"/>
        </w:rPr>
        <w:t>21 November 2018</w:t>
      </w:r>
      <w:r w:rsidR="00F35DC6" w:rsidRPr="00D83BF2">
        <w:rPr>
          <w:lang w:val="en-GB"/>
        </w:rPr>
        <w:t>)</w:t>
      </w:r>
    </w:p>
    <w:p w:rsidR="00F35DC6" w:rsidRPr="00D83BF2" w:rsidRDefault="00F35DC6" w:rsidP="00F35DC6">
      <w:r w:rsidRPr="00D83BF2">
        <w:t xml:space="preserve">The EBU notes that the Stockholm 1961 Regional Agreement (Rev. Geneva 2006) still applies in the 50-54 MHz band. </w:t>
      </w:r>
    </w:p>
    <w:p w:rsidR="00F35DC6" w:rsidRPr="00D83BF2" w:rsidRDefault="00F35DC6" w:rsidP="00F35DC6">
      <w:r w:rsidRPr="00D83BF2">
        <w:t>This Agreement regulates the use of VHF bands for the broadcasting service by the countries of the European Broadcasting Area which covers almost all CEPT member states.</w:t>
      </w:r>
    </w:p>
    <w:p w:rsidR="00F35DC6" w:rsidRPr="00D83BF2" w:rsidRDefault="00F35DC6" w:rsidP="00F35DC6">
      <w:r w:rsidRPr="00D83BF2">
        <w:t xml:space="preserve">Many administrations in this area still have broadcasting assignments registered in the ST61 Plan or in the </w:t>
      </w:r>
      <w:r w:rsidR="001F720B" w:rsidRPr="00D83BF2">
        <w:t>MIFR</w:t>
      </w:r>
      <w:r w:rsidRPr="00D83BF2">
        <w:t>, and the provisions of the Agreement regarding protection of those assignments need to be respected, unless agreed otherwise by the administrations concerned.</w:t>
      </w:r>
    </w:p>
    <w:p w:rsidR="00F35DC6" w:rsidRPr="00D83BF2" w:rsidRDefault="00F35DC6" w:rsidP="00F35DC6">
      <w:r w:rsidRPr="00D83BF2">
        <w:t>As recorded by footnote ECA3 in the ECA Table: CEPT administrations are urged to take all practical steps to clear the band 47-68 MHz of assignments to the broadcasting service. The broadcasting assignments according to Stockholm Agreement 1961 shall be protected.</w:t>
      </w:r>
    </w:p>
    <w:p w:rsidR="003A68D5" w:rsidRPr="00D83BF2" w:rsidRDefault="003771D5" w:rsidP="004706E2">
      <w:pPr>
        <w:pStyle w:val="ECCBreak"/>
        <w:rPr>
          <w:lang w:val="en-GB"/>
        </w:rPr>
      </w:pPr>
      <w:r w:rsidRPr="00D83BF2">
        <w:rPr>
          <w:lang w:val="en-GB"/>
        </w:rPr>
        <w:t>GSMA (date of proposal)</w:t>
      </w:r>
    </w:p>
    <w:p w:rsidR="0022257C" w:rsidRPr="00D83BF2" w:rsidRDefault="0022257C" w:rsidP="0022257C"/>
    <w:p w:rsidR="00F35DC6" w:rsidRPr="00D83BF2" w:rsidRDefault="0052205C" w:rsidP="00F35DC6">
      <w:pPr>
        <w:pStyle w:val="ECCBreak"/>
        <w:rPr>
          <w:lang w:val="en-GB"/>
        </w:rPr>
      </w:pPr>
      <w:r w:rsidRPr="00D83BF2">
        <w:rPr>
          <w:lang w:val="en-GB"/>
        </w:rPr>
        <w:t xml:space="preserve">CRAF </w:t>
      </w:r>
      <w:r w:rsidR="00F35DC6" w:rsidRPr="00D83BF2">
        <w:rPr>
          <w:lang w:val="en-GB"/>
        </w:rPr>
        <w:t>(</w:t>
      </w:r>
      <w:r w:rsidR="00EE440D" w:rsidRPr="00D83BF2">
        <w:rPr>
          <w:lang w:val="en-GB"/>
        </w:rPr>
        <w:t>2</w:t>
      </w:r>
      <w:r w:rsidR="0004370F" w:rsidRPr="00D83BF2">
        <w:rPr>
          <w:lang w:val="en-GB"/>
        </w:rPr>
        <w:t>0 November 2018</w:t>
      </w:r>
      <w:r w:rsidR="00F35DC6" w:rsidRPr="00D83BF2">
        <w:rPr>
          <w:lang w:val="en-GB"/>
        </w:rPr>
        <w:t>)</w:t>
      </w:r>
    </w:p>
    <w:p w:rsidR="00EE440D" w:rsidRPr="00D83BF2" w:rsidRDefault="0004370F" w:rsidP="0004370F">
      <w:pPr>
        <w:rPr>
          <w:rStyle w:val="ECCParagraph"/>
        </w:rPr>
      </w:pPr>
      <w:r w:rsidRPr="00D83BF2">
        <w:rPr>
          <w:rStyle w:val="ECCParagraph"/>
        </w:rPr>
        <w:t>There are several radio telescopes in Region 1 that operate in the band 50-54 MHz, many of which are also involved in the passive space weather research. The wideband use for the 52 – 54 MHz band by the amateur service would make this frequency band practically unusable for these radio telescopes. Separation distances between these and amateur stations in the order of 500 km would be required in order to not limit research for radio astronomy and related fields, such as space weather research. Radio telescopes identified from now as space weather sensors are LOFAR (Europe), NENUFAR (France), the Radio Heliograph and ORFEES (France), the Decametre Array (France), GURT (Ukraine) and 32 CALLISTO instruments (with a station in Switzerland).</w:t>
      </w:r>
    </w:p>
    <w:p w:rsidR="0004370F" w:rsidRPr="00D83BF2" w:rsidRDefault="0004370F" w:rsidP="0004370F">
      <w:pPr>
        <w:rPr>
          <w:rStyle w:val="ECCParagraph"/>
        </w:rPr>
      </w:pPr>
      <w:r w:rsidRPr="00D83BF2">
        <w:rPr>
          <w:rStyle w:val="ECCParagraph"/>
        </w:rPr>
        <w:t>Resolution 657 (WRC-15) invites ITU-R to document for WRC-19 the technical and operational characteristics of space weather sensors with the objective to conduct for WRC-23 the necessary sharing studies for incumbent systems operating in frequency bands used by space weather sensors. CRAF requests great care in allocating bands to active services, which may block the further development of space weather research.</w:t>
      </w:r>
    </w:p>
    <w:p w:rsidR="0004370F" w:rsidRPr="00D83BF2" w:rsidRDefault="0004370F" w:rsidP="0004370F">
      <w:pPr>
        <w:rPr>
          <w:rStyle w:val="ECCParagraph"/>
        </w:rPr>
      </w:pPr>
    </w:p>
    <w:p w:rsidR="00F27062" w:rsidRPr="00D83BF2" w:rsidRDefault="00F27062" w:rsidP="00F35DC6">
      <w:pPr>
        <w:pStyle w:val="ECCBreak"/>
        <w:rPr>
          <w:rStyle w:val="ECCParagraph"/>
        </w:rPr>
      </w:pPr>
    </w:p>
    <w:sectPr w:rsidR="00F27062" w:rsidRPr="00D83BF2" w:rsidSect="003771D5">
      <w:headerReference w:type="even" r:id="rId9"/>
      <w:headerReference w:type="default" r:id="rId10"/>
      <w:footerReference w:type="even" r:id="rId11"/>
      <w:footerReference w:type="default" r:id="rId12"/>
      <w:headerReference w:type="first" r:id="rId13"/>
      <w:footerReference w:type="first" r:id="rId14"/>
      <w:pgSz w:w="11907" w:h="16840" w:code="9"/>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9BC" w:rsidRDefault="00D949BC" w:rsidP="00D0121B">
      <w:r>
        <w:separator/>
      </w:r>
    </w:p>
    <w:p w:rsidR="00D949BC" w:rsidRDefault="00D949BC"/>
    <w:p w:rsidR="00D949BC" w:rsidRDefault="00D949BC"/>
  </w:endnote>
  <w:endnote w:type="continuationSeparator" w:id="0">
    <w:p w:rsidR="00D949BC" w:rsidRDefault="00D949BC" w:rsidP="00D0121B">
      <w:r>
        <w:continuationSeparator/>
      </w:r>
    </w:p>
    <w:p w:rsidR="00D949BC" w:rsidRDefault="00D949BC"/>
    <w:p w:rsidR="00D949BC" w:rsidRDefault="00D94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4EE" w:rsidRDefault="00CB24EE">
    <w:pPr>
      <w:spacing w:before="0"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4EE" w:rsidRDefault="00CB24EE">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4EE" w:rsidRDefault="00CB24EE">
    <w:pP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9BC" w:rsidRPr="00C77ABB" w:rsidRDefault="00D949BC" w:rsidP="00C77ABB">
      <w:pPr>
        <w:pStyle w:val="Funotentext"/>
      </w:pPr>
      <w:r w:rsidRPr="00C77ABB">
        <w:separator/>
      </w:r>
    </w:p>
  </w:footnote>
  <w:footnote w:type="continuationSeparator" w:id="0">
    <w:p w:rsidR="00D949BC" w:rsidRPr="00C77ABB" w:rsidRDefault="00D949BC" w:rsidP="00C77ABB">
      <w:pPr>
        <w:pStyle w:val="Funotentext"/>
      </w:pPr>
      <w:r w:rsidRPr="00C77ABB">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4EE" w:rsidRPr="00CF2EC7" w:rsidRDefault="00CB24EE" w:rsidP="003A68D5">
    <w:pPr>
      <w:pStyle w:val="ECCpageHeader"/>
      <w:rPr>
        <w:lang w:val="en-US"/>
      </w:rPr>
    </w:pPr>
    <w:r w:rsidRPr="00CF2EC7">
      <w:rPr>
        <w:lang w:val="en-US"/>
      </w:rPr>
      <w:t>D</w:t>
    </w:r>
    <w:r>
      <w:rPr>
        <w:lang w:val="en-US"/>
      </w:rPr>
      <w:t>raft CEPT Brief on AI 1.1</w:t>
    </w:r>
    <w:r w:rsidRPr="00CF2EC7">
      <w:rPr>
        <w:lang w:val="en-US"/>
      </w:rPr>
      <w:t xml:space="preserve"> - Page </w:t>
    </w:r>
    <w:r w:rsidRPr="005611D0">
      <w:fldChar w:fldCharType="begin"/>
    </w:r>
    <w:r w:rsidRPr="00CF2EC7">
      <w:rPr>
        <w:lang w:val="en-US"/>
      </w:rPr>
      <w:instrText xml:space="preserve"> PAGE  \* Arabic  \* MERGEFORMAT </w:instrText>
    </w:r>
    <w:r w:rsidRPr="005611D0">
      <w:fldChar w:fldCharType="separate"/>
    </w:r>
    <w:r w:rsidR="008446A9">
      <w:rPr>
        <w:noProof/>
        <w:lang w:val="en-US"/>
      </w:rPr>
      <w:t>8</w:t>
    </w:r>
    <w:r w:rsidRPr="005611D0">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4EE" w:rsidRDefault="00CB24EE" w:rsidP="003A68D5">
    <w:pPr>
      <w:pStyle w:val="ECCpageHeader"/>
    </w:pPr>
  </w:p>
  <w:p w:rsidR="00CB24EE" w:rsidRPr="00CF2EC7" w:rsidRDefault="00CB24EE" w:rsidP="003A68D5">
    <w:pPr>
      <w:pStyle w:val="ECCpageHeader"/>
      <w:rPr>
        <w:lang w:val="en-US"/>
      </w:rPr>
    </w:pPr>
    <w:r>
      <w:tab/>
    </w:r>
    <w:r>
      <w:tab/>
    </w:r>
    <w:r>
      <w:rPr>
        <w:lang w:val="en-US"/>
      </w:rPr>
      <w:t>Draft CEPT Brief on AI 1.1</w:t>
    </w:r>
    <w:r w:rsidRPr="00CF2EC7">
      <w:rPr>
        <w:lang w:val="en-US"/>
      </w:rPr>
      <w:t xml:space="preserve"> - Page </w:t>
    </w:r>
    <w:r w:rsidRPr="005611D0">
      <w:fldChar w:fldCharType="begin"/>
    </w:r>
    <w:r w:rsidRPr="00CF2EC7">
      <w:rPr>
        <w:lang w:val="en-US"/>
      </w:rPr>
      <w:instrText xml:space="preserve"> PAGE  \* Arabic  \* MERGEFORMAT </w:instrText>
    </w:r>
    <w:r w:rsidRPr="005611D0">
      <w:fldChar w:fldCharType="separate"/>
    </w:r>
    <w:r w:rsidR="008446A9">
      <w:rPr>
        <w:noProof/>
        <w:lang w:val="en-US"/>
      </w:rPr>
      <w:t>7</w:t>
    </w:r>
    <w:r w:rsidRPr="005611D0">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33F" w:rsidRDefault="006A133F" w:rsidP="006A133F">
    <w:pPr>
      <w:pStyle w:val="ECCpageHeader"/>
    </w:pPr>
    <w:r w:rsidRPr="006A133F">
      <w:rPr>
        <w:noProof/>
        <w:lang w:val="de-DE" w:eastAsia="de-DE"/>
      </w:rPr>
      <w:drawing>
        <wp:inline distT="0" distB="0" distL="0" distR="0" wp14:anchorId="36ABFA78" wp14:editId="7EB4A601">
          <wp:extent cx="889000" cy="889000"/>
          <wp:effectExtent l="0" t="0" r="6350" b="6350"/>
          <wp:docPr id="2" name="Picture 1" descr="cep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pic:spPr>
              </pic:pic>
            </a:graphicData>
          </a:graphic>
        </wp:inline>
      </w:drawing>
    </w:r>
    <w:r>
      <w:tab/>
    </w:r>
    <w:r>
      <w:tab/>
    </w:r>
    <w:r w:rsidRPr="006A133F">
      <w:rPr>
        <w:noProof/>
        <w:lang w:val="de-DE" w:eastAsia="de-DE"/>
      </w:rPr>
      <w:drawing>
        <wp:inline distT="0" distB="0" distL="0" distR="0" wp14:anchorId="73518173" wp14:editId="18E01A2E">
          <wp:extent cx="1461770" cy="546100"/>
          <wp:effectExtent l="0" t="0" r="5080" b="6350"/>
          <wp:docPr id="1" name="Picture 2" descr="e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c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1770" cy="546100"/>
                  </a:xfrm>
                  <a:prstGeom prst="rect">
                    <a:avLst/>
                  </a:prstGeom>
                  <a:noFill/>
                </pic:spPr>
              </pic:pic>
            </a:graphicData>
          </a:graphic>
        </wp:inline>
      </w:drawing>
    </w:r>
  </w:p>
  <w:p w:rsidR="006A133F" w:rsidRPr="005611D0" w:rsidRDefault="006A133F" w:rsidP="006A133F">
    <w:pPr>
      <w:pStyle w:val="ECCpage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F665A4"/>
    <w:lvl w:ilvl="0">
      <w:start w:val="1"/>
      <w:numFmt w:val="decimal"/>
      <w:lvlText w:val="%1."/>
      <w:lvlJc w:val="left"/>
      <w:pPr>
        <w:tabs>
          <w:tab w:val="num" w:pos="1492"/>
        </w:tabs>
        <w:ind w:left="1492" w:hanging="360"/>
      </w:pPr>
    </w:lvl>
  </w:abstractNum>
  <w:abstractNum w:abstractNumId="1">
    <w:nsid w:val="FFFFFF7D"/>
    <w:multiLevelType w:val="singleLevel"/>
    <w:tmpl w:val="D0DC41BC"/>
    <w:lvl w:ilvl="0">
      <w:start w:val="1"/>
      <w:numFmt w:val="decimal"/>
      <w:lvlText w:val="%1."/>
      <w:lvlJc w:val="left"/>
      <w:pPr>
        <w:tabs>
          <w:tab w:val="num" w:pos="1209"/>
        </w:tabs>
        <w:ind w:left="1209" w:hanging="360"/>
      </w:pPr>
    </w:lvl>
  </w:abstractNum>
  <w:abstractNum w:abstractNumId="2">
    <w:nsid w:val="FFFFFF7E"/>
    <w:multiLevelType w:val="singleLevel"/>
    <w:tmpl w:val="FEB40020"/>
    <w:lvl w:ilvl="0">
      <w:start w:val="1"/>
      <w:numFmt w:val="decimal"/>
      <w:lvlText w:val="%1."/>
      <w:lvlJc w:val="left"/>
      <w:pPr>
        <w:tabs>
          <w:tab w:val="num" w:pos="926"/>
        </w:tabs>
        <w:ind w:left="926" w:hanging="360"/>
      </w:pPr>
    </w:lvl>
  </w:abstractNum>
  <w:abstractNum w:abstractNumId="3">
    <w:nsid w:val="FFFFFF7F"/>
    <w:multiLevelType w:val="singleLevel"/>
    <w:tmpl w:val="6B449D98"/>
    <w:lvl w:ilvl="0">
      <w:start w:val="1"/>
      <w:numFmt w:val="decimal"/>
      <w:lvlText w:val="%1."/>
      <w:lvlJc w:val="left"/>
      <w:pPr>
        <w:tabs>
          <w:tab w:val="num" w:pos="643"/>
        </w:tabs>
        <w:ind w:left="643" w:hanging="360"/>
      </w:pPr>
    </w:lvl>
  </w:abstractNum>
  <w:abstractNum w:abstractNumId="4">
    <w:nsid w:val="FFFFFF80"/>
    <w:multiLevelType w:val="singleLevel"/>
    <w:tmpl w:val="259670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26A18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D3480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34F5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D25076"/>
    <w:lvl w:ilvl="0">
      <w:start w:val="1"/>
      <w:numFmt w:val="decimal"/>
      <w:lvlText w:val="%1."/>
      <w:lvlJc w:val="left"/>
      <w:pPr>
        <w:tabs>
          <w:tab w:val="num" w:pos="360"/>
        </w:tabs>
        <w:ind w:left="360" w:hanging="360"/>
      </w:pPr>
    </w:lvl>
  </w:abstractNum>
  <w:abstractNum w:abstractNumId="9">
    <w:nsid w:val="FFFFFF89"/>
    <w:multiLevelType w:val="singleLevel"/>
    <w:tmpl w:val="447A80D6"/>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FEB4A7C"/>
    <w:multiLevelType w:val="hybridMultilevel"/>
    <w:tmpl w:val="9E7C6FF8"/>
    <w:lvl w:ilvl="0" w:tplc="E83CE0E0">
      <w:start w:val="1"/>
      <w:numFmt w:val="bullet"/>
      <w:pStyle w:val="ECCBulletsLv1"/>
      <w:lvlText w:val=""/>
      <w:lvlJc w:val="left"/>
      <w:pPr>
        <w:ind w:left="360" w:hanging="360"/>
      </w:pPr>
      <w:rPr>
        <w:rFonts w:ascii="Wingdings" w:hAnsi="Wingdings" w:hint="default"/>
        <w:color w:val="D2232A"/>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1921304E"/>
    <w:multiLevelType w:val="hybridMultilevel"/>
    <w:tmpl w:val="A3DCD924"/>
    <w:lvl w:ilvl="0" w:tplc="C8EA4734">
      <w:start w:val="1"/>
      <w:numFmt w:val="bullet"/>
      <w:lvlText w:val="o"/>
      <w:lvlJc w:val="left"/>
      <w:pPr>
        <w:tabs>
          <w:tab w:val="num" w:pos="360"/>
        </w:tabs>
        <w:ind w:left="360" w:hanging="360"/>
      </w:pPr>
      <w:rPr>
        <w:rFonts w:ascii="Courier New" w:hAnsi="Courier New" w:hint="default"/>
      </w:rPr>
    </w:lvl>
    <w:lvl w:ilvl="1" w:tplc="EAD2047C">
      <w:start w:val="1"/>
      <w:numFmt w:val="bullet"/>
      <w:lvlText w:val="o"/>
      <w:lvlJc w:val="left"/>
      <w:pPr>
        <w:tabs>
          <w:tab w:val="num" w:pos="1080"/>
        </w:tabs>
        <w:ind w:left="1080" w:hanging="360"/>
      </w:pPr>
      <w:rPr>
        <w:rFonts w:ascii="Courier New" w:hAnsi="Courier New" w:hint="default"/>
      </w:rPr>
    </w:lvl>
    <w:lvl w:ilvl="2" w:tplc="4468D6A8" w:tentative="1">
      <w:start w:val="1"/>
      <w:numFmt w:val="bullet"/>
      <w:lvlText w:val="o"/>
      <w:lvlJc w:val="left"/>
      <w:pPr>
        <w:tabs>
          <w:tab w:val="num" w:pos="1800"/>
        </w:tabs>
        <w:ind w:left="1800" w:hanging="360"/>
      </w:pPr>
      <w:rPr>
        <w:rFonts w:ascii="Courier New" w:hAnsi="Courier New" w:hint="default"/>
      </w:rPr>
    </w:lvl>
    <w:lvl w:ilvl="3" w:tplc="AC70DF96" w:tentative="1">
      <w:start w:val="1"/>
      <w:numFmt w:val="bullet"/>
      <w:lvlText w:val="o"/>
      <w:lvlJc w:val="left"/>
      <w:pPr>
        <w:tabs>
          <w:tab w:val="num" w:pos="2520"/>
        </w:tabs>
        <w:ind w:left="2520" w:hanging="360"/>
      </w:pPr>
      <w:rPr>
        <w:rFonts w:ascii="Courier New" w:hAnsi="Courier New" w:hint="default"/>
      </w:rPr>
    </w:lvl>
    <w:lvl w:ilvl="4" w:tplc="135E6666" w:tentative="1">
      <w:start w:val="1"/>
      <w:numFmt w:val="bullet"/>
      <w:lvlText w:val="o"/>
      <w:lvlJc w:val="left"/>
      <w:pPr>
        <w:tabs>
          <w:tab w:val="num" w:pos="3240"/>
        </w:tabs>
        <w:ind w:left="3240" w:hanging="360"/>
      </w:pPr>
      <w:rPr>
        <w:rFonts w:ascii="Courier New" w:hAnsi="Courier New" w:hint="default"/>
      </w:rPr>
    </w:lvl>
    <w:lvl w:ilvl="5" w:tplc="E266EDD6" w:tentative="1">
      <w:start w:val="1"/>
      <w:numFmt w:val="bullet"/>
      <w:lvlText w:val="o"/>
      <w:lvlJc w:val="left"/>
      <w:pPr>
        <w:tabs>
          <w:tab w:val="num" w:pos="3960"/>
        </w:tabs>
        <w:ind w:left="3960" w:hanging="360"/>
      </w:pPr>
      <w:rPr>
        <w:rFonts w:ascii="Courier New" w:hAnsi="Courier New" w:hint="default"/>
      </w:rPr>
    </w:lvl>
    <w:lvl w:ilvl="6" w:tplc="D3C24CC6" w:tentative="1">
      <w:start w:val="1"/>
      <w:numFmt w:val="bullet"/>
      <w:lvlText w:val="o"/>
      <w:lvlJc w:val="left"/>
      <w:pPr>
        <w:tabs>
          <w:tab w:val="num" w:pos="4680"/>
        </w:tabs>
        <w:ind w:left="4680" w:hanging="360"/>
      </w:pPr>
      <w:rPr>
        <w:rFonts w:ascii="Courier New" w:hAnsi="Courier New" w:hint="default"/>
      </w:rPr>
    </w:lvl>
    <w:lvl w:ilvl="7" w:tplc="AC2CB788" w:tentative="1">
      <w:start w:val="1"/>
      <w:numFmt w:val="bullet"/>
      <w:lvlText w:val="o"/>
      <w:lvlJc w:val="left"/>
      <w:pPr>
        <w:tabs>
          <w:tab w:val="num" w:pos="5400"/>
        </w:tabs>
        <w:ind w:left="5400" w:hanging="360"/>
      </w:pPr>
      <w:rPr>
        <w:rFonts w:ascii="Courier New" w:hAnsi="Courier New" w:hint="default"/>
      </w:rPr>
    </w:lvl>
    <w:lvl w:ilvl="8" w:tplc="760AD930" w:tentative="1">
      <w:start w:val="1"/>
      <w:numFmt w:val="bullet"/>
      <w:lvlText w:val="o"/>
      <w:lvlJc w:val="left"/>
      <w:pPr>
        <w:tabs>
          <w:tab w:val="num" w:pos="6120"/>
        </w:tabs>
        <w:ind w:left="6120" w:hanging="360"/>
      </w:pPr>
      <w:rPr>
        <w:rFonts w:ascii="Courier New" w:hAnsi="Courier New" w:hint="default"/>
      </w:rPr>
    </w:lvl>
  </w:abstractNum>
  <w:abstractNum w:abstractNumId="13">
    <w:nsid w:val="20A87A02"/>
    <w:multiLevelType w:val="hybridMultilevel"/>
    <w:tmpl w:val="248209E6"/>
    <w:lvl w:ilvl="0" w:tplc="048CDB92">
      <w:start w:val="1"/>
      <w:numFmt w:val="bullet"/>
      <w:lvlText w:val=""/>
      <w:lvlJc w:val="left"/>
      <w:pPr>
        <w:tabs>
          <w:tab w:val="num" w:pos="340"/>
        </w:tabs>
        <w:ind w:left="340" w:hanging="340"/>
      </w:pPr>
      <w:rPr>
        <w:rFonts w:ascii="Wingdings" w:hAnsi="Wingdings" w:hint="default"/>
        <w:color w:val="D2232A"/>
      </w:rPr>
    </w:lvl>
    <w:lvl w:ilvl="1" w:tplc="04090003">
      <w:start w:val="1"/>
      <w:numFmt w:val="bullet"/>
      <w:lvlText w:val="o"/>
      <w:lvlJc w:val="left"/>
      <w:pPr>
        <w:tabs>
          <w:tab w:val="num" w:pos="419"/>
        </w:tabs>
        <w:ind w:left="419" w:hanging="360"/>
      </w:pPr>
      <w:rPr>
        <w:rFonts w:ascii="Courier New" w:hAnsi="Courier New" w:cs="Arial Bold" w:hint="default"/>
      </w:rPr>
    </w:lvl>
    <w:lvl w:ilvl="2" w:tplc="04090005">
      <w:start w:val="1"/>
      <w:numFmt w:val="bullet"/>
      <w:lvlText w:val=""/>
      <w:lvlJc w:val="left"/>
      <w:pPr>
        <w:tabs>
          <w:tab w:val="num" w:pos="1139"/>
        </w:tabs>
        <w:ind w:left="1139" w:hanging="360"/>
      </w:pPr>
      <w:rPr>
        <w:rFonts w:ascii="Wingdings" w:hAnsi="Wingdings" w:hint="default"/>
      </w:rPr>
    </w:lvl>
    <w:lvl w:ilvl="3" w:tplc="04090001">
      <w:start w:val="1"/>
      <w:numFmt w:val="bullet"/>
      <w:lvlText w:val=""/>
      <w:lvlJc w:val="left"/>
      <w:pPr>
        <w:tabs>
          <w:tab w:val="num" w:pos="1859"/>
        </w:tabs>
        <w:ind w:left="1859" w:hanging="360"/>
      </w:pPr>
      <w:rPr>
        <w:rFonts w:ascii="Symbol" w:hAnsi="Symbol" w:hint="default"/>
      </w:rPr>
    </w:lvl>
    <w:lvl w:ilvl="4" w:tplc="04090003">
      <w:start w:val="1"/>
      <w:numFmt w:val="bullet"/>
      <w:lvlText w:val="o"/>
      <w:lvlJc w:val="left"/>
      <w:pPr>
        <w:tabs>
          <w:tab w:val="num" w:pos="2579"/>
        </w:tabs>
        <w:ind w:left="2579" w:hanging="360"/>
      </w:pPr>
      <w:rPr>
        <w:rFonts w:ascii="Courier New" w:hAnsi="Courier New" w:cs="Arial Bold" w:hint="default"/>
      </w:rPr>
    </w:lvl>
    <w:lvl w:ilvl="5" w:tplc="04090005">
      <w:start w:val="1"/>
      <w:numFmt w:val="bullet"/>
      <w:lvlText w:val=""/>
      <w:lvlJc w:val="left"/>
      <w:pPr>
        <w:tabs>
          <w:tab w:val="num" w:pos="3299"/>
        </w:tabs>
        <w:ind w:left="3299" w:hanging="360"/>
      </w:pPr>
      <w:rPr>
        <w:rFonts w:ascii="Wingdings" w:hAnsi="Wingdings" w:hint="default"/>
      </w:rPr>
    </w:lvl>
    <w:lvl w:ilvl="6" w:tplc="04090001">
      <w:start w:val="1"/>
      <w:numFmt w:val="bullet"/>
      <w:lvlText w:val=""/>
      <w:lvlJc w:val="left"/>
      <w:pPr>
        <w:tabs>
          <w:tab w:val="num" w:pos="4019"/>
        </w:tabs>
        <w:ind w:left="4019" w:hanging="360"/>
      </w:pPr>
      <w:rPr>
        <w:rFonts w:ascii="Symbol" w:hAnsi="Symbol" w:hint="default"/>
      </w:rPr>
    </w:lvl>
    <w:lvl w:ilvl="7" w:tplc="04090003">
      <w:start w:val="1"/>
      <w:numFmt w:val="bullet"/>
      <w:lvlText w:val="o"/>
      <w:lvlJc w:val="left"/>
      <w:pPr>
        <w:tabs>
          <w:tab w:val="num" w:pos="4739"/>
        </w:tabs>
        <w:ind w:left="4739" w:hanging="360"/>
      </w:pPr>
      <w:rPr>
        <w:rFonts w:ascii="Courier New" w:hAnsi="Courier New" w:cs="Arial Bold" w:hint="default"/>
      </w:rPr>
    </w:lvl>
    <w:lvl w:ilvl="8" w:tplc="04090005" w:tentative="1">
      <w:start w:val="1"/>
      <w:numFmt w:val="bullet"/>
      <w:lvlText w:val=""/>
      <w:lvlJc w:val="left"/>
      <w:pPr>
        <w:tabs>
          <w:tab w:val="num" w:pos="5459"/>
        </w:tabs>
        <w:ind w:left="5459" w:hanging="360"/>
      </w:pPr>
      <w:rPr>
        <w:rFonts w:ascii="Wingdings" w:hAnsi="Wingdings" w:hint="default"/>
      </w:rPr>
    </w:lvl>
  </w:abstractNum>
  <w:abstractNum w:abstractNumId="14">
    <w:nsid w:val="212F4188"/>
    <w:multiLevelType w:val="multilevel"/>
    <w:tmpl w:val="F1FACA8E"/>
    <w:lvl w:ilvl="0">
      <w:start w:val="1"/>
      <w:numFmt w:val="decimal"/>
      <w:pStyle w:val="ECCAnnexheading1"/>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ECCAnnexheading2"/>
      <w:suff w:val="space"/>
      <w:lvlText w:val="A%1.%2"/>
      <w:lvlJc w:val="left"/>
      <w:pPr>
        <w:ind w:left="576" w:hanging="576"/>
      </w:pPr>
      <w:rPr>
        <w:rFonts w:hint="default"/>
      </w:rPr>
    </w:lvl>
    <w:lvl w:ilvl="2">
      <w:start w:val="1"/>
      <w:numFmt w:val="decimal"/>
      <w:pStyle w:val="ECCAnnexheading3"/>
      <w:lvlText w:val="A%1.%2.%3"/>
      <w:lvlJc w:val="left"/>
      <w:pPr>
        <w:tabs>
          <w:tab w:val="num" w:pos="720"/>
        </w:tabs>
        <w:ind w:left="720" w:hanging="720"/>
      </w:pPr>
      <w:rPr>
        <w:rFonts w:hint="default"/>
      </w:rPr>
    </w:lvl>
    <w:lvl w:ilvl="3">
      <w:start w:val="1"/>
      <w:numFmt w:val="decimal"/>
      <w:pStyle w:val="ECCAnnexheading4"/>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3A226E8"/>
    <w:multiLevelType w:val="hybridMultilevel"/>
    <w:tmpl w:val="07BC0810"/>
    <w:lvl w:ilvl="0" w:tplc="197E6318">
      <w:start w:val="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6A125D"/>
    <w:multiLevelType w:val="multilevel"/>
    <w:tmpl w:val="6388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A0A7C33"/>
    <w:multiLevelType w:val="hybridMultilevel"/>
    <w:tmpl w:val="81E804EC"/>
    <w:lvl w:ilvl="0" w:tplc="F3F6E784">
      <w:start w:val="1"/>
      <w:numFmt w:val="decimal"/>
      <w:pStyle w:val="ECCEditorsNote"/>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2ADE3F16"/>
    <w:multiLevelType w:val="hybridMultilevel"/>
    <w:tmpl w:val="F920D6F4"/>
    <w:lvl w:ilvl="0" w:tplc="A2983CD4">
      <w:start w:val="1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nsid w:val="331D2CAF"/>
    <w:multiLevelType w:val="multilevel"/>
    <w:tmpl w:val="ACC48140"/>
    <w:lvl w:ilvl="0">
      <w:start w:val="1"/>
      <w:numFmt w:val="decimal"/>
      <w:pStyle w:val="ECCNumberedList"/>
      <w:lvlText w:val="%1."/>
      <w:lvlJc w:val="left"/>
      <w:pPr>
        <w:tabs>
          <w:tab w:val="num" w:pos="340"/>
        </w:tabs>
        <w:ind w:left="340" w:hanging="340"/>
      </w:pPr>
      <w:rPr>
        <w:rFonts w:ascii="Arial" w:hAnsi="Arial" w:hint="default"/>
        <w:b w:val="0"/>
        <w:i w:val="0"/>
        <w:color w:val="D2232A"/>
        <w:sz w:val="20"/>
      </w:rPr>
    </w:lvl>
    <w:lvl w:ilvl="1">
      <w:start w:val="1"/>
      <w:numFmt w:val="bullet"/>
      <w:lvlText w:val=""/>
      <w:lvlJc w:val="left"/>
      <w:pPr>
        <w:tabs>
          <w:tab w:val="num" w:pos="680"/>
        </w:tabs>
        <w:ind w:left="680" w:hanging="340"/>
      </w:pPr>
      <w:rPr>
        <w:rFonts w:ascii="Wingdings" w:hAnsi="Wingdings" w:hint="default"/>
        <w:color w:val="D2232A"/>
      </w:rPr>
    </w:lvl>
    <w:lvl w:ilvl="2">
      <w:start w:val="1"/>
      <w:numFmt w:val="bullet"/>
      <w:lvlText w:val=""/>
      <w:lvlJc w:val="left"/>
      <w:pPr>
        <w:tabs>
          <w:tab w:val="num" w:pos="1021"/>
        </w:tabs>
        <w:ind w:left="1021" w:hanging="341"/>
      </w:pPr>
      <w:rPr>
        <w:rFonts w:ascii="Wingdings" w:hAnsi="Wingdings" w:hint="default"/>
        <w:color w:val="D2232A"/>
      </w:rPr>
    </w:lvl>
    <w:lvl w:ilvl="3">
      <w:start w:val="1"/>
      <w:numFmt w:val="decimal"/>
      <w:lvlText w:val="(%4)"/>
      <w:lvlJc w:val="left"/>
      <w:pPr>
        <w:ind w:left="1043" w:hanging="360"/>
      </w:pPr>
      <w:rPr>
        <w:rFonts w:hint="default"/>
      </w:rPr>
    </w:lvl>
    <w:lvl w:ilvl="4">
      <w:start w:val="1"/>
      <w:numFmt w:val="lowerLetter"/>
      <w:lvlText w:val="(%5)"/>
      <w:lvlJc w:val="left"/>
      <w:pPr>
        <w:ind w:left="1403" w:hanging="360"/>
      </w:pPr>
      <w:rPr>
        <w:rFonts w:hint="default"/>
      </w:rPr>
    </w:lvl>
    <w:lvl w:ilvl="5">
      <w:start w:val="1"/>
      <w:numFmt w:val="lowerRoman"/>
      <w:lvlText w:val="(%6)"/>
      <w:lvlJc w:val="left"/>
      <w:pPr>
        <w:ind w:left="1763" w:hanging="360"/>
      </w:pPr>
      <w:rPr>
        <w:rFonts w:hint="default"/>
      </w:rPr>
    </w:lvl>
    <w:lvl w:ilvl="6">
      <w:start w:val="1"/>
      <w:numFmt w:val="decimal"/>
      <w:lvlText w:val="%7."/>
      <w:lvlJc w:val="left"/>
      <w:pPr>
        <w:ind w:left="2123" w:hanging="360"/>
      </w:pPr>
      <w:rPr>
        <w:rFonts w:hint="default"/>
      </w:rPr>
    </w:lvl>
    <w:lvl w:ilvl="7">
      <w:start w:val="1"/>
      <w:numFmt w:val="lowerLetter"/>
      <w:lvlText w:val="%8."/>
      <w:lvlJc w:val="left"/>
      <w:pPr>
        <w:ind w:left="2483" w:hanging="360"/>
      </w:pPr>
      <w:rPr>
        <w:rFonts w:hint="default"/>
      </w:rPr>
    </w:lvl>
    <w:lvl w:ilvl="8">
      <w:start w:val="1"/>
      <w:numFmt w:val="lowerRoman"/>
      <w:lvlText w:val="%9."/>
      <w:lvlJc w:val="left"/>
      <w:pPr>
        <w:ind w:left="2843" w:hanging="360"/>
      </w:pPr>
      <w:rPr>
        <w:rFonts w:hint="default"/>
      </w:rPr>
    </w:lvl>
  </w:abstractNum>
  <w:abstractNum w:abstractNumId="20">
    <w:nsid w:val="3B5440AD"/>
    <w:multiLevelType w:val="hybridMultilevel"/>
    <w:tmpl w:val="5C3E1EF8"/>
    <w:lvl w:ilvl="0" w:tplc="6DFCF1DE">
      <w:start w:val="2"/>
      <w:numFmt w:val="bullet"/>
      <w:lvlText w:val="-"/>
      <w:lvlJc w:val="left"/>
      <w:pPr>
        <w:ind w:left="720" w:hanging="360"/>
      </w:pPr>
      <w:rPr>
        <w:rFonts w:ascii="Times New Roman" w:eastAsia="BatangChe"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3C7FAE"/>
    <w:multiLevelType w:val="multilevel"/>
    <w:tmpl w:val="1B669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163F7A"/>
    <w:multiLevelType w:val="multilevel"/>
    <w:tmpl w:val="C51432D8"/>
    <w:lvl w:ilvl="0">
      <w:start w:val="1"/>
      <w:numFmt w:val="decimal"/>
      <w:pStyle w:val="berschrift1"/>
      <w:lvlText w:val="%1"/>
      <w:lvlJc w:val="left"/>
      <w:pPr>
        <w:tabs>
          <w:tab w:val="num" w:pos="432"/>
        </w:tabs>
        <w:ind w:left="432" w:hanging="432"/>
      </w:pPr>
      <w:rPr>
        <w:rFonts w:ascii="Arial" w:hAnsi="Arial" w:hint="default"/>
        <w:b/>
        <w:i w:val="0"/>
        <w:color w:val="D2232A"/>
        <w:sz w:val="20"/>
        <w:szCs w:val="20"/>
      </w:rPr>
    </w:lvl>
    <w:lvl w:ilvl="1">
      <w:start w:val="1"/>
      <w:numFmt w:val="decimal"/>
      <w:pStyle w:val="berschrift2"/>
      <w:lvlText w:val="%1.%2"/>
      <w:lvlJc w:val="left"/>
      <w:pPr>
        <w:tabs>
          <w:tab w:val="num" w:pos="576"/>
        </w:tabs>
        <w:ind w:left="576" w:hanging="576"/>
      </w:pPr>
      <w:rPr>
        <w:rFonts w:ascii="Arial" w:hAnsi="Arial" w:hint="default"/>
        <w:b/>
        <w:i w:val="0"/>
        <w:sz w:val="20"/>
      </w:rPr>
    </w:lvl>
    <w:lvl w:ilvl="2">
      <w:start w:val="1"/>
      <w:numFmt w:val="decimal"/>
      <w:pStyle w:val="berschrift3"/>
      <w:lvlText w:val="%1.%2.%3"/>
      <w:lvlJc w:val="left"/>
      <w:pPr>
        <w:tabs>
          <w:tab w:val="num" w:pos="720"/>
        </w:tabs>
        <w:ind w:left="720" w:hanging="720"/>
      </w:pPr>
      <w:rPr>
        <w:rFonts w:ascii="Arial" w:hAnsi="Arial" w:hint="default"/>
        <w:b/>
        <w:i w:val="0"/>
        <w:caps w:val="0"/>
        <w:sz w:val="20"/>
        <w:szCs w:val="20"/>
      </w:rPr>
    </w:lvl>
    <w:lvl w:ilvl="3">
      <w:start w:val="1"/>
      <w:numFmt w:val="decimal"/>
      <w:pStyle w:val="berschrift4"/>
      <w:lvlText w:val="%1.%2.%3.%4"/>
      <w:lvlJc w:val="left"/>
      <w:pPr>
        <w:tabs>
          <w:tab w:val="num" w:pos="864"/>
        </w:tabs>
        <w:ind w:left="864" w:hanging="864"/>
      </w:pPr>
      <w:rPr>
        <w:rFonts w:ascii="Arial" w:hAnsi="Arial" w:hint="default"/>
        <w:b w:val="0"/>
        <w:i/>
        <w:sz w:val="20"/>
      </w:rPr>
    </w:lvl>
    <w:lvl w:ilvl="4">
      <w:start w:val="1"/>
      <w:numFmt w:val="decimal"/>
      <w:pStyle w:val="berschrift5"/>
      <w:lvlText w:val="%1.%2.%3.%4.%5"/>
      <w:lvlJc w:val="left"/>
      <w:pPr>
        <w:tabs>
          <w:tab w:val="num" w:pos="1008"/>
        </w:tabs>
        <w:ind w:left="1008" w:hanging="1008"/>
      </w:pPr>
      <w:rPr>
        <w:rFonts w:hint="default"/>
        <w:sz w:val="24"/>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3">
    <w:nsid w:val="46E6242A"/>
    <w:multiLevelType w:val="hybridMultilevel"/>
    <w:tmpl w:val="9146C086"/>
    <w:lvl w:ilvl="0" w:tplc="5D1C976A">
      <w:start w:val="1"/>
      <w:numFmt w:val="decimal"/>
      <w:pStyle w:val="ECCReference"/>
      <w:lvlText w:val="[%1]"/>
      <w:lvlJc w:val="left"/>
      <w:pPr>
        <w:tabs>
          <w:tab w:val="num" w:pos="397"/>
        </w:tabs>
        <w:ind w:left="397" w:hanging="397"/>
      </w:pPr>
      <w:rPr>
        <w:rFonts w:ascii="Arial" w:hAnsi="Arial" w:hint="default"/>
        <w:b w:val="0"/>
        <w:i w:val="0"/>
        <w:color w:val="D2232A"/>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6FA1BF6"/>
    <w:multiLevelType w:val="hybridMultilevel"/>
    <w:tmpl w:val="AB460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9BE4C9A"/>
    <w:multiLevelType w:val="multilevel"/>
    <w:tmpl w:val="8FA093E4"/>
    <w:lvl w:ilvl="0">
      <w:start w:val="1"/>
      <w:numFmt w:val="decimal"/>
      <w:lvlText w:val="%1."/>
      <w:lvlJc w:val="left"/>
      <w:pPr>
        <w:tabs>
          <w:tab w:val="num" w:pos="340"/>
        </w:tabs>
        <w:ind w:left="340" w:hanging="340"/>
      </w:pPr>
      <w:rPr>
        <w:rFonts w:ascii="Arial" w:hAnsi="Arial" w:hint="default"/>
        <w:b w:val="0"/>
        <w:i w:val="0"/>
        <w:color w:val="D2232A"/>
        <w:sz w:val="20"/>
      </w:rPr>
    </w:lvl>
    <w:lvl w:ilvl="1">
      <w:start w:val="1"/>
      <w:numFmt w:val="lowerLetter"/>
      <w:pStyle w:val="ECCLetteredList"/>
      <w:lvlText w:val="%2)"/>
      <w:lvlJc w:val="left"/>
      <w:pPr>
        <w:tabs>
          <w:tab w:val="num" w:pos="680"/>
        </w:tabs>
        <w:ind w:left="680" w:hanging="340"/>
      </w:pPr>
      <w:rPr>
        <w:rFonts w:ascii="Arial" w:hAnsi="Arial" w:hint="default"/>
        <w:b w:val="0"/>
        <w:i w:val="0"/>
        <w:color w:val="D2232A"/>
        <w:sz w:val="20"/>
      </w:rPr>
    </w:lvl>
    <w:lvl w:ilvl="2">
      <w:start w:val="1"/>
      <w:numFmt w:val="bullet"/>
      <w:lvlText w:val=""/>
      <w:lvlJc w:val="left"/>
      <w:pPr>
        <w:tabs>
          <w:tab w:val="num" w:pos="1021"/>
        </w:tabs>
        <w:ind w:left="1021" w:hanging="341"/>
      </w:pPr>
      <w:rPr>
        <w:rFonts w:ascii="Wingdings" w:hAnsi="Wingdings" w:hint="default"/>
        <w:color w:val="D2232A"/>
      </w:rPr>
    </w:lvl>
    <w:lvl w:ilvl="3">
      <w:start w:val="1"/>
      <w:numFmt w:val="none"/>
      <w:lvlText w:val=""/>
      <w:lvlJc w:val="left"/>
      <w:pPr>
        <w:tabs>
          <w:tab w:val="num" w:pos="1077"/>
        </w:tabs>
        <w:ind w:left="1728" w:hanging="648"/>
      </w:pPr>
      <w:rPr>
        <w:rFonts w:hint="default"/>
      </w:rPr>
    </w:lvl>
    <w:lvl w:ilvl="4">
      <w:start w:val="1"/>
      <w:numFmt w:val="none"/>
      <w:lvlText w:val=""/>
      <w:lvlJc w:val="left"/>
      <w:pPr>
        <w:ind w:left="2232" w:hanging="792"/>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num w:numId="1">
    <w:abstractNumId w:val="13"/>
  </w:num>
  <w:num w:numId="2">
    <w:abstractNumId w:val="14"/>
  </w:num>
  <w:num w:numId="3">
    <w:abstractNumId w:val="13"/>
  </w:num>
  <w:num w:numId="4">
    <w:abstractNumId w:val="25"/>
  </w:num>
  <w:num w:numId="5">
    <w:abstractNumId w:val="19"/>
  </w:num>
  <w:num w:numId="6">
    <w:abstractNumId w:val="23"/>
  </w:num>
  <w:num w:numId="7">
    <w:abstractNumId w:val="22"/>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7"/>
  </w:num>
  <w:num w:numId="21">
    <w:abstractNumId w:val="11"/>
  </w:num>
  <w:num w:numId="22">
    <w:abstractNumId w:val="14"/>
  </w:num>
  <w:num w:numId="23">
    <w:abstractNumId w:val="14"/>
  </w:num>
  <w:num w:numId="24">
    <w:abstractNumId w:val="14"/>
  </w:num>
  <w:num w:numId="25">
    <w:abstractNumId w:val="14"/>
  </w:num>
  <w:num w:numId="26">
    <w:abstractNumId w:val="11"/>
  </w:num>
  <w:num w:numId="27">
    <w:abstractNumId w:val="11"/>
  </w:num>
  <w:num w:numId="28">
    <w:abstractNumId w:val="11"/>
  </w:num>
  <w:num w:numId="29">
    <w:abstractNumId w:val="17"/>
  </w:num>
  <w:num w:numId="30">
    <w:abstractNumId w:val="22"/>
  </w:num>
  <w:num w:numId="31">
    <w:abstractNumId w:val="25"/>
  </w:num>
  <w:num w:numId="32">
    <w:abstractNumId w:val="19"/>
  </w:num>
  <w:num w:numId="33">
    <w:abstractNumId w:val="23"/>
  </w:num>
  <w:num w:numId="34">
    <w:abstractNumId w:val="22"/>
  </w:num>
  <w:num w:numId="35">
    <w:abstractNumId w:val="22"/>
  </w:num>
  <w:num w:numId="36">
    <w:abstractNumId w:val="22"/>
  </w:num>
  <w:num w:numId="37">
    <w:abstractNumId w:val="10"/>
  </w:num>
  <w:num w:numId="38">
    <w:abstractNumId w:val="23"/>
  </w:num>
  <w:num w:numId="39">
    <w:abstractNumId w:val="24"/>
  </w:num>
  <w:num w:numId="40">
    <w:abstractNumId w:val="15"/>
  </w:num>
  <w:num w:numId="41">
    <w:abstractNumId w:val="12"/>
  </w:num>
  <w:num w:numId="42">
    <w:abstractNumId w:val="16"/>
  </w:num>
  <w:num w:numId="43">
    <w:abstractNumId w:val="21"/>
  </w:num>
  <w:num w:numId="44">
    <w:abstractNumId w:val="18"/>
  </w:num>
  <w:num w:numId="45">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oNotDisplayPageBoundarie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oNotTrackFormatting/>
  <w:documentProtection w:formatting="1" w:enforcement="1" w:cryptProviderType="rsaFull" w:cryptAlgorithmClass="hash" w:cryptAlgorithmType="typeAny" w:cryptAlgorithmSid="4" w:cryptSpinCount="100000" w:hash="MxDKYrcvCcRRtxM++SRYdFy04G8=" w:salt="iQlWysrBR5ptaipk1xq7cQ=="/>
  <w:autoFormatOverride/>
  <w:styleLockTheme/>
  <w:styleLockQFSet/>
  <w:defaultTabStop w:val="567"/>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28F"/>
    <w:rsid w:val="00000977"/>
    <w:rsid w:val="00000B2B"/>
    <w:rsid w:val="00003A95"/>
    <w:rsid w:val="00011F7F"/>
    <w:rsid w:val="00014532"/>
    <w:rsid w:val="000200D3"/>
    <w:rsid w:val="00032625"/>
    <w:rsid w:val="00041A18"/>
    <w:rsid w:val="0004370F"/>
    <w:rsid w:val="00043F96"/>
    <w:rsid w:val="00047383"/>
    <w:rsid w:val="00052CAE"/>
    <w:rsid w:val="00053FAC"/>
    <w:rsid w:val="00061114"/>
    <w:rsid w:val="000611F2"/>
    <w:rsid w:val="00061762"/>
    <w:rsid w:val="00061E3A"/>
    <w:rsid w:val="00062CB1"/>
    <w:rsid w:val="000660F5"/>
    <w:rsid w:val="00067793"/>
    <w:rsid w:val="000701A5"/>
    <w:rsid w:val="0007495D"/>
    <w:rsid w:val="0008072E"/>
    <w:rsid w:val="00080D4D"/>
    <w:rsid w:val="00081B7B"/>
    <w:rsid w:val="00082DD7"/>
    <w:rsid w:val="0008691C"/>
    <w:rsid w:val="0009142E"/>
    <w:rsid w:val="00091912"/>
    <w:rsid w:val="00093ACA"/>
    <w:rsid w:val="00095620"/>
    <w:rsid w:val="00097D7A"/>
    <w:rsid w:val="000A198F"/>
    <w:rsid w:val="000A29BC"/>
    <w:rsid w:val="000A3940"/>
    <w:rsid w:val="000A6285"/>
    <w:rsid w:val="000B0056"/>
    <w:rsid w:val="000B2156"/>
    <w:rsid w:val="000B4F27"/>
    <w:rsid w:val="000B5026"/>
    <w:rsid w:val="000B5EF6"/>
    <w:rsid w:val="000B7D08"/>
    <w:rsid w:val="000C028F"/>
    <w:rsid w:val="000C0CC5"/>
    <w:rsid w:val="000C5CB6"/>
    <w:rsid w:val="000D1710"/>
    <w:rsid w:val="000D7A37"/>
    <w:rsid w:val="000E0E1F"/>
    <w:rsid w:val="000E42F5"/>
    <w:rsid w:val="000E4820"/>
    <w:rsid w:val="000E6204"/>
    <w:rsid w:val="000F0594"/>
    <w:rsid w:val="000F1620"/>
    <w:rsid w:val="000F24F5"/>
    <w:rsid w:val="000F3F0B"/>
    <w:rsid w:val="000F4131"/>
    <w:rsid w:val="000F528E"/>
    <w:rsid w:val="000F7DB4"/>
    <w:rsid w:val="001006CA"/>
    <w:rsid w:val="00100F8B"/>
    <w:rsid w:val="0012014C"/>
    <w:rsid w:val="00120F7B"/>
    <w:rsid w:val="00130FE2"/>
    <w:rsid w:val="00133A93"/>
    <w:rsid w:val="00140E2D"/>
    <w:rsid w:val="001502EE"/>
    <w:rsid w:val="00150F77"/>
    <w:rsid w:val="001520B0"/>
    <w:rsid w:val="0017456E"/>
    <w:rsid w:val="00177928"/>
    <w:rsid w:val="001810B9"/>
    <w:rsid w:val="00182E39"/>
    <w:rsid w:val="00183FE0"/>
    <w:rsid w:val="0018553F"/>
    <w:rsid w:val="00193535"/>
    <w:rsid w:val="001A1D83"/>
    <w:rsid w:val="001B1AD7"/>
    <w:rsid w:val="001B256A"/>
    <w:rsid w:val="001B5C81"/>
    <w:rsid w:val="001C22A0"/>
    <w:rsid w:val="001D15AA"/>
    <w:rsid w:val="001D334F"/>
    <w:rsid w:val="001D3B8F"/>
    <w:rsid w:val="001E69DF"/>
    <w:rsid w:val="001F182A"/>
    <w:rsid w:val="001F720B"/>
    <w:rsid w:val="0020079A"/>
    <w:rsid w:val="0020250F"/>
    <w:rsid w:val="00220194"/>
    <w:rsid w:val="0022122D"/>
    <w:rsid w:val="0022240F"/>
    <w:rsid w:val="0022257C"/>
    <w:rsid w:val="00226070"/>
    <w:rsid w:val="002263EA"/>
    <w:rsid w:val="002279D4"/>
    <w:rsid w:val="00235592"/>
    <w:rsid w:val="002363A0"/>
    <w:rsid w:val="00236978"/>
    <w:rsid w:val="00241FA9"/>
    <w:rsid w:val="00242067"/>
    <w:rsid w:val="00242D17"/>
    <w:rsid w:val="002456CC"/>
    <w:rsid w:val="00246403"/>
    <w:rsid w:val="00247461"/>
    <w:rsid w:val="00256939"/>
    <w:rsid w:val="002620A2"/>
    <w:rsid w:val="00266C78"/>
    <w:rsid w:val="00273354"/>
    <w:rsid w:val="00274F84"/>
    <w:rsid w:val="0027617C"/>
    <w:rsid w:val="0028060B"/>
    <w:rsid w:val="0028120C"/>
    <w:rsid w:val="00282865"/>
    <w:rsid w:val="002830B7"/>
    <w:rsid w:val="00283EB3"/>
    <w:rsid w:val="0029079C"/>
    <w:rsid w:val="00293920"/>
    <w:rsid w:val="0029428F"/>
    <w:rsid w:val="00295827"/>
    <w:rsid w:val="00295F16"/>
    <w:rsid w:val="00297503"/>
    <w:rsid w:val="00297C23"/>
    <w:rsid w:val="002A3109"/>
    <w:rsid w:val="002B0D0A"/>
    <w:rsid w:val="002B759E"/>
    <w:rsid w:val="002C57F8"/>
    <w:rsid w:val="002C5C63"/>
    <w:rsid w:val="002D1FA9"/>
    <w:rsid w:val="002D41B3"/>
    <w:rsid w:val="002D50A3"/>
    <w:rsid w:val="002D6680"/>
    <w:rsid w:val="002E05E5"/>
    <w:rsid w:val="002E0C40"/>
    <w:rsid w:val="002E1116"/>
    <w:rsid w:val="002E2494"/>
    <w:rsid w:val="002E4378"/>
    <w:rsid w:val="002E58D3"/>
    <w:rsid w:val="002E6224"/>
    <w:rsid w:val="002E786C"/>
    <w:rsid w:val="002F176C"/>
    <w:rsid w:val="002F1E6A"/>
    <w:rsid w:val="003031DA"/>
    <w:rsid w:val="003061BA"/>
    <w:rsid w:val="00307A79"/>
    <w:rsid w:val="00322E6A"/>
    <w:rsid w:val="003314A0"/>
    <w:rsid w:val="00337598"/>
    <w:rsid w:val="003419EF"/>
    <w:rsid w:val="0034387E"/>
    <w:rsid w:val="00347F6F"/>
    <w:rsid w:val="00350354"/>
    <w:rsid w:val="00351ADF"/>
    <w:rsid w:val="003605D4"/>
    <w:rsid w:val="00361E54"/>
    <w:rsid w:val="00362FE9"/>
    <w:rsid w:val="00370A0C"/>
    <w:rsid w:val="003720C3"/>
    <w:rsid w:val="00374A1A"/>
    <w:rsid w:val="00374EF4"/>
    <w:rsid w:val="003771D5"/>
    <w:rsid w:val="00377B7C"/>
    <w:rsid w:val="0038358E"/>
    <w:rsid w:val="00383E0C"/>
    <w:rsid w:val="003869ED"/>
    <w:rsid w:val="00391A01"/>
    <w:rsid w:val="003A2BA4"/>
    <w:rsid w:val="003A2BD8"/>
    <w:rsid w:val="003A5278"/>
    <w:rsid w:val="003A5711"/>
    <w:rsid w:val="003A68D5"/>
    <w:rsid w:val="003B2DB9"/>
    <w:rsid w:val="003B7070"/>
    <w:rsid w:val="003C4D56"/>
    <w:rsid w:val="003C56F7"/>
    <w:rsid w:val="003C64D9"/>
    <w:rsid w:val="003C7679"/>
    <w:rsid w:val="003D1D47"/>
    <w:rsid w:val="003D2E8E"/>
    <w:rsid w:val="003E16D9"/>
    <w:rsid w:val="003E3E28"/>
    <w:rsid w:val="003E43D5"/>
    <w:rsid w:val="003E70E0"/>
    <w:rsid w:val="003E77D6"/>
    <w:rsid w:val="003E7C8C"/>
    <w:rsid w:val="00401545"/>
    <w:rsid w:val="00402EEE"/>
    <w:rsid w:val="00403CE6"/>
    <w:rsid w:val="00403E46"/>
    <w:rsid w:val="0040511C"/>
    <w:rsid w:val="004074CC"/>
    <w:rsid w:val="004110CA"/>
    <w:rsid w:val="0041479A"/>
    <w:rsid w:val="004233A4"/>
    <w:rsid w:val="0042509E"/>
    <w:rsid w:val="00431FE4"/>
    <w:rsid w:val="00433378"/>
    <w:rsid w:val="0043384A"/>
    <w:rsid w:val="00435F28"/>
    <w:rsid w:val="00443482"/>
    <w:rsid w:val="00443912"/>
    <w:rsid w:val="00446E3E"/>
    <w:rsid w:val="00450308"/>
    <w:rsid w:val="00453CB5"/>
    <w:rsid w:val="00455780"/>
    <w:rsid w:val="0045701F"/>
    <w:rsid w:val="00457AD1"/>
    <w:rsid w:val="0046427F"/>
    <w:rsid w:val="00464629"/>
    <w:rsid w:val="004706E2"/>
    <w:rsid w:val="00470D4B"/>
    <w:rsid w:val="00473B1A"/>
    <w:rsid w:val="00473FE6"/>
    <w:rsid w:val="00474DC4"/>
    <w:rsid w:val="00477C50"/>
    <w:rsid w:val="0048141E"/>
    <w:rsid w:val="00484706"/>
    <w:rsid w:val="00485307"/>
    <w:rsid w:val="00491977"/>
    <w:rsid w:val="00491DF7"/>
    <w:rsid w:val="0049491B"/>
    <w:rsid w:val="00495C20"/>
    <w:rsid w:val="004960DF"/>
    <w:rsid w:val="0049639C"/>
    <w:rsid w:val="004A1329"/>
    <w:rsid w:val="004A511D"/>
    <w:rsid w:val="004A68CB"/>
    <w:rsid w:val="004A7125"/>
    <w:rsid w:val="004B4C6F"/>
    <w:rsid w:val="004C021D"/>
    <w:rsid w:val="004C4A2E"/>
    <w:rsid w:val="004D26B6"/>
    <w:rsid w:val="004D5EA3"/>
    <w:rsid w:val="004E068C"/>
    <w:rsid w:val="004E44C8"/>
    <w:rsid w:val="004E53BE"/>
    <w:rsid w:val="004F0B9F"/>
    <w:rsid w:val="004F16F4"/>
    <w:rsid w:val="004F1C31"/>
    <w:rsid w:val="004F3F81"/>
    <w:rsid w:val="004F6CA7"/>
    <w:rsid w:val="005015E0"/>
    <w:rsid w:val="005028D4"/>
    <w:rsid w:val="00511449"/>
    <w:rsid w:val="00511869"/>
    <w:rsid w:val="005210D6"/>
    <w:rsid w:val="0052205C"/>
    <w:rsid w:val="00525FCC"/>
    <w:rsid w:val="005332CA"/>
    <w:rsid w:val="00535050"/>
    <w:rsid w:val="00536F3C"/>
    <w:rsid w:val="00537A58"/>
    <w:rsid w:val="0054260E"/>
    <w:rsid w:val="00550915"/>
    <w:rsid w:val="00550D79"/>
    <w:rsid w:val="005545D5"/>
    <w:rsid w:val="005559AC"/>
    <w:rsid w:val="00557B5A"/>
    <w:rsid w:val="00560D94"/>
    <w:rsid w:val="005611D0"/>
    <w:rsid w:val="005643FC"/>
    <w:rsid w:val="00571A40"/>
    <w:rsid w:val="005736B2"/>
    <w:rsid w:val="0057797A"/>
    <w:rsid w:val="005817E4"/>
    <w:rsid w:val="00587C4C"/>
    <w:rsid w:val="00587FEC"/>
    <w:rsid w:val="0059156A"/>
    <w:rsid w:val="00593BDB"/>
    <w:rsid w:val="00594186"/>
    <w:rsid w:val="005A2827"/>
    <w:rsid w:val="005A3C0F"/>
    <w:rsid w:val="005A53B8"/>
    <w:rsid w:val="005A569C"/>
    <w:rsid w:val="005A656C"/>
    <w:rsid w:val="005A6B26"/>
    <w:rsid w:val="005B12CB"/>
    <w:rsid w:val="005C10EB"/>
    <w:rsid w:val="005C367D"/>
    <w:rsid w:val="005C60EA"/>
    <w:rsid w:val="005D2243"/>
    <w:rsid w:val="005D2B93"/>
    <w:rsid w:val="005D3559"/>
    <w:rsid w:val="005D371D"/>
    <w:rsid w:val="005D3C59"/>
    <w:rsid w:val="005D733D"/>
    <w:rsid w:val="005E1DBD"/>
    <w:rsid w:val="005E283B"/>
    <w:rsid w:val="005E407D"/>
    <w:rsid w:val="005E6FBD"/>
    <w:rsid w:val="005E7495"/>
    <w:rsid w:val="006024FA"/>
    <w:rsid w:val="0061530B"/>
    <w:rsid w:val="0062058B"/>
    <w:rsid w:val="00621C12"/>
    <w:rsid w:val="00635A22"/>
    <w:rsid w:val="00642083"/>
    <w:rsid w:val="00642C4E"/>
    <w:rsid w:val="006476ED"/>
    <w:rsid w:val="00654D39"/>
    <w:rsid w:val="0065550D"/>
    <w:rsid w:val="00657F6B"/>
    <w:rsid w:val="00665364"/>
    <w:rsid w:val="0066592F"/>
    <w:rsid w:val="006718EE"/>
    <w:rsid w:val="0068085F"/>
    <w:rsid w:val="006876A8"/>
    <w:rsid w:val="00687B43"/>
    <w:rsid w:val="00691FDA"/>
    <w:rsid w:val="00697CEB"/>
    <w:rsid w:val="006A133F"/>
    <w:rsid w:val="006A212A"/>
    <w:rsid w:val="006A2E7F"/>
    <w:rsid w:val="006A49E3"/>
    <w:rsid w:val="006B1EFD"/>
    <w:rsid w:val="006B4313"/>
    <w:rsid w:val="006C0CCB"/>
    <w:rsid w:val="006C454C"/>
    <w:rsid w:val="006C5C1C"/>
    <w:rsid w:val="006C7A48"/>
    <w:rsid w:val="006D0228"/>
    <w:rsid w:val="006D12E9"/>
    <w:rsid w:val="006D1CD9"/>
    <w:rsid w:val="006D7AF5"/>
    <w:rsid w:val="006E4888"/>
    <w:rsid w:val="006E52CE"/>
    <w:rsid w:val="006E66AD"/>
    <w:rsid w:val="006E7AD7"/>
    <w:rsid w:val="006F0442"/>
    <w:rsid w:val="006F2945"/>
    <w:rsid w:val="00701881"/>
    <w:rsid w:val="007023A3"/>
    <w:rsid w:val="00703FC0"/>
    <w:rsid w:val="00706EED"/>
    <w:rsid w:val="00714A5B"/>
    <w:rsid w:val="007160BE"/>
    <w:rsid w:val="00721539"/>
    <w:rsid w:val="00722F65"/>
    <w:rsid w:val="007239DC"/>
    <w:rsid w:val="00726836"/>
    <w:rsid w:val="00727B97"/>
    <w:rsid w:val="00734A4F"/>
    <w:rsid w:val="00737882"/>
    <w:rsid w:val="00740919"/>
    <w:rsid w:val="00743FDF"/>
    <w:rsid w:val="0075498F"/>
    <w:rsid w:val="0076199B"/>
    <w:rsid w:val="0076276A"/>
    <w:rsid w:val="00762BCC"/>
    <w:rsid w:val="00763BA3"/>
    <w:rsid w:val="00765B66"/>
    <w:rsid w:val="00767BB2"/>
    <w:rsid w:val="00780376"/>
    <w:rsid w:val="0079092F"/>
    <w:rsid w:val="00791AAC"/>
    <w:rsid w:val="0079410C"/>
    <w:rsid w:val="00795246"/>
    <w:rsid w:val="00797D4C"/>
    <w:rsid w:val="007A5F62"/>
    <w:rsid w:val="007B52C8"/>
    <w:rsid w:val="007C0E7E"/>
    <w:rsid w:val="007C4421"/>
    <w:rsid w:val="007C5A3B"/>
    <w:rsid w:val="007D17C5"/>
    <w:rsid w:val="007D52EC"/>
    <w:rsid w:val="007E33C6"/>
    <w:rsid w:val="007E55E4"/>
    <w:rsid w:val="007E7E61"/>
    <w:rsid w:val="007E7F60"/>
    <w:rsid w:val="007F180E"/>
    <w:rsid w:val="007F1CEE"/>
    <w:rsid w:val="00805159"/>
    <w:rsid w:val="008062AC"/>
    <w:rsid w:val="00814D9F"/>
    <w:rsid w:val="00815883"/>
    <w:rsid w:val="00817826"/>
    <w:rsid w:val="00824A42"/>
    <w:rsid w:val="0083598C"/>
    <w:rsid w:val="008365F9"/>
    <w:rsid w:val="00837537"/>
    <w:rsid w:val="008446A9"/>
    <w:rsid w:val="00847BE1"/>
    <w:rsid w:val="00853553"/>
    <w:rsid w:val="008556A7"/>
    <w:rsid w:val="0086094D"/>
    <w:rsid w:val="00862C3F"/>
    <w:rsid w:val="00864F69"/>
    <w:rsid w:val="00865A46"/>
    <w:rsid w:val="00867A05"/>
    <w:rsid w:val="00872382"/>
    <w:rsid w:val="008742E3"/>
    <w:rsid w:val="008773A9"/>
    <w:rsid w:val="0088609B"/>
    <w:rsid w:val="00891A67"/>
    <w:rsid w:val="00895CE8"/>
    <w:rsid w:val="008A1315"/>
    <w:rsid w:val="008A38A9"/>
    <w:rsid w:val="008A54FC"/>
    <w:rsid w:val="008A5780"/>
    <w:rsid w:val="008B02A0"/>
    <w:rsid w:val="008B70CD"/>
    <w:rsid w:val="008B7CE5"/>
    <w:rsid w:val="008C6DA8"/>
    <w:rsid w:val="008D2A78"/>
    <w:rsid w:val="008D4B4C"/>
    <w:rsid w:val="008E1E81"/>
    <w:rsid w:val="008E3E91"/>
    <w:rsid w:val="008E5FDC"/>
    <w:rsid w:val="008E6109"/>
    <w:rsid w:val="008F339D"/>
    <w:rsid w:val="00905DAD"/>
    <w:rsid w:val="009170EA"/>
    <w:rsid w:val="00917D1C"/>
    <w:rsid w:val="0092076F"/>
    <w:rsid w:val="00920A02"/>
    <w:rsid w:val="00922E34"/>
    <w:rsid w:val="00927833"/>
    <w:rsid w:val="00930439"/>
    <w:rsid w:val="00930BDF"/>
    <w:rsid w:val="00937FE5"/>
    <w:rsid w:val="009434C3"/>
    <w:rsid w:val="00947A5A"/>
    <w:rsid w:val="00951659"/>
    <w:rsid w:val="00952B75"/>
    <w:rsid w:val="00955B74"/>
    <w:rsid w:val="00956352"/>
    <w:rsid w:val="00960BEB"/>
    <w:rsid w:val="00963A50"/>
    <w:rsid w:val="00965D64"/>
    <w:rsid w:val="009734CF"/>
    <w:rsid w:val="009770CA"/>
    <w:rsid w:val="00981A61"/>
    <w:rsid w:val="00986677"/>
    <w:rsid w:val="00986BEE"/>
    <w:rsid w:val="00986E19"/>
    <w:rsid w:val="009874A6"/>
    <w:rsid w:val="00991D9F"/>
    <w:rsid w:val="0099421C"/>
    <w:rsid w:val="009A1848"/>
    <w:rsid w:val="009A380F"/>
    <w:rsid w:val="009A598F"/>
    <w:rsid w:val="009A6465"/>
    <w:rsid w:val="009B0A78"/>
    <w:rsid w:val="009B206B"/>
    <w:rsid w:val="009B2E18"/>
    <w:rsid w:val="009C4B47"/>
    <w:rsid w:val="009C7F82"/>
    <w:rsid w:val="009D3496"/>
    <w:rsid w:val="009D4BA1"/>
    <w:rsid w:val="009D7D5A"/>
    <w:rsid w:val="009E08D1"/>
    <w:rsid w:val="009E34E7"/>
    <w:rsid w:val="009E47EB"/>
    <w:rsid w:val="009E4913"/>
    <w:rsid w:val="009E6DC3"/>
    <w:rsid w:val="009F0B56"/>
    <w:rsid w:val="009F3A37"/>
    <w:rsid w:val="009F6FF1"/>
    <w:rsid w:val="00A02090"/>
    <w:rsid w:val="00A02840"/>
    <w:rsid w:val="00A04E3A"/>
    <w:rsid w:val="00A0656F"/>
    <w:rsid w:val="00A06F7C"/>
    <w:rsid w:val="00A076B5"/>
    <w:rsid w:val="00A141C7"/>
    <w:rsid w:val="00A15A8F"/>
    <w:rsid w:val="00A23870"/>
    <w:rsid w:val="00A27A4F"/>
    <w:rsid w:val="00A31525"/>
    <w:rsid w:val="00A43BD3"/>
    <w:rsid w:val="00A4622B"/>
    <w:rsid w:val="00A63902"/>
    <w:rsid w:val="00A73298"/>
    <w:rsid w:val="00A735FA"/>
    <w:rsid w:val="00A94871"/>
    <w:rsid w:val="00A94EA5"/>
    <w:rsid w:val="00A956AA"/>
    <w:rsid w:val="00A95ACB"/>
    <w:rsid w:val="00A95DD6"/>
    <w:rsid w:val="00A97942"/>
    <w:rsid w:val="00A979A7"/>
    <w:rsid w:val="00AA03C1"/>
    <w:rsid w:val="00AA079B"/>
    <w:rsid w:val="00AA086A"/>
    <w:rsid w:val="00AB1C16"/>
    <w:rsid w:val="00AB2EA8"/>
    <w:rsid w:val="00AB2EC5"/>
    <w:rsid w:val="00AB34D0"/>
    <w:rsid w:val="00AB3C46"/>
    <w:rsid w:val="00AB64BD"/>
    <w:rsid w:val="00AD7257"/>
    <w:rsid w:val="00AE25A4"/>
    <w:rsid w:val="00AE372A"/>
    <w:rsid w:val="00AF13B9"/>
    <w:rsid w:val="00AF2D0C"/>
    <w:rsid w:val="00B2563E"/>
    <w:rsid w:val="00B279E4"/>
    <w:rsid w:val="00B303DF"/>
    <w:rsid w:val="00B3042F"/>
    <w:rsid w:val="00B30D3B"/>
    <w:rsid w:val="00B34E62"/>
    <w:rsid w:val="00B37D28"/>
    <w:rsid w:val="00B432D4"/>
    <w:rsid w:val="00B453ED"/>
    <w:rsid w:val="00B460E4"/>
    <w:rsid w:val="00B5011B"/>
    <w:rsid w:val="00B50924"/>
    <w:rsid w:val="00B54CE4"/>
    <w:rsid w:val="00B56168"/>
    <w:rsid w:val="00B576D7"/>
    <w:rsid w:val="00B63309"/>
    <w:rsid w:val="00B63C12"/>
    <w:rsid w:val="00B72622"/>
    <w:rsid w:val="00B80892"/>
    <w:rsid w:val="00B8103B"/>
    <w:rsid w:val="00B82735"/>
    <w:rsid w:val="00B82A66"/>
    <w:rsid w:val="00B843A1"/>
    <w:rsid w:val="00B85987"/>
    <w:rsid w:val="00B86010"/>
    <w:rsid w:val="00B87E95"/>
    <w:rsid w:val="00B92861"/>
    <w:rsid w:val="00BA06C3"/>
    <w:rsid w:val="00BA2E30"/>
    <w:rsid w:val="00BA524C"/>
    <w:rsid w:val="00BA7A69"/>
    <w:rsid w:val="00BB1128"/>
    <w:rsid w:val="00BB5CD5"/>
    <w:rsid w:val="00BB6A22"/>
    <w:rsid w:val="00BB6D34"/>
    <w:rsid w:val="00BB7AAA"/>
    <w:rsid w:val="00BC3CA5"/>
    <w:rsid w:val="00BC3F08"/>
    <w:rsid w:val="00BC4764"/>
    <w:rsid w:val="00BC47F0"/>
    <w:rsid w:val="00BD28DF"/>
    <w:rsid w:val="00BD4E12"/>
    <w:rsid w:val="00BD7669"/>
    <w:rsid w:val="00BE002A"/>
    <w:rsid w:val="00BE1B71"/>
    <w:rsid w:val="00BE2864"/>
    <w:rsid w:val="00BE3553"/>
    <w:rsid w:val="00BE4B8C"/>
    <w:rsid w:val="00BF3831"/>
    <w:rsid w:val="00C00727"/>
    <w:rsid w:val="00C0435E"/>
    <w:rsid w:val="00C0561A"/>
    <w:rsid w:val="00C076BF"/>
    <w:rsid w:val="00C10BD2"/>
    <w:rsid w:val="00C10C10"/>
    <w:rsid w:val="00C13F0D"/>
    <w:rsid w:val="00C20F3D"/>
    <w:rsid w:val="00C2367D"/>
    <w:rsid w:val="00C2667A"/>
    <w:rsid w:val="00C26932"/>
    <w:rsid w:val="00C27F02"/>
    <w:rsid w:val="00C30983"/>
    <w:rsid w:val="00C30A5B"/>
    <w:rsid w:val="00C33A7C"/>
    <w:rsid w:val="00C34133"/>
    <w:rsid w:val="00C44519"/>
    <w:rsid w:val="00C44CF0"/>
    <w:rsid w:val="00C504F4"/>
    <w:rsid w:val="00C53056"/>
    <w:rsid w:val="00C566F4"/>
    <w:rsid w:val="00C57E85"/>
    <w:rsid w:val="00C657CA"/>
    <w:rsid w:val="00C65BB4"/>
    <w:rsid w:val="00C7126D"/>
    <w:rsid w:val="00C76120"/>
    <w:rsid w:val="00C77ABB"/>
    <w:rsid w:val="00C8071C"/>
    <w:rsid w:val="00C80CCE"/>
    <w:rsid w:val="00C816CB"/>
    <w:rsid w:val="00C8180E"/>
    <w:rsid w:val="00C82461"/>
    <w:rsid w:val="00C85E50"/>
    <w:rsid w:val="00C903FF"/>
    <w:rsid w:val="00CA07CC"/>
    <w:rsid w:val="00CA4FCE"/>
    <w:rsid w:val="00CA5F8F"/>
    <w:rsid w:val="00CA7C4D"/>
    <w:rsid w:val="00CB24EE"/>
    <w:rsid w:val="00CC3D45"/>
    <w:rsid w:val="00CC5A6F"/>
    <w:rsid w:val="00CD0717"/>
    <w:rsid w:val="00CD31D9"/>
    <w:rsid w:val="00CE271A"/>
    <w:rsid w:val="00CE37BA"/>
    <w:rsid w:val="00CE6FF5"/>
    <w:rsid w:val="00CF2EC7"/>
    <w:rsid w:val="00CF481D"/>
    <w:rsid w:val="00CF5245"/>
    <w:rsid w:val="00D0121B"/>
    <w:rsid w:val="00D04BA8"/>
    <w:rsid w:val="00D06479"/>
    <w:rsid w:val="00D06CA9"/>
    <w:rsid w:val="00D076EE"/>
    <w:rsid w:val="00D07B1A"/>
    <w:rsid w:val="00D10D5D"/>
    <w:rsid w:val="00D12C05"/>
    <w:rsid w:val="00D201D8"/>
    <w:rsid w:val="00D245F9"/>
    <w:rsid w:val="00D24CD0"/>
    <w:rsid w:val="00D27B5D"/>
    <w:rsid w:val="00D30E46"/>
    <w:rsid w:val="00D3156F"/>
    <w:rsid w:val="00D3502A"/>
    <w:rsid w:val="00D36EC8"/>
    <w:rsid w:val="00D41033"/>
    <w:rsid w:val="00D4466B"/>
    <w:rsid w:val="00D5084C"/>
    <w:rsid w:val="00D50AC8"/>
    <w:rsid w:val="00D53EEF"/>
    <w:rsid w:val="00D57710"/>
    <w:rsid w:val="00D600F3"/>
    <w:rsid w:val="00D61E32"/>
    <w:rsid w:val="00D62BFC"/>
    <w:rsid w:val="00D64BAB"/>
    <w:rsid w:val="00D701AF"/>
    <w:rsid w:val="00D725F7"/>
    <w:rsid w:val="00D77BA4"/>
    <w:rsid w:val="00D80E05"/>
    <w:rsid w:val="00D83BF2"/>
    <w:rsid w:val="00D86E10"/>
    <w:rsid w:val="00D904D5"/>
    <w:rsid w:val="00D90DBC"/>
    <w:rsid w:val="00D949BC"/>
    <w:rsid w:val="00DA0026"/>
    <w:rsid w:val="00DA015E"/>
    <w:rsid w:val="00DA0AFD"/>
    <w:rsid w:val="00DA2E10"/>
    <w:rsid w:val="00DA444C"/>
    <w:rsid w:val="00DA4BDD"/>
    <w:rsid w:val="00DB0CE5"/>
    <w:rsid w:val="00DB1FD7"/>
    <w:rsid w:val="00DB2E5F"/>
    <w:rsid w:val="00DC108B"/>
    <w:rsid w:val="00DC6F3C"/>
    <w:rsid w:val="00DD19A3"/>
    <w:rsid w:val="00DD56E1"/>
    <w:rsid w:val="00DD6CE9"/>
    <w:rsid w:val="00DE02E4"/>
    <w:rsid w:val="00DE077A"/>
    <w:rsid w:val="00DE3A86"/>
    <w:rsid w:val="00DE4592"/>
    <w:rsid w:val="00DF2C67"/>
    <w:rsid w:val="00DF3AE2"/>
    <w:rsid w:val="00DF7D21"/>
    <w:rsid w:val="00E00F22"/>
    <w:rsid w:val="00E03250"/>
    <w:rsid w:val="00E04AAA"/>
    <w:rsid w:val="00E059C5"/>
    <w:rsid w:val="00E06B29"/>
    <w:rsid w:val="00E06C22"/>
    <w:rsid w:val="00E20BF0"/>
    <w:rsid w:val="00E230DC"/>
    <w:rsid w:val="00E26BAC"/>
    <w:rsid w:val="00E26CF8"/>
    <w:rsid w:val="00E36695"/>
    <w:rsid w:val="00E37F3B"/>
    <w:rsid w:val="00E46E39"/>
    <w:rsid w:val="00E4781B"/>
    <w:rsid w:val="00E51F8B"/>
    <w:rsid w:val="00E60351"/>
    <w:rsid w:val="00E710D4"/>
    <w:rsid w:val="00E71AE7"/>
    <w:rsid w:val="00E752E6"/>
    <w:rsid w:val="00E75A03"/>
    <w:rsid w:val="00E834E6"/>
    <w:rsid w:val="00E84704"/>
    <w:rsid w:val="00E87A65"/>
    <w:rsid w:val="00E97060"/>
    <w:rsid w:val="00EA4A5C"/>
    <w:rsid w:val="00EA6088"/>
    <w:rsid w:val="00EA7E24"/>
    <w:rsid w:val="00EB05F8"/>
    <w:rsid w:val="00EC1A2C"/>
    <w:rsid w:val="00EC2CDA"/>
    <w:rsid w:val="00ED0DAD"/>
    <w:rsid w:val="00EE04A6"/>
    <w:rsid w:val="00EE31F4"/>
    <w:rsid w:val="00EE440D"/>
    <w:rsid w:val="00EE5201"/>
    <w:rsid w:val="00EF22CF"/>
    <w:rsid w:val="00F04F56"/>
    <w:rsid w:val="00F10E1F"/>
    <w:rsid w:val="00F122FC"/>
    <w:rsid w:val="00F127BA"/>
    <w:rsid w:val="00F13C3C"/>
    <w:rsid w:val="00F212EB"/>
    <w:rsid w:val="00F22EFD"/>
    <w:rsid w:val="00F2577F"/>
    <w:rsid w:val="00F260FE"/>
    <w:rsid w:val="00F268C0"/>
    <w:rsid w:val="00F27062"/>
    <w:rsid w:val="00F318BB"/>
    <w:rsid w:val="00F35DC6"/>
    <w:rsid w:val="00F4600D"/>
    <w:rsid w:val="00F465D3"/>
    <w:rsid w:val="00F544F0"/>
    <w:rsid w:val="00F55702"/>
    <w:rsid w:val="00F56394"/>
    <w:rsid w:val="00F569C9"/>
    <w:rsid w:val="00F56F06"/>
    <w:rsid w:val="00F61BB0"/>
    <w:rsid w:val="00F644EB"/>
    <w:rsid w:val="00F64746"/>
    <w:rsid w:val="00F72200"/>
    <w:rsid w:val="00F72DE7"/>
    <w:rsid w:val="00F73815"/>
    <w:rsid w:val="00F7770D"/>
    <w:rsid w:val="00F80171"/>
    <w:rsid w:val="00F80714"/>
    <w:rsid w:val="00F80B3E"/>
    <w:rsid w:val="00F85079"/>
    <w:rsid w:val="00F85984"/>
    <w:rsid w:val="00F868C9"/>
    <w:rsid w:val="00F873D2"/>
    <w:rsid w:val="00F87737"/>
    <w:rsid w:val="00F93115"/>
    <w:rsid w:val="00F97DAD"/>
    <w:rsid w:val="00FA25DD"/>
    <w:rsid w:val="00FA4EED"/>
    <w:rsid w:val="00FA5792"/>
    <w:rsid w:val="00FA5B5D"/>
    <w:rsid w:val="00FA5F14"/>
    <w:rsid w:val="00FA63DC"/>
    <w:rsid w:val="00FA7004"/>
    <w:rsid w:val="00FB200D"/>
    <w:rsid w:val="00FB46A3"/>
    <w:rsid w:val="00FC5309"/>
    <w:rsid w:val="00FD5AD7"/>
    <w:rsid w:val="00FE5072"/>
    <w:rsid w:val="00FE538A"/>
    <w:rsid w:val="00FE721E"/>
    <w:rsid w:val="00FE7EEC"/>
    <w:rsid w:val="00FF4881"/>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lsdException w:name="caption" w:locked="0" w:uiPriority="0" w:qFormat="1"/>
    <w:lsdException w:name="footnote reference" w:locked="0" w:uiPriority="0"/>
    <w:lsdException w:name="Title" w:semiHidden="0" w:uiPriority="10" w:unhideWhenUsed="0" w:qFormat="1"/>
    <w:lsdException w:name="Default Paragraph Font" w:locked="0" w:uiPriority="1"/>
    <w:lsdException w:name="Subtitle" w:semiHidden="0" w:uiPriority="11" w:unhideWhenUsed="0" w:qFormat="1"/>
    <w:lsdException w:name="Hyperlink" w:locked="0" w:uiPriority="0"/>
    <w:lsdException w:name="Strong" w:semiHidden="0" w:uiPriority="0" w:unhideWhenUsed="0" w:qFormat="1"/>
    <w:lsdException w:name="Emphasis" w:locked="0" w:semiHidden="0" w:uiPriority="1" w:unhideWhenUsed="0" w:qFormat="1"/>
    <w:lsdException w:name="HTML Top of Form" w:locked="0"/>
    <w:lsdException w:name="HTML Bottom of Form" w:locked="0"/>
    <w:lsdException w:name="Normal Table" w:locked="0" w:semiHidden="0" w:unhideWhenUsed="0"/>
    <w:lsdException w:name="No List" w:lock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semiHidden="0" w:uiPriority="2" w:unhideWhenUsed="0"/>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ECC Base"/>
    <w:semiHidden/>
    <w:qFormat/>
    <w:rsid w:val="00571A40"/>
    <w:rPr>
      <w:rFonts w:eastAsia="Calibri"/>
      <w:szCs w:val="22"/>
      <w:lang w:val="en-GB"/>
    </w:rPr>
  </w:style>
  <w:style w:type="paragraph" w:styleId="berschrift1">
    <w:name w:val="heading 1"/>
    <w:aliases w:val="ECC Heading 1"/>
    <w:next w:val="Standard"/>
    <w:qFormat/>
    <w:rsid w:val="009F0B56"/>
    <w:pPr>
      <w:keepNext/>
      <w:numPr>
        <w:numId w:val="36"/>
      </w:numPr>
      <w:spacing w:before="600"/>
      <w:jc w:val="left"/>
      <w:outlineLvl w:val="0"/>
    </w:pPr>
    <w:rPr>
      <w:rFonts w:eastAsia="Calibri" w:cs="Arial"/>
      <w:b/>
      <w:bCs/>
      <w:caps/>
      <w:color w:val="D2232A"/>
      <w:kern w:val="32"/>
      <w:szCs w:val="32"/>
    </w:rPr>
  </w:style>
  <w:style w:type="paragraph" w:styleId="berschrift2">
    <w:name w:val="heading 2"/>
    <w:aliases w:val="ECC Heading 2"/>
    <w:next w:val="Standard"/>
    <w:qFormat/>
    <w:rsid w:val="009F0B56"/>
    <w:pPr>
      <w:keepNext/>
      <w:numPr>
        <w:ilvl w:val="1"/>
        <w:numId w:val="36"/>
      </w:numPr>
      <w:spacing w:before="480"/>
      <w:jc w:val="left"/>
      <w:outlineLvl w:val="1"/>
    </w:pPr>
    <w:rPr>
      <w:rFonts w:eastAsia="Calibri" w:cs="Arial"/>
      <w:b/>
      <w:bCs/>
      <w:iCs/>
      <w:caps/>
      <w:szCs w:val="28"/>
    </w:rPr>
  </w:style>
  <w:style w:type="paragraph" w:styleId="berschrift3">
    <w:name w:val="heading 3"/>
    <w:aliases w:val="ECC Heading 3"/>
    <w:next w:val="Standard"/>
    <w:qFormat/>
    <w:rsid w:val="009F0B56"/>
    <w:pPr>
      <w:keepNext/>
      <w:numPr>
        <w:ilvl w:val="2"/>
        <w:numId w:val="36"/>
      </w:numPr>
      <w:spacing w:before="360"/>
      <w:jc w:val="left"/>
      <w:outlineLvl w:val="2"/>
    </w:pPr>
    <w:rPr>
      <w:rFonts w:eastAsia="Calibri" w:cs="Arial"/>
      <w:b/>
      <w:bCs/>
      <w:szCs w:val="26"/>
    </w:rPr>
  </w:style>
  <w:style w:type="paragraph" w:styleId="berschrift4">
    <w:name w:val="heading 4"/>
    <w:aliases w:val="ECC Heading 4"/>
    <w:next w:val="Standard"/>
    <w:qFormat/>
    <w:rsid w:val="009F0B56"/>
    <w:pPr>
      <w:numPr>
        <w:ilvl w:val="3"/>
        <w:numId w:val="36"/>
      </w:numPr>
      <w:spacing w:before="360"/>
      <w:jc w:val="left"/>
      <w:outlineLvl w:val="3"/>
    </w:pPr>
    <w:rPr>
      <w:rFonts w:eastAsia="Calibri" w:cs="Arial"/>
      <w:bCs/>
      <w:i/>
      <w:color w:val="D2232A"/>
      <w:szCs w:val="26"/>
    </w:rPr>
  </w:style>
  <w:style w:type="paragraph" w:styleId="berschrift5">
    <w:name w:val="heading 5"/>
    <w:basedOn w:val="Standard"/>
    <w:next w:val="Standard"/>
    <w:semiHidden/>
    <w:qFormat/>
    <w:locked/>
    <w:rsid w:val="009E47EB"/>
    <w:pPr>
      <w:numPr>
        <w:ilvl w:val="4"/>
        <w:numId w:val="36"/>
      </w:numPr>
      <w:outlineLvl w:val="4"/>
    </w:pPr>
    <w:rPr>
      <w:b/>
      <w:bCs/>
      <w:i/>
      <w:iCs/>
      <w:sz w:val="26"/>
      <w:szCs w:val="26"/>
    </w:rPr>
  </w:style>
  <w:style w:type="paragraph" w:styleId="berschrift6">
    <w:name w:val="heading 6"/>
    <w:basedOn w:val="Standard"/>
    <w:next w:val="Standard"/>
    <w:semiHidden/>
    <w:qFormat/>
    <w:locked/>
    <w:rsid w:val="009E47EB"/>
    <w:pPr>
      <w:numPr>
        <w:ilvl w:val="5"/>
        <w:numId w:val="36"/>
      </w:numPr>
      <w:outlineLvl w:val="5"/>
    </w:pPr>
    <w:rPr>
      <w:b/>
      <w:bCs/>
      <w:sz w:val="22"/>
    </w:rPr>
  </w:style>
  <w:style w:type="paragraph" w:styleId="berschrift7">
    <w:name w:val="heading 7"/>
    <w:basedOn w:val="Standard"/>
    <w:next w:val="Standard"/>
    <w:semiHidden/>
    <w:qFormat/>
    <w:locked/>
    <w:rsid w:val="009E47EB"/>
    <w:pPr>
      <w:numPr>
        <w:ilvl w:val="6"/>
        <w:numId w:val="36"/>
      </w:numPr>
      <w:outlineLvl w:val="6"/>
    </w:pPr>
    <w:rPr>
      <w:sz w:val="24"/>
    </w:rPr>
  </w:style>
  <w:style w:type="paragraph" w:styleId="berschrift8">
    <w:name w:val="heading 8"/>
    <w:basedOn w:val="Standard"/>
    <w:next w:val="Standard"/>
    <w:semiHidden/>
    <w:qFormat/>
    <w:locked/>
    <w:rsid w:val="009E47EB"/>
    <w:pPr>
      <w:numPr>
        <w:ilvl w:val="7"/>
        <w:numId w:val="36"/>
      </w:numPr>
      <w:outlineLvl w:val="7"/>
    </w:pPr>
    <w:rPr>
      <w:i/>
      <w:iCs/>
      <w:sz w:val="24"/>
    </w:rPr>
  </w:style>
  <w:style w:type="paragraph" w:styleId="berschrift9">
    <w:name w:val="heading 9"/>
    <w:basedOn w:val="Standard"/>
    <w:next w:val="Standard"/>
    <w:semiHidden/>
    <w:qFormat/>
    <w:locked/>
    <w:rsid w:val="009E47EB"/>
    <w:pPr>
      <w:numPr>
        <w:ilvl w:val="8"/>
        <w:numId w:val="36"/>
      </w:numPr>
      <w:outlineLvl w:val="8"/>
    </w:pPr>
    <w:rPr>
      <w:rFonts w:cs="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CCBulletsLv1">
    <w:name w:val="ECC Bullets Lv1"/>
    <w:basedOn w:val="Standard"/>
    <w:qFormat/>
    <w:rsid w:val="009F0B56"/>
    <w:pPr>
      <w:numPr>
        <w:numId w:val="28"/>
      </w:numPr>
      <w:tabs>
        <w:tab w:val="left" w:pos="340"/>
      </w:tabs>
      <w:spacing w:before="60" w:after="0"/>
    </w:pPr>
  </w:style>
  <w:style w:type="paragraph" w:customStyle="1" w:styleId="ECCHeadingnonumbering">
    <w:name w:val="ECC Heading no numbering"/>
    <w:basedOn w:val="berschrift1"/>
    <w:rsid w:val="009F0B56"/>
    <w:pPr>
      <w:numPr>
        <w:numId w:val="0"/>
      </w:numPr>
      <w:tabs>
        <w:tab w:val="left" w:pos="0"/>
        <w:tab w:val="center" w:pos="4820"/>
        <w:tab w:val="right" w:pos="9639"/>
      </w:tabs>
    </w:pPr>
  </w:style>
  <w:style w:type="paragraph" w:styleId="Sprechblasentext">
    <w:name w:val="Balloon Text"/>
    <w:basedOn w:val="Standard"/>
    <w:link w:val="SprechblasentextZchn"/>
    <w:uiPriority w:val="99"/>
    <w:semiHidden/>
    <w:unhideWhenUsed/>
    <w:locked/>
    <w:rsid w:val="003A68D5"/>
    <w:pPr>
      <w:spacing w:before="0" w:after="0"/>
    </w:pPr>
    <w:rPr>
      <w:rFonts w:ascii="Tahoma" w:hAnsi="Tahoma" w:cs="Tahoma"/>
      <w:sz w:val="16"/>
      <w:szCs w:val="16"/>
    </w:rPr>
  </w:style>
  <w:style w:type="paragraph" w:customStyle="1" w:styleId="ECCAnnexheading1">
    <w:name w:val="ECC Annex heading1"/>
    <w:next w:val="Standard"/>
    <w:rsid w:val="009F0B56"/>
    <w:pPr>
      <w:keepNext/>
      <w:pageBreakBefore/>
      <w:numPr>
        <w:numId w:val="25"/>
      </w:numPr>
      <w:jc w:val="left"/>
    </w:pPr>
    <w:rPr>
      <w:rFonts w:eastAsia="Calibri"/>
      <w:b/>
      <w:caps/>
      <w:color w:val="D2232A"/>
    </w:rPr>
  </w:style>
  <w:style w:type="paragraph" w:styleId="Verzeichnis1">
    <w:name w:val="toc 1"/>
    <w:aliases w:val="ECC Index 1"/>
    <w:basedOn w:val="Standard"/>
    <w:link w:val="Verzeichnis1Zchn"/>
    <w:uiPriority w:val="39"/>
    <w:semiHidden/>
    <w:qFormat/>
    <w:locked/>
    <w:rsid w:val="009F0B56"/>
    <w:pPr>
      <w:tabs>
        <w:tab w:val="left" w:pos="425"/>
        <w:tab w:val="right" w:leader="dot" w:pos="9639"/>
      </w:tabs>
      <w:spacing w:after="0"/>
      <w:ind w:left="425" w:hanging="425"/>
    </w:pPr>
    <w:rPr>
      <w:b/>
      <w:noProof/>
      <w:szCs w:val="20"/>
      <w:lang w:val="da-DK"/>
    </w:rPr>
  </w:style>
  <w:style w:type="paragraph" w:styleId="Funotentext">
    <w:name w:val="footnote text"/>
    <w:aliases w:val="ECC Footnote,ALTS FOOTNOTE,Footnote Text Char1,Footnote Text Char Char1,Footnote Text Char4 Char Char,Footnote Text Char1 Char1 Char1 Char,Footnote Text Char Char1 Char1 Char Char,Footnote Text Char1 Char1 Char1 Char Char Char1,DN"/>
    <w:basedOn w:val="Standard"/>
    <w:link w:val="FunotentextZchn"/>
    <w:rsid w:val="009F0B56"/>
    <w:pPr>
      <w:widowControl w:val="0"/>
      <w:tabs>
        <w:tab w:val="left" w:pos="284"/>
      </w:tabs>
      <w:spacing w:after="0"/>
      <w:ind w:left="284" w:hanging="284"/>
    </w:pPr>
    <w:rPr>
      <w:sz w:val="16"/>
      <w:szCs w:val="16"/>
      <w:lang w:val="da-DK"/>
      <w14:cntxtAlts/>
    </w:rPr>
  </w:style>
  <w:style w:type="paragraph" w:styleId="Verzeichnis2">
    <w:name w:val="toc 2"/>
    <w:aliases w:val="ECC Index 2"/>
    <w:basedOn w:val="Standard"/>
    <w:uiPriority w:val="39"/>
    <w:semiHidden/>
    <w:qFormat/>
    <w:locked/>
    <w:rsid w:val="009F0B56"/>
    <w:pPr>
      <w:tabs>
        <w:tab w:val="left" w:pos="993"/>
        <w:tab w:val="right" w:leader="dot" w:pos="9639"/>
      </w:tabs>
      <w:spacing w:before="0" w:after="0"/>
      <w:ind w:left="992" w:hanging="567"/>
    </w:pPr>
    <w:rPr>
      <w:noProof/>
      <w:szCs w:val="20"/>
      <w:lang w:val="da-DK"/>
    </w:rPr>
  </w:style>
  <w:style w:type="paragraph" w:styleId="Verzeichnis3">
    <w:name w:val="toc 3"/>
    <w:aliases w:val="ECC Index 3"/>
    <w:basedOn w:val="Standard"/>
    <w:uiPriority w:val="39"/>
    <w:semiHidden/>
    <w:qFormat/>
    <w:locked/>
    <w:rsid w:val="009F0B56"/>
    <w:pPr>
      <w:tabs>
        <w:tab w:val="left" w:pos="1701"/>
        <w:tab w:val="right" w:leader="dot" w:pos="9639"/>
      </w:tabs>
      <w:spacing w:before="0" w:after="0"/>
      <w:ind w:left="1701" w:hanging="709"/>
    </w:pPr>
    <w:rPr>
      <w:noProof/>
      <w:szCs w:val="20"/>
      <w:lang w:val="da-DK"/>
    </w:rPr>
  </w:style>
  <w:style w:type="paragraph" w:styleId="Verzeichnis4">
    <w:name w:val="toc 4"/>
    <w:aliases w:val="ECC Index 4"/>
    <w:basedOn w:val="Standard"/>
    <w:uiPriority w:val="39"/>
    <w:semiHidden/>
    <w:locked/>
    <w:rsid w:val="009F0B56"/>
    <w:pPr>
      <w:tabs>
        <w:tab w:val="left" w:pos="2552"/>
        <w:tab w:val="right" w:leader="dot" w:pos="9639"/>
      </w:tabs>
      <w:spacing w:before="0" w:after="0"/>
      <w:ind w:left="2552" w:hanging="851"/>
    </w:pPr>
    <w:rPr>
      <w:noProof/>
      <w:szCs w:val="20"/>
      <w:lang w:val="da-DK"/>
    </w:rPr>
  </w:style>
  <w:style w:type="character" w:customStyle="1" w:styleId="ECCHLgreen">
    <w:name w:val="ECC HL green"/>
    <w:basedOn w:val="Absatz-Standardschriftart"/>
    <w:uiPriority w:val="1"/>
    <w:qFormat/>
    <w:rsid w:val="009F0B56"/>
    <w:rPr>
      <w:bdr w:val="none" w:sz="0" w:space="0" w:color="auto"/>
      <w:shd w:val="solid" w:color="92D050" w:fill="auto"/>
      <w:lang w:val="en-GB"/>
    </w:rPr>
  </w:style>
  <w:style w:type="character" w:customStyle="1" w:styleId="FunotentextZchn">
    <w:name w:val="Fußnotentext Zchn"/>
    <w:aliases w:val="ECC Footnote Zchn,ALTS FOOTNOTE Zchn,Footnote Text Char1 Zchn,Footnote Text Char Char1 Zchn,Footnote Text Char4 Char Char Zchn,Footnote Text Char1 Char1 Char1 Char Zchn,Footnote Text Char Char1 Char1 Char Char Zchn,DN Zchn"/>
    <w:basedOn w:val="Absatz-Standardschriftart"/>
    <w:link w:val="Funotentext"/>
    <w:rsid w:val="009F0B56"/>
    <w:rPr>
      <w:rFonts w:eastAsia="Calibri"/>
      <w:sz w:val="16"/>
      <w:szCs w:val="16"/>
      <w14:cntxtAlts/>
    </w:rPr>
  </w:style>
  <w:style w:type="character" w:styleId="Funotenzeichen">
    <w:name w:val="footnote reference"/>
    <w:aliases w:val="ECC Footnote number,Appel note de bas de p,Footnote Reference/,Footnote symbol,Style 12,(NECG) Footnote Reference,Style 124,Appel note de bas de p + 11 pt,Italic,Appel note de bas de p1,Appel note de bas de p2,o"/>
    <w:basedOn w:val="Absatz-Standardschriftart"/>
    <w:rsid w:val="009F0B56"/>
    <w:rPr>
      <w:rFonts w:ascii="Arial" w:hAnsi="Arial"/>
      <w:sz w:val="20"/>
      <w:vertAlign w:val="superscript"/>
    </w:rPr>
  </w:style>
  <w:style w:type="paragraph" w:customStyle="1" w:styleId="ECCTablenote">
    <w:name w:val="ECC Table note"/>
    <w:qFormat/>
    <w:rsid w:val="009F0B56"/>
    <w:pPr>
      <w:spacing w:before="0" w:after="0"/>
      <w:ind w:left="284" w:hanging="284"/>
    </w:pPr>
    <w:rPr>
      <w:rFonts w:eastAsia="Calibri"/>
      <w:sz w:val="16"/>
      <w:szCs w:val="16"/>
      <w:lang w:val="en-GB"/>
    </w:rPr>
  </w:style>
  <w:style w:type="paragraph" w:customStyle="1" w:styleId="ECCBulletsLv2">
    <w:name w:val="ECC Bullets Lv2"/>
    <w:basedOn w:val="ECCBulletsLv1"/>
    <w:rsid w:val="009F0B56"/>
    <w:pPr>
      <w:ind w:left="680" w:hanging="340"/>
    </w:pPr>
  </w:style>
  <w:style w:type="paragraph" w:customStyle="1" w:styleId="ECCAnnexheading2">
    <w:name w:val="ECC Annex heading2"/>
    <w:next w:val="Standard"/>
    <w:rsid w:val="009F0B56"/>
    <w:pPr>
      <w:numPr>
        <w:ilvl w:val="1"/>
        <w:numId w:val="25"/>
      </w:numPr>
      <w:overflowPunct w:val="0"/>
      <w:autoSpaceDE w:val="0"/>
      <w:autoSpaceDN w:val="0"/>
      <w:adjustRightInd w:val="0"/>
      <w:spacing w:before="480" w:after="240"/>
      <w:jc w:val="left"/>
      <w:textAlignment w:val="baseline"/>
    </w:pPr>
    <w:rPr>
      <w:rFonts w:eastAsia="Calibri"/>
      <w:b/>
      <w:caps/>
    </w:rPr>
  </w:style>
  <w:style w:type="paragraph" w:customStyle="1" w:styleId="ECCAnnexheading3">
    <w:name w:val="ECC Annex heading3"/>
    <w:next w:val="Standard"/>
    <w:rsid w:val="009F0B56"/>
    <w:pPr>
      <w:numPr>
        <w:ilvl w:val="2"/>
        <w:numId w:val="25"/>
      </w:numPr>
      <w:overflowPunct w:val="0"/>
      <w:autoSpaceDE w:val="0"/>
      <w:autoSpaceDN w:val="0"/>
      <w:adjustRightInd w:val="0"/>
      <w:spacing w:before="360"/>
      <w:jc w:val="left"/>
      <w:textAlignment w:val="baseline"/>
    </w:pPr>
    <w:rPr>
      <w:rFonts w:eastAsia="Calibri"/>
      <w:b/>
    </w:rPr>
  </w:style>
  <w:style w:type="paragraph" w:customStyle="1" w:styleId="ECCAnnexheading4">
    <w:name w:val="ECC Annex heading4"/>
    <w:next w:val="Standard"/>
    <w:rsid w:val="009F0B56"/>
    <w:pPr>
      <w:numPr>
        <w:ilvl w:val="3"/>
        <w:numId w:val="25"/>
      </w:numPr>
      <w:overflowPunct w:val="0"/>
      <w:autoSpaceDE w:val="0"/>
      <w:autoSpaceDN w:val="0"/>
      <w:adjustRightInd w:val="0"/>
      <w:spacing w:before="360"/>
      <w:jc w:val="left"/>
      <w:textAlignment w:val="baseline"/>
    </w:pPr>
    <w:rPr>
      <w:rFonts w:eastAsia="Calibri"/>
      <w:i/>
      <w:color w:val="D2232A"/>
    </w:rPr>
  </w:style>
  <w:style w:type="paragraph" w:customStyle="1" w:styleId="ECCBulletsLv3">
    <w:name w:val="ECC Bullets Lv3"/>
    <w:basedOn w:val="ECCBulletsLv1"/>
    <w:rsid w:val="009F0B56"/>
    <w:pPr>
      <w:tabs>
        <w:tab w:val="clear" w:pos="340"/>
        <w:tab w:val="left" w:pos="680"/>
      </w:tabs>
      <w:ind w:left="1020" w:hanging="340"/>
    </w:pPr>
  </w:style>
  <w:style w:type="table" w:customStyle="1" w:styleId="ECCTable-clean">
    <w:name w:val="ECC Table - clean"/>
    <w:uiPriority w:val="99"/>
    <w:rsid w:val="009F0B56"/>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paragraph" w:customStyle="1" w:styleId="ECCLetteredList">
    <w:name w:val="ECC Lettered List"/>
    <w:rsid w:val="009F0B56"/>
    <w:pPr>
      <w:numPr>
        <w:ilvl w:val="1"/>
        <w:numId w:val="31"/>
      </w:numPr>
      <w:spacing w:after="0"/>
      <w:jc w:val="left"/>
    </w:pPr>
    <w:rPr>
      <w:rFonts w:eastAsia="Calibri"/>
    </w:rPr>
  </w:style>
  <w:style w:type="paragraph" w:customStyle="1" w:styleId="ECCNumberedList">
    <w:name w:val="ECC Numbered List"/>
    <w:basedOn w:val="Standard"/>
    <w:rsid w:val="009F0B56"/>
    <w:pPr>
      <w:numPr>
        <w:numId w:val="32"/>
      </w:numPr>
      <w:spacing w:after="0"/>
    </w:pPr>
    <w:rPr>
      <w:szCs w:val="20"/>
    </w:rPr>
  </w:style>
  <w:style w:type="paragraph" w:customStyle="1" w:styleId="ECCReference">
    <w:name w:val="ECC Reference"/>
    <w:basedOn w:val="Standard"/>
    <w:rsid w:val="009F0B56"/>
    <w:pPr>
      <w:numPr>
        <w:numId w:val="33"/>
      </w:numPr>
      <w:spacing w:before="0" w:after="0"/>
    </w:pPr>
    <w:rPr>
      <w:lang w:eastAsia="ja-JP"/>
    </w:rPr>
  </w:style>
  <w:style w:type="character" w:customStyle="1" w:styleId="SprechblasentextZchn">
    <w:name w:val="Sprechblasentext Zchn"/>
    <w:basedOn w:val="Absatz-Standardschriftart"/>
    <w:link w:val="Sprechblasentext"/>
    <w:uiPriority w:val="99"/>
    <w:semiHidden/>
    <w:rsid w:val="003A68D5"/>
    <w:rPr>
      <w:rFonts w:ascii="Tahoma" w:eastAsia="Calibri" w:hAnsi="Tahoma" w:cs="Tahoma"/>
      <w:sz w:val="16"/>
      <w:szCs w:val="16"/>
      <w:shd w:val="clear" w:color="FFFFFF" w:themeColor="background1" w:fill="auto"/>
      <w:lang w:val="en-GB"/>
    </w:rPr>
  </w:style>
  <w:style w:type="table" w:customStyle="1" w:styleId="ECCTable-redheader">
    <w:name w:val="ECC Table - red header"/>
    <w:basedOn w:val="ECCTable-clean"/>
    <w:uiPriority w:val="99"/>
    <w:rsid w:val="009F0B56"/>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paragraph" w:customStyle="1" w:styleId="ECCEditorsNote">
    <w:name w:val="ECC Editor's Note"/>
    <w:next w:val="Standard"/>
    <w:qFormat/>
    <w:rsid w:val="009F0B56"/>
    <w:pPr>
      <w:numPr>
        <w:numId w:val="29"/>
      </w:numPr>
      <w:shd w:val="solid" w:color="FFFF00" w:fill="auto"/>
      <w:spacing w:before="120"/>
    </w:pPr>
    <w:rPr>
      <w:rFonts w:eastAsia="Calibri"/>
      <w:szCs w:val="22"/>
      <w:lang w:eastAsia="de-DE"/>
    </w:rPr>
  </w:style>
  <w:style w:type="paragraph" w:customStyle="1" w:styleId="ECCFigure">
    <w:name w:val="ECC Figure"/>
    <w:next w:val="Standard"/>
    <w:rsid w:val="00E4781B"/>
    <w:pPr>
      <w:spacing w:after="240"/>
      <w:jc w:val="center"/>
    </w:pPr>
    <w:rPr>
      <w14:cntxtAlts/>
    </w:rPr>
  </w:style>
  <w:style w:type="table" w:customStyle="1" w:styleId="ECCTable-whiteheader">
    <w:name w:val="ECC Table - white header"/>
    <w:basedOn w:val="ECCTable-clean"/>
    <w:uiPriority w:val="99"/>
    <w:rsid w:val="009F0B56"/>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left"/>
      </w:pPr>
      <w:rPr>
        <w:rFonts w:ascii="Arial" w:hAnsi="Arial"/>
        <w:b/>
        <w:i w:val="0"/>
        <w:color w:val="D22A23"/>
        <w:sz w:val="20"/>
      </w:rPr>
      <w:tblPr/>
      <w:trPr>
        <w:tblHeader/>
      </w:trPr>
      <w:tcPr>
        <w:shd w:val="clear" w:color="auto" w:fill="FFFFFF" w:themeFill="background1"/>
      </w:tcPr>
    </w:tblStylePr>
    <w:tblStylePr w:type="lastRow">
      <w:rPr>
        <w:b w:val="0"/>
      </w:rPr>
    </w:tblStylePr>
  </w:style>
  <w:style w:type="paragraph" w:customStyle="1" w:styleId="ECCLetterHead">
    <w:name w:val="ECC Letter Head"/>
    <w:basedOn w:val="Standard"/>
    <w:link w:val="ECCLetterHeadZchn"/>
    <w:qFormat/>
    <w:rsid w:val="009F0B56"/>
    <w:pPr>
      <w:tabs>
        <w:tab w:val="right" w:pos="4750"/>
      </w:tabs>
      <w:spacing w:before="60"/>
    </w:pPr>
    <w:rPr>
      <w:b/>
      <w:sz w:val="22"/>
      <w:szCs w:val="20"/>
    </w:rPr>
  </w:style>
  <w:style w:type="character" w:customStyle="1" w:styleId="ECCHLyellow">
    <w:name w:val="ECC HL yellow"/>
    <w:basedOn w:val="Absatz-Standardschriftart"/>
    <w:uiPriority w:val="1"/>
    <w:qFormat/>
    <w:rsid w:val="009F0B56"/>
    <w:rPr>
      <w:rFonts w:eastAsia="Calibri"/>
      <w:i w:val="0"/>
      <w:szCs w:val="22"/>
      <w:bdr w:val="none" w:sz="0" w:space="0" w:color="auto"/>
      <w:shd w:val="solid" w:color="FFFF00" w:fill="auto"/>
      <w:lang w:val="en-GB"/>
    </w:rPr>
  </w:style>
  <w:style w:type="character" w:customStyle="1" w:styleId="ECCHLbold">
    <w:name w:val="ECC HL bold"/>
    <w:basedOn w:val="Absatz-Standardschriftart"/>
    <w:uiPriority w:val="1"/>
    <w:qFormat/>
    <w:rsid w:val="009F0B56"/>
    <w:rPr>
      <w:b/>
      <w:bCs/>
    </w:rPr>
  </w:style>
  <w:style w:type="paragraph" w:customStyle="1" w:styleId="ECCTabletext">
    <w:name w:val="ECC Table text"/>
    <w:basedOn w:val="Standard"/>
    <w:qFormat/>
    <w:rsid w:val="009F0B56"/>
    <w:pPr>
      <w:spacing w:before="0"/>
    </w:pPr>
  </w:style>
  <w:style w:type="paragraph" w:styleId="Unterschrift">
    <w:name w:val="Signature"/>
    <w:basedOn w:val="Standard"/>
    <w:link w:val="UnterschriftZchn"/>
    <w:uiPriority w:val="99"/>
    <w:semiHidden/>
    <w:unhideWhenUsed/>
    <w:locked/>
    <w:rsid w:val="007D52EC"/>
    <w:pPr>
      <w:spacing w:before="0" w:after="0"/>
      <w:ind w:left="4252"/>
    </w:pPr>
  </w:style>
  <w:style w:type="character" w:customStyle="1" w:styleId="UnterschriftZchn">
    <w:name w:val="Unterschrift Zchn"/>
    <w:basedOn w:val="Absatz-Standardschriftart"/>
    <w:link w:val="Unterschrift"/>
    <w:uiPriority w:val="99"/>
    <w:semiHidden/>
    <w:rsid w:val="007D52EC"/>
  </w:style>
  <w:style w:type="character" w:styleId="Hervorhebung">
    <w:name w:val="Emphasis"/>
    <w:aliases w:val="ECC HL italics"/>
    <w:uiPriority w:val="1"/>
    <w:qFormat/>
    <w:rsid w:val="009F0B56"/>
    <w:rPr>
      <w:i/>
    </w:rPr>
  </w:style>
  <w:style w:type="character" w:customStyle="1" w:styleId="ECCHLunderlined">
    <w:name w:val="ECC HL underlined"/>
    <w:uiPriority w:val="1"/>
    <w:qFormat/>
    <w:rsid w:val="009F0B56"/>
    <w:rPr>
      <w:u w:val="single"/>
    </w:rPr>
  </w:style>
  <w:style w:type="character" w:customStyle="1" w:styleId="Verzeichnis1Zchn">
    <w:name w:val="Verzeichnis 1 Zchn"/>
    <w:aliases w:val="ECC Index 1 Zchn"/>
    <w:basedOn w:val="Absatz-Standardschriftart"/>
    <w:link w:val="Verzeichnis1"/>
    <w:uiPriority w:val="39"/>
    <w:semiHidden/>
    <w:rsid w:val="000E4820"/>
    <w:rPr>
      <w:rFonts w:eastAsia="Calibri"/>
      <w:b/>
      <w:noProof/>
    </w:rPr>
  </w:style>
  <w:style w:type="character" w:customStyle="1" w:styleId="ECCHLcyan">
    <w:name w:val="ECC HL cyan"/>
    <w:basedOn w:val="Absatz-Standardschriftart"/>
    <w:uiPriority w:val="1"/>
    <w:qFormat/>
    <w:rsid w:val="009F0B56"/>
    <w:rPr>
      <w:iCs w:val="0"/>
      <w:bdr w:val="none" w:sz="0" w:space="0" w:color="auto"/>
      <w:shd w:val="solid" w:color="00FFFF" w:fill="auto"/>
      <w:lang w:val="en-GB"/>
    </w:rPr>
  </w:style>
  <w:style w:type="character" w:customStyle="1" w:styleId="ECCHLorange">
    <w:name w:val="ECC HL orange"/>
    <w:basedOn w:val="Absatz-Standardschriftart"/>
    <w:uiPriority w:val="1"/>
    <w:qFormat/>
    <w:rsid w:val="009F0B56"/>
    <w:rPr>
      <w:bdr w:val="none" w:sz="0" w:space="0" w:color="auto"/>
      <w:shd w:val="solid" w:color="FFC000" w:fill="auto"/>
    </w:rPr>
  </w:style>
  <w:style w:type="character" w:customStyle="1" w:styleId="ECCHLblue">
    <w:name w:val="ECC HL blue"/>
    <w:basedOn w:val="Absatz-Standardschriftart"/>
    <w:uiPriority w:val="1"/>
    <w:qFormat/>
    <w:rsid w:val="009F0B56"/>
    <w:rPr>
      <w:rFonts w:eastAsia="Calibri"/>
      <w:color w:val="FFFF00"/>
      <w:szCs w:val="22"/>
      <w:bdr w:val="none" w:sz="0" w:space="0" w:color="auto"/>
      <w:shd w:val="solid" w:color="4F81BD" w:themeColor="accent1" w:fill="auto"/>
      <w:lang w:val="en-GB"/>
    </w:rPr>
  </w:style>
  <w:style w:type="character" w:customStyle="1" w:styleId="ECCHLpetrol">
    <w:name w:val="ECC HL petrol"/>
    <w:basedOn w:val="Absatz-Standardschriftart"/>
    <w:uiPriority w:val="1"/>
    <w:qFormat/>
    <w:rsid w:val="009F0B56"/>
    <w:rPr>
      <w:iCs w:val="0"/>
      <w:color w:val="FFFFFF" w:themeColor="background1"/>
      <w:bdr w:val="none" w:sz="0" w:space="0" w:color="auto"/>
      <w:shd w:val="solid" w:color="008080" w:fill="auto"/>
    </w:rPr>
  </w:style>
  <w:style w:type="character" w:customStyle="1" w:styleId="ECCParagraph">
    <w:name w:val="ECC Paragraph"/>
    <w:basedOn w:val="Absatz-Standardschriftart"/>
    <w:uiPriority w:val="1"/>
    <w:qFormat/>
    <w:rsid w:val="009F0B56"/>
    <w:rPr>
      <w:rFonts w:ascii="Arial" w:hAnsi="Arial"/>
      <w:noProof w:val="0"/>
      <w:sz w:val="20"/>
      <w:bdr w:val="none" w:sz="0" w:space="0" w:color="auto"/>
      <w:lang w:val="en-GB"/>
    </w:rPr>
  </w:style>
  <w:style w:type="character" w:customStyle="1" w:styleId="ECCLetterHeadZchn">
    <w:name w:val="ECC Letter Head Zchn"/>
    <w:basedOn w:val="Absatz-Standardschriftart"/>
    <w:link w:val="ECCLetterHead"/>
    <w:rsid w:val="009F0B56"/>
    <w:rPr>
      <w:rFonts w:eastAsia="Calibri"/>
      <w:b/>
      <w:sz w:val="22"/>
      <w:lang w:val="en-GB"/>
    </w:rPr>
  </w:style>
  <w:style w:type="character" w:customStyle="1" w:styleId="ECCHLmagenta">
    <w:name w:val="ECC HL magenta"/>
    <w:basedOn w:val="Absatz-Standardschriftart"/>
    <w:uiPriority w:val="1"/>
    <w:qFormat/>
    <w:rsid w:val="009F0B56"/>
    <w:rPr>
      <w:color w:val="auto"/>
      <w:bdr w:val="none" w:sz="0" w:space="0" w:color="auto"/>
      <w:shd w:val="solid" w:color="FF3399" w:fill="auto"/>
      <w:lang w:val="en-GB"/>
    </w:rPr>
  </w:style>
  <w:style w:type="character" w:customStyle="1" w:styleId="ECCHLbrown">
    <w:name w:val="ECC HL brown"/>
    <w:basedOn w:val="Absatz-Standardschriftart"/>
    <w:uiPriority w:val="1"/>
    <w:qFormat/>
    <w:rsid w:val="009F0B56"/>
    <w:rPr>
      <w:color w:val="D9D9D9" w:themeColor="background1" w:themeShade="D9"/>
      <w:bdr w:val="none" w:sz="0" w:space="0" w:color="auto"/>
      <w:shd w:val="solid" w:color="B95807" w:fill="auto"/>
    </w:rPr>
  </w:style>
  <w:style w:type="paragraph" w:customStyle="1" w:styleId="ECCBreak">
    <w:name w:val="ECC Break"/>
    <w:next w:val="Standard"/>
    <w:link w:val="ECCBreakZchn"/>
    <w:rsid w:val="009F0B56"/>
    <w:pPr>
      <w:spacing w:before="360"/>
      <w:jc w:val="left"/>
    </w:pPr>
    <w:rPr>
      <w:b/>
      <w:bCs/>
      <w:iCs/>
      <w:szCs w:val="28"/>
    </w:rPr>
  </w:style>
  <w:style w:type="character" w:customStyle="1" w:styleId="ECCBreakZchn">
    <w:name w:val="ECC Break Zchn"/>
    <w:basedOn w:val="Absatz-Standardschriftart"/>
    <w:link w:val="ECCBreak"/>
    <w:rsid w:val="009F0B56"/>
    <w:rPr>
      <w:b/>
      <w:bCs/>
      <w:iCs/>
      <w:szCs w:val="28"/>
    </w:rPr>
  </w:style>
  <w:style w:type="character" w:styleId="Hyperlink">
    <w:name w:val="Hyperlink"/>
    <w:aliases w:val="ECC Hyperlink"/>
    <w:basedOn w:val="Absatz-Standardschriftart"/>
    <w:rsid w:val="009F0B56"/>
    <w:rPr>
      <w:color w:val="0000FF" w:themeColor="hyperlink"/>
      <w:u w:val="single"/>
    </w:rPr>
  </w:style>
  <w:style w:type="paragraph" w:styleId="Beschriftung">
    <w:name w:val="caption"/>
    <w:aliases w:val="ECC Caption,Ca,Figure Lable,cap,cap1,cap2,cap3,cap4,cap5,cap6,cap7,cap8,cap9,cap10,cap11,cap21,cap31,cap41,cap51,cap61,cap71,cap81,cap91,cap101,cap12,cap22,cap32,cap42,cap52,cap62,cap72,cap82,cap92,cap102,cap13,cap23,cap33,cap43,cap53,cap63"/>
    <w:next w:val="Standard"/>
    <w:qFormat/>
    <w:rsid w:val="009F0B56"/>
    <w:pPr>
      <w:keepLines/>
      <w:tabs>
        <w:tab w:val="left" w:pos="0"/>
        <w:tab w:val="center" w:pos="4820"/>
        <w:tab w:val="right" w:pos="9639"/>
      </w:tabs>
      <w:spacing w:after="240"/>
      <w:contextualSpacing/>
      <w:jc w:val="center"/>
    </w:pPr>
    <w:rPr>
      <w:rFonts w:eastAsia="Calibri"/>
      <w:b/>
      <w:bCs/>
      <w:color w:val="D2232A"/>
    </w:rPr>
  </w:style>
  <w:style w:type="paragraph" w:customStyle="1" w:styleId="ECCTableHeaderredfont">
    <w:name w:val="ECC Table Header red font"/>
    <w:qFormat/>
    <w:rsid w:val="009F0B56"/>
    <w:pPr>
      <w:spacing w:before="120" w:after="120"/>
      <w:jc w:val="left"/>
    </w:pPr>
    <w:rPr>
      <w:rFonts w:eastAsia="Calibri"/>
      <w:bCs/>
      <w:color w:val="D2232A"/>
      <w:lang w:val="en-GB" w:eastAsia="de-DE"/>
    </w:rPr>
  </w:style>
  <w:style w:type="paragraph" w:customStyle="1" w:styleId="ECCpageFooter">
    <w:name w:val="ECC page Footer"/>
    <w:rsid w:val="009F0B56"/>
    <w:pPr>
      <w:tabs>
        <w:tab w:val="left" w:pos="0"/>
        <w:tab w:val="center" w:pos="4820"/>
        <w:tab w:val="right" w:pos="9639"/>
      </w:tabs>
      <w:spacing w:before="0" w:after="0"/>
    </w:pPr>
    <w:rPr>
      <w:rFonts w:eastAsia="Calibri"/>
      <w:b/>
      <w:sz w:val="16"/>
      <w:szCs w:val="22"/>
      <w:lang w:val="de-DE" w:eastAsia="de-DE"/>
    </w:rPr>
  </w:style>
  <w:style w:type="paragraph" w:customStyle="1" w:styleId="ECCpageHeader">
    <w:name w:val="ECC page Header"/>
    <w:rsid w:val="009F0B56"/>
    <w:pPr>
      <w:tabs>
        <w:tab w:val="left" w:pos="0"/>
        <w:tab w:val="center" w:pos="4820"/>
        <w:tab w:val="right" w:pos="9639"/>
      </w:tabs>
      <w:spacing w:before="0" w:after="0"/>
      <w:jc w:val="left"/>
    </w:pPr>
    <w:rPr>
      <w:b/>
      <w:sz w:val="16"/>
    </w:rPr>
  </w:style>
  <w:style w:type="character" w:styleId="Platzhaltertext">
    <w:name w:val="Placeholder Text"/>
    <w:basedOn w:val="Absatz-Standardschriftart"/>
    <w:uiPriority w:val="99"/>
    <w:semiHidden/>
    <w:locked/>
    <w:rsid w:val="00FE538A"/>
    <w:rPr>
      <w:color w:val="808080"/>
    </w:rPr>
  </w:style>
  <w:style w:type="character" w:customStyle="1" w:styleId="ECCHLgrey">
    <w:name w:val="ECC HL grey"/>
    <w:uiPriority w:val="1"/>
    <w:qFormat/>
    <w:rsid w:val="009F0B56"/>
    <w:rPr>
      <w:bdr w:val="none" w:sz="0" w:space="0" w:color="auto"/>
      <w:shd w:val="solid" w:color="BFBFBF" w:themeColor="background1" w:themeShade="BF" w:fill="auto"/>
    </w:rPr>
  </w:style>
  <w:style w:type="character" w:customStyle="1" w:styleId="ECCHLsubscript">
    <w:name w:val="ECC HL subscript"/>
    <w:uiPriority w:val="1"/>
    <w:rsid w:val="009F0B56"/>
    <w:rPr>
      <w:vertAlign w:val="subscript"/>
    </w:rPr>
  </w:style>
  <w:style w:type="character" w:customStyle="1" w:styleId="ECCHLsuperscript">
    <w:name w:val="ECC HL superscript"/>
    <w:uiPriority w:val="1"/>
    <w:rsid w:val="009F0B56"/>
    <w:rPr>
      <w:vertAlign w:val="superscript"/>
    </w:rPr>
  </w:style>
  <w:style w:type="paragraph" w:customStyle="1" w:styleId="ECCTableHeaderwhitefont">
    <w:name w:val="ECC Table Header white font"/>
    <w:qFormat/>
    <w:rsid w:val="009F0B56"/>
    <w:pPr>
      <w:jc w:val="center"/>
    </w:pPr>
    <w:rPr>
      <w:rFonts w:eastAsia="Calibri"/>
      <w:bCs/>
      <w:color w:val="FFFFFF" w:themeColor="background1"/>
      <w:lang w:val="en-GB" w:eastAsia="de-DE"/>
    </w:rPr>
  </w:style>
  <w:style w:type="table" w:styleId="Tabellenraster">
    <w:name w:val="Table Grid"/>
    <w:basedOn w:val="NormaleTabelle"/>
    <w:locked/>
    <w:rsid w:val="006C5C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ECCReport">
    <w:name w:val="cover page 'ECC Report'"/>
    <w:link w:val="coverpageECCReportZchn"/>
    <w:semiHidden/>
    <w:rsid w:val="009F0B56"/>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Absatz-Standardschriftart"/>
    <w:link w:val="coverpageECCReport"/>
    <w:semiHidden/>
    <w:rsid w:val="009F0B56"/>
    <w:rPr>
      <w:rFonts w:eastAsia="Calibri"/>
      <w:color w:val="FFFFFF" w:themeColor="background1"/>
      <w:sz w:val="68"/>
      <w:szCs w:val="68"/>
      <w:shd w:val="clear" w:color="FFFFFF" w:themeColor="background1" w:fill="auto"/>
      <w:lang w:val="en-GB"/>
    </w:rPr>
  </w:style>
  <w:style w:type="character" w:customStyle="1" w:styleId="ECCEquation">
    <w:name w:val="ECC Equation"/>
    <w:basedOn w:val="ECCParagraph"/>
    <w:rsid w:val="005B12CB"/>
    <w:rPr>
      <w:rFonts w:ascii="Arial" w:hAnsi="Arial"/>
      <w:noProof w:val="0"/>
      <w:sz w:val="20"/>
      <w:bdr w:val="none" w:sz="0" w:space="0" w:color="auto"/>
      <w:lang w:val="en-GB"/>
    </w:rPr>
  </w:style>
  <w:style w:type="paragraph" w:customStyle="1" w:styleId="ECCFiguregraphcentered">
    <w:name w:val="ECC Figure/graph centered"/>
    <w:next w:val="Standard"/>
    <w:rsid w:val="009F0B56"/>
    <w:pPr>
      <w:spacing w:after="240"/>
      <w:jc w:val="center"/>
    </w:pPr>
    <w:rPr>
      <w:rFonts w:eastAsia="Calibri"/>
      <w:noProof/>
      <w:lang w:val="de-DE" w:eastAsia="de-DE"/>
      <w14:cntxtAlts/>
    </w:rPr>
  </w:style>
  <w:style w:type="paragraph" w:styleId="Fuzeile">
    <w:name w:val="footer"/>
    <w:basedOn w:val="Standard"/>
    <w:link w:val="FuzeileZchn"/>
    <w:uiPriority w:val="99"/>
    <w:semiHidden/>
    <w:unhideWhenUsed/>
    <w:locked/>
    <w:rsid w:val="005E407D"/>
    <w:pPr>
      <w:tabs>
        <w:tab w:val="center" w:pos="4320"/>
        <w:tab w:val="right" w:pos="8640"/>
      </w:tabs>
      <w:spacing w:before="0" w:after="0"/>
    </w:pPr>
  </w:style>
  <w:style w:type="character" w:customStyle="1" w:styleId="FuzeileZchn">
    <w:name w:val="Fußzeile Zchn"/>
    <w:basedOn w:val="Absatz-Standardschriftart"/>
    <w:link w:val="Fuzeile"/>
    <w:uiPriority w:val="99"/>
    <w:semiHidden/>
    <w:rsid w:val="005E407D"/>
    <w:rPr>
      <w:rFonts w:eastAsia="Calibri"/>
      <w:szCs w:val="22"/>
      <w:lang w:val="en-GB"/>
    </w:rPr>
  </w:style>
  <w:style w:type="paragraph" w:styleId="StandardWeb">
    <w:name w:val="Normal (Web)"/>
    <w:basedOn w:val="Standard"/>
    <w:uiPriority w:val="99"/>
    <w:semiHidden/>
    <w:unhideWhenUsed/>
    <w:locked/>
    <w:rsid w:val="005E407D"/>
    <w:rPr>
      <w:rFonts w:ascii="Times New Roman" w:hAnsi="Times New Roman"/>
      <w:sz w:val="24"/>
      <w:szCs w:val="24"/>
    </w:rPr>
  </w:style>
  <w:style w:type="paragraph" w:styleId="Listenabsatz">
    <w:name w:val="List Paragraph"/>
    <w:basedOn w:val="Standard"/>
    <w:uiPriority w:val="34"/>
    <w:qFormat/>
    <w:locked/>
    <w:rsid w:val="00C26932"/>
    <w:pPr>
      <w:ind w:left="720"/>
      <w:contextualSpacing/>
    </w:pPr>
  </w:style>
  <w:style w:type="character" w:styleId="Kommentarzeichen">
    <w:name w:val="annotation reference"/>
    <w:basedOn w:val="Absatz-Standardschriftart"/>
    <w:uiPriority w:val="99"/>
    <w:semiHidden/>
    <w:unhideWhenUsed/>
    <w:locked/>
    <w:rsid w:val="00587FEC"/>
    <w:rPr>
      <w:sz w:val="16"/>
      <w:szCs w:val="16"/>
    </w:rPr>
  </w:style>
  <w:style w:type="paragraph" w:styleId="Kommentartext">
    <w:name w:val="annotation text"/>
    <w:basedOn w:val="Standard"/>
    <w:link w:val="KommentartextZchn"/>
    <w:uiPriority w:val="99"/>
    <w:semiHidden/>
    <w:unhideWhenUsed/>
    <w:locked/>
    <w:rsid w:val="00587FEC"/>
    <w:rPr>
      <w:szCs w:val="20"/>
    </w:rPr>
  </w:style>
  <w:style w:type="character" w:customStyle="1" w:styleId="KommentartextZchn">
    <w:name w:val="Kommentartext Zchn"/>
    <w:basedOn w:val="Absatz-Standardschriftart"/>
    <w:link w:val="Kommentartext"/>
    <w:uiPriority w:val="99"/>
    <w:semiHidden/>
    <w:rsid w:val="00587FEC"/>
    <w:rPr>
      <w:rFonts w:eastAsia="Calibri"/>
      <w:lang w:val="en-GB"/>
    </w:rPr>
  </w:style>
  <w:style w:type="paragraph" w:styleId="Kommentarthema">
    <w:name w:val="annotation subject"/>
    <w:basedOn w:val="Kommentartext"/>
    <w:next w:val="Kommentartext"/>
    <w:link w:val="KommentarthemaZchn"/>
    <w:uiPriority w:val="99"/>
    <w:semiHidden/>
    <w:unhideWhenUsed/>
    <w:locked/>
    <w:rsid w:val="00587FEC"/>
    <w:rPr>
      <w:b/>
      <w:bCs/>
    </w:rPr>
  </w:style>
  <w:style w:type="character" w:customStyle="1" w:styleId="KommentarthemaZchn">
    <w:name w:val="Kommentarthema Zchn"/>
    <w:basedOn w:val="KommentartextZchn"/>
    <w:link w:val="Kommentarthema"/>
    <w:uiPriority w:val="99"/>
    <w:semiHidden/>
    <w:rsid w:val="00587FEC"/>
    <w:rPr>
      <w:rFonts w:eastAsia="Calibri"/>
      <w:b/>
      <w:bCs/>
      <w:lang w:val="en-GB"/>
    </w:rPr>
  </w:style>
  <w:style w:type="paragraph" w:styleId="berarbeitung">
    <w:name w:val="Revision"/>
    <w:hidden/>
    <w:uiPriority w:val="99"/>
    <w:semiHidden/>
    <w:rsid w:val="00587FEC"/>
    <w:pPr>
      <w:spacing w:before="0" w:after="0"/>
      <w:jc w:val="left"/>
    </w:pPr>
    <w:rPr>
      <w:rFonts w:eastAsia="Calibri"/>
      <w:szCs w:val="22"/>
      <w:lang w:val="en-GB"/>
    </w:rPr>
  </w:style>
  <w:style w:type="paragraph" w:styleId="Kopfzeile">
    <w:name w:val="header"/>
    <w:basedOn w:val="Standard"/>
    <w:link w:val="KopfzeileZchn"/>
    <w:uiPriority w:val="99"/>
    <w:semiHidden/>
    <w:unhideWhenUsed/>
    <w:locked/>
    <w:rsid w:val="006A133F"/>
    <w:pPr>
      <w:tabs>
        <w:tab w:val="center" w:pos="4536"/>
        <w:tab w:val="right" w:pos="9072"/>
      </w:tabs>
      <w:spacing w:before="0" w:after="0"/>
    </w:pPr>
  </w:style>
  <w:style w:type="character" w:customStyle="1" w:styleId="KopfzeileZchn">
    <w:name w:val="Kopfzeile Zchn"/>
    <w:basedOn w:val="Absatz-Standardschriftart"/>
    <w:link w:val="Kopfzeile"/>
    <w:uiPriority w:val="99"/>
    <w:semiHidden/>
    <w:rsid w:val="006A133F"/>
    <w:rPr>
      <w:rFonts w:eastAsia="Calibri"/>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da-DK" w:eastAsia="en-US" w:bidi="ar-SA"/>
      </w:rPr>
    </w:rPrDefault>
    <w:pPrDefault>
      <w:pPr>
        <w:spacing w:before="240" w:after="60"/>
        <w:jc w:val="both"/>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0" w:unhideWhenUsed="0" w:qFormat="1"/>
    <w:lsdException w:name="heading 2" w:locked="0" w:semiHidden="0" w:uiPriority="0" w:unhideWhenUsed="0" w:qFormat="1"/>
    <w:lsdException w:name="heading 3" w:locked="0" w:semiHidden="0" w:uiPriority="0" w:unhideWhenUsed="0" w:qFormat="1"/>
    <w:lsdException w:name="heading 4" w:locked="0"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locked="0" w:uiPriority="0"/>
    <w:lsdException w:name="caption" w:locked="0" w:uiPriority="0" w:qFormat="1"/>
    <w:lsdException w:name="footnote reference" w:locked="0" w:uiPriority="0"/>
    <w:lsdException w:name="Title" w:semiHidden="0" w:uiPriority="10" w:unhideWhenUsed="0" w:qFormat="1"/>
    <w:lsdException w:name="Default Paragraph Font" w:locked="0" w:uiPriority="1"/>
    <w:lsdException w:name="Subtitle" w:semiHidden="0" w:uiPriority="11" w:unhideWhenUsed="0" w:qFormat="1"/>
    <w:lsdException w:name="Hyperlink" w:locked="0" w:uiPriority="0"/>
    <w:lsdException w:name="Strong" w:semiHidden="0" w:uiPriority="0" w:unhideWhenUsed="0" w:qFormat="1"/>
    <w:lsdException w:name="Emphasis" w:locked="0" w:semiHidden="0" w:uiPriority="1" w:unhideWhenUsed="0" w:qFormat="1"/>
    <w:lsdException w:name="HTML Top of Form" w:locked="0"/>
    <w:lsdException w:name="HTML Bottom of Form" w:locked="0"/>
    <w:lsdException w:name="Normal Table" w:locked="0" w:semiHidden="0" w:unhideWhenUsed="0"/>
    <w:lsdException w:name="No List" w:lock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semiHidden="0" w:uiPriority="2" w:unhideWhenUsed="0"/>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aliases w:val="ECC Base"/>
    <w:semiHidden/>
    <w:qFormat/>
    <w:rsid w:val="00571A40"/>
    <w:rPr>
      <w:rFonts w:eastAsia="Calibri"/>
      <w:szCs w:val="22"/>
      <w:lang w:val="en-GB"/>
    </w:rPr>
  </w:style>
  <w:style w:type="paragraph" w:styleId="berschrift1">
    <w:name w:val="heading 1"/>
    <w:aliases w:val="ECC Heading 1"/>
    <w:next w:val="Standard"/>
    <w:qFormat/>
    <w:rsid w:val="009F0B56"/>
    <w:pPr>
      <w:keepNext/>
      <w:numPr>
        <w:numId w:val="36"/>
      </w:numPr>
      <w:spacing w:before="600"/>
      <w:jc w:val="left"/>
      <w:outlineLvl w:val="0"/>
    </w:pPr>
    <w:rPr>
      <w:rFonts w:eastAsia="Calibri" w:cs="Arial"/>
      <w:b/>
      <w:bCs/>
      <w:caps/>
      <w:color w:val="D2232A"/>
      <w:kern w:val="32"/>
      <w:szCs w:val="32"/>
    </w:rPr>
  </w:style>
  <w:style w:type="paragraph" w:styleId="berschrift2">
    <w:name w:val="heading 2"/>
    <w:aliases w:val="ECC Heading 2"/>
    <w:next w:val="Standard"/>
    <w:qFormat/>
    <w:rsid w:val="009F0B56"/>
    <w:pPr>
      <w:keepNext/>
      <w:numPr>
        <w:ilvl w:val="1"/>
        <w:numId w:val="36"/>
      </w:numPr>
      <w:spacing w:before="480"/>
      <w:jc w:val="left"/>
      <w:outlineLvl w:val="1"/>
    </w:pPr>
    <w:rPr>
      <w:rFonts w:eastAsia="Calibri" w:cs="Arial"/>
      <w:b/>
      <w:bCs/>
      <w:iCs/>
      <w:caps/>
      <w:szCs w:val="28"/>
    </w:rPr>
  </w:style>
  <w:style w:type="paragraph" w:styleId="berschrift3">
    <w:name w:val="heading 3"/>
    <w:aliases w:val="ECC Heading 3"/>
    <w:next w:val="Standard"/>
    <w:qFormat/>
    <w:rsid w:val="009F0B56"/>
    <w:pPr>
      <w:keepNext/>
      <w:numPr>
        <w:ilvl w:val="2"/>
        <w:numId w:val="36"/>
      </w:numPr>
      <w:spacing w:before="360"/>
      <w:jc w:val="left"/>
      <w:outlineLvl w:val="2"/>
    </w:pPr>
    <w:rPr>
      <w:rFonts w:eastAsia="Calibri" w:cs="Arial"/>
      <w:b/>
      <w:bCs/>
      <w:szCs w:val="26"/>
    </w:rPr>
  </w:style>
  <w:style w:type="paragraph" w:styleId="berschrift4">
    <w:name w:val="heading 4"/>
    <w:aliases w:val="ECC Heading 4"/>
    <w:next w:val="Standard"/>
    <w:qFormat/>
    <w:rsid w:val="009F0B56"/>
    <w:pPr>
      <w:numPr>
        <w:ilvl w:val="3"/>
        <w:numId w:val="36"/>
      </w:numPr>
      <w:spacing w:before="360"/>
      <w:jc w:val="left"/>
      <w:outlineLvl w:val="3"/>
    </w:pPr>
    <w:rPr>
      <w:rFonts w:eastAsia="Calibri" w:cs="Arial"/>
      <w:bCs/>
      <w:i/>
      <w:color w:val="D2232A"/>
      <w:szCs w:val="26"/>
    </w:rPr>
  </w:style>
  <w:style w:type="paragraph" w:styleId="berschrift5">
    <w:name w:val="heading 5"/>
    <w:basedOn w:val="Standard"/>
    <w:next w:val="Standard"/>
    <w:semiHidden/>
    <w:qFormat/>
    <w:locked/>
    <w:rsid w:val="009E47EB"/>
    <w:pPr>
      <w:numPr>
        <w:ilvl w:val="4"/>
        <w:numId w:val="36"/>
      </w:numPr>
      <w:outlineLvl w:val="4"/>
    </w:pPr>
    <w:rPr>
      <w:b/>
      <w:bCs/>
      <w:i/>
      <w:iCs/>
      <w:sz w:val="26"/>
      <w:szCs w:val="26"/>
    </w:rPr>
  </w:style>
  <w:style w:type="paragraph" w:styleId="berschrift6">
    <w:name w:val="heading 6"/>
    <w:basedOn w:val="Standard"/>
    <w:next w:val="Standard"/>
    <w:semiHidden/>
    <w:qFormat/>
    <w:locked/>
    <w:rsid w:val="009E47EB"/>
    <w:pPr>
      <w:numPr>
        <w:ilvl w:val="5"/>
        <w:numId w:val="36"/>
      </w:numPr>
      <w:outlineLvl w:val="5"/>
    </w:pPr>
    <w:rPr>
      <w:b/>
      <w:bCs/>
      <w:sz w:val="22"/>
    </w:rPr>
  </w:style>
  <w:style w:type="paragraph" w:styleId="berschrift7">
    <w:name w:val="heading 7"/>
    <w:basedOn w:val="Standard"/>
    <w:next w:val="Standard"/>
    <w:semiHidden/>
    <w:qFormat/>
    <w:locked/>
    <w:rsid w:val="009E47EB"/>
    <w:pPr>
      <w:numPr>
        <w:ilvl w:val="6"/>
        <w:numId w:val="36"/>
      </w:numPr>
      <w:outlineLvl w:val="6"/>
    </w:pPr>
    <w:rPr>
      <w:sz w:val="24"/>
    </w:rPr>
  </w:style>
  <w:style w:type="paragraph" w:styleId="berschrift8">
    <w:name w:val="heading 8"/>
    <w:basedOn w:val="Standard"/>
    <w:next w:val="Standard"/>
    <w:semiHidden/>
    <w:qFormat/>
    <w:locked/>
    <w:rsid w:val="009E47EB"/>
    <w:pPr>
      <w:numPr>
        <w:ilvl w:val="7"/>
        <w:numId w:val="36"/>
      </w:numPr>
      <w:outlineLvl w:val="7"/>
    </w:pPr>
    <w:rPr>
      <w:i/>
      <w:iCs/>
      <w:sz w:val="24"/>
    </w:rPr>
  </w:style>
  <w:style w:type="paragraph" w:styleId="berschrift9">
    <w:name w:val="heading 9"/>
    <w:basedOn w:val="Standard"/>
    <w:next w:val="Standard"/>
    <w:semiHidden/>
    <w:qFormat/>
    <w:locked/>
    <w:rsid w:val="009E47EB"/>
    <w:pPr>
      <w:numPr>
        <w:ilvl w:val="8"/>
        <w:numId w:val="36"/>
      </w:numPr>
      <w:outlineLvl w:val="8"/>
    </w:pPr>
    <w:rPr>
      <w:rFonts w:cs="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CCBulletsLv1">
    <w:name w:val="ECC Bullets Lv1"/>
    <w:basedOn w:val="Standard"/>
    <w:qFormat/>
    <w:rsid w:val="009F0B56"/>
    <w:pPr>
      <w:numPr>
        <w:numId w:val="28"/>
      </w:numPr>
      <w:tabs>
        <w:tab w:val="left" w:pos="340"/>
      </w:tabs>
      <w:spacing w:before="60" w:after="0"/>
    </w:pPr>
  </w:style>
  <w:style w:type="paragraph" w:customStyle="1" w:styleId="ECCHeadingnonumbering">
    <w:name w:val="ECC Heading no numbering"/>
    <w:basedOn w:val="berschrift1"/>
    <w:rsid w:val="009F0B56"/>
    <w:pPr>
      <w:numPr>
        <w:numId w:val="0"/>
      </w:numPr>
      <w:tabs>
        <w:tab w:val="left" w:pos="0"/>
        <w:tab w:val="center" w:pos="4820"/>
        <w:tab w:val="right" w:pos="9639"/>
      </w:tabs>
    </w:pPr>
  </w:style>
  <w:style w:type="paragraph" w:styleId="Sprechblasentext">
    <w:name w:val="Balloon Text"/>
    <w:basedOn w:val="Standard"/>
    <w:link w:val="SprechblasentextZchn"/>
    <w:uiPriority w:val="99"/>
    <w:semiHidden/>
    <w:unhideWhenUsed/>
    <w:locked/>
    <w:rsid w:val="003A68D5"/>
    <w:pPr>
      <w:spacing w:before="0" w:after="0"/>
    </w:pPr>
    <w:rPr>
      <w:rFonts w:ascii="Tahoma" w:hAnsi="Tahoma" w:cs="Tahoma"/>
      <w:sz w:val="16"/>
      <w:szCs w:val="16"/>
    </w:rPr>
  </w:style>
  <w:style w:type="paragraph" w:customStyle="1" w:styleId="ECCAnnexheading1">
    <w:name w:val="ECC Annex heading1"/>
    <w:next w:val="Standard"/>
    <w:rsid w:val="009F0B56"/>
    <w:pPr>
      <w:keepNext/>
      <w:pageBreakBefore/>
      <w:numPr>
        <w:numId w:val="25"/>
      </w:numPr>
      <w:jc w:val="left"/>
    </w:pPr>
    <w:rPr>
      <w:rFonts w:eastAsia="Calibri"/>
      <w:b/>
      <w:caps/>
      <w:color w:val="D2232A"/>
    </w:rPr>
  </w:style>
  <w:style w:type="paragraph" w:styleId="Verzeichnis1">
    <w:name w:val="toc 1"/>
    <w:aliases w:val="ECC Index 1"/>
    <w:basedOn w:val="Standard"/>
    <w:link w:val="Verzeichnis1Zchn"/>
    <w:uiPriority w:val="39"/>
    <w:semiHidden/>
    <w:qFormat/>
    <w:locked/>
    <w:rsid w:val="009F0B56"/>
    <w:pPr>
      <w:tabs>
        <w:tab w:val="left" w:pos="425"/>
        <w:tab w:val="right" w:leader="dot" w:pos="9639"/>
      </w:tabs>
      <w:spacing w:after="0"/>
      <w:ind w:left="425" w:hanging="425"/>
    </w:pPr>
    <w:rPr>
      <w:b/>
      <w:noProof/>
      <w:szCs w:val="20"/>
      <w:lang w:val="da-DK"/>
    </w:rPr>
  </w:style>
  <w:style w:type="paragraph" w:styleId="Funotentext">
    <w:name w:val="footnote text"/>
    <w:aliases w:val="ECC Footnote,ALTS FOOTNOTE,Footnote Text Char1,Footnote Text Char Char1,Footnote Text Char4 Char Char,Footnote Text Char1 Char1 Char1 Char,Footnote Text Char Char1 Char1 Char Char,Footnote Text Char1 Char1 Char1 Char Char Char1,DN"/>
    <w:basedOn w:val="Standard"/>
    <w:link w:val="FunotentextZchn"/>
    <w:rsid w:val="009F0B56"/>
    <w:pPr>
      <w:widowControl w:val="0"/>
      <w:tabs>
        <w:tab w:val="left" w:pos="284"/>
      </w:tabs>
      <w:spacing w:after="0"/>
      <w:ind w:left="284" w:hanging="284"/>
    </w:pPr>
    <w:rPr>
      <w:sz w:val="16"/>
      <w:szCs w:val="16"/>
      <w:lang w:val="da-DK"/>
      <w14:cntxtAlts/>
    </w:rPr>
  </w:style>
  <w:style w:type="paragraph" w:styleId="Verzeichnis2">
    <w:name w:val="toc 2"/>
    <w:aliases w:val="ECC Index 2"/>
    <w:basedOn w:val="Standard"/>
    <w:uiPriority w:val="39"/>
    <w:semiHidden/>
    <w:qFormat/>
    <w:locked/>
    <w:rsid w:val="009F0B56"/>
    <w:pPr>
      <w:tabs>
        <w:tab w:val="left" w:pos="993"/>
        <w:tab w:val="right" w:leader="dot" w:pos="9639"/>
      </w:tabs>
      <w:spacing w:before="0" w:after="0"/>
      <w:ind w:left="992" w:hanging="567"/>
    </w:pPr>
    <w:rPr>
      <w:noProof/>
      <w:szCs w:val="20"/>
      <w:lang w:val="da-DK"/>
    </w:rPr>
  </w:style>
  <w:style w:type="paragraph" w:styleId="Verzeichnis3">
    <w:name w:val="toc 3"/>
    <w:aliases w:val="ECC Index 3"/>
    <w:basedOn w:val="Standard"/>
    <w:uiPriority w:val="39"/>
    <w:semiHidden/>
    <w:qFormat/>
    <w:locked/>
    <w:rsid w:val="009F0B56"/>
    <w:pPr>
      <w:tabs>
        <w:tab w:val="left" w:pos="1701"/>
        <w:tab w:val="right" w:leader="dot" w:pos="9639"/>
      </w:tabs>
      <w:spacing w:before="0" w:after="0"/>
      <w:ind w:left="1701" w:hanging="709"/>
    </w:pPr>
    <w:rPr>
      <w:noProof/>
      <w:szCs w:val="20"/>
      <w:lang w:val="da-DK"/>
    </w:rPr>
  </w:style>
  <w:style w:type="paragraph" w:styleId="Verzeichnis4">
    <w:name w:val="toc 4"/>
    <w:aliases w:val="ECC Index 4"/>
    <w:basedOn w:val="Standard"/>
    <w:uiPriority w:val="39"/>
    <w:semiHidden/>
    <w:locked/>
    <w:rsid w:val="009F0B56"/>
    <w:pPr>
      <w:tabs>
        <w:tab w:val="left" w:pos="2552"/>
        <w:tab w:val="right" w:leader="dot" w:pos="9639"/>
      </w:tabs>
      <w:spacing w:before="0" w:after="0"/>
      <w:ind w:left="2552" w:hanging="851"/>
    </w:pPr>
    <w:rPr>
      <w:noProof/>
      <w:szCs w:val="20"/>
      <w:lang w:val="da-DK"/>
    </w:rPr>
  </w:style>
  <w:style w:type="character" w:customStyle="1" w:styleId="ECCHLgreen">
    <w:name w:val="ECC HL green"/>
    <w:basedOn w:val="Absatz-Standardschriftart"/>
    <w:uiPriority w:val="1"/>
    <w:qFormat/>
    <w:rsid w:val="009F0B56"/>
    <w:rPr>
      <w:bdr w:val="none" w:sz="0" w:space="0" w:color="auto"/>
      <w:shd w:val="solid" w:color="92D050" w:fill="auto"/>
      <w:lang w:val="en-GB"/>
    </w:rPr>
  </w:style>
  <w:style w:type="character" w:customStyle="1" w:styleId="FunotentextZchn">
    <w:name w:val="Fußnotentext Zchn"/>
    <w:aliases w:val="ECC Footnote Zchn,ALTS FOOTNOTE Zchn,Footnote Text Char1 Zchn,Footnote Text Char Char1 Zchn,Footnote Text Char4 Char Char Zchn,Footnote Text Char1 Char1 Char1 Char Zchn,Footnote Text Char Char1 Char1 Char Char Zchn,DN Zchn"/>
    <w:basedOn w:val="Absatz-Standardschriftart"/>
    <w:link w:val="Funotentext"/>
    <w:rsid w:val="009F0B56"/>
    <w:rPr>
      <w:rFonts w:eastAsia="Calibri"/>
      <w:sz w:val="16"/>
      <w:szCs w:val="16"/>
      <w14:cntxtAlts/>
    </w:rPr>
  </w:style>
  <w:style w:type="character" w:styleId="Funotenzeichen">
    <w:name w:val="footnote reference"/>
    <w:aliases w:val="ECC Footnote number,Appel note de bas de p,Footnote Reference/,Footnote symbol,Style 12,(NECG) Footnote Reference,Style 124,Appel note de bas de p + 11 pt,Italic,Appel note de bas de p1,Appel note de bas de p2,o"/>
    <w:basedOn w:val="Absatz-Standardschriftart"/>
    <w:rsid w:val="009F0B56"/>
    <w:rPr>
      <w:rFonts w:ascii="Arial" w:hAnsi="Arial"/>
      <w:sz w:val="20"/>
      <w:vertAlign w:val="superscript"/>
    </w:rPr>
  </w:style>
  <w:style w:type="paragraph" w:customStyle="1" w:styleId="ECCTablenote">
    <w:name w:val="ECC Table note"/>
    <w:qFormat/>
    <w:rsid w:val="009F0B56"/>
    <w:pPr>
      <w:spacing w:before="0" w:after="0"/>
      <w:ind w:left="284" w:hanging="284"/>
    </w:pPr>
    <w:rPr>
      <w:rFonts w:eastAsia="Calibri"/>
      <w:sz w:val="16"/>
      <w:szCs w:val="16"/>
      <w:lang w:val="en-GB"/>
    </w:rPr>
  </w:style>
  <w:style w:type="paragraph" w:customStyle="1" w:styleId="ECCBulletsLv2">
    <w:name w:val="ECC Bullets Lv2"/>
    <w:basedOn w:val="ECCBulletsLv1"/>
    <w:rsid w:val="009F0B56"/>
    <w:pPr>
      <w:ind w:left="680" w:hanging="340"/>
    </w:pPr>
  </w:style>
  <w:style w:type="paragraph" w:customStyle="1" w:styleId="ECCAnnexheading2">
    <w:name w:val="ECC Annex heading2"/>
    <w:next w:val="Standard"/>
    <w:rsid w:val="009F0B56"/>
    <w:pPr>
      <w:numPr>
        <w:ilvl w:val="1"/>
        <w:numId w:val="25"/>
      </w:numPr>
      <w:overflowPunct w:val="0"/>
      <w:autoSpaceDE w:val="0"/>
      <w:autoSpaceDN w:val="0"/>
      <w:adjustRightInd w:val="0"/>
      <w:spacing w:before="480" w:after="240"/>
      <w:jc w:val="left"/>
      <w:textAlignment w:val="baseline"/>
    </w:pPr>
    <w:rPr>
      <w:rFonts w:eastAsia="Calibri"/>
      <w:b/>
      <w:caps/>
    </w:rPr>
  </w:style>
  <w:style w:type="paragraph" w:customStyle="1" w:styleId="ECCAnnexheading3">
    <w:name w:val="ECC Annex heading3"/>
    <w:next w:val="Standard"/>
    <w:rsid w:val="009F0B56"/>
    <w:pPr>
      <w:numPr>
        <w:ilvl w:val="2"/>
        <w:numId w:val="25"/>
      </w:numPr>
      <w:overflowPunct w:val="0"/>
      <w:autoSpaceDE w:val="0"/>
      <w:autoSpaceDN w:val="0"/>
      <w:adjustRightInd w:val="0"/>
      <w:spacing w:before="360"/>
      <w:jc w:val="left"/>
      <w:textAlignment w:val="baseline"/>
    </w:pPr>
    <w:rPr>
      <w:rFonts w:eastAsia="Calibri"/>
      <w:b/>
    </w:rPr>
  </w:style>
  <w:style w:type="paragraph" w:customStyle="1" w:styleId="ECCAnnexheading4">
    <w:name w:val="ECC Annex heading4"/>
    <w:next w:val="Standard"/>
    <w:rsid w:val="009F0B56"/>
    <w:pPr>
      <w:numPr>
        <w:ilvl w:val="3"/>
        <w:numId w:val="25"/>
      </w:numPr>
      <w:overflowPunct w:val="0"/>
      <w:autoSpaceDE w:val="0"/>
      <w:autoSpaceDN w:val="0"/>
      <w:adjustRightInd w:val="0"/>
      <w:spacing w:before="360"/>
      <w:jc w:val="left"/>
      <w:textAlignment w:val="baseline"/>
    </w:pPr>
    <w:rPr>
      <w:rFonts w:eastAsia="Calibri"/>
      <w:i/>
      <w:color w:val="D2232A"/>
    </w:rPr>
  </w:style>
  <w:style w:type="paragraph" w:customStyle="1" w:styleId="ECCBulletsLv3">
    <w:name w:val="ECC Bullets Lv3"/>
    <w:basedOn w:val="ECCBulletsLv1"/>
    <w:rsid w:val="009F0B56"/>
    <w:pPr>
      <w:tabs>
        <w:tab w:val="clear" w:pos="340"/>
        <w:tab w:val="left" w:pos="680"/>
      </w:tabs>
      <w:ind w:left="1020" w:hanging="340"/>
    </w:pPr>
  </w:style>
  <w:style w:type="table" w:customStyle="1" w:styleId="ECCTable-clean">
    <w:name w:val="ECC Table - clean"/>
    <w:uiPriority w:val="99"/>
    <w:rsid w:val="009F0B56"/>
    <w:pPr>
      <w:spacing w:before="60"/>
    </w:pPr>
    <w:rPr>
      <w:rFonts w:eastAsia="Calibri"/>
      <w:lang w:val="de-DE" w:eastAsia="de-DE"/>
    </w:rPr>
    <w:tblPr>
      <w:tblStyleRowBandSize w:val="1"/>
      <w:jc w:val="center"/>
      <w:tblCellMar>
        <w:top w:w="57" w:type="dxa"/>
        <w:left w:w="108" w:type="dxa"/>
        <w:bottom w:w="0" w:type="dxa"/>
        <w:right w:w="108" w:type="dxa"/>
      </w:tblCellMar>
    </w:tblPr>
    <w:trPr>
      <w:jc w:val="center"/>
    </w:trPr>
    <w:tcPr>
      <w:vAlign w:val="center"/>
    </w:tcPr>
    <w:tblStylePr w:type="firstRow">
      <w:pPr>
        <w:wordWrap/>
        <w:spacing w:beforeLines="0" w:before="120" w:beforeAutospacing="0" w:afterLines="0" w:after="120" w:afterAutospacing="0" w:line="240" w:lineRule="auto"/>
        <w:jc w:val="left"/>
      </w:pPr>
      <w:rPr>
        <w:b/>
        <w:i w:val="0"/>
      </w:rPr>
      <w:tblPr/>
      <w:trPr>
        <w:tblHeader/>
      </w:trPr>
    </w:tblStylePr>
  </w:style>
  <w:style w:type="paragraph" w:customStyle="1" w:styleId="ECCLetteredList">
    <w:name w:val="ECC Lettered List"/>
    <w:rsid w:val="009F0B56"/>
    <w:pPr>
      <w:numPr>
        <w:ilvl w:val="1"/>
        <w:numId w:val="31"/>
      </w:numPr>
      <w:spacing w:after="0"/>
      <w:jc w:val="left"/>
    </w:pPr>
    <w:rPr>
      <w:rFonts w:eastAsia="Calibri"/>
    </w:rPr>
  </w:style>
  <w:style w:type="paragraph" w:customStyle="1" w:styleId="ECCNumberedList">
    <w:name w:val="ECC Numbered List"/>
    <w:basedOn w:val="Standard"/>
    <w:rsid w:val="009F0B56"/>
    <w:pPr>
      <w:numPr>
        <w:numId w:val="32"/>
      </w:numPr>
      <w:spacing w:after="0"/>
    </w:pPr>
    <w:rPr>
      <w:szCs w:val="20"/>
    </w:rPr>
  </w:style>
  <w:style w:type="paragraph" w:customStyle="1" w:styleId="ECCReference">
    <w:name w:val="ECC Reference"/>
    <w:basedOn w:val="Standard"/>
    <w:rsid w:val="009F0B56"/>
    <w:pPr>
      <w:numPr>
        <w:numId w:val="33"/>
      </w:numPr>
      <w:spacing w:before="0" w:after="0"/>
    </w:pPr>
    <w:rPr>
      <w:lang w:eastAsia="ja-JP"/>
    </w:rPr>
  </w:style>
  <w:style w:type="character" w:customStyle="1" w:styleId="SprechblasentextZchn">
    <w:name w:val="Sprechblasentext Zchn"/>
    <w:basedOn w:val="Absatz-Standardschriftart"/>
    <w:link w:val="Sprechblasentext"/>
    <w:uiPriority w:val="99"/>
    <w:semiHidden/>
    <w:rsid w:val="003A68D5"/>
    <w:rPr>
      <w:rFonts w:ascii="Tahoma" w:eastAsia="Calibri" w:hAnsi="Tahoma" w:cs="Tahoma"/>
      <w:sz w:val="16"/>
      <w:szCs w:val="16"/>
      <w:shd w:val="clear" w:color="FFFFFF" w:themeColor="background1" w:fill="auto"/>
      <w:lang w:val="en-GB"/>
    </w:rPr>
  </w:style>
  <w:style w:type="table" w:customStyle="1" w:styleId="ECCTable-redheader">
    <w:name w:val="ECC Table - red header"/>
    <w:basedOn w:val="ECCTable-clean"/>
    <w:uiPriority w:val="99"/>
    <w:rsid w:val="009F0B56"/>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vAlign w:val="center"/>
      </w:tcPr>
    </w:tblStylePr>
  </w:style>
  <w:style w:type="paragraph" w:customStyle="1" w:styleId="ECCEditorsNote">
    <w:name w:val="ECC Editor's Note"/>
    <w:next w:val="Standard"/>
    <w:qFormat/>
    <w:rsid w:val="009F0B56"/>
    <w:pPr>
      <w:numPr>
        <w:numId w:val="29"/>
      </w:numPr>
      <w:shd w:val="solid" w:color="FFFF00" w:fill="auto"/>
      <w:spacing w:before="120"/>
    </w:pPr>
    <w:rPr>
      <w:rFonts w:eastAsia="Calibri"/>
      <w:szCs w:val="22"/>
      <w:lang w:eastAsia="de-DE"/>
    </w:rPr>
  </w:style>
  <w:style w:type="paragraph" w:customStyle="1" w:styleId="ECCFigure">
    <w:name w:val="ECC Figure"/>
    <w:next w:val="Standard"/>
    <w:rsid w:val="00E4781B"/>
    <w:pPr>
      <w:spacing w:after="240"/>
      <w:jc w:val="center"/>
    </w:pPr>
    <w:rPr>
      <w14:cntxtAlts/>
    </w:rPr>
  </w:style>
  <w:style w:type="table" w:customStyle="1" w:styleId="ECCTable-whiteheader">
    <w:name w:val="ECC Table - white header"/>
    <w:basedOn w:val="ECCTable-clean"/>
    <w:uiPriority w:val="99"/>
    <w:rsid w:val="009F0B56"/>
    <w:tblPr>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Pr>
    <w:tblStylePr w:type="firstRow">
      <w:pPr>
        <w:wordWrap/>
        <w:spacing w:beforeLines="0" w:before="120" w:beforeAutospacing="0" w:afterLines="0" w:after="120" w:afterAutospacing="0" w:line="240" w:lineRule="auto"/>
        <w:jc w:val="left"/>
      </w:pPr>
      <w:rPr>
        <w:rFonts w:ascii="Arial" w:hAnsi="Arial"/>
        <w:b/>
        <w:i w:val="0"/>
        <w:color w:val="D22A23"/>
        <w:sz w:val="20"/>
      </w:rPr>
      <w:tblPr/>
      <w:trPr>
        <w:tblHeader/>
      </w:trPr>
      <w:tcPr>
        <w:shd w:val="clear" w:color="auto" w:fill="FFFFFF" w:themeFill="background1"/>
      </w:tcPr>
    </w:tblStylePr>
    <w:tblStylePr w:type="lastRow">
      <w:rPr>
        <w:b w:val="0"/>
      </w:rPr>
    </w:tblStylePr>
  </w:style>
  <w:style w:type="paragraph" w:customStyle="1" w:styleId="ECCLetterHead">
    <w:name w:val="ECC Letter Head"/>
    <w:basedOn w:val="Standard"/>
    <w:link w:val="ECCLetterHeadZchn"/>
    <w:qFormat/>
    <w:rsid w:val="009F0B56"/>
    <w:pPr>
      <w:tabs>
        <w:tab w:val="right" w:pos="4750"/>
      </w:tabs>
      <w:spacing w:before="60"/>
    </w:pPr>
    <w:rPr>
      <w:b/>
      <w:sz w:val="22"/>
      <w:szCs w:val="20"/>
    </w:rPr>
  </w:style>
  <w:style w:type="character" w:customStyle="1" w:styleId="ECCHLyellow">
    <w:name w:val="ECC HL yellow"/>
    <w:basedOn w:val="Absatz-Standardschriftart"/>
    <w:uiPriority w:val="1"/>
    <w:qFormat/>
    <w:rsid w:val="009F0B56"/>
    <w:rPr>
      <w:rFonts w:eastAsia="Calibri"/>
      <w:i w:val="0"/>
      <w:szCs w:val="22"/>
      <w:bdr w:val="none" w:sz="0" w:space="0" w:color="auto"/>
      <w:shd w:val="solid" w:color="FFFF00" w:fill="auto"/>
      <w:lang w:val="en-GB"/>
    </w:rPr>
  </w:style>
  <w:style w:type="character" w:customStyle="1" w:styleId="ECCHLbold">
    <w:name w:val="ECC HL bold"/>
    <w:basedOn w:val="Absatz-Standardschriftart"/>
    <w:uiPriority w:val="1"/>
    <w:qFormat/>
    <w:rsid w:val="009F0B56"/>
    <w:rPr>
      <w:b/>
      <w:bCs/>
    </w:rPr>
  </w:style>
  <w:style w:type="paragraph" w:customStyle="1" w:styleId="ECCTabletext">
    <w:name w:val="ECC Table text"/>
    <w:basedOn w:val="Standard"/>
    <w:qFormat/>
    <w:rsid w:val="009F0B56"/>
    <w:pPr>
      <w:spacing w:before="0"/>
    </w:pPr>
  </w:style>
  <w:style w:type="paragraph" w:styleId="Unterschrift">
    <w:name w:val="Signature"/>
    <w:basedOn w:val="Standard"/>
    <w:link w:val="UnterschriftZchn"/>
    <w:uiPriority w:val="99"/>
    <w:semiHidden/>
    <w:unhideWhenUsed/>
    <w:locked/>
    <w:rsid w:val="007D52EC"/>
    <w:pPr>
      <w:spacing w:before="0" w:after="0"/>
      <w:ind w:left="4252"/>
    </w:pPr>
  </w:style>
  <w:style w:type="character" w:customStyle="1" w:styleId="UnterschriftZchn">
    <w:name w:val="Unterschrift Zchn"/>
    <w:basedOn w:val="Absatz-Standardschriftart"/>
    <w:link w:val="Unterschrift"/>
    <w:uiPriority w:val="99"/>
    <w:semiHidden/>
    <w:rsid w:val="007D52EC"/>
  </w:style>
  <w:style w:type="character" w:styleId="Hervorhebung">
    <w:name w:val="Emphasis"/>
    <w:aliases w:val="ECC HL italics"/>
    <w:uiPriority w:val="1"/>
    <w:qFormat/>
    <w:rsid w:val="009F0B56"/>
    <w:rPr>
      <w:i/>
    </w:rPr>
  </w:style>
  <w:style w:type="character" w:customStyle="1" w:styleId="ECCHLunderlined">
    <w:name w:val="ECC HL underlined"/>
    <w:uiPriority w:val="1"/>
    <w:qFormat/>
    <w:rsid w:val="009F0B56"/>
    <w:rPr>
      <w:u w:val="single"/>
    </w:rPr>
  </w:style>
  <w:style w:type="character" w:customStyle="1" w:styleId="Verzeichnis1Zchn">
    <w:name w:val="Verzeichnis 1 Zchn"/>
    <w:aliases w:val="ECC Index 1 Zchn"/>
    <w:basedOn w:val="Absatz-Standardschriftart"/>
    <w:link w:val="Verzeichnis1"/>
    <w:uiPriority w:val="39"/>
    <w:semiHidden/>
    <w:rsid w:val="000E4820"/>
    <w:rPr>
      <w:rFonts w:eastAsia="Calibri"/>
      <w:b/>
      <w:noProof/>
    </w:rPr>
  </w:style>
  <w:style w:type="character" w:customStyle="1" w:styleId="ECCHLcyan">
    <w:name w:val="ECC HL cyan"/>
    <w:basedOn w:val="Absatz-Standardschriftart"/>
    <w:uiPriority w:val="1"/>
    <w:qFormat/>
    <w:rsid w:val="009F0B56"/>
    <w:rPr>
      <w:iCs w:val="0"/>
      <w:bdr w:val="none" w:sz="0" w:space="0" w:color="auto"/>
      <w:shd w:val="solid" w:color="00FFFF" w:fill="auto"/>
      <w:lang w:val="en-GB"/>
    </w:rPr>
  </w:style>
  <w:style w:type="character" w:customStyle="1" w:styleId="ECCHLorange">
    <w:name w:val="ECC HL orange"/>
    <w:basedOn w:val="Absatz-Standardschriftart"/>
    <w:uiPriority w:val="1"/>
    <w:qFormat/>
    <w:rsid w:val="009F0B56"/>
    <w:rPr>
      <w:bdr w:val="none" w:sz="0" w:space="0" w:color="auto"/>
      <w:shd w:val="solid" w:color="FFC000" w:fill="auto"/>
    </w:rPr>
  </w:style>
  <w:style w:type="character" w:customStyle="1" w:styleId="ECCHLblue">
    <w:name w:val="ECC HL blue"/>
    <w:basedOn w:val="Absatz-Standardschriftart"/>
    <w:uiPriority w:val="1"/>
    <w:qFormat/>
    <w:rsid w:val="009F0B56"/>
    <w:rPr>
      <w:rFonts w:eastAsia="Calibri"/>
      <w:color w:val="FFFF00"/>
      <w:szCs w:val="22"/>
      <w:bdr w:val="none" w:sz="0" w:space="0" w:color="auto"/>
      <w:shd w:val="solid" w:color="4F81BD" w:themeColor="accent1" w:fill="auto"/>
      <w:lang w:val="en-GB"/>
    </w:rPr>
  </w:style>
  <w:style w:type="character" w:customStyle="1" w:styleId="ECCHLpetrol">
    <w:name w:val="ECC HL petrol"/>
    <w:basedOn w:val="Absatz-Standardschriftart"/>
    <w:uiPriority w:val="1"/>
    <w:qFormat/>
    <w:rsid w:val="009F0B56"/>
    <w:rPr>
      <w:iCs w:val="0"/>
      <w:color w:val="FFFFFF" w:themeColor="background1"/>
      <w:bdr w:val="none" w:sz="0" w:space="0" w:color="auto"/>
      <w:shd w:val="solid" w:color="008080" w:fill="auto"/>
    </w:rPr>
  </w:style>
  <w:style w:type="character" w:customStyle="1" w:styleId="ECCParagraph">
    <w:name w:val="ECC Paragraph"/>
    <w:basedOn w:val="Absatz-Standardschriftart"/>
    <w:uiPriority w:val="1"/>
    <w:qFormat/>
    <w:rsid w:val="009F0B56"/>
    <w:rPr>
      <w:rFonts w:ascii="Arial" w:hAnsi="Arial"/>
      <w:noProof w:val="0"/>
      <w:sz w:val="20"/>
      <w:bdr w:val="none" w:sz="0" w:space="0" w:color="auto"/>
      <w:lang w:val="en-GB"/>
    </w:rPr>
  </w:style>
  <w:style w:type="character" w:customStyle="1" w:styleId="ECCLetterHeadZchn">
    <w:name w:val="ECC Letter Head Zchn"/>
    <w:basedOn w:val="Absatz-Standardschriftart"/>
    <w:link w:val="ECCLetterHead"/>
    <w:rsid w:val="009F0B56"/>
    <w:rPr>
      <w:rFonts w:eastAsia="Calibri"/>
      <w:b/>
      <w:sz w:val="22"/>
      <w:lang w:val="en-GB"/>
    </w:rPr>
  </w:style>
  <w:style w:type="character" w:customStyle="1" w:styleId="ECCHLmagenta">
    <w:name w:val="ECC HL magenta"/>
    <w:basedOn w:val="Absatz-Standardschriftart"/>
    <w:uiPriority w:val="1"/>
    <w:qFormat/>
    <w:rsid w:val="009F0B56"/>
    <w:rPr>
      <w:color w:val="auto"/>
      <w:bdr w:val="none" w:sz="0" w:space="0" w:color="auto"/>
      <w:shd w:val="solid" w:color="FF3399" w:fill="auto"/>
      <w:lang w:val="en-GB"/>
    </w:rPr>
  </w:style>
  <w:style w:type="character" w:customStyle="1" w:styleId="ECCHLbrown">
    <w:name w:val="ECC HL brown"/>
    <w:basedOn w:val="Absatz-Standardschriftart"/>
    <w:uiPriority w:val="1"/>
    <w:qFormat/>
    <w:rsid w:val="009F0B56"/>
    <w:rPr>
      <w:color w:val="D9D9D9" w:themeColor="background1" w:themeShade="D9"/>
      <w:bdr w:val="none" w:sz="0" w:space="0" w:color="auto"/>
      <w:shd w:val="solid" w:color="B95807" w:fill="auto"/>
    </w:rPr>
  </w:style>
  <w:style w:type="paragraph" w:customStyle="1" w:styleId="ECCBreak">
    <w:name w:val="ECC Break"/>
    <w:next w:val="Standard"/>
    <w:link w:val="ECCBreakZchn"/>
    <w:rsid w:val="009F0B56"/>
    <w:pPr>
      <w:spacing w:before="360"/>
      <w:jc w:val="left"/>
    </w:pPr>
    <w:rPr>
      <w:b/>
      <w:bCs/>
      <w:iCs/>
      <w:szCs w:val="28"/>
    </w:rPr>
  </w:style>
  <w:style w:type="character" w:customStyle="1" w:styleId="ECCBreakZchn">
    <w:name w:val="ECC Break Zchn"/>
    <w:basedOn w:val="Absatz-Standardschriftart"/>
    <w:link w:val="ECCBreak"/>
    <w:rsid w:val="009F0B56"/>
    <w:rPr>
      <w:b/>
      <w:bCs/>
      <w:iCs/>
      <w:szCs w:val="28"/>
    </w:rPr>
  </w:style>
  <w:style w:type="character" w:styleId="Hyperlink">
    <w:name w:val="Hyperlink"/>
    <w:aliases w:val="ECC Hyperlink"/>
    <w:basedOn w:val="Absatz-Standardschriftart"/>
    <w:rsid w:val="009F0B56"/>
    <w:rPr>
      <w:color w:val="0000FF" w:themeColor="hyperlink"/>
      <w:u w:val="single"/>
    </w:rPr>
  </w:style>
  <w:style w:type="paragraph" w:styleId="Beschriftung">
    <w:name w:val="caption"/>
    <w:aliases w:val="ECC Caption,Ca,Figure Lable,cap,cap1,cap2,cap3,cap4,cap5,cap6,cap7,cap8,cap9,cap10,cap11,cap21,cap31,cap41,cap51,cap61,cap71,cap81,cap91,cap101,cap12,cap22,cap32,cap42,cap52,cap62,cap72,cap82,cap92,cap102,cap13,cap23,cap33,cap43,cap53,cap63"/>
    <w:next w:val="Standard"/>
    <w:qFormat/>
    <w:rsid w:val="009F0B56"/>
    <w:pPr>
      <w:keepLines/>
      <w:tabs>
        <w:tab w:val="left" w:pos="0"/>
        <w:tab w:val="center" w:pos="4820"/>
        <w:tab w:val="right" w:pos="9639"/>
      </w:tabs>
      <w:spacing w:after="240"/>
      <w:contextualSpacing/>
      <w:jc w:val="center"/>
    </w:pPr>
    <w:rPr>
      <w:rFonts w:eastAsia="Calibri"/>
      <w:b/>
      <w:bCs/>
      <w:color w:val="D2232A"/>
    </w:rPr>
  </w:style>
  <w:style w:type="paragraph" w:customStyle="1" w:styleId="ECCTableHeaderredfont">
    <w:name w:val="ECC Table Header red font"/>
    <w:qFormat/>
    <w:rsid w:val="009F0B56"/>
    <w:pPr>
      <w:spacing w:before="120" w:after="120"/>
      <w:jc w:val="left"/>
    </w:pPr>
    <w:rPr>
      <w:rFonts w:eastAsia="Calibri"/>
      <w:bCs/>
      <w:color w:val="D2232A"/>
      <w:lang w:val="en-GB" w:eastAsia="de-DE"/>
    </w:rPr>
  </w:style>
  <w:style w:type="paragraph" w:customStyle="1" w:styleId="ECCpageFooter">
    <w:name w:val="ECC page Footer"/>
    <w:rsid w:val="009F0B56"/>
    <w:pPr>
      <w:tabs>
        <w:tab w:val="left" w:pos="0"/>
        <w:tab w:val="center" w:pos="4820"/>
        <w:tab w:val="right" w:pos="9639"/>
      </w:tabs>
      <w:spacing w:before="0" w:after="0"/>
    </w:pPr>
    <w:rPr>
      <w:rFonts w:eastAsia="Calibri"/>
      <w:b/>
      <w:sz w:val="16"/>
      <w:szCs w:val="22"/>
      <w:lang w:val="de-DE" w:eastAsia="de-DE"/>
    </w:rPr>
  </w:style>
  <w:style w:type="paragraph" w:customStyle="1" w:styleId="ECCpageHeader">
    <w:name w:val="ECC page Header"/>
    <w:rsid w:val="009F0B56"/>
    <w:pPr>
      <w:tabs>
        <w:tab w:val="left" w:pos="0"/>
        <w:tab w:val="center" w:pos="4820"/>
        <w:tab w:val="right" w:pos="9639"/>
      </w:tabs>
      <w:spacing w:before="0" w:after="0"/>
      <w:jc w:val="left"/>
    </w:pPr>
    <w:rPr>
      <w:b/>
      <w:sz w:val="16"/>
    </w:rPr>
  </w:style>
  <w:style w:type="character" w:styleId="Platzhaltertext">
    <w:name w:val="Placeholder Text"/>
    <w:basedOn w:val="Absatz-Standardschriftart"/>
    <w:uiPriority w:val="99"/>
    <w:semiHidden/>
    <w:locked/>
    <w:rsid w:val="00FE538A"/>
    <w:rPr>
      <w:color w:val="808080"/>
    </w:rPr>
  </w:style>
  <w:style w:type="character" w:customStyle="1" w:styleId="ECCHLgrey">
    <w:name w:val="ECC HL grey"/>
    <w:uiPriority w:val="1"/>
    <w:qFormat/>
    <w:rsid w:val="009F0B56"/>
    <w:rPr>
      <w:bdr w:val="none" w:sz="0" w:space="0" w:color="auto"/>
      <w:shd w:val="solid" w:color="BFBFBF" w:themeColor="background1" w:themeShade="BF" w:fill="auto"/>
    </w:rPr>
  </w:style>
  <w:style w:type="character" w:customStyle="1" w:styleId="ECCHLsubscript">
    <w:name w:val="ECC HL subscript"/>
    <w:uiPriority w:val="1"/>
    <w:rsid w:val="009F0B56"/>
    <w:rPr>
      <w:vertAlign w:val="subscript"/>
    </w:rPr>
  </w:style>
  <w:style w:type="character" w:customStyle="1" w:styleId="ECCHLsuperscript">
    <w:name w:val="ECC HL superscript"/>
    <w:uiPriority w:val="1"/>
    <w:rsid w:val="009F0B56"/>
    <w:rPr>
      <w:vertAlign w:val="superscript"/>
    </w:rPr>
  </w:style>
  <w:style w:type="paragraph" w:customStyle="1" w:styleId="ECCTableHeaderwhitefont">
    <w:name w:val="ECC Table Header white font"/>
    <w:qFormat/>
    <w:rsid w:val="009F0B56"/>
    <w:pPr>
      <w:jc w:val="center"/>
    </w:pPr>
    <w:rPr>
      <w:rFonts w:eastAsia="Calibri"/>
      <w:bCs/>
      <w:color w:val="FFFFFF" w:themeColor="background1"/>
      <w:lang w:val="en-GB" w:eastAsia="de-DE"/>
    </w:rPr>
  </w:style>
  <w:style w:type="table" w:styleId="Tabellenraster">
    <w:name w:val="Table Grid"/>
    <w:basedOn w:val="NormaleTabelle"/>
    <w:locked/>
    <w:rsid w:val="006C5C1C"/>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ECCReport">
    <w:name w:val="cover page 'ECC Report'"/>
    <w:link w:val="coverpageECCReportZchn"/>
    <w:semiHidden/>
    <w:rsid w:val="009F0B56"/>
    <w:pPr>
      <w:shd w:val="clear" w:color="FFFFFF" w:themeColor="background1" w:fill="auto"/>
      <w:spacing w:before="60"/>
    </w:pPr>
    <w:rPr>
      <w:rFonts w:eastAsia="Calibri"/>
      <w:color w:val="FFFFFF" w:themeColor="background1"/>
      <w:sz w:val="68"/>
      <w:szCs w:val="68"/>
      <w:lang w:val="en-GB"/>
    </w:rPr>
  </w:style>
  <w:style w:type="character" w:customStyle="1" w:styleId="coverpageECCReportZchn">
    <w:name w:val="cover page 'ECC Report' Zchn"/>
    <w:basedOn w:val="Absatz-Standardschriftart"/>
    <w:link w:val="coverpageECCReport"/>
    <w:semiHidden/>
    <w:rsid w:val="009F0B56"/>
    <w:rPr>
      <w:rFonts w:eastAsia="Calibri"/>
      <w:color w:val="FFFFFF" w:themeColor="background1"/>
      <w:sz w:val="68"/>
      <w:szCs w:val="68"/>
      <w:shd w:val="clear" w:color="FFFFFF" w:themeColor="background1" w:fill="auto"/>
      <w:lang w:val="en-GB"/>
    </w:rPr>
  </w:style>
  <w:style w:type="character" w:customStyle="1" w:styleId="ECCEquation">
    <w:name w:val="ECC Equation"/>
    <w:basedOn w:val="ECCParagraph"/>
    <w:rsid w:val="005B12CB"/>
    <w:rPr>
      <w:rFonts w:ascii="Arial" w:hAnsi="Arial"/>
      <w:noProof w:val="0"/>
      <w:sz w:val="20"/>
      <w:bdr w:val="none" w:sz="0" w:space="0" w:color="auto"/>
      <w:lang w:val="en-GB"/>
    </w:rPr>
  </w:style>
  <w:style w:type="paragraph" w:customStyle="1" w:styleId="ECCFiguregraphcentered">
    <w:name w:val="ECC Figure/graph centered"/>
    <w:next w:val="Standard"/>
    <w:rsid w:val="009F0B56"/>
    <w:pPr>
      <w:spacing w:after="240"/>
      <w:jc w:val="center"/>
    </w:pPr>
    <w:rPr>
      <w:rFonts w:eastAsia="Calibri"/>
      <w:noProof/>
      <w:lang w:val="de-DE" w:eastAsia="de-DE"/>
      <w14:cntxtAlts/>
    </w:rPr>
  </w:style>
  <w:style w:type="paragraph" w:styleId="Fuzeile">
    <w:name w:val="footer"/>
    <w:basedOn w:val="Standard"/>
    <w:link w:val="FuzeileZchn"/>
    <w:uiPriority w:val="99"/>
    <w:semiHidden/>
    <w:unhideWhenUsed/>
    <w:locked/>
    <w:rsid w:val="005E407D"/>
    <w:pPr>
      <w:tabs>
        <w:tab w:val="center" w:pos="4320"/>
        <w:tab w:val="right" w:pos="8640"/>
      </w:tabs>
      <w:spacing w:before="0" w:after="0"/>
    </w:pPr>
  </w:style>
  <w:style w:type="character" w:customStyle="1" w:styleId="FuzeileZchn">
    <w:name w:val="Fußzeile Zchn"/>
    <w:basedOn w:val="Absatz-Standardschriftart"/>
    <w:link w:val="Fuzeile"/>
    <w:uiPriority w:val="99"/>
    <w:semiHidden/>
    <w:rsid w:val="005E407D"/>
    <w:rPr>
      <w:rFonts w:eastAsia="Calibri"/>
      <w:szCs w:val="22"/>
      <w:lang w:val="en-GB"/>
    </w:rPr>
  </w:style>
  <w:style w:type="paragraph" w:styleId="StandardWeb">
    <w:name w:val="Normal (Web)"/>
    <w:basedOn w:val="Standard"/>
    <w:uiPriority w:val="99"/>
    <w:semiHidden/>
    <w:unhideWhenUsed/>
    <w:locked/>
    <w:rsid w:val="005E407D"/>
    <w:rPr>
      <w:rFonts w:ascii="Times New Roman" w:hAnsi="Times New Roman"/>
      <w:sz w:val="24"/>
      <w:szCs w:val="24"/>
    </w:rPr>
  </w:style>
  <w:style w:type="paragraph" w:styleId="Listenabsatz">
    <w:name w:val="List Paragraph"/>
    <w:basedOn w:val="Standard"/>
    <w:uiPriority w:val="34"/>
    <w:qFormat/>
    <w:locked/>
    <w:rsid w:val="00C26932"/>
    <w:pPr>
      <w:ind w:left="720"/>
      <w:contextualSpacing/>
    </w:pPr>
  </w:style>
  <w:style w:type="character" w:styleId="Kommentarzeichen">
    <w:name w:val="annotation reference"/>
    <w:basedOn w:val="Absatz-Standardschriftart"/>
    <w:uiPriority w:val="99"/>
    <w:semiHidden/>
    <w:unhideWhenUsed/>
    <w:locked/>
    <w:rsid w:val="00587FEC"/>
    <w:rPr>
      <w:sz w:val="16"/>
      <w:szCs w:val="16"/>
    </w:rPr>
  </w:style>
  <w:style w:type="paragraph" w:styleId="Kommentartext">
    <w:name w:val="annotation text"/>
    <w:basedOn w:val="Standard"/>
    <w:link w:val="KommentartextZchn"/>
    <w:uiPriority w:val="99"/>
    <w:semiHidden/>
    <w:unhideWhenUsed/>
    <w:locked/>
    <w:rsid w:val="00587FEC"/>
    <w:rPr>
      <w:szCs w:val="20"/>
    </w:rPr>
  </w:style>
  <w:style w:type="character" w:customStyle="1" w:styleId="KommentartextZchn">
    <w:name w:val="Kommentartext Zchn"/>
    <w:basedOn w:val="Absatz-Standardschriftart"/>
    <w:link w:val="Kommentartext"/>
    <w:uiPriority w:val="99"/>
    <w:semiHidden/>
    <w:rsid w:val="00587FEC"/>
    <w:rPr>
      <w:rFonts w:eastAsia="Calibri"/>
      <w:lang w:val="en-GB"/>
    </w:rPr>
  </w:style>
  <w:style w:type="paragraph" w:styleId="Kommentarthema">
    <w:name w:val="annotation subject"/>
    <w:basedOn w:val="Kommentartext"/>
    <w:next w:val="Kommentartext"/>
    <w:link w:val="KommentarthemaZchn"/>
    <w:uiPriority w:val="99"/>
    <w:semiHidden/>
    <w:unhideWhenUsed/>
    <w:locked/>
    <w:rsid w:val="00587FEC"/>
    <w:rPr>
      <w:b/>
      <w:bCs/>
    </w:rPr>
  </w:style>
  <w:style w:type="character" w:customStyle="1" w:styleId="KommentarthemaZchn">
    <w:name w:val="Kommentarthema Zchn"/>
    <w:basedOn w:val="KommentartextZchn"/>
    <w:link w:val="Kommentarthema"/>
    <w:uiPriority w:val="99"/>
    <w:semiHidden/>
    <w:rsid w:val="00587FEC"/>
    <w:rPr>
      <w:rFonts w:eastAsia="Calibri"/>
      <w:b/>
      <w:bCs/>
      <w:lang w:val="en-GB"/>
    </w:rPr>
  </w:style>
  <w:style w:type="paragraph" w:styleId="berarbeitung">
    <w:name w:val="Revision"/>
    <w:hidden/>
    <w:uiPriority w:val="99"/>
    <w:semiHidden/>
    <w:rsid w:val="00587FEC"/>
    <w:pPr>
      <w:spacing w:before="0" w:after="0"/>
      <w:jc w:val="left"/>
    </w:pPr>
    <w:rPr>
      <w:rFonts w:eastAsia="Calibri"/>
      <w:szCs w:val="22"/>
      <w:lang w:val="en-GB"/>
    </w:rPr>
  </w:style>
  <w:style w:type="paragraph" w:styleId="Kopfzeile">
    <w:name w:val="header"/>
    <w:basedOn w:val="Standard"/>
    <w:link w:val="KopfzeileZchn"/>
    <w:uiPriority w:val="99"/>
    <w:semiHidden/>
    <w:unhideWhenUsed/>
    <w:locked/>
    <w:rsid w:val="006A133F"/>
    <w:pPr>
      <w:tabs>
        <w:tab w:val="center" w:pos="4536"/>
        <w:tab w:val="right" w:pos="9072"/>
      </w:tabs>
      <w:spacing w:before="0" w:after="0"/>
    </w:pPr>
  </w:style>
  <w:style w:type="character" w:customStyle="1" w:styleId="KopfzeileZchn">
    <w:name w:val="Kopfzeile Zchn"/>
    <w:basedOn w:val="Absatz-Standardschriftart"/>
    <w:link w:val="Kopfzeile"/>
    <w:uiPriority w:val="99"/>
    <w:semiHidden/>
    <w:rsid w:val="006A133F"/>
    <w:rPr>
      <w:rFonts w:eastAsia="Calibri"/>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2348">
      <w:bodyDiv w:val="1"/>
      <w:marLeft w:val="0"/>
      <w:marRight w:val="0"/>
      <w:marTop w:val="0"/>
      <w:marBottom w:val="0"/>
      <w:divBdr>
        <w:top w:val="none" w:sz="0" w:space="0" w:color="auto"/>
        <w:left w:val="none" w:sz="0" w:space="0" w:color="auto"/>
        <w:bottom w:val="none" w:sz="0" w:space="0" w:color="auto"/>
        <w:right w:val="none" w:sz="0" w:space="0" w:color="auto"/>
      </w:divBdr>
    </w:div>
    <w:div w:id="140970932">
      <w:bodyDiv w:val="1"/>
      <w:marLeft w:val="0"/>
      <w:marRight w:val="0"/>
      <w:marTop w:val="0"/>
      <w:marBottom w:val="0"/>
      <w:divBdr>
        <w:top w:val="none" w:sz="0" w:space="0" w:color="auto"/>
        <w:left w:val="none" w:sz="0" w:space="0" w:color="auto"/>
        <w:bottom w:val="none" w:sz="0" w:space="0" w:color="auto"/>
        <w:right w:val="none" w:sz="0" w:space="0" w:color="auto"/>
      </w:divBdr>
      <w:divsChild>
        <w:div w:id="1139764775">
          <w:marLeft w:val="1008"/>
          <w:marRight w:val="0"/>
          <w:marTop w:val="96"/>
          <w:marBottom w:val="0"/>
          <w:divBdr>
            <w:top w:val="none" w:sz="0" w:space="0" w:color="auto"/>
            <w:left w:val="none" w:sz="0" w:space="0" w:color="auto"/>
            <w:bottom w:val="none" w:sz="0" w:space="0" w:color="auto"/>
            <w:right w:val="none" w:sz="0" w:space="0" w:color="auto"/>
          </w:divBdr>
        </w:div>
      </w:divsChild>
    </w:div>
    <w:div w:id="227965007">
      <w:bodyDiv w:val="1"/>
      <w:marLeft w:val="0"/>
      <w:marRight w:val="0"/>
      <w:marTop w:val="0"/>
      <w:marBottom w:val="0"/>
      <w:divBdr>
        <w:top w:val="none" w:sz="0" w:space="0" w:color="auto"/>
        <w:left w:val="none" w:sz="0" w:space="0" w:color="auto"/>
        <w:bottom w:val="none" w:sz="0" w:space="0" w:color="auto"/>
        <w:right w:val="none" w:sz="0" w:space="0" w:color="auto"/>
      </w:divBdr>
      <w:divsChild>
        <w:div w:id="1597714716">
          <w:marLeft w:val="0"/>
          <w:marRight w:val="0"/>
          <w:marTop w:val="0"/>
          <w:marBottom w:val="0"/>
          <w:divBdr>
            <w:top w:val="none" w:sz="0" w:space="0" w:color="auto"/>
            <w:left w:val="none" w:sz="0" w:space="0" w:color="auto"/>
            <w:bottom w:val="none" w:sz="0" w:space="0" w:color="auto"/>
            <w:right w:val="none" w:sz="0" w:space="0" w:color="auto"/>
          </w:divBdr>
          <w:divsChild>
            <w:div w:id="943541306">
              <w:marLeft w:val="0"/>
              <w:marRight w:val="0"/>
              <w:marTop w:val="0"/>
              <w:marBottom w:val="0"/>
              <w:divBdr>
                <w:top w:val="none" w:sz="0" w:space="0" w:color="auto"/>
                <w:left w:val="none" w:sz="0" w:space="0" w:color="auto"/>
                <w:bottom w:val="none" w:sz="0" w:space="0" w:color="auto"/>
                <w:right w:val="none" w:sz="0" w:space="0" w:color="auto"/>
              </w:divBdr>
              <w:divsChild>
                <w:div w:id="10071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81825">
      <w:bodyDiv w:val="1"/>
      <w:marLeft w:val="0"/>
      <w:marRight w:val="0"/>
      <w:marTop w:val="0"/>
      <w:marBottom w:val="0"/>
      <w:divBdr>
        <w:top w:val="none" w:sz="0" w:space="0" w:color="auto"/>
        <w:left w:val="none" w:sz="0" w:space="0" w:color="auto"/>
        <w:bottom w:val="none" w:sz="0" w:space="0" w:color="auto"/>
        <w:right w:val="none" w:sz="0" w:space="0" w:color="auto"/>
      </w:divBdr>
      <w:divsChild>
        <w:div w:id="336269063">
          <w:marLeft w:val="0"/>
          <w:marRight w:val="0"/>
          <w:marTop w:val="0"/>
          <w:marBottom w:val="0"/>
          <w:divBdr>
            <w:top w:val="none" w:sz="0" w:space="0" w:color="auto"/>
            <w:left w:val="none" w:sz="0" w:space="0" w:color="auto"/>
            <w:bottom w:val="none" w:sz="0" w:space="0" w:color="auto"/>
            <w:right w:val="none" w:sz="0" w:space="0" w:color="auto"/>
          </w:divBdr>
          <w:divsChild>
            <w:div w:id="1167016998">
              <w:marLeft w:val="0"/>
              <w:marRight w:val="0"/>
              <w:marTop w:val="0"/>
              <w:marBottom w:val="0"/>
              <w:divBdr>
                <w:top w:val="none" w:sz="0" w:space="0" w:color="auto"/>
                <w:left w:val="none" w:sz="0" w:space="0" w:color="auto"/>
                <w:bottom w:val="none" w:sz="0" w:space="0" w:color="auto"/>
                <w:right w:val="none" w:sz="0" w:space="0" w:color="auto"/>
              </w:divBdr>
              <w:divsChild>
                <w:div w:id="7444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10143">
      <w:bodyDiv w:val="1"/>
      <w:marLeft w:val="0"/>
      <w:marRight w:val="0"/>
      <w:marTop w:val="0"/>
      <w:marBottom w:val="0"/>
      <w:divBdr>
        <w:top w:val="none" w:sz="0" w:space="0" w:color="auto"/>
        <w:left w:val="none" w:sz="0" w:space="0" w:color="auto"/>
        <w:bottom w:val="none" w:sz="0" w:space="0" w:color="auto"/>
        <w:right w:val="none" w:sz="0" w:space="0" w:color="auto"/>
      </w:divBdr>
    </w:div>
    <w:div w:id="598412422">
      <w:bodyDiv w:val="1"/>
      <w:marLeft w:val="0"/>
      <w:marRight w:val="0"/>
      <w:marTop w:val="0"/>
      <w:marBottom w:val="0"/>
      <w:divBdr>
        <w:top w:val="none" w:sz="0" w:space="0" w:color="auto"/>
        <w:left w:val="none" w:sz="0" w:space="0" w:color="auto"/>
        <w:bottom w:val="none" w:sz="0" w:space="0" w:color="auto"/>
        <w:right w:val="none" w:sz="0" w:space="0" w:color="auto"/>
      </w:divBdr>
    </w:div>
    <w:div w:id="685836733">
      <w:bodyDiv w:val="1"/>
      <w:marLeft w:val="0"/>
      <w:marRight w:val="0"/>
      <w:marTop w:val="0"/>
      <w:marBottom w:val="0"/>
      <w:divBdr>
        <w:top w:val="none" w:sz="0" w:space="0" w:color="auto"/>
        <w:left w:val="none" w:sz="0" w:space="0" w:color="auto"/>
        <w:bottom w:val="none" w:sz="0" w:space="0" w:color="auto"/>
        <w:right w:val="none" w:sz="0" w:space="0" w:color="auto"/>
      </w:divBdr>
    </w:div>
    <w:div w:id="885067948">
      <w:bodyDiv w:val="1"/>
      <w:marLeft w:val="0"/>
      <w:marRight w:val="0"/>
      <w:marTop w:val="0"/>
      <w:marBottom w:val="0"/>
      <w:divBdr>
        <w:top w:val="none" w:sz="0" w:space="0" w:color="auto"/>
        <w:left w:val="none" w:sz="0" w:space="0" w:color="auto"/>
        <w:bottom w:val="none" w:sz="0" w:space="0" w:color="auto"/>
        <w:right w:val="none" w:sz="0" w:space="0" w:color="auto"/>
      </w:divBdr>
    </w:div>
    <w:div w:id="1011760126">
      <w:bodyDiv w:val="1"/>
      <w:marLeft w:val="0"/>
      <w:marRight w:val="0"/>
      <w:marTop w:val="0"/>
      <w:marBottom w:val="0"/>
      <w:divBdr>
        <w:top w:val="none" w:sz="0" w:space="0" w:color="auto"/>
        <w:left w:val="none" w:sz="0" w:space="0" w:color="auto"/>
        <w:bottom w:val="none" w:sz="0" w:space="0" w:color="auto"/>
        <w:right w:val="none" w:sz="0" w:space="0" w:color="auto"/>
      </w:divBdr>
      <w:divsChild>
        <w:div w:id="682054673">
          <w:marLeft w:val="0"/>
          <w:marRight w:val="0"/>
          <w:marTop w:val="0"/>
          <w:marBottom w:val="0"/>
          <w:divBdr>
            <w:top w:val="none" w:sz="0" w:space="0" w:color="auto"/>
            <w:left w:val="none" w:sz="0" w:space="0" w:color="auto"/>
            <w:bottom w:val="none" w:sz="0" w:space="0" w:color="auto"/>
            <w:right w:val="none" w:sz="0" w:space="0" w:color="auto"/>
          </w:divBdr>
          <w:divsChild>
            <w:div w:id="307169932">
              <w:marLeft w:val="0"/>
              <w:marRight w:val="0"/>
              <w:marTop w:val="0"/>
              <w:marBottom w:val="0"/>
              <w:divBdr>
                <w:top w:val="none" w:sz="0" w:space="0" w:color="auto"/>
                <w:left w:val="none" w:sz="0" w:space="0" w:color="auto"/>
                <w:bottom w:val="none" w:sz="0" w:space="0" w:color="auto"/>
                <w:right w:val="none" w:sz="0" w:space="0" w:color="auto"/>
              </w:divBdr>
              <w:divsChild>
                <w:div w:id="129363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5324">
      <w:bodyDiv w:val="1"/>
      <w:marLeft w:val="0"/>
      <w:marRight w:val="0"/>
      <w:marTop w:val="0"/>
      <w:marBottom w:val="0"/>
      <w:divBdr>
        <w:top w:val="none" w:sz="0" w:space="0" w:color="auto"/>
        <w:left w:val="none" w:sz="0" w:space="0" w:color="auto"/>
        <w:bottom w:val="none" w:sz="0" w:space="0" w:color="auto"/>
        <w:right w:val="none" w:sz="0" w:space="0" w:color="auto"/>
      </w:divBdr>
    </w:div>
    <w:div w:id="1216429594">
      <w:bodyDiv w:val="1"/>
      <w:marLeft w:val="0"/>
      <w:marRight w:val="0"/>
      <w:marTop w:val="0"/>
      <w:marBottom w:val="0"/>
      <w:divBdr>
        <w:top w:val="none" w:sz="0" w:space="0" w:color="auto"/>
        <w:left w:val="none" w:sz="0" w:space="0" w:color="auto"/>
        <w:bottom w:val="none" w:sz="0" w:space="0" w:color="auto"/>
        <w:right w:val="none" w:sz="0" w:space="0" w:color="auto"/>
      </w:divBdr>
      <w:divsChild>
        <w:div w:id="1967588904">
          <w:marLeft w:val="0"/>
          <w:marRight w:val="0"/>
          <w:marTop w:val="0"/>
          <w:marBottom w:val="0"/>
          <w:divBdr>
            <w:top w:val="none" w:sz="0" w:space="0" w:color="auto"/>
            <w:left w:val="none" w:sz="0" w:space="0" w:color="auto"/>
            <w:bottom w:val="none" w:sz="0" w:space="0" w:color="auto"/>
            <w:right w:val="none" w:sz="0" w:space="0" w:color="auto"/>
          </w:divBdr>
          <w:divsChild>
            <w:div w:id="197591804">
              <w:marLeft w:val="0"/>
              <w:marRight w:val="0"/>
              <w:marTop w:val="0"/>
              <w:marBottom w:val="0"/>
              <w:divBdr>
                <w:top w:val="none" w:sz="0" w:space="0" w:color="auto"/>
                <w:left w:val="none" w:sz="0" w:space="0" w:color="auto"/>
                <w:bottom w:val="none" w:sz="0" w:space="0" w:color="auto"/>
                <w:right w:val="none" w:sz="0" w:space="0" w:color="auto"/>
              </w:divBdr>
              <w:divsChild>
                <w:div w:id="70040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2066">
      <w:bodyDiv w:val="1"/>
      <w:marLeft w:val="0"/>
      <w:marRight w:val="0"/>
      <w:marTop w:val="0"/>
      <w:marBottom w:val="0"/>
      <w:divBdr>
        <w:top w:val="none" w:sz="0" w:space="0" w:color="auto"/>
        <w:left w:val="none" w:sz="0" w:space="0" w:color="auto"/>
        <w:bottom w:val="none" w:sz="0" w:space="0" w:color="auto"/>
        <w:right w:val="none" w:sz="0" w:space="0" w:color="auto"/>
      </w:divBdr>
      <w:divsChild>
        <w:div w:id="1230846495">
          <w:marLeft w:val="0"/>
          <w:marRight w:val="0"/>
          <w:marTop w:val="0"/>
          <w:marBottom w:val="0"/>
          <w:divBdr>
            <w:top w:val="none" w:sz="0" w:space="0" w:color="auto"/>
            <w:left w:val="none" w:sz="0" w:space="0" w:color="auto"/>
            <w:bottom w:val="none" w:sz="0" w:space="0" w:color="auto"/>
            <w:right w:val="none" w:sz="0" w:space="0" w:color="auto"/>
          </w:divBdr>
          <w:divsChild>
            <w:div w:id="108012705">
              <w:marLeft w:val="0"/>
              <w:marRight w:val="0"/>
              <w:marTop w:val="0"/>
              <w:marBottom w:val="0"/>
              <w:divBdr>
                <w:top w:val="none" w:sz="0" w:space="0" w:color="auto"/>
                <w:left w:val="none" w:sz="0" w:space="0" w:color="auto"/>
                <w:bottom w:val="none" w:sz="0" w:space="0" w:color="auto"/>
                <w:right w:val="none" w:sz="0" w:space="0" w:color="auto"/>
              </w:divBdr>
              <w:divsChild>
                <w:div w:id="21109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571110">
      <w:bodyDiv w:val="1"/>
      <w:marLeft w:val="0"/>
      <w:marRight w:val="0"/>
      <w:marTop w:val="0"/>
      <w:marBottom w:val="0"/>
      <w:divBdr>
        <w:top w:val="none" w:sz="0" w:space="0" w:color="auto"/>
        <w:left w:val="none" w:sz="0" w:space="0" w:color="auto"/>
        <w:bottom w:val="none" w:sz="0" w:space="0" w:color="auto"/>
        <w:right w:val="none" w:sz="0" w:space="0" w:color="auto"/>
      </w:divBdr>
      <w:divsChild>
        <w:div w:id="2096777033">
          <w:marLeft w:val="0"/>
          <w:marRight w:val="0"/>
          <w:marTop w:val="0"/>
          <w:marBottom w:val="0"/>
          <w:divBdr>
            <w:top w:val="none" w:sz="0" w:space="0" w:color="auto"/>
            <w:left w:val="none" w:sz="0" w:space="0" w:color="auto"/>
            <w:bottom w:val="none" w:sz="0" w:space="0" w:color="auto"/>
            <w:right w:val="none" w:sz="0" w:space="0" w:color="auto"/>
          </w:divBdr>
          <w:divsChild>
            <w:div w:id="2058620452">
              <w:marLeft w:val="0"/>
              <w:marRight w:val="0"/>
              <w:marTop w:val="0"/>
              <w:marBottom w:val="0"/>
              <w:divBdr>
                <w:top w:val="none" w:sz="0" w:space="0" w:color="auto"/>
                <w:left w:val="none" w:sz="0" w:space="0" w:color="auto"/>
                <w:bottom w:val="none" w:sz="0" w:space="0" w:color="auto"/>
                <w:right w:val="none" w:sz="0" w:space="0" w:color="auto"/>
              </w:divBdr>
              <w:divsChild>
                <w:div w:id="2541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506044">
      <w:bodyDiv w:val="1"/>
      <w:marLeft w:val="0"/>
      <w:marRight w:val="0"/>
      <w:marTop w:val="0"/>
      <w:marBottom w:val="0"/>
      <w:divBdr>
        <w:top w:val="none" w:sz="0" w:space="0" w:color="auto"/>
        <w:left w:val="none" w:sz="0" w:space="0" w:color="auto"/>
        <w:bottom w:val="none" w:sz="0" w:space="0" w:color="auto"/>
        <w:right w:val="none" w:sz="0" w:space="0" w:color="auto"/>
      </w:divBdr>
    </w:div>
    <w:div w:id="1427653500">
      <w:bodyDiv w:val="1"/>
      <w:marLeft w:val="0"/>
      <w:marRight w:val="0"/>
      <w:marTop w:val="0"/>
      <w:marBottom w:val="0"/>
      <w:divBdr>
        <w:top w:val="none" w:sz="0" w:space="0" w:color="auto"/>
        <w:left w:val="none" w:sz="0" w:space="0" w:color="auto"/>
        <w:bottom w:val="none" w:sz="0" w:space="0" w:color="auto"/>
        <w:right w:val="none" w:sz="0" w:space="0" w:color="auto"/>
      </w:divBdr>
    </w:div>
    <w:div w:id="1725986906">
      <w:bodyDiv w:val="1"/>
      <w:marLeft w:val="0"/>
      <w:marRight w:val="0"/>
      <w:marTop w:val="0"/>
      <w:marBottom w:val="0"/>
      <w:divBdr>
        <w:top w:val="none" w:sz="0" w:space="0" w:color="auto"/>
        <w:left w:val="none" w:sz="0" w:space="0" w:color="auto"/>
        <w:bottom w:val="none" w:sz="0" w:space="0" w:color="auto"/>
        <w:right w:val="none" w:sz="0" w:space="0" w:color="auto"/>
      </w:divBdr>
    </w:div>
    <w:div w:id="1795099289">
      <w:bodyDiv w:val="1"/>
      <w:marLeft w:val="0"/>
      <w:marRight w:val="0"/>
      <w:marTop w:val="0"/>
      <w:marBottom w:val="0"/>
      <w:divBdr>
        <w:top w:val="none" w:sz="0" w:space="0" w:color="auto"/>
        <w:left w:val="none" w:sz="0" w:space="0" w:color="auto"/>
        <w:bottom w:val="none" w:sz="0" w:space="0" w:color="auto"/>
        <w:right w:val="none" w:sz="0" w:space="0" w:color="auto"/>
      </w:divBdr>
    </w:div>
    <w:div w:id="1803766892">
      <w:bodyDiv w:val="1"/>
      <w:marLeft w:val="0"/>
      <w:marRight w:val="0"/>
      <w:marTop w:val="0"/>
      <w:marBottom w:val="0"/>
      <w:divBdr>
        <w:top w:val="none" w:sz="0" w:space="0" w:color="auto"/>
        <w:left w:val="none" w:sz="0" w:space="0" w:color="auto"/>
        <w:bottom w:val="none" w:sz="0" w:space="0" w:color="auto"/>
        <w:right w:val="none" w:sz="0" w:space="0" w:color="auto"/>
      </w:divBdr>
      <w:divsChild>
        <w:div w:id="211893702">
          <w:marLeft w:val="0"/>
          <w:marRight w:val="0"/>
          <w:marTop w:val="0"/>
          <w:marBottom w:val="0"/>
          <w:divBdr>
            <w:top w:val="none" w:sz="0" w:space="0" w:color="auto"/>
            <w:left w:val="none" w:sz="0" w:space="0" w:color="auto"/>
            <w:bottom w:val="none" w:sz="0" w:space="0" w:color="auto"/>
            <w:right w:val="none" w:sz="0" w:space="0" w:color="auto"/>
          </w:divBdr>
          <w:divsChild>
            <w:div w:id="1764571681">
              <w:marLeft w:val="0"/>
              <w:marRight w:val="0"/>
              <w:marTop w:val="0"/>
              <w:marBottom w:val="0"/>
              <w:divBdr>
                <w:top w:val="none" w:sz="0" w:space="0" w:color="auto"/>
                <w:left w:val="none" w:sz="0" w:space="0" w:color="auto"/>
                <w:bottom w:val="none" w:sz="0" w:space="0" w:color="auto"/>
                <w:right w:val="none" w:sz="0" w:space="0" w:color="auto"/>
              </w:divBdr>
              <w:divsChild>
                <w:div w:id="11004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78653">
      <w:bodyDiv w:val="1"/>
      <w:marLeft w:val="0"/>
      <w:marRight w:val="0"/>
      <w:marTop w:val="0"/>
      <w:marBottom w:val="0"/>
      <w:divBdr>
        <w:top w:val="none" w:sz="0" w:space="0" w:color="auto"/>
        <w:left w:val="none" w:sz="0" w:space="0" w:color="auto"/>
        <w:bottom w:val="none" w:sz="0" w:space="0" w:color="auto"/>
        <w:right w:val="none" w:sz="0" w:space="0" w:color="auto"/>
      </w:divBdr>
      <w:divsChild>
        <w:div w:id="1240750962">
          <w:marLeft w:val="1008"/>
          <w:marRight w:val="0"/>
          <w:marTop w:val="96"/>
          <w:marBottom w:val="0"/>
          <w:divBdr>
            <w:top w:val="none" w:sz="0" w:space="0" w:color="auto"/>
            <w:left w:val="none" w:sz="0" w:space="0" w:color="auto"/>
            <w:bottom w:val="none" w:sz="0" w:space="0" w:color="auto"/>
            <w:right w:val="none" w:sz="0" w:space="0" w:color="auto"/>
          </w:divBdr>
        </w:div>
        <w:div w:id="934627086">
          <w:marLeft w:val="1008"/>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Design ECC">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2355B-D72C-44BC-A441-97EA37FD4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2395</Words>
  <Characters>15094</Characters>
  <Application>Microsoft Office Word</Application>
  <DocSecurity>0</DocSecurity>
  <Lines>125</Lines>
  <Paragraphs>34</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LinksUpToDate>false</LinksUpToDate>
  <CharactersWithSpaces>17455</CharactersWithSpaces>
  <SharedDoc>false</SharedDoc>
  <HLinks>
    <vt:vector size="12" baseType="variant">
      <vt:variant>
        <vt:i4>1703987</vt:i4>
      </vt:variant>
      <vt:variant>
        <vt:i4>-1</vt:i4>
      </vt:variant>
      <vt:variant>
        <vt:i4>2049</vt:i4>
      </vt:variant>
      <vt:variant>
        <vt:i4>1</vt:i4>
      </vt:variant>
      <vt:variant>
        <vt:lpwstr>cept logo</vt:lpwstr>
      </vt:variant>
      <vt:variant>
        <vt:lpwstr/>
      </vt:variant>
      <vt:variant>
        <vt:i4>3932173</vt:i4>
      </vt:variant>
      <vt:variant>
        <vt:i4>-1</vt:i4>
      </vt:variant>
      <vt:variant>
        <vt:i4>2050</vt:i4>
      </vt:variant>
      <vt:variant>
        <vt:i4>1</vt:i4>
      </vt:variant>
      <vt:variant>
        <vt:lpwstr>ecc_logo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Draft CEPT Brief</dc:subject>
  <dc:creator/>
  <dc:description>Output CPG19-6</dc:description>
  <cp:lastModifiedBy/>
  <cp:revision>1</cp:revision>
  <dcterms:created xsi:type="dcterms:W3CDTF">2018-12-05T16:32:00Z</dcterms:created>
  <dcterms:modified xsi:type="dcterms:W3CDTF">2018-12-10T13:31:00Z</dcterms:modified>
</cp:coreProperties>
</file>