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14:paraId="5887ABEC" w14:textId="77777777" w:rsidTr="00AC326A">
        <w:trPr>
          <w:cantSplit/>
          <w:trHeight w:val="1240"/>
        </w:trPr>
        <w:tc>
          <w:tcPr>
            <w:tcW w:w="4785" w:type="dxa"/>
            <w:gridSpan w:val="2"/>
            <w:tcBorders>
              <w:top w:val="nil"/>
              <w:left w:val="nil"/>
              <w:bottom w:val="nil"/>
              <w:right w:val="nil"/>
            </w:tcBorders>
          </w:tcPr>
          <w:p w14:paraId="5887ABE9" w14:textId="77777777" w:rsidR="00487AF9" w:rsidRPr="00371158" w:rsidRDefault="00487AF9" w:rsidP="003D41CC">
            <w:pPr>
              <w:pStyle w:val="ECCLetterHead"/>
              <w:rPr>
                <w:rStyle w:val="ECCHLmagenta"/>
              </w:rPr>
            </w:pPr>
          </w:p>
        </w:tc>
        <w:tc>
          <w:tcPr>
            <w:tcW w:w="4996" w:type="dxa"/>
            <w:tcBorders>
              <w:top w:val="nil"/>
              <w:left w:val="nil"/>
              <w:bottom w:val="nil"/>
              <w:right w:val="nil"/>
            </w:tcBorders>
          </w:tcPr>
          <w:p w14:paraId="5887ABEB" w14:textId="624EC962" w:rsidR="003771D5" w:rsidRPr="009D08FD" w:rsidRDefault="00686D86" w:rsidP="00897939">
            <w:pPr>
              <w:pStyle w:val="ECCLetterHead"/>
              <w:rPr>
                <w:lang w:val="en-US"/>
              </w:rPr>
            </w:pPr>
            <w:r>
              <w:tab/>
            </w:r>
            <w:r w:rsidR="00F10AD4">
              <w:t>Doc. CPG</w:t>
            </w:r>
            <w:r>
              <w:t>(18)0</w:t>
            </w:r>
            <w:r w:rsidR="00897939">
              <w:t>73</w:t>
            </w:r>
            <w:r>
              <w:t xml:space="preserve"> ANNEX IV-04</w:t>
            </w:r>
          </w:p>
        </w:tc>
      </w:tr>
      <w:tr w:rsidR="00D0584E" w:rsidRPr="00235592" w14:paraId="5887ABEE" w14:textId="77777777" w:rsidTr="00614FA3">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5887ABED" w14:textId="7BDA38EE" w:rsidR="00D0584E" w:rsidRPr="00D0584E" w:rsidRDefault="000677CE" w:rsidP="00897939">
            <w:pPr>
              <w:pStyle w:val="ECCLetterHead"/>
              <w:rPr>
                <w:rStyle w:val="ECCHLyellow"/>
              </w:rPr>
            </w:pPr>
            <w:r w:rsidRPr="004433B8">
              <w:t>CPG19</w:t>
            </w:r>
            <w:r w:rsidR="00897939">
              <w:t>-7</w:t>
            </w:r>
          </w:p>
        </w:tc>
      </w:tr>
      <w:tr w:rsidR="00D0584E" w:rsidRPr="00235592" w14:paraId="5887ABF0" w14:textId="77777777" w:rsidTr="00614FA3">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887ABEF" w14:textId="5CB52B36" w:rsidR="00D0584E" w:rsidRPr="00D0584E" w:rsidRDefault="00F10AD4" w:rsidP="00785200">
            <w:pPr>
              <w:pStyle w:val="ECCLetterHead"/>
            </w:pPr>
            <w:r>
              <w:t>Hilversum</w:t>
            </w:r>
            <w:r w:rsidR="000677CE">
              <w:t xml:space="preserve">, </w:t>
            </w:r>
            <w:r>
              <w:t>Netherlands</w:t>
            </w:r>
            <w:r w:rsidR="000677CE">
              <w:t xml:space="preserve">, </w:t>
            </w:r>
            <w:r>
              <w:t>2</w:t>
            </w:r>
            <w:r w:rsidR="00043751">
              <w:t>7</w:t>
            </w:r>
            <w:r w:rsidRPr="00F10AD4">
              <w:rPr>
                <w:vertAlign w:val="superscript"/>
              </w:rPr>
              <w:t>th</w:t>
            </w:r>
            <w:r>
              <w:t xml:space="preserve"> </w:t>
            </w:r>
            <w:r w:rsidR="00785200">
              <w:t>-</w:t>
            </w:r>
            <w:r w:rsidR="002C0826">
              <w:t xml:space="preserve"> </w:t>
            </w:r>
            <w:r>
              <w:t>30</w:t>
            </w:r>
            <w:r w:rsidRPr="00F10AD4">
              <w:rPr>
                <w:vertAlign w:val="superscript"/>
              </w:rPr>
              <w:t>th</w:t>
            </w:r>
            <w:r>
              <w:t xml:space="preserve"> Nov</w:t>
            </w:r>
            <w:r w:rsidR="000677CE">
              <w:t>ember</w:t>
            </w:r>
            <w:r w:rsidR="00371922" w:rsidRPr="00371922">
              <w:t xml:space="preserve"> 2018</w:t>
            </w:r>
          </w:p>
        </w:tc>
      </w:tr>
      <w:tr w:rsidR="003771D5" w:rsidRPr="00235592" w14:paraId="5887ABF3" w14:textId="77777777" w:rsidTr="00945FBC">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5887ABF1" w14:textId="77777777" w:rsidR="003771D5" w:rsidRPr="00235592" w:rsidRDefault="003771D5" w:rsidP="00BD4E12">
            <w:pPr>
              <w:pStyle w:val="ECCLetterHead"/>
            </w:pPr>
          </w:p>
        </w:tc>
        <w:tc>
          <w:tcPr>
            <w:tcW w:w="4996" w:type="dxa"/>
            <w:tcBorders>
              <w:top w:val="nil"/>
              <w:left w:val="nil"/>
              <w:bottom w:val="nil"/>
              <w:right w:val="nil"/>
            </w:tcBorders>
            <w:vAlign w:val="center"/>
          </w:tcPr>
          <w:p w14:paraId="5887ABF2" w14:textId="77777777" w:rsidR="003771D5" w:rsidRPr="00235592" w:rsidRDefault="003771D5" w:rsidP="00BD4E12">
            <w:pPr>
              <w:pStyle w:val="ECCLetterHead"/>
            </w:pPr>
          </w:p>
        </w:tc>
      </w:tr>
      <w:tr w:rsidR="00371158" w:rsidRPr="00235592" w14:paraId="5887ABF6" w14:textId="77777777"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14:paraId="5887ABF4" w14:textId="77777777" w:rsidR="00371158" w:rsidRPr="00371158" w:rsidRDefault="00371158" w:rsidP="00371158">
            <w:pPr>
              <w:pStyle w:val="ECCLetterHead"/>
            </w:pPr>
            <w:r w:rsidRPr="00235592">
              <w:t xml:space="preserve">Date issued: </w:t>
            </w:r>
          </w:p>
        </w:tc>
        <w:tc>
          <w:tcPr>
            <w:tcW w:w="8087" w:type="dxa"/>
            <w:gridSpan w:val="2"/>
            <w:tcBorders>
              <w:top w:val="nil"/>
              <w:left w:val="nil"/>
              <w:bottom w:val="nil"/>
              <w:right w:val="nil"/>
            </w:tcBorders>
            <w:vAlign w:val="center"/>
          </w:tcPr>
          <w:p w14:paraId="5887ABF5" w14:textId="14A302F7" w:rsidR="00371158" w:rsidRPr="007F1280" w:rsidRDefault="00897939" w:rsidP="008957A7">
            <w:pPr>
              <w:pStyle w:val="ECCLetterHead"/>
              <w:rPr>
                <w:rStyle w:val="ECCHLyellow"/>
                <w:szCs w:val="20"/>
                <w:shd w:val="clear" w:color="auto" w:fill="auto"/>
              </w:rPr>
            </w:pPr>
            <w:r>
              <w:t>30</w:t>
            </w:r>
            <w:r w:rsidRPr="00897939">
              <w:rPr>
                <w:vertAlign w:val="superscript"/>
              </w:rPr>
              <w:t>th</w:t>
            </w:r>
            <w:r>
              <w:t xml:space="preserve"> </w:t>
            </w:r>
            <w:r w:rsidRPr="00897939">
              <w:t>November</w:t>
            </w:r>
            <w:r>
              <w:t xml:space="preserve"> </w:t>
            </w:r>
            <w:r w:rsidR="00686D86" w:rsidRPr="00686D86">
              <w:t>2018</w:t>
            </w:r>
          </w:p>
        </w:tc>
      </w:tr>
      <w:tr w:rsidR="003771D5" w:rsidRPr="00235592" w14:paraId="5887ABF9" w14:textId="77777777"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14:paraId="5887ABF7" w14:textId="77777777"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14:paraId="5887ABF8" w14:textId="4B95912F" w:rsidR="003771D5" w:rsidRPr="00235592" w:rsidRDefault="00897939" w:rsidP="007F1280">
            <w:pPr>
              <w:pStyle w:val="ECCLetterHead"/>
            </w:pPr>
            <w:r>
              <w:t>Minutes CPG19-7</w:t>
            </w:r>
          </w:p>
        </w:tc>
      </w:tr>
      <w:tr w:rsidR="003771D5" w:rsidRPr="00235592" w14:paraId="5887ABFC" w14:textId="77777777"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14:paraId="5887ABFA" w14:textId="77777777"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14:paraId="5887ABFB" w14:textId="77777777" w:rsidR="003771D5" w:rsidRPr="00235592" w:rsidRDefault="003771D5" w:rsidP="001725E3">
            <w:pPr>
              <w:pStyle w:val="ECCLetterHead"/>
            </w:pPr>
            <w:r w:rsidRPr="00235592">
              <w:t>Draft CEPT Brief on WRC-1</w:t>
            </w:r>
            <w:r w:rsidR="000611F2" w:rsidRPr="00235592">
              <w:t>9</w:t>
            </w:r>
            <w:r w:rsidRPr="00235592">
              <w:t xml:space="preserve"> Agenda Item </w:t>
            </w:r>
            <w:r w:rsidR="001725E3">
              <w:t>1.4</w:t>
            </w:r>
          </w:p>
        </w:tc>
      </w:tr>
      <w:tr w:rsidR="003771D5" w:rsidRPr="00235592" w14:paraId="5887ABFF" w14:textId="77777777" w:rsidTr="00945FBC">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5887ABFD" w14:textId="77777777" w:rsidR="003771D5" w:rsidRPr="00235592" w:rsidRDefault="003771D5" w:rsidP="00BD4E12">
            <w:pPr>
              <w:rPr>
                <w:rStyle w:val="ECCParagraph"/>
              </w:rPr>
            </w:pPr>
          </w:p>
          <w:p w14:paraId="5887ABFE" w14:textId="77777777" w:rsidR="003771D5" w:rsidRPr="00235592" w:rsidRDefault="003771D5" w:rsidP="00BD4E12">
            <w:pPr>
              <w:pStyle w:val="ECCLetterHead"/>
            </w:pPr>
          </w:p>
        </w:tc>
      </w:tr>
      <w:tr w:rsidR="003771D5" w:rsidRPr="00235592" w14:paraId="5887AC01" w14:textId="77777777" w:rsidTr="00AC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5887AC00" w14:textId="77777777" w:rsidR="000D563B" w:rsidRPr="00235592" w:rsidRDefault="003771D5" w:rsidP="003A68D5">
            <w:pPr>
              <w:pStyle w:val="ECCLetterHead"/>
            </w:pPr>
            <w:r w:rsidRPr="00235592">
              <w:t xml:space="preserve">Summary: </w:t>
            </w:r>
          </w:p>
        </w:tc>
      </w:tr>
      <w:tr w:rsidR="003771D5" w:rsidRPr="00235592" w14:paraId="5887AC03" w14:textId="77777777" w:rsidTr="00AC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5887AC02" w14:textId="77777777" w:rsidR="007C427D" w:rsidRPr="00235592" w:rsidRDefault="007C427D" w:rsidP="005818DE"/>
        </w:tc>
      </w:tr>
      <w:tr w:rsidR="00897939" w:rsidRPr="00235592" w14:paraId="62E96EE4" w14:textId="77777777" w:rsidTr="00F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39ED6286" w14:textId="333BD936" w:rsidR="00897939" w:rsidRPr="00897939" w:rsidRDefault="00897939" w:rsidP="00897939">
            <w:pPr>
              <w:pStyle w:val="ECCLetterHead"/>
            </w:pPr>
            <w:r>
              <w:t>Proposal</w:t>
            </w:r>
            <w:r w:rsidRPr="00235592">
              <w:t xml:space="preserve">: </w:t>
            </w:r>
          </w:p>
        </w:tc>
      </w:tr>
      <w:tr w:rsidR="00897939" w:rsidRPr="00235592" w14:paraId="0B2477B2" w14:textId="77777777" w:rsidTr="00F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30501438" w14:textId="77777777" w:rsidR="00897939" w:rsidRPr="00235592" w:rsidRDefault="00897939" w:rsidP="00897939"/>
        </w:tc>
      </w:tr>
    </w:tbl>
    <w:p w14:paraId="0B02A042" w14:textId="77777777" w:rsidR="00897939" w:rsidRDefault="00897939">
      <w:pPr>
        <w:rPr>
          <w:rFonts w:cs="Arial"/>
          <w:b/>
          <w:bCs/>
          <w:caps/>
          <w:color w:val="D2232A"/>
          <w:kern w:val="32"/>
          <w:szCs w:val="32"/>
        </w:rPr>
      </w:pPr>
      <w:r>
        <w:br w:type="page"/>
      </w:r>
    </w:p>
    <w:p w14:paraId="5887AC09" w14:textId="624EFB11" w:rsidR="003771D5" w:rsidRPr="007040A8" w:rsidRDefault="003771D5" w:rsidP="003A68D5">
      <w:pPr>
        <w:pStyle w:val="ECCHeadingnonumbering"/>
        <w:rPr>
          <w:lang w:val="en-GB"/>
        </w:rPr>
      </w:pPr>
      <w:r w:rsidRPr="00235592">
        <w:rPr>
          <w:lang w:val="en-GB"/>
        </w:rPr>
        <w:lastRenderedPageBreak/>
        <w:t xml:space="preserve">DRAFT CEPT BRIEF ON AGENDA ITEM </w:t>
      </w:r>
      <w:r w:rsidR="00012FE8" w:rsidRPr="007040A8">
        <w:rPr>
          <w:lang w:val="en-GB"/>
        </w:rPr>
        <w:t>1.4</w:t>
      </w:r>
    </w:p>
    <w:p w14:paraId="5887AC0A" w14:textId="77777777" w:rsidR="00F324F6" w:rsidRPr="00235592" w:rsidRDefault="001725E3" w:rsidP="003E1156">
      <w:pPr>
        <w:rPr>
          <w:rStyle w:val="ECCParagraph"/>
        </w:rPr>
      </w:pPr>
      <w:r w:rsidRPr="001725E3">
        <w:t>1.4</w:t>
      </w:r>
      <w:r w:rsidRPr="001725E3">
        <w:tab/>
        <w:t xml:space="preserve">to consider the results of studies in accordance with </w:t>
      </w:r>
      <w:r w:rsidRPr="003E1156">
        <w:t xml:space="preserve">Resolution </w:t>
      </w:r>
      <w:r w:rsidRPr="001725E3">
        <w:rPr>
          <w:rStyle w:val="ECCHLbold"/>
        </w:rPr>
        <w:t>557 (WRC-15)</w:t>
      </w:r>
      <w:r w:rsidRPr="001725E3">
        <w:t xml:space="preserve">, and review, and revise if necessary, the limitations mentioned in Annex 7 to Appendix </w:t>
      </w:r>
      <w:r w:rsidRPr="001725E3">
        <w:rPr>
          <w:rStyle w:val="ECCHLbold"/>
        </w:rPr>
        <w:t>30 (Rev.WRC</w:t>
      </w:r>
      <w:r w:rsidR="003E1156">
        <w:rPr>
          <w:rStyle w:val="ECCHLbold"/>
        </w:rPr>
        <w:t>-</w:t>
      </w:r>
      <w:r w:rsidRPr="001725E3">
        <w:rPr>
          <w:rStyle w:val="ECCHLbold"/>
        </w:rPr>
        <w:t>12)</w:t>
      </w:r>
      <w:r w:rsidRPr="001725E3">
        <w:t>, while ensuring the protection of, and without imposing additional constraints on, assignments in the Plan and the List and the future development of the broadcasting-satellite service within the Plan, and existing and planned fixed-satellite service networks;</w:t>
      </w:r>
    </w:p>
    <w:p w14:paraId="5887AC0B" w14:textId="77777777" w:rsidR="003771D5" w:rsidRPr="00235592" w:rsidRDefault="003771D5" w:rsidP="00BD4E12">
      <w:pPr>
        <w:pStyle w:val="berschrift1"/>
        <w:rPr>
          <w:lang w:val="en-GB"/>
        </w:rPr>
      </w:pPr>
      <w:r w:rsidRPr="00235592">
        <w:rPr>
          <w:lang w:val="en-GB"/>
        </w:rPr>
        <w:t>ISSUE</w:t>
      </w:r>
    </w:p>
    <w:p w14:paraId="5887AC0C" w14:textId="77777777" w:rsidR="001725E3" w:rsidRPr="009D08FD" w:rsidRDefault="001725E3" w:rsidP="00214747">
      <w:pPr>
        <w:rPr>
          <w:rStyle w:val="ECCParagraph"/>
        </w:rPr>
      </w:pPr>
      <w:r w:rsidRPr="001725E3">
        <w:rPr>
          <w:rStyle w:val="ECCHLbold"/>
        </w:rPr>
        <w:t>Resolution 557 (WRC-15)</w:t>
      </w:r>
      <w:r w:rsidRPr="001725E3">
        <w:rPr>
          <w:rStyle w:val="ECCParagraph"/>
        </w:rPr>
        <w:t xml:space="preserve"> “</w:t>
      </w:r>
      <w:r w:rsidRPr="001725E3">
        <w:t>Consideration of possible revision of Annex 7 to Appendix 30 of the Radio Regulations</w:t>
      </w:r>
      <w:r w:rsidRPr="001725E3">
        <w:rPr>
          <w:rStyle w:val="ECCParagraph"/>
        </w:rPr>
        <w:t>”</w:t>
      </w:r>
      <w:r w:rsidR="00214747">
        <w:rPr>
          <w:rStyle w:val="ECCParagraph"/>
        </w:rPr>
        <w:t xml:space="preserve"> </w:t>
      </w:r>
      <w:r w:rsidR="00214747" w:rsidRPr="009D08FD">
        <w:t>invites</w:t>
      </w:r>
      <w:r w:rsidR="00B73D4A">
        <w:t>:</w:t>
      </w:r>
    </w:p>
    <w:p w14:paraId="5887AC0D" w14:textId="77777777" w:rsidR="00B03605" w:rsidRPr="001725E3" w:rsidRDefault="001725E3" w:rsidP="001725E3">
      <w:pPr>
        <w:rPr>
          <w:rStyle w:val="ECCParagraph"/>
        </w:rPr>
      </w:pPr>
      <w:r w:rsidRPr="001725E3">
        <w:rPr>
          <w:rStyle w:val="ECCParagraph"/>
        </w:rPr>
        <w:t xml:space="preserve">to conduct studies on, review, and identify possible revisions to, if necessary, the limitations mentioned in Annex 7 to Appendix </w:t>
      </w:r>
      <w:r w:rsidRPr="001725E3">
        <w:rPr>
          <w:rStyle w:val="ECCHLbold"/>
        </w:rPr>
        <w:t>30 (Rev.WRC-12)</w:t>
      </w:r>
      <w:r w:rsidRPr="001725E3">
        <w:rPr>
          <w:rStyle w:val="ECCParagraph"/>
        </w:rPr>
        <w:t xml:space="preserve">, while ensuring the protection of, and without imposing additional constraints on, assignments in the Plan and in the List and the future of BSS networks mentioned in </w:t>
      </w:r>
      <w:r w:rsidRPr="001725E3">
        <w:rPr>
          <w:rStyle w:val="Hervorhebung"/>
        </w:rPr>
        <w:t>recognizing c)</w:t>
      </w:r>
      <w:r w:rsidRPr="001725E3">
        <w:rPr>
          <w:rStyle w:val="ECCParagraph"/>
        </w:rPr>
        <w:t xml:space="preserve"> and existing and planned FSS networks mentioned in </w:t>
      </w:r>
      <w:r w:rsidRPr="001725E3">
        <w:rPr>
          <w:rStyle w:val="Hervorhebung"/>
        </w:rPr>
        <w:t>recognizing d)</w:t>
      </w:r>
      <w:r w:rsidRPr="001725E3">
        <w:rPr>
          <w:rStyle w:val="ECCParagraph"/>
        </w:rPr>
        <w:t>.</w:t>
      </w:r>
    </w:p>
    <w:p w14:paraId="5887AC0E" w14:textId="77777777" w:rsidR="003771D5" w:rsidRDefault="003771D5" w:rsidP="00BD4E12">
      <w:pPr>
        <w:pStyle w:val="berschrift1"/>
      </w:pPr>
      <w:r w:rsidRPr="00235592">
        <w:rPr>
          <w:lang w:val="en-GB"/>
        </w:rPr>
        <w:t xml:space="preserve">Preliminary CEPT position </w:t>
      </w:r>
    </w:p>
    <w:p w14:paraId="5887AC0F" w14:textId="5C73D4C9" w:rsidR="00FC504D" w:rsidRDefault="00233EEF" w:rsidP="00233EEF">
      <w:r>
        <w:t>CEPT does not support method A (No Change) of</w:t>
      </w:r>
      <w:r w:rsidR="00686AD6">
        <w:t xml:space="preserve"> the draft </w:t>
      </w:r>
      <w:r>
        <w:t>CPM text</w:t>
      </w:r>
      <w:r w:rsidR="00FC504D">
        <w:t>.</w:t>
      </w:r>
    </w:p>
    <w:p w14:paraId="5887AC10" w14:textId="77777777" w:rsidR="00233EEF" w:rsidRPr="002D307A" w:rsidRDefault="00FC504D" w:rsidP="00233EEF">
      <w:pPr>
        <w:rPr>
          <w:rStyle w:val="ECCParagraph"/>
        </w:rPr>
      </w:pPr>
      <w:r w:rsidRPr="002D307A">
        <w:rPr>
          <w:rStyle w:val="ECCParagraph"/>
        </w:rPr>
        <w:t>CEPT</w:t>
      </w:r>
      <w:r w:rsidR="00233EEF" w:rsidRPr="002D307A">
        <w:rPr>
          <w:rStyle w:val="ECCParagraph"/>
        </w:rPr>
        <w:t xml:space="preserve"> still</w:t>
      </w:r>
      <w:r w:rsidRPr="002D307A">
        <w:rPr>
          <w:rStyle w:val="ECCParagraph"/>
        </w:rPr>
        <w:t xml:space="preserve"> continues discussing</w:t>
      </w:r>
      <w:r w:rsidR="00233EEF" w:rsidRPr="002D307A">
        <w:rPr>
          <w:rStyle w:val="ECCParagraph"/>
        </w:rPr>
        <w:t xml:space="preserve"> methods B and </w:t>
      </w:r>
      <w:proofErr w:type="gramStart"/>
      <w:r w:rsidR="00233EEF" w:rsidRPr="002D307A">
        <w:rPr>
          <w:rStyle w:val="ECCParagraph"/>
        </w:rPr>
        <w:t>C, that</w:t>
      </w:r>
      <w:proofErr w:type="gramEnd"/>
      <w:r w:rsidR="00233EEF" w:rsidRPr="002D307A">
        <w:rPr>
          <w:rStyle w:val="ECCParagraph"/>
        </w:rPr>
        <w:t xml:space="preserve"> only differ on the limit</w:t>
      </w:r>
      <w:r w:rsidR="00245194" w:rsidRPr="002D307A">
        <w:rPr>
          <w:rStyle w:val="ECCParagraph"/>
        </w:rPr>
        <w:t>ations A1</w:t>
      </w:r>
      <w:r w:rsidR="007276B4" w:rsidRPr="002D307A">
        <w:rPr>
          <w:rStyle w:val="ECCParagraph"/>
        </w:rPr>
        <w:t>a</w:t>
      </w:r>
      <w:r w:rsidR="00245194" w:rsidRPr="002D307A">
        <w:rPr>
          <w:rStyle w:val="ECCParagraph"/>
        </w:rPr>
        <w:t xml:space="preserve"> and A2a. The preliminary CEPT position, limitation by limitation is</w:t>
      </w:r>
      <w:r w:rsidR="00233EEF" w:rsidRPr="002D307A">
        <w:rPr>
          <w:rStyle w:val="ECCParagraph"/>
        </w:rPr>
        <w:t>:</w:t>
      </w:r>
    </w:p>
    <w:p w14:paraId="5887AC11" w14:textId="77777777" w:rsidR="001725E3" w:rsidRPr="00457848" w:rsidRDefault="001725E3" w:rsidP="001725E3">
      <w:pPr>
        <w:rPr>
          <w:rStyle w:val="ECCParagraph"/>
        </w:rPr>
      </w:pPr>
      <w:r w:rsidRPr="00457848">
        <w:rPr>
          <w:rStyle w:val="ECCParagraph"/>
        </w:rPr>
        <w:t xml:space="preserve">CEPT </w:t>
      </w:r>
      <w:r w:rsidR="00D632DB" w:rsidRPr="003D41CC">
        <w:rPr>
          <w:rStyle w:val="ECCParagraph"/>
        </w:rPr>
        <w:t xml:space="preserve">supports </w:t>
      </w:r>
      <w:r w:rsidR="001003E0" w:rsidRPr="003D41CC">
        <w:rPr>
          <w:rStyle w:val="ECCParagraph"/>
        </w:rPr>
        <w:t>th</w:t>
      </w:r>
      <w:r w:rsidR="009D08FD" w:rsidRPr="003D41CC">
        <w:rPr>
          <w:rStyle w:val="ECCParagraph"/>
        </w:rPr>
        <w:t>e deletions of</w:t>
      </w:r>
      <w:r w:rsidR="009D08FD">
        <w:rPr>
          <w:rStyle w:val="ECCParagraph"/>
        </w:rPr>
        <w:t xml:space="preserve"> the limitations:</w:t>
      </w:r>
    </w:p>
    <w:p w14:paraId="5887AC12" w14:textId="7ECAB8B9" w:rsidR="001003E0" w:rsidRDefault="001003E0">
      <w:pPr>
        <w:pStyle w:val="ECCBulletsLv1"/>
      </w:pPr>
      <w:r w:rsidRPr="00F2619C">
        <w:t>Limitation A1</w:t>
      </w:r>
      <w:r w:rsidR="007276B4">
        <w:t>a</w:t>
      </w:r>
      <w:r w:rsidRPr="00F2619C">
        <w:t xml:space="preserve"> (No assignments in the Region 1 List further west than 37.2°W)</w:t>
      </w:r>
    </w:p>
    <w:p w14:paraId="5887AC13" w14:textId="77777777" w:rsidR="009B1FC9" w:rsidRDefault="00986F65" w:rsidP="00726267">
      <w:pPr>
        <w:pStyle w:val="ECCBulletsLv1"/>
      </w:pPr>
      <w:r w:rsidRPr="00A235DA">
        <w:rPr>
          <w:rStyle w:val="ECCParagraph"/>
        </w:rPr>
        <w:t>Limitation</w:t>
      </w:r>
      <w:r w:rsidRPr="00A235DA">
        <w:t xml:space="preserve"> A2a (No modification in the Region 2 Plan further east than 54°W)</w:t>
      </w:r>
    </w:p>
    <w:p w14:paraId="5887AC14" w14:textId="77777777" w:rsidR="00986F65" w:rsidRPr="002D307A" w:rsidRDefault="001510C2" w:rsidP="002D307A">
      <w:pPr>
        <w:rPr>
          <w:rStyle w:val="ECCParagraph"/>
        </w:rPr>
      </w:pPr>
      <w:r w:rsidRPr="002D307A">
        <w:rPr>
          <w:rStyle w:val="ECCParagraph"/>
        </w:rPr>
        <w:t>CEPT is still considering</w:t>
      </w:r>
      <w:r w:rsidR="00E47B3C" w:rsidRPr="002D307A">
        <w:rPr>
          <w:rStyle w:val="ECCParagraph"/>
        </w:rPr>
        <w:t xml:space="preserve"> whether these limitations can be suppressed without any additional regulatory measure</w:t>
      </w:r>
      <w:r w:rsidR="00233EEF" w:rsidRPr="002D307A">
        <w:rPr>
          <w:rStyle w:val="ECCParagraph"/>
        </w:rPr>
        <w:t xml:space="preserve"> (method B of</w:t>
      </w:r>
      <w:r w:rsidR="00686AD6" w:rsidRPr="002D307A">
        <w:rPr>
          <w:rStyle w:val="ECCParagraph"/>
        </w:rPr>
        <w:t xml:space="preserve"> draft</w:t>
      </w:r>
      <w:r w:rsidR="00233EEF" w:rsidRPr="002D307A">
        <w:rPr>
          <w:rStyle w:val="ECCParagraph"/>
        </w:rPr>
        <w:t xml:space="preserve"> CPM text)</w:t>
      </w:r>
      <w:r w:rsidR="00E47B3C" w:rsidRPr="002D307A">
        <w:rPr>
          <w:rStyle w:val="ECCParagraph"/>
        </w:rPr>
        <w:t xml:space="preserve"> </w:t>
      </w:r>
      <w:r w:rsidR="00007DBA" w:rsidRPr="002D307A">
        <w:rPr>
          <w:rStyle w:val="ECCParagraph"/>
        </w:rPr>
        <w:t xml:space="preserve">or if </w:t>
      </w:r>
      <w:r w:rsidR="009B1FC9" w:rsidRPr="002D307A">
        <w:rPr>
          <w:rStyle w:val="ECCParagraph"/>
        </w:rPr>
        <w:t xml:space="preserve">new </w:t>
      </w:r>
      <w:r w:rsidR="00007DBA" w:rsidRPr="002D307A">
        <w:rPr>
          <w:rStyle w:val="ECCParagraph"/>
        </w:rPr>
        <w:t>additional measures, incl</w:t>
      </w:r>
      <w:r w:rsidR="00D83C14" w:rsidRPr="002D307A">
        <w:rPr>
          <w:rStyle w:val="ECCParagraph"/>
        </w:rPr>
        <w:t xml:space="preserve">uding a new resolution to not limit </w:t>
      </w:r>
      <w:r w:rsidR="005B2E82" w:rsidRPr="002D307A">
        <w:rPr>
          <w:rStyle w:val="ECCParagraph"/>
        </w:rPr>
        <w:t>future deployment</w:t>
      </w:r>
      <w:r w:rsidR="00007DBA" w:rsidRPr="002D307A">
        <w:rPr>
          <w:rStyle w:val="ECCParagraph"/>
        </w:rPr>
        <w:t xml:space="preserve"> of Region 1 and Region 2 FSS with respect to new BSS assignments</w:t>
      </w:r>
      <w:r w:rsidR="002B4CFB" w:rsidRPr="002D307A">
        <w:rPr>
          <w:rStyle w:val="ECCParagraph"/>
        </w:rPr>
        <w:t xml:space="preserve"> (method C of</w:t>
      </w:r>
      <w:r w:rsidR="00686AD6" w:rsidRPr="002D307A">
        <w:rPr>
          <w:rStyle w:val="ECCParagraph"/>
        </w:rPr>
        <w:t xml:space="preserve"> draft</w:t>
      </w:r>
      <w:r w:rsidR="00233EEF" w:rsidRPr="002D307A">
        <w:rPr>
          <w:rStyle w:val="ECCParagraph"/>
        </w:rPr>
        <w:t xml:space="preserve"> CPM t</w:t>
      </w:r>
      <w:r w:rsidR="002B4CFB" w:rsidRPr="002D307A">
        <w:rPr>
          <w:rStyle w:val="ECCParagraph"/>
        </w:rPr>
        <w:t>e</w:t>
      </w:r>
      <w:r w:rsidR="00233EEF" w:rsidRPr="002D307A">
        <w:rPr>
          <w:rStyle w:val="ECCParagraph"/>
        </w:rPr>
        <w:t>xt)</w:t>
      </w:r>
      <w:r w:rsidR="00007DBA" w:rsidRPr="002D307A">
        <w:rPr>
          <w:rStyle w:val="ECCParagraph"/>
        </w:rPr>
        <w:t>, are necessary.</w:t>
      </w:r>
    </w:p>
    <w:p w14:paraId="5887AC16" w14:textId="77777777" w:rsidR="00490283" w:rsidRPr="002D307A" w:rsidRDefault="00490283" w:rsidP="002D307A">
      <w:pPr>
        <w:rPr>
          <w:rStyle w:val="ECCParagraph"/>
        </w:rPr>
      </w:pPr>
      <w:r w:rsidRPr="00490283">
        <w:rPr>
          <w:rStyle w:val="ECCParagraph"/>
        </w:rPr>
        <w:t>CEPT also supports the deletions of the limitations:</w:t>
      </w:r>
    </w:p>
    <w:p w14:paraId="5887AC17" w14:textId="77777777" w:rsidR="00A235DA" w:rsidRDefault="001725E3" w:rsidP="00A235DA">
      <w:pPr>
        <w:pStyle w:val="ECCBulletsLv1"/>
        <w:rPr>
          <w:rStyle w:val="ECCParagraph"/>
        </w:rPr>
      </w:pPr>
      <w:r w:rsidRPr="00F2619C">
        <w:t>Limitation A2b (No modification in the Region 2 Plan further east than 44°W)</w:t>
      </w:r>
      <w:r w:rsidR="00A235DA" w:rsidRPr="00A235DA">
        <w:rPr>
          <w:rStyle w:val="ECCParagraph"/>
        </w:rPr>
        <w:t xml:space="preserve"> </w:t>
      </w:r>
    </w:p>
    <w:p w14:paraId="5887AC18" w14:textId="421D8C9D" w:rsidR="00F22EDB" w:rsidRDefault="00F22EDB" w:rsidP="00F22EDB">
      <w:pPr>
        <w:pStyle w:val="ECCBulletsLv1"/>
        <w:rPr>
          <w:rStyle w:val="ECCParagraph"/>
        </w:rPr>
      </w:pPr>
      <w:r>
        <w:rPr>
          <w:rStyle w:val="ECCParagraph"/>
        </w:rPr>
        <w:t>Limitation A3</w:t>
      </w:r>
      <w:r w:rsidR="007276B4">
        <w:rPr>
          <w:rStyle w:val="ECCParagraph"/>
        </w:rPr>
        <w:t>b</w:t>
      </w:r>
      <w:r>
        <w:rPr>
          <w:rStyle w:val="ECCParagraph"/>
        </w:rPr>
        <w:t xml:space="preserve"> (</w:t>
      </w:r>
      <w:r>
        <w:t>Maximum</w:t>
      </w:r>
      <w:r w:rsidRPr="00214747">
        <w:t xml:space="preserve"> </w:t>
      </w:r>
      <w:proofErr w:type="spellStart"/>
      <w:r w:rsidRPr="00214747">
        <w:t>e.i.r.p</w:t>
      </w:r>
      <w:proofErr w:type="spellEnd"/>
      <w:r w:rsidRPr="00214747">
        <w:t xml:space="preserve">. of 56 </w:t>
      </w:r>
      <w:proofErr w:type="spellStart"/>
      <w:r w:rsidRPr="00214747">
        <w:t>dBW</w:t>
      </w:r>
      <w:proofErr w:type="spellEnd"/>
      <w:r w:rsidRPr="00214747">
        <w:t xml:space="preserve"> for assignments in the Regions 1 &amp; 3 List at specific allowable portions of the orbital arc between 37.2°W and 10°E</w:t>
      </w:r>
      <w:r>
        <w:t xml:space="preserve"> specified in </w:t>
      </w:r>
      <w:r w:rsidRPr="00602740">
        <w:rPr>
          <w:rStyle w:val="ECCParagraph"/>
        </w:rPr>
        <w:t>Table 1 of Annex 7 to Appendix 30</w:t>
      </w:r>
      <w:r>
        <w:t>)</w:t>
      </w:r>
    </w:p>
    <w:p w14:paraId="5887AC19" w14:textId="02A8432C" w:rsidR="00F22EDB" w:rsidRDefault="00F22EDB" w:rsidP="00F22EDB">
      <w:pPr>
        <w:pStyle w:val="ECCBulletsLv1"/>
      </w:pPr>
      <w:r>
        <w:rPr>
          <w:rStyle w:val="ECCParagraph"/>
        </w:rPr>
        <w:t>Limitation A3</w:t>
      </w:r>
      <w:r w:rsidR="007276B4">
        <w:rPr>
          <w:rStyle w:val="ECCParagraph"/>
        </w:rPr>
        <w:t>c</w:t>
      </w:r>
      <w:r>
        <w:rPr>
          <w:rStyle w:val="ECCParagraph"/>
        </w:rPr>
        <w:t xml:space="preserve">  (</w:t>
      </w:r>
      <w:r>
        <w:t>Maximum</w:t>
      </w:r>
      <w:r w:rsidRPr="00214747">
        <w:t xml:space="preserve"> power flux density of -138 dB(W/(</w:t>
      </w:r>
      <w:r>
        <w:t>m</w:t>
      </w:r>
      <w:r w:rsidRPr="002E6F22">
        <w:rPr>
          <w:rStyle w:val="ECCHLsuperscript"/>
        </w:rPr>
        <w:t>2</w:t>
      </w:r>
      <w:r w:rsidRPr="002E6F22">
        <w:t>·27 MHz</w:t>
      </w:r>
      <w:r w:rsidRPr="00214747">
        <w:t>)) at any point in Region 2 by assignments in the Regions 1 &amp; 3 List located at 4°W and 9°E</w:t>
      </w:r>
      <w:r>
        <w:t>)</w:t>
      </w:r>
    </w:p>
    <w:p w14:paraId="5887AC1A" w14:textId="0C25A430" w:rsidR="001C78E1" w:rsidRDefault="001C78E1" w:rsidP="00F22EDB">
      <w:pPr>
        <w:pStyle w:val="ECCBulletsLv1"/>
      </w:pPr>
      <w:r>
        <w:t xml:space="preserve">Limitation A3a </w:t>
      </w:r>
      <w:r w:rsidRPr="003A1026">
        <w:t xml:space="preserve">(No assignments in the Regions 1 &amp; 3 List outside specific allowable portions of the orbital arc between 37.2°W and 10°E specified in Table 1 of Annex 7 to Appendix </w:t>
      </w:r>
      <w:r w:rsidRPr="00226D0D">
        <w:rPr>
          <w:rStyle w:val="ECCHLbold"/>
        </w:rPr>
        <w:t>30</w:t>
      </w:r>
      <w:r w:rsidRPr="003A1026">
        <w:t>)</w:t>
      </w:r>
    </w:p>
    <w:p w14:paraId="5887AC1E" w14:textId="2A0D2DEE" w:rsidR="009B1FC9" w:rsidRPr="00726267" w:rsidRDefault="009B1FC9" w:rsidP="00897939">
      <w:pPr>
        <w:rPr>
          <w:rStyle w:val="ECCParagraph"/>
        </w:rPr>
      </w:pPr>
      <w:r>
        <w:t>Regarding</w:t>
      </w:r>
      <w:r w:rsidR="001C58C6">
        <w:t xml:space="preserve"> the A3a</w:t>
      </w:r>
      <w:r w:rsidR="001C78E1">
        <w:t xml:space="preserve"> limitation</w:t>
      </w:r>
      <w:r w:rsidR="00007DBA">
        <w:t xml:space="preserve">, CEPT considers </w:t>
      </w:r>
      <w:r>
        <w:t xml:space="preserve">that </w:t>
      </w:r>
      <w:r w:rsidRPr="003A1026">
        <w:t xml:space="preserve">the protection of the BSS satellite networks implemented in accordance with the current </w:t>
      </w:r>
      <w:r w:rsidRPr="00726267">
        <w:rPr>
          <w:rStyle w:val="ECCParagraph"/>
        </w:rPr>
        <w:t>provisions of Annex 7 to Appendix 30 (which includes antennas smaller than 60 cm in the allowable portions of the orbital arc)</w:t>
      </w:r>
      <w:r w:rsidR="00007DBA" w:rsidRPr="00726267">
        <w:rPr>
          <w:rStyle w:val="ECCParagraph"/>
        </w:rPr>
        <w:t>,</w:t>
      </w:r>
      <w:r w:rsidRPr="00726267">
        <w:rPr>
          <w:rStyle w:val="ECCParagraph"/>
        </w:rPr>
        <w:t xml:space="preserve"> must be guaranteed. To achieve it,</w:t>
      </w:r>
      <w:r w:rsidR="00B83E52" w:rsidRPr="00726267">
        <w:rPr>
          <w:rStyle w:val="ECCParagraph"/>
        </w:rPr>
        <w:t xml:space="preserve"> CEPT </w:t>
      </w:r>
      <w:r w:rsidR="002B4CFB">
        <w:rPr>
          <w:rStyle w:val="ECCParagraph"/>
        </w:rPr>
        <w:t xml:space="preserve">supports </w:t>
      </w:r>
      <w:r w:rsidR="0077496D" w:rsidRPr="00E33CD7">
        <w:t>the</w:t>
      </w:r>
      <w:r w:rsidR="00AC053A">
        <w:rPr>
          <w:rStyle w:val="ECCParagraph"/>
        </w:rPr>
        <w:t xml:space="preserve"> solution </w:t>
      </w:r>
      <w:r w:rsidR="007901CD">
        <w:rPr>
          <w:rStyle w:val="ECCParagraph"/>
        </w:rPr>
        <w:t xml:space="preserve">which </w:t>
      </w:r>
      <w:r w:rsidR="00AC053A">
        <w:rPr>
          <w:rStyle w:val="ECCParagraph"/>
        </w:rPr>
        <w:t>proposes</w:t>
      </w:r>
      <w:r w:rsidR="002B4CFB">
        <w:rPr>
          <w:rStyle w:val="ECCParagraph"/>
        </w:rPr>
        <w:t xml:space="preserve"> </w:t>
      </w:r>
      <w:r w:rsidR="007901CD">
        <w:rPr>
          <w:rStyle w:val="ECCParagraph"/>
        </w:rPr>
        <w:t xml:space="preserve">that in the examination </w:t>
      </w:r>
      <w:r w:rsidR="007219C8">
        <w:rPr>
          <w:rStyle w:val="ECCParagraph"/>
        </w:rPr>
        <w:t>to determine if these implemented satellite</w:t>
      </w:r>
      <w:r w:rsidR="002B4CFB">
        <w:rPr>
          <w:rStyle w:val="ECCParagraph"/>
        </w:rPr>
        <w:t xml:space="preserve"> networks will be </w:t>
      </w:r>
      <w:r w:rsidR="007219C8">
        <w:rPr>
          <w:rStyle w:val="ECCParagraph"/>
        </w:rPr>
        <w:t>affected by new</w:t>
      </w:r>
      <w:r w:rsidR="008F4C34">
        <w:rPr>
          <w:rStyle w:val="ECCParagraph"/>
        </w:rPr>
        <w:t xml:space="preserve"> Region 1 and 3 BSS</w:t>
      </w:r>
      <w:r w:rsidR="007219C8">
        <w:rPr>
          <w:rStyle w:val="ECCParagraph"/>
        </w:rPr>
        <w:t xml:space="preserve"> satellite networks </w:t>
      </w:r>
      <w:r w:rsidR="00ED16B4">
        <w:rPr>
          <w:rStyle w:val="ECCParagraph"/>
        </w:rPr>
        <w:t>from</w:t>
      </w:r>
      <w:r w:rsidR="007219C8">
        <w:rPr>
          <w:rStyle w:val="ECCParagraph"/>
        </w:rPr>
        <w:t xml:space="preserve"> some</w:t>
      </w:r>
      <w:r w:rsidR="007219C8" w:rsidRPr="00897939">
        <w:t xml:space="preserve"> </w:t>
      </w:r>
      <w:r w:rsidR="001979F6" w:rsidRPr="00897939">
        <w:t>specific</w:t>
      </w:r>
      <w:r w:rsidR="001979F6">
        <w:rPr>
          <w:rStyle w:val="ECCParagraph"/>
        </w:rPr>
        <w:t xml:space="preserve"> </w:t>
      </w:r>
      <w:r w:rsidR="007219C8">
        <w:rPr>
          <w:rStyle w:val="ECCParagraph"/>
        </w:rPr>
        <w:t>orbital locations</w:t>
      </w:r>
      <w:r w:rsidR="008F4C34">
        <w:rPr>
          <w:rStyle w:val="ECCParagraph"/>
        </w:rPr>
        <w:t>,</w:t>
      </w:r>
      <w:r w:rsidR="00ED16B4">
        <w:rPr>
          <w:rStyle w:val="ECCParagraph"/>
        </w:rPr>
        <w:t xml:space="preserve"> only the</w:t>
      </w:r>
      <w:r w:rsidR="00ED16B4" w:rsidRPr="00E33CD7">
        <w:t xml:space="preserve"> </w:t>
      </w:r>
      <w:r w:rsidR="0077496D" w:rsidRPr="00E33CD7">
        <w:t>EPM</w:t>
      </w:r>
      <w:r w:rsidR="00E33CD7">
        <w:t xml:space="preserve"> </w:t>
      </w:r>
      <w:r w:rsidR="00ED16B4">
        <w:rPr>
          <w:rStyle w:val="ECCParagraph"/>
        </w:rPr>
        <w:t xml:space="preserve">criteria will be </w:t>
      </w:r>
      <w:r w:rsidR="0077496D" w:rsidRPr="00E33CD7">
        <w:t>applied and the PFD mask criteria will not be considered</w:t>
      </w:r>
      <w:r w:rsidR="00ED16B4">
        <w:rPr>
          <w:rStyle w:val="ECCParagraph"/>
        </w:rPr>
        <w:t>.</w:t>
      </w:r>
      <w:r w:rsidR="00360592">
        <w:rPr>
          <w:rStyle w:val="ECCParagraph"/>
        </w:rPr>
        <w:t xml:space="preserve"> This solution </w:t>
      </w:r>
      <w:r w:rsidR="00245194">
        <w:rPr>
          <w:rStyle w:val="ECCParagraph"/>
        </w:rPr>
        <w:t>implies</w:t>
      </w:r>
      <w:r w:rsidR="00360592">
        <w:rPr>
          <w:rStyle w:val="ECCParagraph"/>
        </w:rPr>
        <w:t xml:space="preserve"> the deletion</w:t>
      </w:r>
      <w:r w:rsidR="00360592" w:rsidRPr="00E33CD7">
        <w:t xml:space="preserve"> of th</w:t>
      </w:r>
      <w:r w:rsidR="001C78E1" w:rsidRPr="00E33CD7">
        <w:t>is limita</w:t>
      </w:r>
      <w:r w:rsidR="008F4C34" w:rsidRPr="00E33CD7">
        <w:t>t</w:t>
      </w:r>
      <w:r w:rsidR="001C78E1" w:rsidRPr="00E33CD7">
        <w:t>ion</w:t>
      </w:r>
      <w:r w:rsidR="00360592" w:rsidRPr="00E33CD7">
        <w:t xml:space="preserve"> and the </w:t>
      </w:r>
      <w:r w:rsidR="00360592">
        <w:rPr>
          <w:rStyle w:val="ECCParagraph"/>
        </w:rPr>
        <w:t>incorporation of a new resolution</w:t>
      </w:r>
      <w:r w:rsidR="008F4C34">
        <w:rPr>
          <w:rStyle w:val="ECCParagraph"/>
        </w:rPr>
        <w:t>.</w:t>
      </w:r>
      <w:r w:rsidR="002B4CFB">
        <w:rPr>
          <w:rStyle w:val="ECCParagraph"/>
        </w:rPr>
        <w:t xml:space="preserve"> </w:t>
      </w:r>
    </w:p>
    <w:p w14:paraId="5887AC1F" w14:textId="77777777" w:rsidR="001C78E1" w:rsidRPr="00472009" w:rsidRDefault="001C78E1" w:rsidP="001C78E1">
      <w:pPr>
        <w:rPr>
          <w:rStyle w:val="ECCParagraph"/>
        </w:rPr>
      </w:pPr>
      <w:r w:rsidRPr="00472009">
        <w:rPr>
          <w:rStyle w:val="ECCParagraph"/>
        </w:rPr>
        <w:t xml:space="preserve">CEPT </w:t>
      </w:r>
      <w:r>
        <w:rPr>
          <w:rStyle w:val="ECCParagraph"/>
        </w:rPr>
        <w:t>supports the</w:t>
      </w:r>
      <w:r w:rsidRPr="00472009">
        <w:rPr>
          <w:rStyle w:val="ECCParagraph"/>
        </w:rPr>
        <w:t xml:space="preserve"> </w:t>
      </w:r>
      <w:r>
        <w:rPr>
          <w:rStyle w:val="ECCParagraph"/>
        </w:rPr>
        <w:t>retentions</w:t>
      </w:r>
      <w:r w:rsidRPr="00472009">
        <w:rPr>
          <w:rStyle w:val="ECCParagraph"/>
        </w:rPr>
        <w:t xml:space="preserve"> of the limitations:</w:t>
      </w:r>
    </w:p>
    <w:p w14:paraId="5887AC20" w14:textId="77777777" w:rsidR="001C78E1" w:rsidRDefault="001C78E1" w:rsidP="001C78E1">
      <w:pPr>
        <w:pStyle w:val="ECCBulletsLv1"/>
        <w:rPr>
          <w:rStyle w:val="ECCParagraph"/>
        </w:rPr>
      </w:pPr>
      <w:r w:rsidRPr="00B149BB">
        <w:rPr>
          <w:rStyle w:val="ECCParagraph"/>
        </w:rPr>
        <w:t>Limitation A2c (No modification in the Region 2 Plan further west than 175.2°W</w:t>
      </w:r>
      <w:r>
        <w:rPr>
          <w:rStyle w:val="ECCParagraph"/>
        </w:rPr>
        <w:t>)</w:t>
      </w:r>
    </w:p>
    <w:p w14:paraId="5887AC21" w14:textId="77777777" w:rsidR="001C78E1" w:rsidRPr="001403EF" w:rsidRDefault="001C78E1" w:rsidP="001C78E1">
      <w:pPr>
        <w:pStyle w:val="ECCBulletsLv1"/>
        <w:rPr>
          <w:rStyle w:val="ECCHLyellow"/>
        </w:rPr>
      </w:pPr>
      <w:r w:rsidRPr="00472009">
        <w:rPr>
          <w:rStyle w:val="ECCParagraph"/>
        </w:rPr>
        <w:lastRenderedPageBreak/>
        <w:t>Limitation A1</w:t>
      </w:r>
      <w:r>
        <w:rPr>
          <w:rStyle w:val="ECCParagraph"/>
        </w:rPr>
        <w:t>b</w:t>
      </w:r>
      <w:r w:rsidRPr="00472009">
        <w:rPr>
          <w:rStyle w:val="ECCParagraph"/>
        </w:rPr>
        <w:t xml:space="preserve"> (No assignments in the Region 1 List further east than 146°E)</w:t>
      </w:r>
    </w:p>
    <w:p w14:paraId="5887AC24" w14:textId="77777777" w:rsidR="00F03D61" w:rsidRDefault="00615010" w:rsidP="002D307A">
      <w:pPr>
        <w:rPr>
          <w:rStyle w:val="ECCParagraph"/>
        </w:rPr>
      </w:pPr>
      <w:r w:rsidRPr="00726267">
        <w:rPr>
          <w:rStyle w:val="ECCParagraph"/>
        </w:rPr>
        <w:t>CEPT is of the view that Limitation B deals with the grouping concept of space stations in the Region 2 Plan and therefore decisions over this limitation are out of the scope of CEPT.</w:t>
      </w:r>
    </w:p>
    <w:p w14:paraId="5887AC26" w14:textId="214B84ED" w:rsidR="007219C8" w:rsidRDefault="002B4CFB" w:rsidP="00686D86">
      <w:r>
        <w:t>In addition,</w:t>
      </w:r>
      <w:r w:rsidR="00EE074E">
        <w:t xml:space="preserve"> </w:t>
      </w:r>
      <w:r w:rsidR="00EE074E" w:rsidRPr="007219C8">
        <w:t xml:space="preserve">after the removal of the relevant limitations </w:t>
      </w:r>
      <w:r w:rsidR="00EE074E">
        <w:t>described above,</w:t>
      </w:r>
      <w:r>
        <w:t xml:space="preserve"> CEPT supports </w:t>
      </w:r>
      <w:r w:rsidR="007219C8" w:rsidRPr="007219C8">
        <w:t xml:space="preserve">the application of </w:t>
      </w:r>
      <w:r>
        <w:t>a</w:t>
      </w:r>
      <w:r w:rsidR="007219C8" w:rsidRPr="007219C8">
        <w:t xml:space="preserve"> new Resolution</w:t>
      </w:r>
      <w:r>
        <w:t xml:space="preserve"> </w:t>
      </w:r>
      <w:r w:rsidR="00EE074E">
        <w:t>that would give</w:t>
      </w:r>
      <w:r w:rsidRPr="007219C8">
        <w:t xml:space="preserve"> </w:t>
      </w:r>
      <w:r w:rsidR="00C24293">
        <w:t xml:space="preserve">90 </w:t>
      </w:r>
      <w:proofErr w:type="spellStart"/>
      <w:r w:rsidR="00C24293">
        <w:t>days</w:t>
      </w:r>
      <w:proofErr w:type="spellEnd"/>
      <w:r w:rsidR="00C24293">
        <w:t xml:space="preserve"> </w:t>
      </w:r>
      <w:r w:rsidRPr="007219C8">
        <w:t xml:space="preserve">priority </w:t>
      </w:r>
      <w:r>
        <w:t>to submit new satellite networks</w:t>
      </w:r>
      <w:r w:rsidRPr="007219C8">
        <w:t xml:space="preserve"> </w:t>
      </w:r>
      <w:r>
        <w:t xml:space="preserve">to those Administrations with </w:t>
      </w:r>
      <w:r w:rsidRPr="007219C8">
        <w:t xml:space="preserve">national assignments in the Regions 1 and 3 Plan with equivalent downlink protection margin values equal or below -10 </w:t>
      </w:r>
      <w:proofErr w:type="spellStart"/>
      <w:r w:rsidRPr="007219C8">
        <w:t>dB</w:t>
      </w:r>
      <w:r>
        <w:t>.</w:t>
      </w:r>
      <w:proofErr w:type="spellEnd"/>
      <w:r w:rsidR="00C24293">
        <w:t xml:space="preserve"> </w:t>
      </w:r>
    </w:p>
    <w:p w14:paraId="50A1EAAA" w14:textId="473CA9DC" w:rsidR="00C503B9" w:rsidRPr="00897939" w:rsidRDefault="00C503B9" w:rsidP="00897939">
      <w:r w:rsidRPr="00897939">
        <w:t xml:space="preserve">CEPT supports to apply as of 23 November 2019 the modifications to Annex 7 of Appendix 30, to this effect, a revision of Article 59 and a draft new Resolution </w:t>
      </w:r>
      <w:proofErr w:type="gramStart"/>
      <w:r w:rsidRPr="00897939">
        <w:t>are</w:t>
      </w:r>
      <w:proofErr w:type="gramEnd"/>
      <w:r w:rsidRPr="00897939">
        <w:t xml:space="preserve"> proposed.</w:t>
      </w:r>
    </w:p>
    <w:p w14:paraId="5887AC27" w14:textId="77777777" w:rsidR="003771D5" w:rsidRPr="00235592" w:rsidRDefault="003771D5" w:rsidP="003A68D5">
      <w:pPr>
        <w:pStyle w:val="berschrift1"/>
        <w:rPr>
          <w:lang w:val="en-GB"/>
        </w:rPr>
      </w:pPr>
      <w:r w:rsidRPr="00235592">
        <w:rPr>
          <w:lang w:val="en-GB"/>
        </w:rPr>
        <w:t xml:space="preserve">Background </w:t>
      </w:r>
    </w:p>
    <w:p w14:paraId="5887AC28" w14:textId="7577A287" w:rsidR="009B7EA1" w:rsidRDefault="00214747">
      <w:r w:rsidRPr="00214747">
        <w:t xml:space="preserve">The Annex 7 to Appendix </w:t>
      </w:r>
      <w:r w:rsidRPr="008C749D">
        <w:rPr>
          <w:rStyle w:val="ECCHLbold"/>
        </w:rPr>
        <w:t>30 (Rev. WRC-12)</w:t>
      </w:r>
      <w:r w:rsidRPr="00214747">
        <w:t xml:space="preserve"> contains several orbital position limitations applicable to the 3 Regions </w:t>
      </w:r>
      <w:r w:rsidR="00AB6629">
        <w:t xml:space="preserve">for </w:t>
      </w:r>
      <w:r w:rsidRPr="00214747">
        <w:t>specific sub-band of the band 11.7-12.7 GHz. To simplify the readiness of this CEPT Brief</w:t>
      </w:r>
      <w:r w:rsidR="00AB6629">
        <w:t>,</w:t>
      </w:r>
      <w:r w:rsidRPr="00214747">
        <w:t xml:space="preserve"> the same nomenclature as agreed by WP</w:t>
      </w:r>
      <w:r w:rsidR="00AB6629">
        <w:t xml:space="preserve"> </w:t>
      </w:r>
      <w:r w:rsidRPr="00214747">
        <w:t xml:space="preserve">4A was retained as shown in </w:t>
      </w:r>
      <w:r w:rsidR="00B149BB">
        <w:fldChar w:fldCharType="begin"/>
      </w:r>
      <w:r w:rsidR="00B149BB">
        <w:instrText xml:space="preserve"> REF _Ref474338967 \h </w:instrText>
      </w:r>
      <w:r w:rsidR="00B149BB">
        <w:fldChar w:fldCharType="separate"/>
      </w:r>
      <w:r w:rsidR="00B149BB" w:rsidRPr="00B149BB">
        <w:t xml:space="preserve">Table </w:t>
      </w:r>
      <w:r w:rsidR="00B149BB" w:rsidRPr="00B149BB">
        <w:rPr>
          <w:noProof/>
        </w:rPr>
        <w:t>1</w:t>
      </w:r>
      <w:r w:rsidR="00B149BB">
        <w:fldChar w:fldCharType="end"/>
      </w:r>
      <w:r w:rsidRPr="00214747">
        <w:t xml:space="preserve"> below.</w:t>
      </w:r>
    </w:p>
    <w:p w14:paraId="5887AC29" w14:textId="77777777" w:rsidR="00214747" w:rsidRPr="00472009" w:rsidRDefault="00B149BB" w:rsidP="00B149BB">
      <w:pPr>
        <w:pStyle w:val="Beschriftung"/>
        <w:rPr>
          <w:lang w:val="en-GB"/>
        </w:rPr>
      </w:pPr>
      <w:bookmarkStart w:id="0" w:name="_Ref474338967"/>
      <w:r w:rsidRPr="00B149BB">
        <w:rPr>
          <w:lang w:val="en-GB"/>
        </w:rPr>
        <w:t xml:space="preserve">Table </w:t>
      </w:r>
      <w:r>
        <w:fldChar w:fldCharType="begin"/>
      </w:r>
      <w:r w:rsidRPr="00B149BB">
        <w:rPr>
          <w:lang w:val="en-GB"/>
        </w:rPr>
        <w:instrText xml:space="preserve"> SEQ Table \* ARABIC </w:instrText>
      </w:r>
      <w:r>
        <w:fldChar w:fldCharType="separate"/>
      </w:r>
      <w:r w:rsidR="00DD6FC1">
        <w:rPr>
          <w:noProof/>
          <w:lang w:val="en-GB"/>
        </w:rPr>
        <w:t>1</w:t>
      </w:r>
      <w:r>
        <w:fldChar w:fldCharType="end"/>
      </w:r>
      <w:bookmarkEnd w:id="0"/>
      <w:r w:rsidR="00214747" w:rsidRPr="00472009">
        <w:rPr>
          <w:lang w:val="en-GB"/>
        </w:rPr>
        <w:t>: Annex 7 to Appendix 30 (Rev. WRC-12) limitations</w:t>
      </w:r>
    </w:p>
    <w:tbl>
      <w:tblPr>
        <w:tblStyle w:val="ECCTable-redheader"/>
        <w:tblW w:w="5000" w:type="pct"/>
        <w:tblInd w:w="0" w:type="dxa"/>
        <w:tblLook w:val="04A0" w:firstRow="1" w:lastRow="0" w:firstColumn="1" w:lastColumn="0" w:noHBand="0" w:noVBand="1"/>
      </w:tblPr>
      <w:tblGrid>
        <w:gridCol w:w="1172"/>
        <w:gridCol w:w="1439"/>
        <w:gridCol w:w="1439"/>
        <w:gridCol w:w="1228"/>
        <w:gridCol w:w="3293"/>
        <w:gridCol w:w="1284"/>
      </w:tblGrid>
      <w:tr w:rsidR="00214747" w:rsidRPr="00945FBC" w14:paraId="5887AC30" w14:textId="77777777" w:rsidTr="00614FA3">
        <w:trPr>
          <w:cnfStyle w:val="100000000000" w:firstRow="1" w:lastRow="0" w:firstColumn="0" w:lastColumn="0" w:oddVBand="0" w:evenVBand="0" w:oddHBand="0" w:evenHBand="0" w:firstRowFirstColumn="0" w:firstRowLastColumn="0" w:lastRowFirstColumn="0" w:lastRowLastColumn="0"/>
          <w:trHeight w:val="895"/>
        </w:trPr>
        <w:tc>
          <w:tcPr>
            <w:tcW w:w="430" w:type="pct"/>
          </w:tcPr>
          <w:p w14:paraId="5887AC2A" w14:textId="77777777" w:rsidR="00214747" w:rsidRPr="00945FBC" w:rsidRDefault="00214747" w:rsidP="00945FBC">
            <w:pPr>
              <w:pStyle w:val="ECCTableHeaderwhitefont"/>
            </w:pPr>
            <w:r w:rsidRPr="00945FBC">
              <w:t>Annex 7 Limitation</w:t>
            </w:r>
          </w:p>
        </w:tc>
        <w:tc>
          <w:tcPr>
            <w:tcW w:w="624" w:type="pct"/>
          </w:tcPr>
          <w:p w14:paraId="5887AC2B" w14:textId="77777777" w:rsidR="00214747" w:rsidRPr="00945FBC" w:rsidRDefault="00214747" w:rsidP="00945FBC">
            <w:pPr>
              <w:pStyle w:val="ECCTableHeaderwhitefont"/>
            </w:pPr>
            <w:r w:rsidRPr="00945FBC">
              <w:t>Region and Service of interfering assignments</w:t>
            </w:r>
          </w:p>
        </w:tc>
        <w:tc>
          <w:tcPr>
            <w:tcW w:w="857" w:type="pct"/>
          </w:tcPr>
          <w:p w14:paraId="5887AC2C" w14:textId="77777777" w:rsidR="00214747" w:rsidRPr="00945FBC" w:rsidRDefault="00214747" w:rsidP="00945FBC">
            <w:pPr>
              <w:pStyle w:val="ECCTableHeaderwhitefont"/>
            </w:pPr>
            <w:r w:rsidRPr="00945FBC">
              <w:t>Region and Service of impacted assignments</w:t>
            </w:r>
          </w:p>
        </w:tc>
        <w:tc>
          <w:tcPr>
            <w:tcW w:w="565" w:type="pct"/>
          </w:tcPr>
          <w:p w14:paraId="5887AC2D" w14:textId="77777777" w:rsidR="00214747" w:rsidRPr="00945FBC" w:rsidRDefault="00214747" w:rsidP="00945FBC">
            <w:pPr>
              <w:pStyle w:val="ECCTableHeaderwhitefont"/>
            </w:pPr>
            <w:r w:rsidRPr="00945FBC">
              <w:t>Frequency band, GHz</w:t>
            </w:r>
          </w:p>
        </w:tc>
        <w:tc>
          <w:tcPr>
            <w:tcW w:w="2100" w:type="pct"/>
          </w:tcPr>
          <w:p w14:paraId="5887AC2E" w14:textId="77777777" w:rsidR="00214747" w:rsidRPr="00945FBC" w:rsidRDefault="00214747" w:rsidP="00945FBC">
            <w:pPr>
              <w:pStyle w:val="ECCTableHeaderwhitefont"/>
            </w:pPr>
            <w:r w:rsidRPr="00945FBC">
              <w:t>Limitation description</w:t>
            </w:r>
          </w:p>
        </w:tc>
        <w:tc>
          <w:tcPr>
            <w:tcW w:w="424" w:type="pct"/>
          </w:tcPr>
          <w:p w14:paraId="5887AC2F" w14:textId="77777777" w:rsidR="00214747" w:rsidRPr="00945FBC" w:rsidRDefault="00214747" w:rsidP="00945FBC">
            <w:pPr>
              <w:pStyle w:val="ECCTableHeaderwhitefont"/>
            </w:pPr>
            <w:r w:rsidRPr="00945FBC">
              <w:t>Associated regulatory text</w:t>
            </w:r>
          </w:p>
        </w:tc>
      </w:tr>
      <w:tr w:rsidR="00214747" w:rsidRPr="003C0B50" w14:paraId="5887AC3A" w14:textId="77777777" w:rsidTr="00614FA3">
        <w:trPr>
          <w:trHeight w:val="558"/>
        </w:trPr>
        <w:tc>
          <w:tcPr>
            <w:tcW w:w="430" w:type="pct"/>
          </w:tcPr>
          <w:p w14:paraId="5887AC31" w14:textId="77777777" w:rsidR="00214747" w:rsidRPr="00214747" w:rsidRDefault="00214747" w:rsidP="009D08FD">
            <w:pPr>
              <w:pStyle w:val="ECCTabletext"/>
            </w:pPr>
            <w:r w:rsidRPr="00214747">
              <w:t>A1</w:t>
            </w:r>
            <w:r w:rsidR="00172EBD">
              <w:t>a</w:t>
            </w:r>
          </w:p>
          <w:p w14:paraId="5887AC32" w14:textId="4114197E" w:rsidR="00214747" w:rsidRPr="00214747" w:rsidRDefault="00214747" w:rsidP="009D08FD">
            <w:pPr>
              <w:pStyle w:val="ECCTabletext"/>
            </w:pPr>
          </w:p>
        </w:tc>
        <w:tc>
          <w:tcPr>
            <w:tcW w:w="624" w:type="pct"/>
            <w:vMerge w:val="restart"/>
          </w:tcPr>
          <w:p w14:paraId="5887AC33" w14:textId="77777777" w:rsidR="00214747" w:rsidRPr="00214747" w:rsidRDefault="00214747" w:rsidP="009D08FD">
            <w:pPr>
              <w:pStyle w:val="ECCTabletext"/>
            </w:pPr>
            <w:r w:rsidRPr="00214747">
              <w:t>Region 1</w:t>
            </w:r>
          </w:p>
          <w:p w14:paraId="5887AC34" w14:textId="77777777" w:rsidR="00214747" w:rsidRPr="00214747" w:rsidRDefault="00214747" w:rsidP="009D08FD">
            <w:pPr>
              <w:pStyle w:val="ECCTabletext"/>
            </w:pPr>
            <w:r w:rsidRPr="00214747">
              <w:t>BSS</w:t>
            </w:r>
          </w:p>
        </w:tc>
        <w:tc>
          <w:tcPr>
            <w:tcW w:w="857" w:type="pct"/>
          </w:tcPr>
          <w:p w14:paraId="5887AC35" w14:textId="77777777" w:rsidR="00214747" w:rsidRPr="00214747" w:rsidRDefault="00214747" w:rsidP="009D08FD">
            <w:pPr>
              <w:pStyle w:val="ECCTabletext"/>
            </w:pPr>
            <w:r w:rsidRPr="00214747">
              <w:t>Region 2</w:t>
            </w:r>
          </w:p>
          <w:p w14:paraId="5887AC36" w14:textId="77777777" w:rsidR="00214747" w:rsidRPr="00214747" w:rsidRDefault="00214747" w:rsidP="009D08FD">
            <w:pPr>
              <w:pStyle w:val="ECCTabletext"/>
            </w:pPr>
            <w:r w:rsidRPr="00214747">
              <w:t>FSS (Atlantic)</w:t>
            </w:r>
          </w:p>
        </w:tc>
        <w:tc>
          <w:tcPr>
            <w:tcW w:w="565" w:type="pct"/>
            <w:vMerge w:val="restart"/>
          </w:tcPr>
          <w:p w14:paraId="5887AC37" w14:textId="77777777" w:rsidR="00214747" w:rsidRPr="00214747" w:rsidRDefault="00214747" w:rsidP="009D08FD">
            <w:pPr>
              <w:pStyle w:val="ECCTabletext"/>
            </w:pPr>
            <w:r w:rsidRPr="00214747">
              <w:t>11.7-12.2</w:t>
            </w:r>
          </w:p>
        </w:tc>
        <w:tc>
          <w:tcPr>
            <w:tcW w:w="2100" w:type="pct"/>
          </w:tcPr>
          <w:p w14:paraId="5887AC38" w14:textId="77777777" w:rsidR="00214747" w:rsidRPr="00214747" w:rsidRDefault="00214747" w:rsidP="009D08FD">
            <w:pPr>
              <w:pStyle w:val="ECCTabletext"/>
            </w:pPr>
            <w:r w:rsidRPr="00214747">
              <w:t>No assignments in the Region 1 List further west than 37.2°W</w:t>
            </w:r>
          </w:p>
        </w:tc>
        <w:tc>
          <w:tcPr>
            <w:tcW w:w="424" w:type="pct"/>
            <w:vMerge w:val="restart"/>
          </w:tcPr>
          <w:p w14:paraId="5887AC39" w14:textId="77777777" w:rsidR="00214747" w:rsidRPr="00214747" w:rsidRDefault="00214747" w:rsidP="009D08FD">
            <w:pPr>
              <w:pStyle w:val="ECCTabletext"/>
            </w:pPr>
            <w:r w:rsidRPr="00214747">
              <w:t>Section A 1)</w:t>
            </w:r>
          </w:p>
        </w:tc>
      </w:tr>
      <w:tr w:rsidR="00214747" w:rsidRPr="003C0B50" w14:paraId="5887AC43" w14:textId="77777777" w:rsidTr="00614FA3">
        <w:trPr>
          <w:trHeight w:val="523"/>
        </w:trPr>
        <w:tc>
          <w:tcPr>
            <w:tcW w:w="430" w:type="pct"/>
            <w:vMerge w:val="restart"/>
          </w:tcPr>
          <w:p w14:paraId="5887AC3B" w14:textId="77777777" w:rsidR="00214747" w:rsidRPr="00214747" w:rsidRDefault="00214747" w:rsidP="009D08FD">
            <w:pPr>
              <w:pStyle w:val="ECCTabletext"/>
            </w:pPr>
            <w:r w:rsidRPr="00214747">
              <w:t>A1</w:t>
            </w:r>
            <w:r w:rsidR="00172EBD">
              <w:t>b</w:t>
            </w:r>
          </w:p>
          <w:p w14:paraId="5887AC3C" w14:textId="3B22C05B" w:rsidR="00214747" w:rsidRPr="00214747" w:rsidRDefault="00214747" w:rsidP="009D08FD">
            <w:pPr>
              <w:pStyle w:val="ECCTabletext"/>
            </w:pPr>
          </w:p>
        </w:tc>
        <w:tc>
          <w:tcPr>
            <w:tcW w:w="624" w:type="pct"/>
            <w:vMerge/>
          </w:tcPr>
          <w:p w14:paraId="5887AC3D" w14:textId="77777777" w:rsidR="00214747" w:rsidRPr="00214747" w:rsidRDefault="00214747" w:rsidP="009D08FD">
            <w:pPr>
              <w:pStyle w:val="ECCTabletext"/>
            </w:pPr>
          </w:p>
        </w:tc>
        <w:tc>
          <w:tcPr>
            <w:tcW w:w="857" w:type="pct"/>
          </w:tcPr>
          <w:p w14:paraId="5887AC3E" w14:textId="77777777" w:rsidR="00214747" w:rsidRPr="00214747" w:rsidRDefault="00214747" w:rsidP="009D08FD">
            <w:pPr>
              <w:pStyle w:val="ECCTabletext"/>
            </w:pPr>
            <w:r w:rsidRPr="00214747">
              <w:t>Region 2</w:t>
            </w:r>
          </w:p>
          <w:p w14:paraId="5887AC3F" w14:textId="77777777" w:rsidR="00214747" w:rsidRPr="00214747" w:rsidRDefault="00214747" w:rsidP="009D08FD">
            <w:pPr>
              <w:pStyle w:val="ECCTabletext"/>
            </w:pPr>
            <w:r w:rsidRPr="00214747">
              <w:t>FSS (Pacific)</w:t>
            </w:r>
          </w:p>
        </w:tc>
        <w:tc>
          <w:tcPr>
            <w:tcW w:w="565" w:type="pct"/>
            <w:vMerge/>
          </w:tcPr>
          <w:p w14:paraId="5887AC40" w14:textId="77777777" w:rsidR="00214747" w:rsidRPr="00214747" w:rsidRDefault="00214747" w:rsidP="009D08FD">
            <w:pPr>
              <w:pStyle w:val="ECCTabletext"/>
            </w:pPr>
          </w:p>
        </w:tc>
        <w:tc>
          <w:tcPr>
            <w:tcW w:w="2100" w:type="pct"/>
            <w:vMerge w:val="restart"/>
          </w:tcPr>
          <w:p w14:paraId="5887AC41" w14:textId="77777777" w:rsidR="00214747" w:rsidRPr="00214747" w:rsidRDefault="00214747" w:rsidP="009D08FD">
            <w:pPr>
              <w:pStyle w:val="ECCTabletext"/>
            </w:pPr>
            <w:r w:rsidRPr="00214747">
              <w:t>No assignments in the Region 1 List further east than 146°E</w:t>
            </w:r>
          </w:p>
        </w:tc>
        <w:tc>
          <w:tcPr>
            <w:tcW w:w="424" w:type="pct"/>
            <w:vMerge/>
          </w:tcPr>
          <w:p w14:paraId="5887AC42" w14:textId="77777777" w:rsidR="00214747" w:rsidRPr="00214747" w:rsidRDefault="00214747" w:rsidP="009D08FD">
            <w:pPr>
              <w:pStyle w:val="ECCTabletext"/>
            </w:pPr>
          </w:p>
        </w:tc>
      </w:tr>
      <w:tr w:rsidR="00214747" w:rsidRPr="003C0B50" w14:paraId="5887AC4B" w14:textId="77777777" w:rsidTr="00614FA3">
        <w:trPr>
          <w:trHeight w:val="139"/>
        </w:trPr>
        <w:tc>
          <w:tcPr>
            <w:tcW w:w="430" w:type="pct"/>
            <w:vMerge/>
          </w:tcPr>
          <w:p w14:paraId="5887AC44" w14:textId="77777777" w:rsidR="00214747" w:rsidRPr="00214747" w:rsidRDefault="00214747" w:rsidP="009D08FD">
            <w:pPr>
              <w:pStyle w:val="ECCTabletext"/>
            </w:pPr>
          </w:p>
        </w:tc>
        <w:tc>
          <w:tcPr>
            <w:tcW w:w="624" w:type="pct"/>
            <w:vMerge/>
          </w:tcPr>
          <w:p w14:paraId="5887AC45" w14:textId="77777777" w:rsidR="00214747" w:rsidRPr="00214747" w:rsidRDefault="00214747" w:rsidP="009D08FD">
            <w:pPr>
              <w:pStyle w:val="ECCTabletext"/>
            </w:pPr>
          </w:p>
        </w:tc>
        <w:tc>
          <w:tcPr>
            <w:tcW w:w="857" w:type="pct"/>
          </w:tcPr>
          <w:p w14:paraId="5887AC46" w14:textId="77777777" w:rsidR="00214747" w:rsidRPr="00214747" w:rsidRDefault="00214747" w:rsidP="009D08FD">
            <w:pPr>
              <w:pStyle w:val="ECCTabletext"/>
            </w:pPr>
            <w:r w:rsidRPr="00214747">
              <w:t>Region 3</w:t>
            </w:r>
          </w:p>
          <w:p w14:paraId="5887AC47" w14:textId="77777777" w:rsidR="00214747" w:rsidRPr="00214747" w:rsidRDefault="00214747" w:rsidP="009D08FD">
            <w:pPr>
              <w:pStyle w:val="ECCTabletext"/>
            </w:pPr>
            <w:r w:rsidRPr="00214747">
              <w:t xml:space="preserve">BSS subject to Appendix </w:t>
            </w:r>
            <w:r w:rsidRPr="00226D0D">
              <w:rPr>
                <w:rStyle w:val="ECCHLbold"/>
              </w:rPr>
              <w:t>30</w:t>
            </w:r>
          </w:p>
        </w:tc>
        <w:tc>
          <w:tcPr>
            <w:tcW w:w="565" w:type="pct"/>
            <w:vMerge/>
          </w:tcPr>
          <w:p w14:paraId="5887AC48" w14:textId="77777777" w:rsidR="00214747" w:rsidRPr="00214747" w:rsidRDefault="00214747" w:rsidP="009D08FD">
            <w:pPr>
              <w:pStyle w:val="ECCTabletext"/>
            </w:pPr>
          </w:p>
        </w:tc>
        <w:tc>
          <w:tcPr>
            <w:tcW w:w="2100" w:type="pct"/>
            <w:vMerge/>
          </w:tcPr>
          <w:p w14:paraId="5887AC49" w14:textId="77777777" w:rsidR="00214747" w:rsidRPr="00214747" w:rsidRDefault="00214747" w:rsidP="009D08FD">
            <w:pPr>
              <w:pStyle w:val="ECCTabletext"/>
            </w:pPr>
          </w:p>
        </w:tc>
        <w:tc>
          <w:tcPr>
            <w:tcW w:w="424" w:type="pct"/>
            <w:vMerge/>
          </w:tcPr>
          <w:p w14:paraId="5887AC4A" w14:textId="77777777" w:rsidR="00214747" w:rsidRPr="00214747" w:rsidRDefault="00214747" w:rsidP="009D08FD">
            <w:pPr>
              <w:pStyle w:val="ECCTabletext"/>
            </w:pPr>
          </w:p>
        </w:tc>
      </w:tr>
      <w:tr w:rsidR="00214747" w:rsidRPr="003C0B50" w14:paraId="5887AC54" w14:textId="77777777" w:rsidTr="00614FA3">
        <w:trPr>
          <w:trHeight w:val="523"/>
        </w:trPr>
        <w:tc>
          <w:tcPr>
            <w:tcW w:w="430" w:type="pct"/>
          </w:tcPr>
          <w:p w14:paraId="5887AC4C" w14:textId="77777777" w:rsidR="00214747" w:rsidRPr="00214747" w:rsidRDefault="00214747" w:rsidP="009D08FD">
            <w:pPr>
              <w:pStyle w:val="ECCTabletext"/>
            </w:pPr>
            <w:r w:rsidRPr="00214747">
              <w:t>A2a</w:t>
            </w:r>
          </w:p>
        </w:tc>
        <w:tc>
          <w:tcPr>
            <w:tcW w:w="624" w:type="pct"/>
            <w:vMerge w:val="restart"/>
          </w:tcPr>
          <w:p w14:paraId="5887AC4D" w14:textId="77777777" w:rsidR="00214747" w:rsidRPr="00214747" w:rsidRDefault="00214747" w:rsidP="009D08FD">
            <w:pPr>
              <w:pStyle w:val="ECCTabletext"/>
            </w:pPr>
            <w:r w:rsidRPr="00214747">
              <w:t>Region 2</w:t>
            </w:r>
          </w:p>
          <w:p w14:paraId="5887AC4E" w14:textId="77777777" w:rsidR="00214747" w:rsidRPr="00214747" w:rsidRDefault="00214747" w:rsidP="009D08FD">
            <w:pPr>
              <w:pStyle w:val="ECCTabletext"/>
            </w:pPr>
            <w:r w:rsidRPr="00214747">
              <w:t>BSS</w:t>
            </w:r>
          </w:p>
        </w:tc>
        <w:tc>
          <w:tcPr>
            <w:tcW w:w="857" w:type="pct"/>
          </w:tcPr>
          <w:p w14:paraId="5887AC4F" w14:textId="77777777" w:rsidR="00214747" w:rsidRPr="00214747" w:rsidRDefault="00214747" w:rsidP="009D08FD">
            <w:pPr>
              <w:pStyle w:val="ECCTabletext"/>
            </w:pPr>
            <w:r w:rsidRPr="00214747">
              <w:t>Region 1</w:t>
            </w:r>
          </w:p>
          <w:p w14:paraId="5887AC50" w14:textId="77777777" w:rsidR="00214747" w:rsidRPr="00214747" w:rsidRDefault="00214747" w:rsidP="009D08FD">
            <w:pPr>
              <w:pStyle w:val="ECCTabletext"/>
            </w:pPr>
            <w:r w:rsidRPr="00214747">
              <w:t>FSS (Atlantic)</w:t>
            </w:r>
          </w:p>
        </w:tc>
        <w:tc>
          <w:tcPr>
            <w:tcW w:w="565" w:type="pct"/>
          </w:tcPr>
          <w:p w14:paraId="5887AC51" w14:textId="77777777" w:rsidR="00214747" w:rsidRPr="00214747" w:rsidRDefault="00214747" w:rsidP="009D08FD">
            <w:pPr>
              <w:pStyle w:val="ECCTabletext"/>
            </w:pPr>
            <w:r w:rsidRPr="00214747">
              <w:t>12.5-12.7</w:t>
            </w:r>
          </w:p>
        </w:tc>
        <w:tc>
          <w:tcPr>
            <w:tcW w:w="2100" w:type="pct"/>
          </w:tcPr>
          <w:p w14:paraId="5887AC52" w14:textId="77777777" w:rsidR="00214747" w:rsidRPr="00214747" w:rsidRDefault="00214747" w:rsidP="009D08FD">
            <w:pPr>
              <w:pStyle w:val="ECCTabletext"/>
            </w:pPr>
            <w:r w:rsidRPr="00214747">
              <w:t>No modification in the Region 2 Plan further east than 54°W</w:t>
            </w:r>
          </w:p>
        </w:tc>
        <w:tc>
          <w:tcPr>
            <w:tcW w:w="424" w:type="pct"/>
          </w:tcPr>
          <w:p w14:paraId="5887AC53" w14:textId="77777777" w:rsidR="00214747" w:rsidRPr="00214747" w:rsidRDefault="00214747" w:rsidP="009D08FD">
            <w:pPr>
              <w:pStyle w:val="ECCTabletext"/>
            </w:pPr>
            <w:r w:rsidRPr="00214747">
              <w:t>Section A 2) a)</w:t>
            </w:r>
          </w:p>
        </w:tc>
      </w:tr>
      <w:tr w:rsidR="00214747" w:rsidRPr="003C0B50" w14:paraId="5887AC5C" w14:textId="77777777" w:rsidTr="00614FA3">
        <w:trPr>
          <w:trHeight w:val="523"/>
        </w:trPr>
        <w:tc>
          <w:tcPr>
            <w:tcW w:w="430" w:type="pct"/>
          </w:tcPr>
          <w:p w14:paraId="5887AC55" w14:textId="77777777" w:rsidR="00214747" w:rsidRPr="00214747" w:rsidRDefault="00214747" w:rsidP="009D08FD">
            <w:pPr>
              <w:pStyle w:val="ECCTabletext"/>
            </w:pPr>
            <w:r w:rsidRPr="00214747">
              <w:t>A2b</w:t>
            </w:r>
          </w:p>
        </w:tc>
        <w:tc>
          <w:tcPr>
            <w:tcW w:w="624" w:type="pct"/>
            <w:vMerge/>
          </w:tcPr>
          <w:p w14:paraId="5887AC56" w14:textId="77777777" w:rsidR="00214747" w:rsidRPr="00214747" w:rsidRDefault="00214747" w:rsidP="009D08FD">
            <w:pPr>
              <w:pStyle w:val="ECCTabletext"/>
            </w:pPr>
          </w:p>
        </w:tc>
        <w:tc>
          <w:tcPr>
            <w:tcW w:w="857" w:type="pct"/>
          </w:tcPr>
          <w:p w14:paraId="5887AC57" w14:textId="77777777" w:rsidR="00214747" w:rsidRPr="00214747" w:rsidRDefault="00214747" w:rsidP="009D08FD">
            <w:pPr>
              <w:pStyle w:val="ECCTabletext"/>
            </w:pPr>
            <w:r w:rsidRPr="00214747">
              <w:t>Region 1</w:t>
            </w:r>
          </w:p>
          <w:p w14:paraId="5887AC58" w14:textId="77777777" w:rsidR="00214747" w:rsidRPr="00214747" w:rsidRDefault="00214747" w:rsidP="009D08FD">
            <w:pPr>
              <w:pStyle w:val="ECCTabletext"/>
            </w:pPr>
            <w:r w:rsidRPr="00214747">
              <w:t xml:space="preserve">BSS subject to Appendix </w:t>
            </w:r>
            <w:r w:rsidRPr="00226D0D">
              <w:rPr>
                <w:rStyle w:val="ECCHLbold"/>
              </w:rPr>
              <w:t>30</w:t>
            </w:r>
          </w:p>
        </w:tc>
        <w:tc>
          <w:tcPr>
            <w:tcW w:w="565" w:type="pct"/>
          </w:tcPr>
          <w:p w14:paraId="5887AC59" w14:textId="77777777" w:rsidR="00214747" w:rsidRPr="00214747" w:rsidRDefault="00214747" w:rsidP="009D08FD">
            <w:pPr>
              <w:pStyle w:val="ECCTabletext"/>
            </w:pPr>
            <w:r w:rsidRPr="00214747">
              <w:t>12.2-12.5</w:t>
            </w:r>
          </w:p>
        </w:tc>
        <w:tc>
          <w:tcPr>
            <w:tcW w:w="2100" w:type="pct"/>
          </w:tcPr>
          <w:p w14:paraId="5887AC5A" w14:textId="77777777" w:rsidR="00214747" w:rsidRPr="00214747" w:rsidRDefault="00214747" w:rsidP="009D08FD">
            <w:pPr>
              <w:pStyle w:val="ECCTabletext"/>
            </w:pPr>
            <w:r w:rsidRPr="00214747">
              <w:t>No modification in the Region 2 Plan further east than 44°W</w:t>
            </w:r>
          </w:p>
        </w:tc>
        <w:tc>
          <w:tcPr>
            <w:tcW w:w="424" w:type="pct"/>
          </w:tcPr>
          <w:p w14:paraId="5887AC5B" w14:textId="77777777" w:rsidR="00214747" w:rsidRPr="00214747" w:rsidRDefault="00214747" w:rsidP="009D08FD">
            <w:pPr>
              <w:pStyle w:val="ECCTabletext"/>
            </w:pPr>
            <w:r w:rsidRPr="00214747">
              <w:t>Section A 2) b)</w:t>
            </w:r>
          </w:p>
        </w:tc>
      </w:tr>
      <w:tr w:rsidR="00214747" w:rsidRPr="003C0B50" w14:paraId="5887AC64" w14:textId="77777777" w:rsidTr="00614FA3">
        <w:trPr>
          <w:trHeight w:val="511"/>
        </w:trPr>
        <w:tc>
          <w:tcPr>
            <w:tcW w:w="430" w:type="pct"/>
            <w:vMerge w:val="restart"/>
          </w:tcPr>
          <w:p w14:paraId="5887AC5D" w14:textId="77777777" w:rsidR="00214747" w:rsidRPr="00214747" w:rsidRDefault="00214747" w:rsidP="009D08FD">
            <w:pPr>
              <w:pStyle w:val="ECCTabletext"/>
            </w:pPr>
            <w:r w:rsidRPr="00214747">
              <w:t>A2c</w:t>
            </w:r>
          </w:p>
        </w:tc>
        <w:tc>
          <w:tcPr>
            <w:tcW w:w="624" w:type="pct"/>
            <w:vMerge/>
          </w:tcPr>
          <w:p w14:paraId="5887AC5E" w14:textId="77777777" w:rsidR="00214747" w:rsidRPr="00214747" w:rsidRDefault="00214747" w:rsidP="009D08FD">
            <w:pPr>
              <w:pStyle w:val="ECCTabletext"/>
            </w:pPr>
          </w:p>
        </w:tc>
        <w:tc>
          <w:tcPr>
            <w:tcW w:w="857" w:type="pct"/>
          </w:tcPr>
          <w:p w14:paraId="5887AC5F" w14:textId="77777777" w:rsidR="00214747" w:rsidRPr="00214747" w:rsidRDefault="00214747" w:rsidP="009D08FD">
            <w:pPr>
              <w:pStyle w:val="ECCTabletext"/>
            </w:pPr>
            <w:r w:rsidRPr="00214747">
              <w:t>Region 3</w:t>
            </w:r>
          </w:p>
          <w:p w14:paraId="5887AC60" w14:textId="77777777" w:rsidR="00214747" w:rsidRPr="00214747" w:rsidRDefault="00214747" w:rsidP="009D08FD">
            <w:pPr>
              <w:pStyle w:val="ECCTabletext"/>
            </w:pPr>
            <w:r w:rsidRPr="00214747">
              <w:t>FSS</w:t>
            </w:r>
          </w:p>
        </w:tc>
        <w:tc>
          <w:tcPr>
            <w:tcW w:w="565" w:type="pct"/>
          </w:tcPr>
          <w:p w14:paraId="5887AC61" w14:textId="77777777" w:rsidR="00214747" w:rsidRPr="00214747" w:rsidRDefault="00214747" w:rsidP="009D08FD">
            <w:pPr>
              <w:pStyle w:val="ECCTabletext"/>
            </w:pPr>
            <w:r w:rsidRPr="00214747">
              <w:t>12.2-12.7</w:t>
            </w:r>
          </w:p>
        </w:tc>
        <w:tc>
          <w:tcPr>
            <w:tcW w:w="2100" w:type="pct"/>
            <w:vMerge w:val="restart"/>
          </w:tcPr>
          <w:p w14:paraId="5887AC62" w14:textId="77777777" w:rsidR="00214747" w:rsidRPr="00214747" w:rsidRDefault="00214747" w:rsidP="009D08FD">
            <w:pPr>
              <w:pStyle w:val="ECCTabletext"/>
            </w:pPr>
            <w:r w:rsidRPr="00214747">
              <w:t>No modification in the Region 2 Plan further west than 175.2°W</w:t>
            </w:r>
          </w:p>
        </w:tc>
        <w:tc>
          <w:tcPr>
            <w:tcW w:w="424" w:type="pct"/>
            <w:vMerge w:val="restart"/>
          </w:tcPr>
          <w:p w14:paraId="5887AC63" w14:textId="77777777" w:rsidR="00214747" w:rsidRPr="00214747" w:rsidRDefault="00214747" w:rsidP="009D08FD">
            <w:pPr>
              <w:pStyle w:val="ECCTabletext"/>
            </w:pPr>
            <w:r w:rsidRPr="00214747">
              <w:t>Section A 2) c)</w:t>
            </w:r>
          </w:p>
        </w:tc>
      </w:tr>
      <w:tr w:rsidR="00214747" w:rsidRPr="003C0B50" w14:paraId="5887AC6C" w14:textId="77777777" w:rsidTr="00614FA3">
        <w:trPr>
          <w:trHeight w:val="139"/>
        </w:trPr>
        <w:tc>
          <w:tcPr>
            <w:tcW w:w="430" w:type="pct"/>
            <w:vMerge/>
          </w:tcPr>
          <w:p w14:paraId="5887AC65" w14:textId="77777777" w:rsidR="00214747" w:rsidRPr="00214747" w:rsidRDefault="00214747" w:rsidP="009D08FD">
            <w:pPr>
              <w:pStyle w:val="ECCTabletext"/>
            </w:pPr>
          </w:p>
        </w:tc>
        <w:tc>
          <w:tcPr>
            <w:tcW w:w="624" w:type="pct"/>
            <w:vMerge/>
          </w:tcPr>
          <w:p w14:paraId="5887AC66" w14:textId="77777777" w:rsidR="00214747" w:rsidRPr="00214747" w:rsidRDefault="00214747" w:rsidP="009D08FD">
            <w:pPr>
              <w:pStyle w:val="ECCTabletext"/>
            </w:pPr>
          </w:p>
        </w:tc>
        <w:tc>
          <w:tcPr>
            <w:tcW w:w="857" w:type="pct"/>
          </w:tcPr>
          <w:p w14:paraId="5887AC67" w14:textId="77777777" w:rsidR="00214747" w:rsidRPr="00214747" w:rsidRDefault="00214747" w:rsidP="009D08FD">
            <w:pPr>
              <w:pStyle w:val="ECCTabletext"/>
            </w:pPr>
            <w:r w:rsidRPr="00214747">
              <w:t>Region 1</w:t>
            </w:r>
          </w:p>
          <w:p w14:paraId="5887AC68" w14:textId="77777777" w:rsidR="00214747" w:rsidRPr="00214747" w:rsidRDefault="00214747" w:rsidP="009D08FD">
            <w:pPr>
              <w:pStyle w:val="ECCTabletext"/>
            </w:pPr>
            <w:r w:rsidRPr="00214747">
              <w:t>BSS</w:t>
            </w:r>
          </w:p>
        </w:tc>
        <w:tc>
          <w:tcPr>
            <w:tcW w:w="565" w:type="pct"/>
          </w:tcPr>
          <w:p w14:paraId="5887AC69" w14:textId="77777777" w:rsidR="00214747" w:rsidRPr="00214747" w:rsidRDefault="00214747" w:rsidP="009D08FD">
            <w:pPr>
              <w:pStyle w:val="ECCTabletext"/>
            </w:pPr>
            <w:r w:rsidRPr="00214747">
              <w:t>12.2-12.5</w:t>
            </w:r>
          </w:p>
        </w:tc>
        <w:tc>
          <w:tcPr>
            <w:tcW w:w="2100" w:type="pct"/>
            <w:vMerge/>
          </w:tcPr>
          <w:p w14:paraId="5887AC6A" w14:textId="77777777" w:rsidR="00214747" w:rsidRPr="00214747" w:rsidRDefault="00214747" w:rsidP="009D08FD">
            <w:pPr>
              <w:pStyle w:val="ECCTabletext"/>
            </w:pPr>
          </w:p>
        </w:tc>
        <w:tc>
          <w:tcPr>
            <w:tcW w:w="424" w:type="pct"/>
            <w:vMerge/>
          </w:tcPr>
          <w:p w14:paraId="5887AC6B" w14:textId="77777777" w:rsidR="00214747" w:rsidRPr="00214747" w:rsidRDefault="00214747" w:rsidP="009D08FD">
            <w:pPr>
              <w:pStyle w:val="ECCTabletext"/>
            </w:pPr>
          </w:p>
        </w:tc>
      </w:tr>
      <w:tr w:rsidR="00214747" w:rsidRPr="003C0B50" w14:paraId="5887AC74" w14:textId="77777777" w:rsidTr="00614FA3">
        <w:trPr>
          <w:trHeight w:val="139"/>
        </w:trPr>
        <w:tc>
          <w:tcPr>
            <w:tcW w:w="430" w:type="pct"/>
            <w:vMerge/>
          </w:tcPr>
          <w:p w14:paraId="5887AC6D" w14:textId="77777777" w:rsidR="00214747" w:rsidRPr="00214747" w:rsidRDefault="00214747" w:rsidP="009D08FD">
            <w:pPr>
              <w:pStyle w:val="ECCTabletext"/>
            </w:pPr>
          </w:p>
        </w:tc>
        <w:tc>
          <w:tcPr>
            <w:tcW w:w="624" w:type="pct"/>
            <w:vMerge/>
          </w:tcPr>
          <w:p w14:paraId="5887AC6E" w14:textId="77777777" w:rsidR="00214747" w:rsidRPr="00214747" w:rsidRDefault="00214747" w:rsidP="009D08FD">
            <w:pPr>
              <w:pStyle w:val="ECCTabletext"/>
            </w:pPr>
          </w:p>
        </w:tc>
        <w:tc>
          <w:tcPr>
            <w:tcW w:w="857" w:type="pct"/>
          </w:tcPr>
          <w:p w14:paraId="5887AC6F" w14:textId="77777777" w:rsidR="00214747" w:rsidRPr="00214747" w:rsidRDefault="00214747" w:rsidP="009D08FD">
            <w:pPr>
              <w:pStyle w:val="ECCTabletext"/>
            </w:pPr>
            <w:r w:rsidRPr="00214747">
              <w:t>Region 1</w:t>
            </w:r>
          </w:p>
          <w:p w14:paraId="5887AC70" w14:textId="77777777" w:rsidR="00214747" w:rsidRPr="00214747" w:rsidRDefault="00214747" w:rsidP="009D08FD">
            <w:pPr>
              <w:pStyle w:val="ECCTabletext"/>
            </w:pPr>
            <w:r w:rsidRPr="00214747">
              <w:t>FSS (Pacific)</w:t>
            </w:r>
          </w:p>
        </w:tc>
        <w:tc>
          <w:tcPr>
            <w:tcW w:w="565" w:type="pct"/>
          </w:tcPr>
          <w:p w14:paraId="5887AC71" w14:textId="77777777" w:rsidR="00214747" w:rsidRPr="00214747" w:rsidRDefault="00214747" w:rsidP="009D08FD">
            <w:pPr>
              <w:pStyle w:val="ECCTabletext"/>
            </w:pPr>
            <w:r w:rsidRPr="00214747">
              <w:t>12.5-12.7</w:t>
            </w:r>
          </w:p>
        </w:tc>
        <w:tc>
          <w:tcPr>
            <w:tcW w:w="2100" w:type="pct"/>
            <w:vMerge/>
          </w:tcPr>
          <w:p w14:paraId="5887AC72" w14:textId="77777777" w:rsidR="00214747" w:rsidRPr="00214747" w:rsidRDefault="00214747" w:rsidP="009D08FD">
            <w:pPr>
              <w:pStyle w:val="ECCTabletext"/>
            </w:pPr>
          </w:p>
        </w:tc>
        <w:tc>
          <w:tcPr>
            <w:tcW w:w="424" w:type="pct"/>
            <w:vMerge/>
          </w:tcPr>
          <w:p w14:paraId="5887AC73" w14:textId="77777777" w:rsidR="00214747" w:rsidRPr="00214747" w:rsidRDefault="00214747" w:rsidP="009D08FD">
            <w:pPr>
              <w:pStyle w:val="ECCTabletext"/>
            </w:pPr>
          </w:p>
        </w:tc>
      </w:tr>
      <w:tr w:rsidR="00214747" w:rsidRPr="003C0B50" w14:paraId="5887AC7E" w14:textId="77777777" w:rsidTr="00614FA3">
        <w:trPr>
          <w:trHeight w:val="558"/>
        </w:trPr>
        <w:tc>
          <w:tcPr>
            <w:tcW w:w="430" w:type="pct"/>
          </w:tcPr>
          <w:p w14:paraId="5887AC75" w14:textId="77777777" w:rsidR="00214747" w:rsidRPr="00214747" w:rsidRDefault="00214747" w:rsidP="009D08FD">
            <w:pPr>
              <w:pStyle w:val="ECCTabletext"/>
            </w:pPr>
            <w:r w:rsidRPr="00214747">
              <w:t>A3</w:t>
            </w:r>
            <w:r w:rsidR="00172EBD">
              <w:t>a</w:t>
            </w:r>
          </w:p>
          <w:p w14:paraId="5887AC76" w14:textId="3F3A24C5" w:rsidR="00214747" w:rsidRPr="00214747" w:rsidRDefault="00214747" w:rsidP="009D08FD">
            <w:pPr>
              <w:pStyle w:val="ECCTabletext"/>
            </w:pPr>
          </w:p>
        </w:tc>
        <w:tc>
          <w:tcPr>
            <w:tcW w:w="624" w:type="pct"/>
            <w:vMerge w:val="restart"/>
          </w:tcPr>
          <w:p w14:paraId="5887AC77" w14:textId="77777777" w:rsidR="00214747" w:rsidRPr="00214747" w:rsidRDefault="00214747" w:rsidP="009D08FD">
            <w:pPr>
              <w:pStyle w:val="ECCTabletext"/>
            </w:pPr>
            <w:r w:rsidRPr="00214747">
              <w:t>Region 1</w:t>
            </w:r>
          </w:p>
          <w:p w14:paraId="5887AC78" w14:textId="77777777" w:rsidR="00214747" w:rsidRPr="00214747" w:rsidRDefault="00214747" w:rsidP="009D08FD">
            <w:pPr>
              <w:pStyle w:val="ECCTabletext"/>
            </w:pPr>
            <w:r w:rsidRPr="00214747">
              <w:t>BSS</w:t>
            </w:r>
          </w:p>
        </w:tc>
        <w:tc>
          <w:tcPr>
            <w:tcW w:w="857" w:type="pct"/>
            <w:vMerge w:val="restart"/>
          </w:tcPr>
          <w:p w14:paraId="5887AC79" w14:textId="77777777" w:rsidR="00214747" w:rsidRPr="00214747" w:rsidRDefault="00214747" w:rsidP="009D08FD">
            <w:pPr>
              <w:pStyle w:val="ECCTabletext"/>
            </w:pPr>
            <w:r w:rsidRPr="00214747">
              <w:t>Region 2</w:t>
            </w:r>
          </w:p>
          <w:p w14:paraId="5887AC7A" w14:textId="77777777" w:rsidR="00214747" w:rsidRPr="00214747" w:rsidRDefault="00214747" w:rsidP="009D08FD">
            <w:pPr>
              <w:pStyle w:val="ECCTabletext"/>
            </w:pPr>
            <w:r w:rsidRPr="00214747">
              <w:t>FSS</w:t>
            </w:r>
          </w:p>
        </w:tc>
        <w:tc>
          <w:tcPr>
            <w:tcW w:w="565" w:type="pct"/>
            <w:vMerge w:val="restart"/>
          </w:tcPr>
          <w:p w14:paraId="5887AC7B" w14:textId="77777777" w:rsidR="00214747" w:rsidRPr="00214747" w:rsidRDefault="00214747" w:rsidP="009D08FD">
            <w:pPr>
              <w:pStyle w:val="ECCTabletext"/>
            </w:pPr>
            <w:r w:rsidRPr="00214747">
              <w:t>11.7-12.2</w:t>
            </w:r>
          </w:p>
        </w:tc>
        <w:tc>
          <w:tcPr>
            <w:tcW w:w="2100" w:type="pct"/>
          </w:tcPr>
          <w:p w14:paraId="5887AC7C" w14:textId="748EE26E" w:rsidR="00214747" w:rsidRPr="00214747" w:rsidRDefault="00214747" w:rsidP="000655D1">
            <w:pPr>
              <w:pStyle w:val="ECCTabletext"/>
            </w:pPr>
            <w:r w:rsidRPr="00214747">
              <w:t xml:space="preserve">No assignments in the Regions 1 &amp; 3 List outside specific allowable portions of the orbital arc between </w:t>
            </w:r>
            <w:r w:rsidRPr="00214747">
              <w:lastRenderedPageBreak/>
              <w:t>37.2°W and 10°E (see</w:t>
            </w:r>
            <w:r w:rsidR="000655D1">
              <w:t xml:space="preserve"> </w:t>
            </w:r>
            <w:r w:rsidR="000655D1">
              <w:fldChar w:fldCharType="begin"/>
            </w:r>
            <w:r w:rsidR="000655D1">
              <w:instrText xml:space="preserve"> REF _Ref474339040 \h </w:instrText>
            </w:r>
            <w:r w:rsidR="000655D1">
              <w:fldChar w:fldCharType="separate"/>
            </w:r>
            <w:r w:rsidR="00686D86" w:rsidRPr="00B149BB">
              <w:t xml:space="preserve">Table </w:t>
            </w:r>
            <w:r w:rsidR="00686D86">
              <w:rPr>
                <w:noProof/>
              </w:rPr>
              <w:t>2</w:t>
            </w:r>
            <w:r w:rsidR="000655D1">
              <w:fldChar w:fldCharType="end"/>
            </w:r>
            <w:r w:rsidRPr="00214747">
              <w:t>)</w:t>
            </w:r>
          </w:p>
        </w:tc>
        <w:tc>
          <w:tcPr>
            <w:tcW w:w="424" w:type="pct"/>
            <w:vMerge w:val="restart"/>
          </w:tcPr>
          <w:p w14:paraId="5887AC7D" w14:textId="77777777" w:rsidR="00214747" w:rsidRPr="00214747" w:rsidRDefault="00214747" w:rsidP="009D08FD">
            <w:pPr>
              <w:pStyle w:val="ECCTabletext"/>
            </w:pPr>
            <w:r w:rsidRPr="00214747">
              <w:lastRenderedPageBreak/>
              <w:t>Section A 3)</w:t>
            </w:r>
          </w:p>
        </w:tc>
      </w:tr>
      <w:tr w:rsidR="00214747" w:rsidRPr="003C0B50" w14:paraId="5887AC86" w14:textId="77777777" w:rsidTr="00B73D4A">
        <w:trPr>
          <w:trHeight w:val="404"/>
        </w:trPr>
        <w:tc>
          <w:tcPr>
            <w:tcW w:w="430" w:type="pct"/>
          </w:tcPr>
          <w:p w14:paraId="5887AC7F" w14:textId="77777777" w:rsidR="00214747" w:rsidRPr="00214747" w:rsidRDefault="00214747" w:rsidP="009D08FD">
            <w:pPr>
              <w:pStyle w:val="ECCTabletext"/>
            </w:pPr>
            <w:r w:rsidRPr="00214747">
              <w:lastRenderedPageBreak/>
              <w:t>A3</w:t>
            </w:r>
            <w:r w:rsidR="00DD3312">
              <w:t>b</w:t>
            </w:r>
          </w:p>
          <w:p w14:paraId="5887AC80" w14:textId="34A17EDF" w:rsidR="00214747" w:rsidRPr="00214747" w:rsidRDefault="00214747" w:rsidP="009D08FD">
            <w:pPr>
              <w:pStyle w:val="ECCTabletext"/>
            </w:pPr>
          </w:p>
        </w:tc>
        <w:tc>
          <w:tcPr>
            <w:tcW w:w="624" w:type="pct"/>
            <w:vMerge/>
          </w:tcPr>
          <w:p w14:paraId="5887AC81" w14:textId="77777777" w:rsidR="00214747" w:rsidRPr="00214747" w:rsidRDefault="00214747" w:rsidP="009D08FD">
            <w:pPr>
              <w:pStyle w:val="ECCTabletext"/>
            </w:pPr>
          </w:p>
        </w:tc>
        <w:tc>
          <w:tcPr>
            <w:tcW w:w="857" w:type="pct"/>
            <w:vMerge/>
          </w:tcPr>
          <w:p w14:paraId="5887AC82" w14:textId="77777777" w:rsidR="00214747" w:rsidRPr="00214747" w:rsidRDefault="00214747" w:rsidP="009D08FD">
            <w:pPr>
              <w:pStyle w:val="ECCTabletext"/>
            </w:pPr>
          </w:p>
        </w:tc>
        <w:tc>
          <w:tcPr>
            <w:tcW w:w="565" w:type="pct"/>
            <w:vMerge/>
          </w:tcPr>
          <w:p w14:paraId="5887AC83" w14:textId="77777777" w:rsidR="00214747" w:rsidRPr="00214747" w:rsidRDefault="00214747" w:rsidP="009D08FD">
            <w:pPr>
              <w:pStyle w:val="ECCTabletext"/>
            </w:pPr>
          </w:p>
        </w:tc>
        <w:tc>
          <w:tcPr>
            <w:tcW w:w="2100" w:type="pct"/>
          </w:tcPr>
          <w:p w14:paraId="5887AC84" w14:textId="7BFD247E" w:rsidR="00214747" w:rsidRPr="00214747" w:rsidRDefault="00214747" w:rsidP="000655D1">
            <w:pPr>
              <w:pStyle w:val="ECCTabletext"/>
            </w:pPr>
            <w:r w:rsidRPr="00214747">
              <w:t xml:space="preserve">Max. </w:t>
            </w:r>
            <w:proofErr w:type="spellStart"/>
            <w:r w:rsidRPr="00214747">
              <w:t>e.i.r.p</w:t>
            </w:r>
            <w:proofErr w:type="spellEnd"/>
            <w:r w:rsidRPr="00214747">
              <w:t xml:space="preserve">. of 56 </w:t>
            </w:r>
            <w:proofErr w:type="spellStart"/>
            <w:r w:rsidRPr="00214747">
              <w:t>dBW</w:t>
            </w:r>
            <w:proofErr w:type="spellEnd"/>
            <w:r w:rsidRPr="00214747">
              <w:t xml:space="preserve"> for assignments in the Regions 1 &amp; 3 List at specific allowable portions of the orbital arc between 37.2°W and 10°E (see</w:t>
            </w:r>
            <w:r w:rsidR="00226D0D">
              <w:t xml:space="preserve"> </w:t>
            </w:r>
            <w:r w:rsidR="000655D1">
              <w:fldChar w:fldCharType="begin"/>
            </w:r>
            <w:r w:rsidR="000655D1">
              <w:instrText xml:space="preserve"> REF _Ref490656044 \h </w:instrText>
            </w:r>
            <w:r w:rsidR="000655D1">
              <w:fldChar w:fldCharType="separate"/>
            </w:r>
            <w:r w:rsidR="00686D86" w:rsidRPr="00B149BB">
              <w:t xml:space="preserve">Table </w:t>
            </w:r>
            <w:r w:rsidR="00686D86">
              <w:rPr>
                <w:noProof/>
              </w:rPr>
              <w:t>3</w:t>
            </w:r>
            <w:r w:rsidR="000655D1">
              <w:fldChar w:fldCharType="end"/>
            </w:r>
            <w:r w:rsidRPr="00214747">
              <w:t>)</w:t>
            </w:r>
          </w:p>
        </w:tc>
        <w:tc>
          <w:tcPr>
            <w:tcW w:w="424" w:type="pct"/>
            <w:vMerge/>
          </w:tcPr>
          <w:p w14:paraId="5887AC85" w14:textId="77777777" w:rsidR="00214747" w:rsidRPr="00214747" w:rsidRDefault="00214747" w:rsidP="009D08FD">
            <w:pPr>
              <w:pStyle w:val="ECCTabletext"/>
            </w:pPr>
          </w:p>
        </w:tc>
      </w:tr>
      <w:tr w:rsidR="00214747" w:rsidRPr="003C0B50" w14:paraId="5887AC8E" w14:textId="77777777" w:rsidTr="00614FA3">
        <w:trPr>
          <w:trHeight w:val="744"/>
        </w:trPr>
        <w:tc>
          <w:tcPr>
            <w:tcW w:w="430" w:type="pct"/>
          </w:tcPr>
          <w:p w14:paraId="5887AC87" w14:textId="77777777" w:rsidR="00214747" w:rsidRPr="00214747" w:rsidRDefault="00214747" w:rsidP="009D08FD">
            <w:pPr>
              <w:pStyle w:val="ECCTabletext"/>
            </w:pPr>
            <w:r w:rsidRPr="00214747">
              <w:t>A3</w:t>
            </w:r>
            <w:r w:rsidR="00DD3312">
              <w:t>c</w:t>
            </w:r>
          </w:p>
          <w:p w14:paraId="5887AC88" w14:textId="328CFAAB" w:rsidR="00214747" w:rsidRPr="00214747" w:rsidRDefault="00214747" w:rsidP="009D08FD">
            <w:pPr>
              <w:pStyle w:val="ECCTabletext"/>
            </w:pPr>
          </w:p>
        </w:tc>
        <w:tc>
          <w:tcPr>
            <w:tcW w:w="624" w:type="pct"/>
            <w:vMerge/>
          </w:tcPr>
          <w:p w14:paraId="5887AC89" w14:textId="77777777" w:rsidR="00214747" w:rsidRPr="00214747" w:rsidRDefault="00214747" w:rsidP="009D08FD">
            <w:pPr>
              <w:pStyle w:val="ECCTabletext"/>
            </w:pPr>
          </w:p>
        </w:tc>
        <w:tc>
          <w:tcPr>
            <w:tcW w:w="857" w:type="pct"/>
            <w:vMerge/>
          </w:tcPr>
          <w:p w14:paraId="5887AC8A" w14:textId="77777777" w:rsidR="00214747" w:rsidRPr="00214747" w:rsidRDefault="00214747" w:rsidP="009D08FD">
            <w:pPr>
              <w:pStyle w:val="ECCTabletext"/>
            </w:pPr>
          </w:p>
        </w:tc>
        <w:tc>
          <w:tcPr>
            <w:tcW w:w="565" w:type="pct"/>
            <w:vMerge/>
          </w:tcPr>
          <w:p w14:paraId="5887AC8B" w14:textId="77777777" w:rsidR="00214747" w:rsidRPr="00214747" w:rsidRDefault="00214747" w:rsidP="009D08FD">
            <w:pPr>
              <w:pStyle w:val="ECCTabletext"/>
            </w:pPr>
          </w:p>
        </w:tc>
        <w:tc>
          <w:tcPr>
            <w:tcW w:w="2100" w:type="pct"/>
          </w:tcPr>
          <w:p w14:paraId="5887AC8C" w14:textId="77777777" w:rsidR="00214747" w:rsidRPr="00214747" w:rsidRDefault="00214747" w:rsidP="009D08FD">
            <w:pPr>
              <w:pStyle w:val="ECCTabletext"/>
            </w:pPr>
            <w:r w:rsidRPr="00214747">
              <w:t>Max. power flux density of -138 dB(W/(</w:t>
            </w:r>
            <w:r w:rsidR="002E6F22">
              <w:t>m</w:t>
            </w:r>
            <w:r w:rsidR="002E6F22" w:rsidRPr="002E6F22">
              <w:rPr>
                <w:rStyle w:val="ECCHLsuperscript"/>
              </w:rPr>
              <w:t>2</w:t>
            </w:r>
            <w:r w:rsidR="002E6F22" w:rsidRPr="002E6F22">
              <w:t>·27 MHz</w:t>
            </w:r>
            <w:r w:rsidRPr="00214747">
              <w:t>)) at any point in Region 2 by assignments in the Regions 1 &amp; 3 List located at 4°W and 9°E</w:t>
            </w:r>
          </w:p>
        </w:tc>
        <w:tc>
          <w:tcPr>
            <w:tcW w:w="424" w:type="pct"/>
            <w:vMerge/>
          </w:tcPr>
          <w:p w14:paraId="5887AC8D" w14:textId="77777777" w:rsidR="00214747" w:rsidRPr="00214747" w:rsidRDefault="00214747" w:rsidP="009D08FD">
            <w:pPr>
              <w:pStyle w:val="ECCTabletext"/>
            </w:pPr>
          </w:p>
        </w:tc>
      </w:tr>
      <w:tr w:rsidR="00214747" w:rsidRPr="003C0B50" w14:paraId="5887AC97" w14:textId="77777777" w:rsidTr="00614FA3">
        <w:trPr>
          <w:trHeight w:val="755"/>
        </w:trPr>
        <w:tc>
          <w:tcPr>
            <w:tcW w:w="430" w:type="pct"/>
          </w:tcPr>
          <w:p w14:paraId="5887AC8F" w14:textId="77777777" w:rsidR="00214747" w:rsidRPr="00214747" w:rsidRDefault="00214747" w:rsidP="009D08FD">
            <w:pPr>
              <w:pStyle w:val="ECCTabletext"/>
            </w:pPr>
            <w:r w:rsidRPr="00214747">
              <w:t>B</w:t>
            </w:r>
          </w:p>
        </w:tc>
        <w:tc>
          <w:tcPr>
            <w:tcW w:w="624" w:type="pct"/>
          </w:tcPr>
          <w:p w14:paraId="5887AC90" w14:textId="77777777" w:rsidR="00214747" w:rsidRPr="00214747" w:rsidRDefault="00214747" w:rsidP="009D08FD">
            <w:pPr>
              <w:pStyle w:val="ECCTabletext"/>
            </w:pPr>
            <w:r w:rsidRPr="00214747">
              <w:t>Region 2</w:t>
            </w:r>
          </w:p>
          <w:p w14:paraId="5887AC91" w14:textId="77777777" w:rsidR="00214747" w:rsidRPr="00214747" w:rsidRDefault="00214747" w:rsidP="009D08FD">
            <w:pPr>
              <w:pStyle w:val="ECCTabletext"/>
            </w:pPr>
            <w:r w:rsidRPr="00214747">
              <w:t>BSS</w:t>
            </w:r>
          </w:p>
        </w:tc>
        <w:tc>
          <w:tcPr>
            <w:tcW w:w="857" w:type="pct"/>
          </w:tcPr>
          <w:p w14:paraId="5887AC92" w14:textId="77777777" w:rsidR="00214747" w:rsidRPr="00214747" w:rsidRDefault="00214747" w:rsidP="009D08FD">
            <w:pPr>
              <w:pStyle w:val="ECCTabletext"/>
            </w:pPr>
            <w:r w:rsidRPr="00214747">
              <w:t>Region 2</w:t>
            </w:r>
          </w:p>
          <w:p w14:paraId="5887AC93" w14:textId="77777777" w:rsidR="00214747" w:rsidRPr="00214747" w:rsidRDefault="00214747" w:rsidP="009D08FD">
            <w:pPr>
              <w:pStyle w:val="ECCTabletext"/>
            </w:pPr>
            <w:r w:rsidRPr="00214747">
              <w:t>BSS</w:t>
            </w:r>
          </w:p>
        </w:tc>
        <w:tc>
          <w:tcPr>
            <w:tcW w:w="565" w:type="pct"/>
          </w:tcPr>
          <w:p w14:paraId="5887AC94" w14:textId="77777777" w:rsidR="00214747" w:rsidRPr="00214747" w:rsidRDefault="00214747" w:rsidP="009D08FD">
            <w:pPr>
              <w:pStyle w:val="ECCTabletext"/>
            </w:pPr>
            <w:r w:rsidRPr="00214747">
              <w:t>12.2-12.7</w:t>
            </w:r>
          </w:p>
        </w:tc>
        <w:tc>
          <w:tcPr>
            <w:tcW w:w="2100" w:type="pct"/>
          </w:tcPr>
          <w:p w14:paraId="5887AC95" w14:textId="77777777" w:rsidR="00214747" w:rsidRPr="00214747" w:rsidRDefault="00214747" w:rsidP="009D08FD">
            <w:pPr>
              <w:pStyle w:val="ECCTabletext"/>
            </w:pPr>
            <w:r w:rsidRPr="00214747">
              <w:t>Required agreement of administrations having to space stations in the same cluster when an administration may locate a satellite within this cluster</w:t>
            </w:r>
          </w:p>
        </w:tc>
        <w:tc>
          <w:tcPr>
            <w:tcW w:w="424" w:type="pct"/>
          </w:tcPr>
          <w:p w14:paraId="5887AC96" w14:textId="77777777" w:rsidR="00214747" w:rsidRPr="00214747" w:rsidRDefault="00214747" w:rsidP="009D08FD">
            <w:pPr>
              <w:pStyle w:val="ECCTabletext"/>
            </w:pPr>
            <w:r w:rsidRPr="00214747">
              <w:t>Section B</w:t>
            </w:r>
          </w:p>
        </w:tc>
      </w:tr>
    </w:tbl>
    <w:p w14:paraId="5887AC98" w14:textId="77777777" w:rsidR="00214747" w:rsidRDefault="00214747" w:rsidP="00945FBC">
      <w:pPr>
        <w:pStyle w:val="ECCTablenote"/>
      </w:pPr>
    </w:p>
    <w:p w14:paraId="5887AC99" w14:textId="77777777" w:rsidR="00214747" w:rsidRPr="00472009" w:rsidRDefault="00B149BB" w:rsidP="00B149BB">
      <w:pPr>
        <w:pStyle w:val="Beschriftung"/>
        <w:rPr>
          <w:lang w:val="en-GB"/>
        </w:rPr>
      </w:pPr>
      <w:bookmarkStart w:id="1" w:name="_Ref474339040"/>
      <w:r w:rsidRPr="00B149BB">
        <w:rPr>
          <w:lang w:val="en-GB"/>
        </w:rPr>
        <w:t xml:space="preserve">Table </w:t>
      </w:r>
      <w:r>
        <w:fldChar w:fldCharType="begin"/>
      </w:r>
      <w:r w:rsidRPr="00B149BB">
        <w:rPr>
          <w:lang w:val="en-GB"/>
        </w:rPr>
        <w:instrText xml:space="preserve"> SEQ Table \* ARABIC </w:instrText>
      </w:r>
      <w:r>
        <w:fldChar w:fldCharType="separate"/>
      </w:r>
      <w:r w:rsidR="00DD6FC1">
        <w:rPr>
          <w:noProof/>
          <w:lang w:val="en-GB"/>
        </w:rPr>
        <w:t>2</w:t>
      </w:r>
      <w:r>
        <w:fldChar w:fldCharType="end"/>
      </w:r>
      <w:bookmarkEnd w:id="1"/>
      <w:r w:rsidR="00214747" w:rsidRPr="00472009">
        <w:rPr>
          <w:lang w:val="en-GB"/>
        </w:rPr>
        <w:t>: Allowable portions of the orbital arc between 37.2° W and 10°E for assignments in the Regions 1 &amp; 3 Plan and List</w:t>
      </w:r>
    </w:p>
    <w:tbl>
      <w:tblPr>
        <w:tblStyle w:val="ECCTable-redheader"/>
        <w:tblW w:w="0" w:type="auto"/>
        <w:tblInd w:w="0" w:type="dxa"/>
        <w:tblLook w:val="04A0" w:firstRow="1" w:lastRow="0" w:firstColumn="1" w:lastColumn="0" w:noHBand="0" w:noVBand="1"/>
      </w:tblPr>
      <w:tblGrid>
        <w:gridCol w:w="895"/>
        <w:gridCol w:w="896"/>
        <w:gridCol w:w="896"/>
        <w:gridCol w:w="896"/>
        <w:gridCol w:w="896"/>
        <w:gridCol w:w="896"/>
        <w:gridCol w:w="896"/>
        <w:gridCol w:w="896"/>
        <w:gridCol w:w="896"/>
        <w:gridCol w:w="896"/>
        <w:gridCol w:w="896"/>
      </w:tblGrid>
      <w:tr w:rsidR="00214747" w:rsidRPr="00CB448C" w14:paraId="5887AC9B" w14:textId="77777777" w:rsidTr="00614FA3">
        <w:trPr>
          <w:cnfStyle w:val="100000000000" w:firstRow="1" w:lastRow="0" w:firstColumn="0" w:lastColumn="0" w:oddVBand="0" w:evenVBand="0" w:oddHBand="0" w:evenHBand="0" w:firstRowFirstColumn="0" w:firstRowLastColumn="0" w:lastRowFirstColumn="0" w:lastRowLastColumn="0"/>
        </w:trPr>
        <w:tc>
          <w:tcPr>
            <w:tcW w:w="9855" w:type="dxa"/>
            <w:gridSpan w:val="11"/>
          </w:tcPr>
          <w:p w14:paraId="5887AC9A" w14:textId="77777777" w:rsidR="00214747" w:rsidRPr="00CB448C" w:rsidRDefault="00214747" w:rsidP="00CB448C">
            <w:pPr>
              <w:pStyle w:val="ECCTableHeaderwhitefont"/>
            </w:pPr>
            <w:r w:rsidRPr="00CB448C">
              <w:t>Allowable orbital position</w:t>
            </w:r>
          </w:p>
        </w:tc>
      </w:tr>
      <w:tr w:rsidR="00214747" w14:paraId="5887ACB9" w14:textId="77777777" w:rsidTr="00614FA3">
        <w:tc>
          <w:tcPr>
            <w:tcW w:w="895" w:type="dxa"/>
          </w:tcPr>
          <w:p w14:paraId="5887AC9C" w14:textId="77777777" w:rsidR="00214747" w:rsidRPr="00214747" w:rsidRDefault="00214747" w:rsidP="00CB448C">
            <w:pPr>
              <w:pStyle w:val="ECCTabletext"/>
            </w:pPr>
            <w:r w:rsidRPr="00214747">
              <w:t>37.2°W</w:t>
            </w:r>
          </w:p>
          <w:p w14:paraId="5887AC9D" w14:textId="77777777" w:rsidR="00214747" w:rsidRPr="00214747" w:rsidRDefault="00214747" w:rsidP="00CB448C">
            <w:pPr>
              <w:pStyle w:val="ECCTabletext"/>
            </w:pPr>
            <w:r w:rsidRPr="00214747">
              <w:t>to</w:t>
            </w:r>
          </w:p>
          <w:p w14:paraId="5887AC9E" w14:textId="77777777" w:rsidR="00214747" w:rsidRPr="00214747" w:rsidRDefault="00214747" w:rsidP="00CB448C">
            <w:pPr>
              <w:pStyle w:val="ECCTabletext"/>
            </w:pPr>
            <w:r w:rsidRPr="00214747">
              <w:t>36°W</w:t>
            </w:r>
          </w:p>
        </w:tc>
        <w:tc>
          <w:tcPr>
            <w:tcW w:w="896" w:type="dxa"/>
          </w:tcPr>
          <w:p w14:paraId="5887AC9F" w14:textId="77777777" w:rsidR="00214747" w:rsidRPr="00214747" w:rsidRDefault="00214747" w:rsidP="00CB448C">
            <w:pPr>
              <w:pStyle w:val="ECCTabletext"/>
            </w:pPr>
            <w:r w:rsidRPr="00214747">
              <w:t>33.5°W</w:t>
            </w:r>
          </w:p>
          <w:p w14:paraId="5887ACA0" w14:textId="77777777" w:rsidR="00214747" w:rsidRPr="00214747" w:rsidRDefault="00214747" w:rsidP="00CB448C">
            <w:pPr>
              <w:pStyle w:val="ECCTabletext"/>
            </w:pPr>
            <w:r w:rsidRPr="00214747">
              <w:t>to</w:t>
            </w:r>
          </w:p>
          <w:p w14:paraId="5887ACA1" w14:textId="77777777" w:rsidR="00214747" w:rsidRPr="00214747" w:rsidRDefault="00214747" w:rsidP="00CB448C">
            <w:pPr>
              <w:pStyle w:val="ECCTabletext"/>
            </w:pPr>
            <w:r w:rsidRPr="00214747">
              <w:t>32.5°W</w:t>
            </w:r>
          </w:p>
        </w:tc>
        <w:tc>
          <w:tcPr>
            <w:tcW w:w="896" w:type="dxa"/>
          </w:tcPr>
          <w:p w14:paraId="5887ACA2" w14:textId="77777777" w:rsidR="00214747" w:rsidRPr="00214747" w:rsidRDefault="00214747" w:rsidP="00CB448C">
            <w:pPr>
              <w:pStyle w:val="ECCTabletext"/>
            </w:pPr>
            <w:r w:rsidRPr="00214747">
              <w:t>30°W</w:t>
            </w:r>
          </w:p>
          <w:p w14:paraId="5887ACA3" w14:textId="77777777" w:rsidR="00214747" w:rsidRPr="00214747" w:rsidRDefault="00214747" w:rsidP="00CB448C">
            <w:pPr>
              <w:pStyle w:val="ECCTabletext"/>
            </w:pPr>
            <w:r w:rsidRPr="00214747">
              <w:t>to</w:t>
            </w:r>
          </w:p>
          <w:p w14:paraId="5887ACA4" w14:textId="77777777" w:rsidR="00214747" w:rsidRPr="00214747" w:rsidRDefault="00214747" w:rsidP="00CB448C">
            <w:pPr>
              <w:pStyle w:val="ECCTabletext"/>
            </w:pPr>
            <w:r w:rsidRPr="00214747">
              <w:t>29°W</w:t>
            </w:r>
          </w:p>
        </w:tc>
        <w:tc>
          <w:tcPr>
            <w:tcW w:w="896" w:type="dxa"/>
          </w:tcPr>
          <w:p w14:paraId="5887ACA5" w14:textId="77777777" w:rsidR="00214747" w:rsidRPr="00214747" w:rsidRDefault="00214747" w:rsidP="00CB448C">
            <w:pPr>
              <w:pStyle w:val="ECCTabletext"/>
            </w:pPr>
            <w:r w:rsidRPr="00214747">
              <w:t>26°W</w:t>
            </w:r>
          </w:p>
          <w:p w14:paraId="5887ACA6" w14:textId="77777777" w:rsidR="00214747" w:rsidRPr="00214747" w:rsidRDefault="00214747" w:rsidP="00CB448C">
            <w:pPr>
              <w:pStyle w:val="ECCTabletext"/>
            </w:pPr>
            <w:r w:rsidRPr="00214747">
              <w:t>to</w:t>
            </w:r>
          </w:p>
          <w:p w14:paraId="5887ACA7" w14:textId="77777777" w:rsidR="00214747" w:rsidRPr="00214747" w:rsidRDefault="00214747" w:rsidP="00CB448C">
            <w:pPr>
              <w:pStyle w:val="ECCTabletext"/>
            </w:pPr>
            <w:r w:rsidRPr="00214747">
              <w:t>24°W</w:t>
            </w:r>
          </w:p>
        </w:tc>
        <w:tc>
          <w:tcPr>
            <w:tcW w:w="896" w:type="dxa"/>
          </w:tcPr>
          <w:p w14:paraId="5887ACA8" w14:textId="77777777" w:rsidR="00214747" w:rsidRPr="00214747" w:rsidRDefault="00214747" w:rsidP="00CB448C">
            <w:pPr>
              <w:pStyle w:val="ECCTabletext"/>
            </w:pPr>
            <w:r w:rsidRPr="00214747">
              <w:t>20°W</w:t>
            </w:r>
          </w:p>
          <w:p w14:paraId="5887ACA9" w14:textId="77777777" w:rsidR="00214747" w:rsidRPr="00214747" w:rsidRDefault="00214747" w:rsidP="00CB448C">
            <w:pPr>
              <w:pStyle w:val="ECCTabletext"/>
            </w:pPr>
            <w:r w:rsidRPr="00214747">
              <w:t>to</w:t>
            </w:r>
          </w:p>
          <w:p w14:paraId="5887ACAA" w14:textId="77777777" w:rsidR="00214747" w:rsidRPr="00214747" w:rsidRDefault="00214747" w:rsidP="00CB448C">
            <w:pPr>
              <w:pStyle w:val="ECCTabletext"/>
            </w:pPr>
            <w:r w:rsidRPr="00214747">
              <w:t>18°W</w:t>
            </w:r>
          </w:p>
        </w:tc>
        <w:tc>
          <w:tcPr>
            <w:tcW w:w="896" w:type="dxa"/>
          </w:tcPr>
          <w:p w14:paraId="5887ACAB" w14:textId="77777777" w:rsidR="00214747" w:rsidRPr="00214747" w:rsidRDefault="00214747" w:rsidP="00CB448C">
            <w:pPr>
              <w:pStyle w:val="ECCTabletext"/>
            </w:pPr>
            <w:r w:rsidRPr="00214747">
              <w:t>14°W</w:t>
            </w:r>
          </w:p>
          <w:p w14:paraId="5887ACAC" w14:textId="77777777" w:rsidR="00214747" w:rsidRPr="00214747" w:rsidRDefault="00214747" w:rsidP="00CB448C">
            <w:pPr>
              <w:pStyle w:val="ECCTabletext"/>
            </w:pPr>
            <w:r w:rsidRPr="00214747">
              <w:t>to</w:t>
            </w:r>
          </w:p>
          <w:p w14:paraId="5887ACAD" w14:textId="77777777" w:rsidR="00214747" w:rsidRPr="00214747" w:rsidRDefault="00214747" w:rsidP="00CB448C">
            <w:pPr>
              <w:pStyle w:val="ECCTabletext"/>
            </w:pPr>
            <w:r w:rsidRPr="00214747">
              <w:t>12°W</w:t>
            </w:r>
          </w:p>
        </w:tc>
        <w:tc>
          <w:tcPr>
            <w:tcW w:w="896" w:type="dxa"/>
          </w:tcPr>
          <w:p w14:paraId="5887ACAE" w14:textId="77777777" w:rsidR="00214747" w:rsidRPr="00214747" w:rsidRDefault="00214747" w:rsidP="00CB448C">
            <w:pPr>
              <w:pStyle w:val="ECCTabletext"/>
            </w:pPr>
            <w:r w:rsidRPr="00214747">
              <w:t>8°W</w:t>
            </w:r>
          </w:p>
          <w:p w14:paraId="5887ACAF" w14:textId="77777777" w:rsidR="00214747" w:rsidRPr="00214747" w:rsidRDefault="00214747" w:rsidP="00CB448C">
            <w:pPr>
              <w:pStyle w:val="ECCTabletext"/>
            </w:pPr>
            <w:r w:rsidRPr="00214747">
              <w:t>to</w:t>
            </w:r>
          </w:p>
          <w:p w14:paraId="5887ACB0" w14:textId="77777777" w:rsidR="00214747" w:rsidRPr="00214747" w:rsidRDefault="00214747" w:rsidP="00CB448C">
            <w:pPr>
              <w:pStyle w:val="ECCTabletext"/>
            </w:pPr>
            <w:r w:rsidRPr="00214747">
              <w:t>6°W</w:t>
            </w:r>
          </w:p>
        </w:tc>
        <w:tc>
          <w:tcPr>
            <w:tcW w:w="896" w:type="dxa"/>
          </w:tcPr>
          <w:p w14:paraId="5887ACB1" w14:textId="77777777" w:rsidR="00214747" w:rsidRPr="00214747" w:rsidRDefault="00214747" w:rsidP="00CB448C">
            <w:pPr>
              <w:pStyle w:val="ECCTabletext"/>
            </w:pPr>
            <w:r w:rsidRPr="00214747">
              <w:t>4°W</w:t>
            </w:r>
          </w:p>
        </w:tc>
        <w:tc>
          <w:tcPr>
            <w:tcW w:w="896" w:type="dxa"/>
          </w:tcPr>
          <w:p w14:paraId="5887ACB2" w14:textId="77777777" w:rsidR="00214747" w:rsidRPr="00214747" w:rsidRDefault="00214747" w:rsidP="00CB448C">
            <w:pPr>
              <w:pStyle w:val="ECCTabletext"/>
            </w:pPr>
            <w:r w:rsidRPr="00214747">
              <w:t>2°W</w:t>
            </w:r>
          </w:p>
          <w:p w14:paraId="5887ACB3" w14:textId="77777777" w:rsidR="00214747" w:rsidRPr="00214747" w:rsidRDefault="00214747" w:rsidP="00CB448C">
            <w:pPr>
              <w:pStyle w:val="ECCTabletext"/>
            </w:pPr>
            <w:r w:rsidRPr="00214747">
              <w:t>to</w:t>
            </w:r>
          </w:p>
          <w:p w14:paraId="5887ACB4" w14:textId="77777777" w:rsidR="00214747" w:rsidRPr="00214747" w:rsidRDefault="00214747" w:rsidP="00CB448C">
            <w:pPr>
              <w:pStyle w:val="ECCTabletext"/>
            </w:pPr>
            <w:r w:rsidRPr="00214747">
              <w:t>0°E</w:t>
            </w:r>
          </w:p>
        </w:tc>
        <w:tc>
          <w:tcPr>
            <w:tcW w:w="896" w:type="dxa"/>
          </w:tcPr>
          <w:p w14:paraId="5887ACB5" w14:textId="77777777" w:rsidR="00214747" w:rsidRPr="00214747" w:rsidRDefault="00214747" w:rsidP="00CB448C">
            <w:pPr>
              <w:pStyle w:val="ECCTabletext"/>
            </w:pPr>
            <w:r w:rsidRPr="00214747">
              <w:t>4°E</w:t>
            </w:r>
          </w:p>
          <w:p w14:paraId="5887ACB6" w14:textId="77777777" w:rsidR="00214747" w:rsidRPr="00214747" w:rsidRDefault="00214747" w:rsidP="00CB448C">
            <w:pPr>
              <w:pStyle w:val="ECCTabletext"/>
            </w:pPr>
            <w:r w:rsidRPr="00214747">
              <w:t>to</w:t>
            </w:r>
          </w:p>
          <w:p w14:paraId="5887ACB7" w14:textId="77777777" w:rsidR="00214747" w:rsidRPr="00214747" w:rsidRDefault="00214747" w:rsidP="00CB448C">
            <w:pPr>
              <w:pStyle w:val="ECCTabletext"/>
            </w:pPr>
            <w:r w:rsidRPr="00214747">
              <w:t>6°E</w:t>
            </w:r>
          </w:p>
        </w:tc>
        <w:tc>
          <w:tcPr>
            <w:tcW w:w="896" w:type="dxa"/>
          </w:tcPr>
          <w:p w14:paraId="5887ACB8" w14:textId="77777777" w:rsidR="00214747" w:rsidRPr="00214747" w:rsidRDefault="00214747" w:rsidP="00CB448C">
            <w:pPr>
              <w:pStyle w:val="ECCTabletext"/>
            </w:pPr>
            <w:r w:rsidRPr="00214747">
              <w:t>9°E</w:t>
            </w:r>
          </w:p>
        </w:tc>
      </w:tr>
    </w:tbl>
    <w:p w14:paraId="5887ACBA" w14:textId="77777777" w:rsidR="00214747" w:rsidRPr="00214747" w:rsidRDefault="00214747" w:rsidP="00945FBC">
      <w:pPr>
        <w:pStyle w:val="ECCTablenote"/>
      </w:pPr>
    </w:p>
    <w:p w14:paraId="5887ACBB" w14:textId="77777777" w:rsidR="00214747" w:rsidRPr="00472009" w:rsidRDefault="00B149BB" w:rsidP="00B149BB">
      <w:pPr>
        <w:pStyle w:val="Beschriftung"/>
        <w:rPr>
          <w:lang w:val="en-GB"/>
        </w:rPr>
      </w:pPr>
      <w:bookmarkStart w:id="2" w:name="_Ref490656044"/>
      <w:r w:rsidRPr="00B149BB">
        <w:rPr>
          <w:lang w:val="en-GB"/>
        </w:rPr>
        <w:t xml:space="preserve">Table </w:t>
      </w:r>
      <w:r>
        <w:fldChar w:fldCharType="begin"/>
      </w:r>
      <w:r w:rsidRPr="00B149BB">
        <w:rPr>
          <w:lang w:val="en-GB"/>
        </w:rPr>
        <w:instrText xml:space="preserve"> SEQ Table \* ARABIC </w:instrText>
      </w:r>
      <w:r>
        <w:fldChar w:fldCharType="separate"/>
      </w:r>
      <w:r w:rsidR="00DD6FC1">
        <w:rPr>
          <w:noProof/>
          <w:lang w:val="en-GB"/>
        </w:rPr>
        <w:t>3</w:t>
      </w:r>
      <w:r>
        <w:fldChar w:fldCharType="end"/>
      </w:r>
      <w:bookmarkEnd w:id="2"/>
      <w:r w:rsidR="00214747" w:rsidRPr="00472009">
        <w:rPr>
          <w:lang w:val="en-GB"/>
        </w:rPr>
        <w:t xml:space="preserve">: Portions of the orbital arc between 37.2° W and 10°E for assignments in the Regions 1 &amp; 3 List with Max. </w:t>
      </w:r>
      <w:proofErr w:type="spellStart"/>
      <w:proofErr w:type="gramStart"/>
      <w:r w:rsidR="00214747" w:rsidRPr="00472009">
        <w:rPr>
          <w:lang w:val="en-GB"/>
        </w:rPr>
        <w:t>e.i.r.p</w:t>
      </w:r>
      <w:proofErr w:type="spellEnd"/>
      <w:proofErr w:type="gramEnd"/>
      <w:r w:rsidR="00214747" w:rsidRPr="00472009">
        <w:rPr>
          <w:lang w:val="en-GB"/>
        </w:rPr>
        <w:t xml:space="preserve">. of 56 </w:t>
      </w:r>
      <w:proofErr w:type="spellStart"/>
      <w:r w:rsidR="00214747" w:rsidRPr="00472009">
        <w:rPr>
          <w:lang w:val="en-GB"/>
        </w:rPr>
        <w:t>dBW</w:t>
      </w:r>
      <w:proofErr w:type="spellEnd"/>
    </w:p>
    <w:tbl>
      <w:tblPr>
        <w:tblStyle w:val="ECCTable-redheader"/>
        <w:tblW w:w="0" w:type="auto"/>
        <w:tblInd w:w="0" w:type="dxa"/>
        <w:tblLook w:val="04A0" w:firstRow="1" w:lastRow="0" w:firstColumn="1" w:lastColumn="0" w:noHBand="0" w:noVBand="1"/>
      </w:tblPr>
      <w:tblGrid>
        <w:gridCol w:w="3510"/>
      </w:tblGrid>
      <w:tr w:rsidR="00214747" w14:paraId="5887ACBD" w14:textId="77777777" w:rsidTr="00614FA3">
        <w:trPr>
          <w:cnfStyle w:val="100000000000" w:firstRow="1" w:lastRow="0" w:firstColumn="0" w:lastColumn="0" w:oddVBand="0" w:evenVBand="0" w:oddHBand="0" w:evenHBand="0" w:firstRowFirstColumn="0" w:firstRowLastColumn="0" w:lastRowFirstColumn="0" w:lastRowLastColumn="0"/>
        </w:trPr>
        <w:tc>
          <w:tcPr>
            <w:tcW w:w="3510" w:type="dxa"/>
          </w:tcPr>
          <w:p w14:paraId="5887ACBC" w14:textId="77777777" w:rsidR="00214747" w:rsidRPr="00214747" w:rsidRDefault="00214747" w:rsidP="00CB448C">
            <w:pPr>
              <w:pStyle w:val="ECCTableHeaderwhitefont"/>
            </w:pPr>
            <w:r w:rsidRPr="00214747">
              <w:t xml:space="preserve">Orbital position with Max. </w:t>
            </w:r>
            <w:proofErr w:type="spellStart"/>
            <w:r w:rsidRPr="00214747">
              <w:t>e.i.r.p</w:t>
            </w:r>
            <w:proofErr w:type="spellEnd"/>
            <w:r w:rsidRPr="00214747">
              <w:t xml:space="preserve">. of 56 </w:t>
            </w:r>
            <w:proofErr w:type="spellStart"/>
            <w:r w:rsidRPr="00214747">
              <w:t>dBW</w:t>
            </w:r>
            <w:proofErr w:type="spellEnd"/>
            <w:r w:rsidRPr="00214747">
              <w:t xml:space="preserve"> limitation</w:t>
            </w:r>
          </w:p>
        </w:tc>
      </w:tr>
      <w:tr w:rsidR="00214747" w14:paraId="5887ACBF" w14:textId="77777777" w:rsidTr="00614FA3">
        <w:tc>
          <w:tcPr>
            <w:tcW w:w="3510" w:type="dxa"/>
          </w:tcPr>
          <w:p w14:paraId="5887ACBE" w14:textId="77777777" w:rsidR="00214747" w:rsidRPr="00214747" w:rsidRDefault="00214747" w:rsidP="00CB448C">
            <w:pPr>
              <w:pStyle w:val="ECCTabletext"/>
            </w:pPr>
            <w:r w:rsidRPr="00214747">
              <w:t>] 36.8°</w:t>
            </w:r>
            <w:r w:rsidRPr="00B8298A">
              <w:rPr>
                <w:noProof/>
              </w:rPr>
              <w:t>W ;</w:t>
            </w:r>
            <w:r w:rsidRPr="00214747">
              <w:t xml:space="preserve"> 36°W ]</w:t>
            </w:r>
          </w:p>
        </w:tc>
      </w:tr>
      <w:tr w:rsidR="00214747" w14:paraId="5887ACC1" w14:textId="77777777" w:rsidTr="00614FA3">
        <w:tc>
          <w:tcPr>
            <w:tcW w:w="3510" w:type="dxa"/>
          </w:tcPr>
          <w:p w14:paraId="5887ACC0" w14:textId="77777777" w:rsidR="00214747" w:rsidRPr="00214747" w:rsidRDefault="00214747" w:rsidP="00CB448C">
            <w:pPr>
              <w:pStyle w:val="ECCTabletext"/>
            </w:pPr>
            <w:r w:rsidRPr="00214747">
              <w:t>] 33.5°</w:t>
            </w:r>
            <w:r w:rsidRPr="00B8298A">
              <w:rPr>
                <w:noProof/>
              </w:rPr>
              <w:t>W ;</w:t>
            </w:r>
            <w:r w:rsidRPr="00214747">
              <w:t xml:space="preserve"> 32.5°W ]</w:t>
            </w:r>
          </w:p>
        </w:tc>
      </w:tr>
      <w:tr w:rsidR="00214747" w14:paraId="5887ACC3" w14:textId="77777777" w:rsidTr="00614FA3">
        <w:tc>
          <w:tcPr>
            <w:tcW w:w="3510" w:type="dxa"/>
          </w:tcPr>
          <w:p w14:paraId="5887ACC2" w14:textId="77777777" w:rsidR="00214747" w:rsidRPr="00214747" w:rsidRDefault="00214747" w:rsidP="00CB448C">
            <w:pPr>
              <w:pStyle w:val="ECCTabletext"/>
            </w:pPr>
            <w:r w:rsidRPr="00214747">
              <w:t>] 30°</w:t>
            </w:r>
            <w:r w:rsidRPr="00B8298A">
              <w:rPr>
                <w:noProof/>
              </w:rPr>
              <w:t>W ;</w:t>
            </w:r>
            <w:r w:rsidRPr="00214747">
              <w:t xml:space="preserve"> 29°W ]</w:t>
            </w:r>
          </w:p>
        </w:tc>
      </w:tr>
      <w:tr w:rsidR="00214747" w14:paraId="5887ACC5" w14:textId="77777777" w:rsidTr="00614FA3">
        <w:tc>
          <w:tcPr>
            <w:tcW w:w="3510" w:type="dxa"/>
          </w:tcPr>
          <w:p w14:paraId="5887ACC4" w14:textId="77777777" w:rsidR="00214747" w:rsidRPr="00214747" w:rsidRDefault="00214747" w:rsidP="00CB448C">
            <w:pPr>
              <w:pStyle w:val="ECCTabletext"/>
            </w:pPr>
            <w:r w:rsidRPr="00214747">
              <w:t>[ 26°</w:t>
            </w:r>
            <w:r w:rsidRPr="00B8298A">
              <w:rPr>
                <w:noProof/>
              </w:rPr>
              <w:t>W ;</w:t>
            </w:r>
            <w:r w:rsidRPr="00214747">
              <w:t xml:space="preserve"> 25.2°W [</w:t>
            </w:r>
          </w:p>
        </w:tc>
      </w:tr>
      <w:tr w:rsidR="00214747" w14:paraId="5887ACC7" w14:textId="77777777" w:rsidTr="00614FA3">
        <w:tc>
          <w:tcPr>
            <w:tcW w:w="3510" w:type="dxa"/>
          </w:tcPr>
          <w:p w14:paraId="5887ACC6" w14:textId="77777777" w:rsidR="00214747" w:rsidRPr="00214747" w:rsidRDefault="00214747" w:rsidP="00CB448C">
            <w:pPr>
              <w:pStyle w:val="ECCTabletext"/>
            </w:pPr>
            <w:r w:rsidRPr="00214747">
              <w:t>] 24.8°</w:t>
            </w:r>
            <w:r w:rsidRPr="00B8298A">
              <w:rPr>
                <w:noProof/>
              </w:rPr>
              <w:t>W ;</w:t>
            </w:r>
            <w:r w:rsidRPr="00214747">
              <w:t xml:space="preserve"> 24°W ]</w:t>
            </w:r>
          </w:p>
        </w:tc>
      </w:tr>
      <w:tr w:rsidR="00214747" w14:paraId="5887ACC9" w14:textId="77777777" w:rsidTr="00614FA3">
        <w:tc>
          <w:tcPr>
            <w:tcW w:w="3510" w:type="dxa"/>
          </w:tcPr>
          <w:p w14:paraId="5887ACC8" w14:textId="77777777" w:rsidR="00214747" w:rsidRPr="00214747" w:rsidRDefault="00214747" w:rsidP="00CB448C">
            <w:pPr>
              <w:pStyle w:val="ECCTabletext"/>
            </w:pPr>
            <w:r w:rsidRPr="00214747">
              <w:t>[ 20°</w:t>
            </w:r>
            <w:r w:rsidRPr="00B8298A">
              <w:rPr>
                <w:noProof/>
              </w:rPr>
              <w:t>W ;</w:t>
            </w:r>
            <w:r w:rsidRPr="00214747">
              <w:t xml:space="preserve"> 19.2°W [</w:t>
            </w:r>
          </w:p>
        </w:tc>
      </w:tr>
      <w:tr w:rsidR="00214747" w14:paraId="5887ACCB" w14:textId="77777777" w:rsidTr="00614FA3">
        <w:tc>
          <w:tcPr>
            <w:tcW w:w="3510" w:type="dxa"/>
          </w:tcPr>
          <w:p w14:paraId="5887ACCA" w14:textId="77777777" w:rsidR="00214747" w:rsidRPr="00214747" w:rsidRDefault="00214747" w:rsidP="00CB448C">
            <w:pPr>
              <w:pStyle w:val="ECCTabletext"/>
            </w:pPr>
            <w:r w:rsidRPr="00214747">
              <w:t>] 18.8°</w:t>
            </w:r>
            <w:r w:rsidRPr="00B8298A">
              <w:rPr>
                <w:noProof/>
              </w:rPr>
              <w:t>W ;</w:t>
            </w:r>
            <w:r w:rsidRPr="00214747">
              <w:t xml:space="preserve"> 18°W ]</w:t>
            </w:r>
          </w:p>
        </w:tc>
      </w:tr>
      <w:tr w:rsidR="00214747" w14:paraId="5887ACCD" w14:textId="77777777" w:rsidTr="00614FA3">
        <w:tc>
          <w:tcPr>
            <w:tcW w:w="3510" w:type="dxa"/>
          </w:tcPr>
          <w:p w14:paraId="5887ACCC" w14:textId="77777777" w:rsidR="00214747" w:rsidRPr="00214747" w:rsidRDefault="00214747" w:rsidP="00CB448C">
            <w:pPr>
              <w:pStyle w:val="ECCTabletext"/>
            </w:pPr>
            <w:r w:rsidRPr="00214747">
              <w:t>[ 14°</w:t>
            </w:r>
            <w:r w:rsidRPr="00B8298A">
              <w:rPr>
                <w:noProof/>
              </w:rPr>
              <w:t>W ;</w:t>
            </w:r>
            <w:r w:rsidRPr="00214747">
              <w:t xml:space="preserve"> 13.2°W [</w:t>
            </w:r>
          </w:p>
        </w:tc>
      </w:tr>
      <w:tr w:rsidR="00214747" w14:paraId="5887ACCF" w14:textId="77777777" w:rsidTr="00614FA3">
        <w:tc>
          <w:tcPr>
            <w:tcW w:w="3510" w:type="dxa"/>
          </w:tcPr>
          <w:p w14:paraId="5887ACCE" w14:textId="77777777" w:rsidR="00214747" w:rsidRPr="00214747" w:rsidRDefault="00214747" w:rsidP="00CB448C">
            <w:pPr>
              <w:pStyle w:val="ECCTabletext"/>
            </w:pPr>
            <w:r w:rsidRPr="00214747">
              <w:t>] 12.8°</w:t>
            </w:r>
            <w:r w:rsidRPr="00B8298A">
              <w:rPr>
                <w:noProof/>
              </w:rPr>
              <w:t>W ;</w:t>
            </w:r>
            <w:r w:rsidRPr="00214747">
              <w:t xml:space="preserve"> 12°W ]</w:t>
            </w:r>
          </w:p>
        </w:tc>
      </w:tr>
      <w:tr w:rsidR="00214747" w14:paraId="5887ACD1" w14:textId="77777777" w:rsidTr="00614FA3">
        <w:tc>
          <w:tcPr>
            <w:tcW w:w="3510" w:type="dxa"/>
          </w:tcPr>
          <w:p w14:paraId="5887ACD0" w14:textId="77777777" w:rsidR="00214747" w:rsidRPr="00214747" w:rsidRDefault="00214747" w:rsidP="00CB448C">
            <w:pPr>
              <w:pStyle w:val="ECCTabletext"/>
            </w:pPr>
            <w:r w:rsidRPr="00214747">
              <w:t>[ 8°</w:t>
            </w:r>
            <w:r w:rsidRPr="00B8298A">
              <w:rPr>
                <w:noProof/>
              </w:rPr>
              <w:t>W ;</w:t>
            </w:r>
            <w:r w:rsidRPr="00214747">
              <w:t xml:space="preserve"> 7.2°W [</w:t>
            </w:r>
          </w:p>
        </w:tc>
      </w:tr>
      <w:tr w:rsidR="00214747" w14:paraId="5887ACD3" w14:textId="77777777" w:rsidTr="00472009">
        <w:trPr>
          <w:trHeight w:val="420"/>
        </w:trPr>
        <w:tc>
          <w:tcPr>
            <w:tcW w:w="3510" w:type="dxa"/>
          </w:tcPr>
          <w:p w14:paraId="5887ACD2" w14:textId="77777777" w:rsidR="00214747" w:rsidRPr="00214747" w:rsidRDefault="00214747" w:rsidP="00CB448C">
            <w:pPr>
              <w:pStyle w:val="ECCTabletext"/>
            </w:pPr>
            <w:r w:rsidRPr="00214747">
              <w:lastRenderedPageBreak/>
              <w:t>] 6.8°</w:t>
            </w:r>
            <w:r w:rsidRPr="00B8298A">
              <w:rPr>
                <w:noProof/>
              </w:rPr>
              <w:t>W ;</w:t>
            </w:r>
            <w:r w:rsidRPr="00214747">
              <w:t xml:space="preserve"> 6°W ]</w:t>
            </w:r>
          </w:p>
        </w:tc>
      </w:tr>
      <w:tr w:rsidR="00214747" w14:paraId="5887ACD5" w14:textId="77777777" w:rsidTr="00614FA3">
        <w:tc>
          <w:tcPr>
            <w:tcW w:w="3510" w:type="dxa"/>
          </w:tcPr>
          <w:p w14:paraId="5887ACD4" w14:textId="77777777" w:rsidR="00214747" w:rsidRPr="00214747" w:rsidRDefault="00214747" w:rsidP="00CB448C">
            <w:pPr>
              <w:pStyle w:val="ECCTabletext"/>
            </w:pPr>
            <w:r w:rsidRPr="00214747">
              <w:t>[ 2°</w:t>
            </w:r>
            <w:r w:rsidRPr="00B8298A">
              <w:rPr>
                <w:noProof/>
              </w:rPr>
              <w:t>W ;</w:t>
            </w:r>
            <w:r w:rsidRPr="00214747">
              <w:t xml:space="preserve"> 1.2°W [</w:t>
            </w:r>
          </w:p>
        </w:tc>
      </w:tr>
      <w:tr w:rsidR="00214747" w14:paraId="5887ACD7" w14:textId="77777777" w:rsidTr="00614FA3">
        <w:tc>
          <w:tcPr>
            <w:tcW w:w="3510" w:type="dxa"/>
          </w:tcPr>
          <w:p w14:paraId="5887ACD6" w14:textId="77777777" w:rsidR="00214747" w:rsidRPr="00214747" w:rsidRDefault="00214747" w:rsidP="00CB448C">
            <w:pPr>
              <w:pStyle w:val="ECCTabletext"/>
            </w:pPr>
            <w:r w:rsidRPr="00214747">
              <w:t xml:space="preserve">] 0.8°W ; 0°E ]  </w:t>
            </w:r>
          </w:p>
        </w:tc>
      </w:tr>
      <w:tr w:rsidR="00214747" w14:paraId="5887ACD9" w14:textId="77777777" w:rsidTr="00614FA3">
        <w:tc>
          <w:tcPr>
            <w:tcW w:w="3510" w:type="dxa"/>
          </w:tcPr>
          <w:p w14:paraId="5887ACD8" w14:textId="77777777" w:rsidR="00214747" w:rsidRPr="00214747" w:rsidRDefault="00214747" w:rsidP="00CB448C">
            <w:pPr>
              <w:pStyle w:val="ECCTabletext"/>
            </w:pPr>
            <w:r w:rsidRPr="00214747">
              <w:t>[ 4°</w:t>
            </w:r>
            <w:r w:rsidRPr="00B8298A">
              <w:rPr>
                <w:noProof/>
              </w:rPr>
              <w:t>E ;</w:t>
            </w:r>
            <w:r w:rsidRPr="00214747">
              <w:t xml:space="preserve"> 4.8°E [</w:t>
            </w:r>
          </w:p>
        </w:tc>
      </w:tr>
      <w:tr w:rsidR="00214747" w14:paraId="5887ACDB" w14:textId="77777777" w:rsidTr="00614FA3">
        <w:tc>
          <w:tcPr>
            <w:tcW w:w="3510" w:type="dxa"/>
          </w:tcPr>
          <w:p w14:paraId="5887ACDA" w14:textId="77777777" w:rsidR="00214747" w:rsidRPr="00214747" w:rsidRDefault="00214747" w:rsidP="00CB448C">
            <w:pPr>
              <w:pStyle w:val="ECCTabletext"/>
            </w:pPr>
            <w:r w:rsidRPr="00214747">
              <w:t>] 5.2°</w:t>
            </w:r>
            <w:r w:rsidRPr="00B8298A">
              <w:rPr>
                <w:noProof/>
              </w:rPr>
              <w:t>E ;</w:t>
            </w:r>
            <w:r w:rsidRPr="00214747">
              <w:t xml:space="preserve"> 6°E ]</w:t>
            </w:r>
          </w:p>
        </w:tc>
      </w:tr>
    </w:tbl>
    <w:p w14:paraId="5887ACDC" w14:textId="77777777" w:rsidR="006615EA" w:rsidRDefault="001725E3" w:rsidP="009D08FD">
      <w:r w:rsidRPr="001725E3">
        <w:t>Working Party 4A</w:t>
      </w:r>
      <w:r w:rsidR="00457848">
        <w:t xml:space="preserve"> </w:t>
      </w:r>
      <w:r w:rsidR="00FB66C8">
        <w:t xml:space="preserve">(WP 4A) </w:t>
      </w:r>
      <w:r w:rsidR="00457848">
        <w:t>is</w:t>
      </w:r>
      <w:r w:rsidRPr="001725E3">
        <w:t xml:space="preserve"> </w:t>
      </w:r>
      <w:r w:rsidRPr="001725E3">
        <w:rPr>
          <w:rStyle w:val="ECCParagraph"/>
        </w:rPr>
        <w:t>the responsible group for the studies on</w:t>
      </w:r>
      <w:r w:rsidRPr="001725E3">
        <w:t xml:space="preserve"> agenda item</w:t>
      </w:r>
      <w:r w:rsidR="00FB66C8">
        <w:t xml:space="preserve"> 1.4</w:t>
      </w:r>
      <w:r w:rsidR="00457848">
        <w:t>.</w:t>
      </w:r>
      <w:r w:rsidR="00FB66C8">
        <w:t xml:space="preserve"> During its meeting </w:t>
      </w:r>
      <w:r w:rsidR="00AB6629">
        <w:t xml:space="preserve">on </w:t>
      </w:r>
      <w:r w:rsidR="00FB66C8">
        <w:t xml:space="preserve">28 September – 6 October 2016, Geneva WP 4A </w:t>
      </w:r>
      <w:r w:rsidR="00DE0380">
        <w:t>created</w:t>
      </w:r>
      <w:r w:rsidR="00FB66C8">
        <w:t xml:space="preserve"> the </w:t>
      </w:r>
      <w:r w:rsidR="00FB66C8" w:rsidRPr="00FB66C8">
        <w:t>skeleton</w:t>
      </w:r>
      <w:r w:rsidR="00FB66C8">
        <w:t xml:space="preserve"> of </w:t>
      </w:r>
      <w:r w:rsidR="00FB66C8" w:rsidRPr="001725E3">
        <w:t xml:space="preserve">Working </w:t>
      </w:r>
      <w:r w:rsidR="00DB0BB7" w:rsidRPr="00B8298A">
        <w:rPr>
          <w:noProof/>
        </w:rPr>
        <w:t>D</w:t>
      </w:r>
      <w:r w:rsidR="00FB66C8" w:rsidRPr="00B8298A">
        <w:rPr>
          <w:noProof/>
        </w:rPr>
        <w:t>ocument</w:t>
      </w:r>
      <w:r w:rsidR="00DB0BB7" w:rsidRPr="00B8298A">
        <w:rPr>
          <w:noProof/>
        </w:rPr>
        <w:t xml:space="preserve"> </w:t>
      </w:r>
      <w:r w:rsidR="00FB66C8" w:rsidRPr="00B8298A">
        <w:rPr>
          <w:noProof/>
        </w:rPr>
        <w:t>towards</w:t>
      </w:r>
      <w:r w:rsidR="00FB66C8" w:rsidRPr="00FB66C8">
        <w:t xml:space="preserve"> a Preliminary Draft </w:t>
      </w:r>
      <w:r w:rsidR="00382918">
        <w:t xml:space="preserve">New </w:t>
      </w:r>
      <w:r w:rsidR="00FB66C8" w:rsidRPr="00FB66C8">
        <w:t xml:space="preserve">Report </w:t>
      </w:r>
      <w:r w:rsidR="00DB0BB7">
        <w:t xml:space="preserve">(PDNR) </w:t>
      </w:r>
      <w:r w:rsidR="00FB66C8" w:rsidRPr="00FB66C8">
        <w:t>ITU-R BO</w:t>
      </w:r>
      <w:proofErr w:type="gramStart"/>
      <w:r w:rsidR="00FB66C8" w:rsidRPr="00FB66C8">
        <w:t>.[</w:t>
      </w:r>
      <w:proofErr w:type="gramEnd"/>
      <w:r w:rsidR="00FB66C8" w:rsidRPr="00FB66C8">
        <w:t>AP30.ANNEX7]</w:t>
      </w:r>
      <w:r w:rsidR="00AB6629">
        <w:t>.</w:t>
      </w:r>
      <w:r w:rsidR="00382918">
        <w:t xml:space="preserve"> </w:t>
      </w:r>
      <w:r w:rsidR="001B36A4">
        <w:t>The CEPT Brief</w:t>
      </w:r>
      <w:r w:rsidR="005C26C5">
        <w:t xml:space="preserve"> uses the same s</w:t>
      </w:r>
      <w:r w:rsidR="001B36A4">
        <w:t>tructure and nomenclature of</w:t>
      </w:r>
      <w:r w:rsidR="005C26C5">
        <w:t xml:space="preserve"> limitations in order to facilitate its understanding</w:t>
      </w:r>
      <w:r w:rsidR="00A46A80">
        <w:t>.</w:t>
      </w:r>
      <w:r w:rsidR="00736D9C">
        <w:t xml:space="preserve"> </w:t>
      </w:r>
    </w:p>
    <w:p w14:paraId="5887ACDD" w14:textId="77777777" w:rsidR="00AE24B8" w:rsidRDefault="005C26C5" w:rsidP="00481CD8">
      <w:pPr>
        <w:rPr>
          <w:rStyle w:val="ECCParagraph"/>
        </w:rPr>
      </w:pPr>
      <w:r>
        <w:t>During the same meeting, i</w:t>
      </w:r>
      <w:r w:rsidR="00B274BD" w:rsidRPr="0066369F">
        <w:t xml:space="preserve">t was also agreed that BSS not subject to RR Appendix </w:t>
      </w:r>
      <w:r w:rsidR="00B274BD" w:rsidRPr="00226D0D">
        <w:rPr>
          <w:rStyle w:val="ECCHLbold"/>
        </w:rPr>
        <w:t>30</w:t>
      </w:r>
      <w:r w:rsidR="00B274BD" w:rsidRPr="0066369F">
        <w:t xml:space="preserve"> (12.5-12.7 GHz), in Region 3, is not the subject of consideration in accordance with </w:t>
      </w:r>
      <w:r w:rsidR="00B274BD" w:rsidRPr="008C749D">
        <w:rPr>
          <w:rStyle w:val="ECCHLbold"/>
        </w:rPr>
        <w:t>Resolution 557 (WRC-15)</w:t>
      </w:r>
      <w:r w:rsidR="00B274BD" w:rsidRPr="0066369F">
        <w:t>.</w:t>
      </w:r>
      <w:r w:rsidR="00B274BD">
        <w:t xml:space="preserve"> </w:t>
      </w:r>
      <w:r w:rsidR="0028455E">
        <w:rPr>
          <w:rStyle w:val="ECCParagraph"/>
        </w:rPr>
        <w:t>Until last WP</w:t>
      </w:r>
      <w:r w:rsidR="00AB6629">
        <w:rPr>
          <w:rStyle w:val="ECCParagraph"/>
        </w:rPr>
        <w:t xml:space="preserve"> </w:t>
      </w:r>
      <w:r w:rsidR="0028455E">
        <w:rPr>
          <w:rStyle w:val="ECCParagraph"/>
        </w:rPr>
        <w:t>4A meeting (</w:t>
      </w:r>
      <w:r w:rsidR="00E912F8">
        <w:rPr>
          <w:rStyle w:val="ECCParagraph"/>
        </w:rPr>
        <w:t xml:space="preserve">February </w:t>
      </w:r>
      <w:r w:rsidR="0028455E">
        <w:rPr>
          <w:rStyle w:val="ECCParagraph"/>
        </w:rPr>
        <w:t>201</w:t>
      </w:r>
      <w:r w:rsidR="00E912F8">
        <w:rPr>
          <w:rStyle w:val="ECCParagraph"/>
        </w:rPr>
        <w:t>8</w:t>
      </w:r>
      <w:r w:rsidR="0028455E">
        <w:rPr>
          <w:rStyle w:val="ECCParagraph"/>
        </w:rPr>
        <w:t>)</w:t>
      </w:r>
      <w:r w:rsidR="00AB6629">
        <w:rPr>
          <w:rStyle w:val="ECCParagraph"/>
        </w:rPr>
        <w:t>,</w:t>
      </w:r>
      <w:r w:rsidR="0028455E">
        <w:rPr>
          <w:rStyle w:val="ECCParagraph"/>
        </w:rPr>
        <w:t xml:space="preserve"> several studies have been carried out</w:t>
      </w:r>
      <w:r w:rsidR="003D51E0">
        <w:rPr>
          <w:rStyle w:val="ECCParagraph"/>
        </w:rPr>
        <w:t xml:space="preserve"> for the different limitations</w:t>
      </w:r>
      <w:r w:rsidR="00AB6629">
        <w:rPr>
          <w:rStyle w:val="ECCParagraph"/>
        </w:rPr>
        <w:t>. T</w:t>
      </w:r>
      <w:r w:rsidR="003D51E0">
        <w:rPr>
          <w:rStyle w:val="ECCParagraph"/>
        </w:rPr>
        <w:t xml:space="preserve">he summary and the conclusion of these studies </w:t>
      </w:r>
      <w:r w:rsidR="00AB6629">
        <w:rPr>
          <w:rStyle w:val="ECCParagraph"/>
        </w:rPr>
        <w:t xml:space="preserve">on </w:t>
      </w:r>
      <w:r w:rsidR="003D51E0">
        <w:rPr>
          <w:rStyle w:val="ECCParagraph"/>
        </w:rPr>
        <w:t xml:space="preserve">limitations can be found in </w:t>
      </w:r>
      <w:r w:rsidR="009F4DF1">
        <w:rPr>
          <w:rStyle w:val="ECCParagraph"/>
        </w:rPr>
        <w:t>the</w:t>
      </w:r>
      <w:r w:rsidR="009F4DF1">
        <w:t xml:space="preserve"> </w:t>
      </w:r>
      <w:r w:rsidR="009F4DF1" w:rsidRPr="001725E3">
        <w:t xml:space="preserve">Working </w:t>
      </w:r>
      <w:r w:rsidR="009F4DF1">
        <w:t>D</w:t>
      </w:r>
      <w:r w:rsidR="009F4DF1" w:rsidRPr="001725E3">
        <w:t>ocument</w:t>
      </w:r>
      <w:r w:rsidR="009F4DF1">
        <w:t xml:space="preserve"> </w:t>
      </w:r>
      <w:r w:rsidR="009F4DF1" w:rsidRPr="00FB66C8">
        <w:t xml:space="preserve">towards a Preliminary Draft </w:t>
      </w:r>
      <w:r w:rsidR="009F4DF1">
        <w:t xml:space="preserve">New </w:t>
      </w:r>
      <w:r w:rsidR="009F4DF1" w:rsidRPr="00FB66C8">
        <w:t xml:space="preserve">Report </w:t>
      </w:r>
      <w:r w:rsidR="009F4DF1">
        <w:t xml:space="preserve">(PDNR) </w:t>
      </w:r>
      <w:r w:rsidR="009F4DF1" w:rsidRPr="00FB66C8">
        <w:t>ITU-R BO</w:t>
      </w:r>
      <w:proofErr w:type="gramStart"/>
      <w:r w:rsidR="009F4DF1" w:rsidRPr="00FB66C8">
        <w:t>.[</w:t>
      </w:r>
      <w:proofErr w:type="gramEnd"/>
      <w:r w:rsidR="009F4DF1" w:rsidRPr="00FB66C8">
        <w:t>AP30.ANNEX7</w:t>
      </w:r>
      <w:r w:rsidR="009F4DF1">
        <w:t>].</w:t>
      </w:r>
      <w:r w:rsidR="00481CD8">
        <w:rPr>
          <w:rStyle w:val="ECCParagraph"/>
        </w:rPr>
        <w:t xml:space="preserve"> </w:t>
      </w:r>
      <w:r w:rsidR="00FB1D44">
        <w:rPr>
          <w:rStyle w:val="ECCParagraph"/>
        </w:rPr>
        <w:t xml:space="preserve">WP 4A has also made a lot of progress in the development of the </w:t>
      </w:r>
      <w:r w:rsidR="00226D0D">
        <w:rPr>
          <w:rStyle w:val="ECCParagraph"/>
        </w:rPr>
        <w:t xml:space="preserve">draft </w:t>
      </w:r>
      <w:r w:rsidR="00FB1D44">
        <w:rPr>
          <w:rStyle w:val="ECCParagraph"/>
        </w:rPr>
        <w:t xml:space="preserve">CPM text </w:t>
      </w:r>
      <w:r w:rsidR="00FB1D44">
        <w:t>which considers several different methods depending on the different specific limitations.</w:t>
      </w:r>
    </w:p>
    <w:p w14:paraId="5887ACDE" w14:textId="61CAA508" w:rsidR="001725E3" w:rsidRDefault="00B3196A" w:rsidP="00F31456">
      <w:r>
        <w:rPr>
          <w:rStyle w:val="ECCParagraph"/>
        </w:rPr>
        <w:t xml:space="preserve">CEPT considers that </w:t>
      </w:r>
      <w:r w:rsidR="00A43499">
        <w:rPr>
          <w:rStyle w:val="ECCParagraph"/>
        </w:rPr>
        <w:t>li</w:t>
      </w:r>
      <w:r w:rsidR="00D632DB" w:rsidRPr="003D41CC">
        <w:rPr>
          <w:rStyle w:val="ECCParagraph"/>
        </w:rPr>
        <w:t>mitations A1</w:t>
      </w:r>
      <w:r w:rsidR="00F971EC">
        <w:rPr>
          <w:rStyle w:val="ECCParagraph"/>
        </w:rPr>
        <w:t xml:space="preserve"> and A2</w:t>
      </w:r>
      <w:r w:rsidR="00226D0D">
        <w:rPr>
          <w:rStyle w:val="ECCParagraph"/>
        </w:rPr>
        <w:t xml:space="preserve"> </w:t>
      </w:r>
      <w:r w:rsidR="00D632DB" w:rsidRPr="003D41CC">
        <w:rPr>
          <w:rStyle w:val="ECCParagraph"/>
        </w:rPr>
        <w:t>were developed long time ago to facilitate sharing between Regions</w:t>
      </w:r>
      <w:r w:rsidR="00AB6629">
        <w:rPr>
          <w:rStyle w:val="ECCParagraph"/>
        </w:rPr>
        <w:t>,</w:t>
      </w:r>
      <w:r w:rsidR="00D632DB" w:rsidRPr="003D41CC">
        <w:rPr>
          <w:rStyle w:val="ECCParagraph"/>
        </w:rPr>
        <w:t xml:space="preserve"> tak</w:t>
      </w:r>
      <w:r w:rsidR="00AB6629">
        <w:rPr>
          <w:rStyle w:val="ECCParagraph"/>
        </w:rPr>
        <w:t>i</w:t>
      </w:r>
      <w:r w:rsidR="00D632DB" w:rsidRPr="003D41CC">
        <w:rPr>
          <w:rStyle w:val="ECCParagraph"/>
        </w:rPr>
        <w:t>n</w:t>
      </w:r>
      <w:r w:rsidR="00AB6629">
        <w:rPr>
          <w:rStyle w:val="ECCParagraph"/>
        </w:rPr>
        <w:t>g</w:t>
      </w:r>
      <w:r w:rsidR="00D632DB" w:rsidRPr="003D41CC">
        <w:rPr>
          <w:rStyle w:val="ECCParagraph"/>
        </w:rPr>
        <w:t xml:space="preserve"> into account the state of the </w:t>
      </w:r>
      <w:r w:rsidR="00F971EC">
        <w:rPr>
          <w:rStyle w:val="ECCParagraph"/>
        </w:rPr>
        <w:t>a</w:t>
      </w:r>
      <w:r w:rsidR="00D632DB" w:rsidRPr="003D41CC">
        <w:rPr>
          <w:rStyle w:val="ECCParagraph"/>
        </w:rPr>
        <w:t xml:space="preserve">rt at </w:t>
      </w:r>
      <w:r w:rsidR="00AB6629">
        <w:rPr>
          <w:rStyle w:val="ECCParagraph"/>
        </w:rPr>
        <w:t>that</w:t>
      </w:r>
      <w:r w:rsidR="00AB6629" w:rsidRPr="003D41CC">
        <w:rPr>
          <w:rStyle w:val="ECCParagraph"/>
        </w:rPr>
        <w:t xml:space="preserve"> </w:t>
      </w:r>
      <w:r w:rsidR="00D632DB" w:rsidRPr="003D41CC">
        <w:rPr>
          <w:rStyle w:val="ECCParagraph"/>
        </w:rPr>
        <w:t xml:space="preserve">date. Since the adoption of such limitations, technologies </w:t>
      </w:r>
      <w:r w:rsidR="00F971EC">
        <w:rPr>
          <w:rStyle w:val="ECCParagraph"/>
        </w:rPr>
        <w:t>have</w:t>
      </w:r>
      <w:r w:rsidR="00D632DB" w:rsidRPr="003D41CC">
        <w:rPr>
          <w:rStyle w:val="ECCParagraph"/>
        </w:rPr>
        <w:t xml:space="preserve"> really improved and it</w:t>
      </w:r>
      <w:r w:rsidR="00F971EC">
        <w:rPr>
          <w:rStyle w:val="ECCParagraph"/>
        </w:rPr>
        <w:t xml:space="preserve"> i</w:t>
      </w:r>
      <w:r w:rsidR="00D632DB" w:rsidRPr="003D41CC">
        <w:rPr>
          <w:rStyle w:val="ECCParagraph"/>
        </w:rPr>
        <w:t xml:space="preserve">s more and more </w:t>
      </w:r>
      <w:r w:rsidR="00AA3D13">
        <w:rPr>
          <w:rStyle w:val="ECCParagraph"/>
        </w:rPr>
        <w:t>common</w:t>
      </w:r>
      <w:r w:rsidR="00D632DB" w:rsidRPr="003D41CC">
        <w:rPr>
          <w:rStyle w:val="ECCParagraph"/>
        </w:rPr>
        <w:t xml:space="preserve"> to find the same satellite operating full or part of the 11.7-12.7 GHz band simultaneously on different Regions. </w:t>
      </w:r>
      <w:r w:rsidR="0028291F" w:rsidRPr="00472009">
        <w:rPr>
          <w:rStyle w:val="ECCParagraph"/>
        </w:rPr>
        <w:t>In addition, r</w:t>
      </w:r>
      <w:r w:rsidR="001A2407" w:rsidRPr="00472009">
        <w:rPr>
          <w:rStyle w:val="ECCParagraph"/>
        </w:rPr>
        <w:t>egulatory sharing criteria to protect all services in the frequency band 11.7-12.7 GHz in all Regions are in place and are fully applicable</w:t>
      </w:r>
      <w:r w:rsidR="0028291F" w:rsidRPr="00472009">
        <w:rPr>
          <w:rStyle w:val="ECCParagraph"/>
        </w:rPr>
        <w:t xml:space="preserve">. </w:t>
      </w:r>
      <w:r w:rsidR="005708AC">
        <w:rPr>
          <w:rStyle w:val="ECCParagraph"/>
        </w:rPr>
        <w:t>In</w:t>
      </w:r>
      <w:r w:rsidR="0028291F" w:rsidRPr="00472009">
        <w:rPr>
          <w:rStyle w:val="ECCParagraph"/>
        </w:rPr>
        <w:t xml:space="preserve"> cases A1</w:t>
      </w:r>
      <w:r w:rsidR="00DD3312">
        <w:rPr>
          <w:rStyle w:val="ECCParagraph"/>
        </w:rPr>
        <w:t>a</w:t>
      </w:r>
      <w:r w:rsidR="0028291F" w:rsidRPr="00472009">
        <w:rPr>
          <w:rStyle w:val="ECCParagraph"/>
        </w:rPr>
        <w:t>, A2a and A2b</w:t>
      </w:r>
      <w:r w:rsidR="00612CF4">
        <w:rPr>
          <w:rStyle w:val="ECCParagraph"/>
        </w:rPr>
        <w:t xml:space="preserve"> are deleted</w:t>
      </w:r>
      <w:r w:rsidR="00E75086">
        <w:rPr>
          <w:rStyle w:val="ECCParagraph"/>
        </w:rPr>
        <w:t>,</w:t>
      </w:r>
      <w:r w:rsidR="00D632DB" w:rsidRPr="003D41CC">
        <w:rPr>
          <w:rStyle w:val="ECCParagraph"/>
        </w:rPr>
        <w:t xml:space="preserve"> simultaneous operations on same frequency band </w:t>
      </w:r>
      <w:r w:rsidR="0028291F" w:rsidRPr="00B8298A">
        <w:rPr>
          <w:rStyle w:val="ECCParagraph"/>
          <w:noProof/>
        </w:rPr>
        <w:t>benefit</w:t>
      </w:r>
      <w:r w:rsidR="0028291F" w:rsidRPr="00472009">
        <w:rPr>
          <w:rStyle w:val="ECCParagraph"/>
        </w:rPr>
        <w:t xml:space="preserve"> from the geographical </w:t>
      </w:r>
      <w:r w:rsidR="00C91D33" w:rsidRPr="00472009">
        <w:rPr>
          <w:rStyle w:val="ECCParagraph"/>
        </w:rPr>
        <w:t>separatio</w:t>
      </w:r>
      <w:r w:rsidR="0028291F" w:rsidRPr="00472009">
        <w:rPr>
          <w:rStyle w:val="ECCParagraph"/>
        </w:rPr>
        <w:t>n that exists</w:t>
      </w:r>
      <w:r w:rsidR="005708AC">
        <w:rPr>
          <w:rStyle w:val="ECCParagraph"/>
        </w:rPr>
        <w:t xml:space="preserve"> </w:t>
      </w:r>
      <w:r w:rsidR="0028291F" w:rsidRPr="00472009">
        <w:rPr>
          <w:rStyle w:val="ECCParagraph"/>
        </w:rPr>
        <w:t>between the Region</w:t>
      </w:r>
      <w:r w:rsidR="00F716F1" w:rsidRPr="00472009">
        <w:rPr>
          <w:rStyle w:val="ECCParagraph"/>
        </w:rPr>
        <w:t>s where these limitations apply</w:t>
      </w:r>
      <w:r w:rsidR="005708AC">
        <w:rPr>
          <w:rStyle w:val="ECCParagraph"/>
        </w:rPr>
        <w:t xml:space="preserve"> (i.e. Atlantic Ocean)</w:t>
      </w:r>
      <w:r w:rsidR="00F716F1" w:rsidRPr="00472009">
        <w:rPr>
          <w:rStyle w:val="ECCParagraph"/>
        </w:rPr>
        <w:t>.</w:t>
      </w:r>
      <w:r w:rsidR="005708AC">
        <w:rPr>
          <w:rStyle w:val="ECCParagraph"/>
        </w:rPr>
        <w:t xml:space="preserve"> However,</w:t>
      </w:r>
      <w:r w:rsidR="00F716F1" w:rsidRPr="00472009">
        <w:rPr>
          <w:rStyle w:val="ECCParagraph"/>
        </w:rPr>
        <w:t xml:space="preserve"> </w:t>
      </w:r>
      <w:r w:rsidR="005708AC">
        <w:t>i</w:t>
      </w:r>
      <w:r w:rsidR="00F716F1" w:rsidRPr="00D3021C">
        <w:t xml:space="preserve">n </w:t>
      </w:r>
      <w:r w:rsidR="00226D0D">
        <w:t xml:space="preserve">the </w:t>
      </w:r>
      <w:r w:rsidR="00F716F1" w:rsidRPr="00B8298A">
        <w:rPr>
          <w:noProof/>
        </w:rPr>
        <w:t>case</w:t>
      </w:r>
      <w:r w:rsidR="00226D0D">
        <w:t xml:space="preserve"> of</w:t>
      </w:r>
      <w:r w:rsidR="00F716F1" w:rsidRPr="00D3021C">
        <w:t xml:space="preserve"> </w:t>
      </w:r>
      <w:r w:rsidR="005708AC">
        <w:t>A1</w:t>
      </w:r>
      <w:r w:rsidR="00DD3312">
        <w:t>b</w:t>
      </w:r>
      <w:r w:rsidR="005708AC">
        <w:t xml:space="preserve"> and </w:t>
      </w:r>
      <w:r w:rsidR="00F716F1" w:rsidRPr="00D3021C">
        <w:t>A2c</w:t>
      </w:r>
      <w:r w:rsidR="00226D0D">
        <w:t>,</w:t>
      </w:r>
      <w:r w:rsidR="00F716F1" w:rsidRPr="00D3021C">
        <w:t xml:space="preserve"> the deletion</w:t>
      </w:r>
      <w:r w:rsidR="005708AC">
        <w:t xml:space="preserve"> of such limitations is not feasible </w:t>
      </w:r>
      <w:r w:rsidR="005708AC" w:rsidRPr="00B87E9F">
        <w:t xml:space="preserve">due to the limited geographical separation between </w:t>
      </w:r>
      <w:r w:rsidR="00C250F1">
        <w:t>land mass</w:t>
      </w:r>
      <w:r w:rsidR="00AA1B1D">
        <w:t>es</w:t>
      </w:r>
      <w:r w:rsidR="00C250F1">
        <w:t xml:space="preserve"> in </w:t>
      </w:r>
      <w:r w:rsidR="005708AC" w:rsidRPr="00B87E9F">
        <w:t>Regions 1 and 2 (i.e. Chukotka and Alaska)</w:t>
      </w:r>
      <w:r w:rsidR="005708AC" w:rsidRPr="00D3021C">
        <w:t>.</w:t>
      </w:r>
      <w:r w:rsidR="00F716F1" w:rsidRPr="00F31456">
        <w:t xml:space="preserve"> </w:t>
      </w:r>
      <w:r w:rsidR="00BE6F7D">
        <w:t>S</w:t>
      </w:r>
      <w:r w:rsidR="001725E3" w:rsidRPr="001725E3">
        <w:t>ection</w:t>
      </w:r>
      <w:r w:rsidR="00BE6F7D">
        <w:t xml:space="preserve"> 3</w:t>
      </w:r>
      <w:r w:rsidR="001725E3" w:rsidRPr="001725E3">
        <w:t xml:space="preserve"> of Annex 7 defines orbital position</w:t>
      </w:r>
      <w:r w:rsidR="00A43499">
        <w:t xml:space="preserve"> limitations (A3</w:t>
      </w:r>
      <w:r w:rsidR="00DD3312">
        <w:t>a</w:t>
      </w:r>
      <w:r w:rsidR="00A43499">
        <w:t>)</w:t>
      </w:r>
      <w:r w:rsidR="009F2F4D">
        <w:t>,</w:t>
      </w:r>
      <w:r w:rsidR="001725E3" w:rsidRPr="001725E3">
        <w:t xml:space="preserve"> </w:t>
      </w:r>
      <w:proofErr w:type="spellStart"/>
      <w:r w:rsidR="001725E3" w:rsidRPr="001725E3">
        <w:t>e.i.r.p</w:t>
      </w:r>
      <w:proofErr w:type="spellEnd"/>
      <w:r w:rsidR="006425D8">
        <w:t>.</w:t>
      </w:r>
      <w:r w:rsidR="00A43499">
        <w:t xml:space="preserve"> limitations (A3</w:t>
      </w:r>
      <w:r w:rsidR="00DD3312">
        <w:t>b</w:t>
      </w:r>
      <w:r w:rsidR="00A43499">
        <w:t>)</w:t>
      </w:r>
      <w:r w:rsidR="009F2F4D">
        <w:t xml:space="preserve"> and </w:t>
      </w:r>
      <w:proofErr w:type="spellStart"/>
      <w:r w:rsidR="006425D8">
        <w:t>pfd</w:t>
      </w:r>
      <w:proofErr w:type="spellEnd"/>
      <w:r w:rsidR="006425D8" w:rsidRPr="001725E3">
        <w:t xml:space="preserve"> </w:t>
      </w:r>
      <w:r w:rsidR="001725E3" w:rsidRPr="001725E3">
        <w:t xml:space="preserve">limitations </w:t>
      </w:r>
      <w:r w:rsidR="00A43499">
        <w:t>(A3</w:t>
      </w:r>
      <w:r w:rsidR="00DD3312">
        <w:t>c</w:t>
      </w:r>
      <w:r w:rsidR="00A43499">
        <w:t xml:space="preserve">), </w:t>
      </w:r>
      <w:r w:rsidR="001725E3" w:rsidRPr="001725E3">
        <w:t>in the orbital arc 37.2°W – 10°E in the band 11.7-12.2 GHz</w:t>
      </w:r>
      <w:r w:rsidR="001F78A9">
        <w:t xml:space="preserve">, identified as </w:t>
      </w:r>
      <w:r w:rsidR="00BD0879">
        <w:t xml:space="preserve">Limitations </w:t>
      </w:r>
      <w:r w:rsidR="001F78A9">
        <w:t xml:space="preserve">A3 in </w:t>
      </w:r>
      <w:r w:rsidR="001D2186">
        <w:fldChar w:fldCharType="begin"/>
      </w:r>
      <w:r w:rsidR="001D2186">
        <w:instrText xml:space="preserve"> REF _Ref474338967 \h </w:instrText>
      </w:r>
      <w:r w:rsidR="001D2186">
        <w:fldChar w:fldCharType="separate"/>
      </w:r>
      <w:r w:rsidR="00686D86" w:rsidRPr="00B149BB">
        <w:t xml:space="preserve">Table </w:t>
      </w:r>
      <w:r w:rsidR="00686D86">
        <w:rPr>
          <w:noProof/>
        </w:rPr>
        <w:t>1</w:t>
      </w:r>
      <w:r w:rsidR="001D2186">
        <w:fldChar w:fldCharType="end"/>
      </w:r>
      <w:r w:rsidR="001F78A9">
        <w:t>. T</w:t>
      </w:r>
      <w:r w:rsidR="00067888">
        <w:t>hese</w:t>
      </w:r>
      <w:r w:rsidR="001F78A9">
        <w:t xml:space="preserve"> limitations</w:t>
      </w:r>
      <w:r w:rsidR="00BE6F7D" w:rsidRPr="00BE6F7D">
        <w:t xml:space="preserve"> were developed to preserve access to the geostationary-satellite orbit by the Region 2 fixed-satellite service in the band 11.7-12.2 GHz</w:t>
      </w:r>
      <w:r w:rsidR="001003E0" w:rsidRPr="00B8298A">
        <w:rPr>
          <w:noProof/>
        </w:rPr>
        <w:t>,</w:t>
      </w:r>
      <w:r w:rsidR="001003E0">
        <w:t xml:space="preserve"> and ha</w:t>
      </w:r>
      <w:r w:rsidR="006425D8">
        <w:t>ve</w:t>
      </w:r>
      <w:r w:rsidR="001003E0">
        <w:t xml:space="preserve"> resulted in a stable regulatory regime with implications on assignments in the Plan and the List</w:t>
      </w:r>
      <w:r w:rsidR="001725E3" w:rsidRPr="001725E3">
        <w:t xml:space="preserve">. </w:t>
      </w:r>
    </w:p>
    <w:p w14:paraId="5887ACDF" w14:textId="362A162C" w:rsidR="00D531C3" w:rsidRPr="00D531C3" w:rsidRDefault="00D531C3" w:rsidP="00D531C3">
      <w:pPr>
        <w:rPr>
          <w:rStyle w:val="ECCParagraph"/>
        </w:rPr>
      </w:pPr>
      <w:r>
        <w:t>When considering A1</w:t>
      </w:r>
      <w:r w:rsidR="00DD3312">
        <w:t>a</w:t>
      </w:r>
      <w:r>
        <w:t xml:space="preserve"> and A2a limitations, </w:t>
      </w:r>
      <w:r w:rsidRPr="00D531C3">
        <w:rPr>
          <w:rStyle w:val="ECCParagraph"/>
        </w:rPr>
        <w:t>CEPT supports the</w:t>
      </w:r>
      <w:r>
        <w:rPr>
          <w:rStyle w:val="ECCParagraph"/>
        </w:rPr>
        <w:t>ir deletion</w:t>
      </w:r>
      <w:r w:rsidR="00AD7346">
        <w:rPr>
          <w:rStyle w:val="ECCParagraph"/>
        </w:rPr>
        <w:t>.</w:t>
      </w:r>
      <w:r>
        <w:rPr>
          <w:rStyle w:val="ECCParagraph"/>
        </w:rPr>
        <w:t xml:space="preserve"> </w:t>
      </w:r>
      <w:r w:rsidR="00AD7346">
        <w:rPr>
          <w:rStyle w:val="ECCParagraph"/>
        </w:rPr>
        <w:t>T</w:t>
      </w:r>
      <w:r>
        <w:rPr>
          <w:rStyle w:val="ECCParagraph"/>
        </w:rPr>
        <w:t>wo options are being considered on how to implement the deletion:</w:t>
      </w:r>
    </w:p>
    <w:p w14:paraId="5887ACE0" w14:textId="574EA332" w:rsidR="00D531C3" w:rsidRPr="00D531C3" w:rsidRDefault="00D531C3" w:rsidP="00D531C3">
      <w:pPr>
        <w:pStyle w:val="ECCBulletsLv1"/>
        <w:rPr>
          <w:rStyle w:val="ECCParagraph"/>
        </w:rPr>
      </w:pPr>
      <w:r w:rsidRPr="00D531C3">
        <w:rPr>
          <w:rStyle w:val="ECCParagraph"/>
        </w:rPr>
        <w:t>Deletion of both Limitations A1</w:t>
      </w:r>
      <w:r w:rsidR="00DD3312">
        <w:rPr>
          <w:rStyle w:val="ECCParagraph"/>
        </w:rPr>
        <w:t>a</w:t>
      </w:r>
      <w:r w:rsidRPr="00D531C3">
        <w:rPr>
          <w:rStyle w:val="ECCParagraph"/>
        </w:rPr>
        <w:t xml:space="preserve"> and A2a without </w:t>
      </w:r>
      <w:r w:rsidR="00C24293">
        <w:rPr>
          <w:rStyle w:val="ECCParagraph"/>
        </w:rPr>
        <w:t>additional</w:t>
      </w:r>
      <w:r>
        <w:rPr>
          <w:rStyle w:val="ECCParagraph"/>
        </w:rPr>
        <w:t xml:space="preserve"> regulatory</w:t>
      </w:r>
      <w:r w:rsidRPr="00D531C3">
        <w:rPr>
          <w:rStyle w:val="ECCParagraph"/>
        </w:rPr>
        <w:t xml:space="preserve"> measures</w:t>
      </w:r>
      <w:r w:rsidR="00FE2A91">
        <w:rPr>
          <w:rStyle w:val="ECCParagraph"/>
        </w:rPr>
        <w:t xml:space="preserve">, in line with method B of </w:t>
      </w:r>
      <w:r w:rsidR="00686AD6">
        <w:rPr>
          <w:rStyle w:val="ECCParagraph"/>
        </w:rPr>
        <w:t xml:space="preserve">the draft </w:t>
      </w:r>
      <w:r w:rsidR="00FE2A91">
        <w:rPr>
          <w:rStyle w:val="ECCParagraph"/>
        </w:rPr>
        <w:t>CPM text</w:t>
      </w:r>
      <w:r>
        <w:rPr>
          <w:rStyle w:val="ECCParagraph"/>
        </w:rPr>
        <w:t>.</w:t>
      </w:r>
    </w:p>
    <w:p w14:paraId="5887ACE1" w14:textId="2DE692ED" w:rsidR="00D531C3" w:rsidRDefault="00D531C3" w:rsidP="000277A1">
      <w:pPr>
        <w:pStyle w:val="ECCBulletsLv1"/>
      </w:pPr>
      <w:r w:rsidRPr="00D531C3">
        <w:rPr>
          <w:rStyle w:val="ECCParagraph"/>
        </w:rPr>
        <w:t>Deletion of both Limitations A1</w:t>
      </w:r>
      <w:r w:rsidR="00DD3312">
        <w:rPr>
          <w:rStyle w:val="ECCParagraph"/>
        </w:rPr>
        <w:t>a</w:t>
      </w:r>
      <w:r w:rsidRPr="00D531C3">
        <w:rPr>
          <w:rStyle w:val="ECCParagraph"/>
        </w:rPr>
        <w:t xml:space="preserve"> and A2a with additional </w:t>
      </w:r>
      <w:r w:rsidRPr="000277A1">
        <w:t>measures includ</w:t>
      </w:r>
      <w:r w:rsidR="00930F6C" w:rsidRPr="000277A1">
        <w:t>ed</w:t>
      </w:r>
      <w:r w:rsidRPr="000277A1">
        <w:t xml:space="preserve"> </w:t>
      </w:r>
      <w:r w:rsidR="00930F6C" w:rsidRPr="000277A1">
        <w:t xml:space="preserve">in </w:t>
      </w:r>
      <w:r w:rsidRPr="000277A1">
        <w:t>a</w:t>
      </w:r>
      <w:r w:rsidRPr="00D531C3">
        <w:t xml:space="preserve"> new resolution t</w:t>
      </w:r>
      <w:r w:rsidR="00327A4E">
        <w:t>o not limit the future deployment</w:t>
      </w:r>
      <w:r w:rsidRPr="00D531C3">
        <w:t xml:space="preserve"> of Region 1 and Region 2 FSS</w:t>
      </w:r>
      <w:r>
        <w:t xml:space="preserve"> networks</w:t>
      </w:r>
      <w:r w:rsidR="00FE2A91">
        <w:t>, in line with method C of</w:t>
      </w:r>
      <w:r w:rsidR="00686AD6">
        <w:t xml:space="preserve"> the draft</w:t>
      </w:r>
      <w:r w:rsidR="00FE2A91">
        <w:t xml:space="preserve"> CPM text</w:t>
      </w:r>
      <w:r>
        <w:t>. This new resolution proposes to apply</w:t>
      </w:r>
      <w:r w:rsidRPr="00D531C3">
        <w:t xml:space="preserve"> the </w:t>
      </w:r>
      <w:r>
        <w:t xml:space="preserve">same </w:t>
      </w:r>
      <w:proofErr w:type="spellStart"/>
      <w:r w:rsidRPr="00D531C3">
        <w:t>pfd</w:t>
      </w:r>
      <w:proofErr w:type="spellEnd"/>
      <w:r w:rsidRPr="00D531C3">
        <w:t xml:space="preserve"> coordination thresholds </w:t>
      </w:r>
      <w:r>
        <w:t xml:space="preserve">as contained in Annex 4 to Appendix </w:t>
      </w:r>
      <w:r w:rsidRPr="00612CF4">
        <w:rPr>
          <w:rStyle w:val="ECCHLbold"/>
        </w:rPr>
        <w:t>30</w:t>
      </w:r>
      <w:r w:rsidR="00500C05">
        <w:t>,</w:t>
      </w:r>
      <w:r>
        <w:t xml:space="preserve"> with the difference that for</w:t>
      </w:r>
      <w:r w:rsidRPr="00D531C3">
        <w:t xml:space="preserve"> future Region 2 and Region 1 FSS networks with </w:t>
      </w:r>
      <w:r>
        <w:t xml:space="preserve">respect to </w:t>
      </w:r>
      <w:r w:rsidRPr="00D531C3">
        <w:t>future Region 1 and Region 2 BSS frequency assignments filed further west of 37.2°W or further east of 54°</w:t>
      </w:r>
      <w:r w:rsidR="00AD7346">
        <w:t>W</w:t>
      </w:r>
      <w:r w:rsidRPr="00D531C3">
        <w:t>,</w:t>
      </w:r>
      <w:r w:rsidR="00500C05">
        <w:t xml:space="preserve"> the </w:t>
      </w:r>
      <w:proofErr w:type="spellStart"/>
      <w:r w:rsidR="00500C05">
        <w:t>pfd</w:t>
      </w:r>
      <w:proofErr w:type="spellEnd"/>
      <w:r w:rsidR="00500C05">
        <w:t xml:space="preserve"> will be</w:t>
      </w:r>
      <w:r w:rsidRPr="00D531C3">
        <w:t xml:space="preserve"> calculated only on the BSS network’s test points</w:t>
      </w:r>
      <w:r>
        <w:t xml:space="preserve"> instead of the complete service area</w:t>
      </w:r>
      <w:r w:rsidRPr="00D531C3">
        <w:t>.</w:t>
      </w:r>
    </w:p>
    <w:p w14:paraId="5887ACE5" w14:textId="21D3E3CA" w:rsidR="0080304A" w:rsidRPr="00D531C3" w:rsidRDefault="00D504DF" w:rsidP="00D648B2">
      <w:r w:rsidRPr="00472009">
        <w:rPr>
          <w:rStyle w:val="ECCParagraph"/>
        </w:rPr>
        <w:t xml:space="preserve">CEPT recognises that </w:t>
      </w:r>
      <w:r w:rsidR="00AA066F" w:rsidRPr="00472009">
        <w:rPr>
          <w:rStyle w:val="ECCParagraph"/>
        </w:rPr>
        <w:t xml:space="preserve">in considering </w:t>
      </w:r>
      <w:r w:rsidR="007F469B" w:rsidRPr="00472009">
        <w:rPr>
          <w:rStyle w:val="ECCParagraph"/>
        </w:rPr>
        <w:t xml:space="preserve">the </w:t>
      </w:r>
      <w:r w:rsidR="00AA066F" w:rsidRPr="00472009">
        <w:rPr>
          <w:rStyle w:val="ECCParagraph"/>
        </w:rPr>
        <w:t xml:space="preserve">modification or deletion of </w:t>
      </w:r>
      <w:r w:rsidR="004C6F2B" w:rsidRPr="00472009">
        <w:rPr>
          <w:rStyle w:val="ECCParagraph"/>
        </w:rPr>
        <w:t xml:space="preserve">Limitation </w:t>
      </w:r>
      <w:r w:rsidR="00AA066F" w:rsidRPr="00472009">
        <w:rPr>
          <w:rStyle w:val="ECCParagraph"/>
        </w:rPr>
        <w:t>A3</w:t>
      </w:r>
      <w:r w:rsidR="00DD3312">
        <w:rPr>
          <w:rStyle w:val="ECCParagraph"/>
        </w:rPr>
        <w:t>a</w:t>
      </w:r>
      <w:r w:rsidR="00AA066F" w:rsidRPr="00472009">
        <w:rPr>
          <w:rStyle w:val="ECCParagraph"/>
        </w:rPr>
        <w:t>,</w:t>
      </w:r>
      <w:r w:rsidR="00D2755F">
        <w:rPr>
          <w:rStyle w:val="ECCParagraph"/>
        </w:rPr>
        <w:t xml:space="preserve"> implemented</w:t>
      </w:r>
      <w:r w:rsidR="00AA066F" w:rsidRPr="00472009">
        <w:rPr>
          <w:rStyle w:val="ECCParagraph"/>
        </w:rPr>
        <w:t xml:space="preserve"> satellite networks </w:t>
      </w:r>
      <w:r w:rsidR="00D2755F">
        <w:rPr>
          <w:rStyle w:val="ECCParagraph"/>
        </w:rPr>
        <w:t xml:space="preserve">including those </w:t>
      </w:r>
      <w:r w:rsidR="00D2755F" w:rsidRPr="00B8298A">
        <w:rPr>
          <w:rStyle w:val="ECCParagraph"/>
          <w:noProof/>
        </w:rPr>
        <w:t xml:space="preserve">having </w:t>
      </w:r>
      <w:r w:rsidR="00AA066F" w:rsidRPr="00B8298A">
        <w:rPr>
          <w:rStyle w:val="ECCParagraph"/>
          <w:noProof/>
        </w:rPr>
        <w:t>antenna</w:t>
      </w:r>
      <w:r w:rsidR="00AA066F" w:rsidRPr="00472009">
        <w:rPr>
          <w:rStyle w:val="ECCParagraph"/>
        </w:rPr>
        <w:t xml:space="preserve"> sizes smaller than 60</w:t>
      </w:r>
      <w:r w:rsidR="00612CF4">
        <w:rPr>
          <w:rStyle w:val="ECCParagraph"/>
        </w:rPr>
        <w:t xml:space="preserve"> </w:t>
      </w:r>
      <w:r w:rsidR="00AA066F" w:rsidRPr="00472009">
        <w:rPr>
          <w:rStyle w:val="ECCParagraph"/>
        </w:rPr>
        <w:t>cm</w:t>
      </w:r>
      <w:r w:rsidR="00BD0879" w:rsidRPr="00472009">
        <w:rPr>
          <w:rStyle w:val="ECCParagraph"/>
        </w:rPr>
        <w:t xml:space="preserve"> in orbital positions listed</w:t>
      </w:r>
      <w:r w:rsidR="00970718" w:rsidRPr="00472009">
        <w:rPr>
          <w:rStyle w:val="ECCParagraph"/>
        </w:rPr>
        <w:t xml:space="preserve"> in </w:t>
      </w:r>
      <w:r w:rsidR="001D2186">
        <w:rPr>
          <w:rStyle w:val="ECCParagraph"/>
        </w:rPr>
        <w:fldChar w:fldCharType="begin"/>
      </w:r>
      <w:r w:rsidR="001D2186">
        <w:rPr>
          <w:rStyle w:val="ECCParagraph"/>
        </w:rPr>
        <w:instrText xml:space="preserve"> REF _Ref474339040 \h </w:instrText>
      </w:r>
      <w:r w:rsidR="001D2186">
        <w:rPr>
          <w:rStyle w:val="ECCParagraph"/>
        </w:rPr>
      </w:r>
      <w:r w:rsidR="001D2186">
        <w:rPr>
          <w:rStyle w:val="ECCParagraph"/>
        </w:rPr>
        <w:fldChar w:fldCharType="separate"/>
      </w:r>
      <w:r w:rsidR="00686D86" w:rsidRPr="00B149BB">
        <w:t xml:space="preserve">Table </w:t>
      </w:r>
      <w:r w:rsidR="00686D86">
        <w:rPr>
          <w:noProof/>
        </w:rPr>
        <w:t>2</w:t>
      </w:r>
      <w:r w:rsidR="001D2186">
        <w:rPr>
          <w:rStyle w:val="ECCParagraph"/>
        </w:rPr>
        <w:fldChar w:fldCharType="end"/>
      </w:r>
      <w:r w:rsidR="00AA066F" w:rsidRPr="00472009">
        <w:rPr>
          <w:rStyle w:val="ECCParagraph"/>
        </w:rPr>
        <w:t xml:space="preserve"> must be protected. </w:t>
      </w:r>
      <w:r w:rsidR="00A4426A">
        <w:rPr>
          <w:rStyle w:val="ECCParagraph"/>
        </w:rPr>
        <w:t xml:space="preserve">After </w:t>
      </w:r>
      <w:r w:rsidR="001239E1">
        <w:rPr>
          <w:rStyle w:val="ECCParagraph"/>
        </w:rPr>
        <w:t xml:space="preserve">different contributions presented during </w:t>
      </w:r>
      <w:r w:rsidR="006425D8">
        <w:rPr>
          <w:rStyle w:val="ECCParagraph"/>
        </w:rPr>
        <w:t xml:space="preserve">CPG </w:t>
      </w:r>
      <w:r w:rsidR="001239E1">
        <w:rPr>
          <w:rStyle w:val="ECCParagraph"/>
        </w:rPr>
        <w:t>PTB meeting</w:t>
      </w:r>
      <w:r w:rsidR="006425D8">
        <w:rPr>
          <w:rStyle w:val="ECCParagraph"/>
        </w:rPr>
        <w:t>s</w:t>
      </w:r>
      <w:r w:rsidR="001239E1">
        <w:rPr>
          <w:rStyle w:val="ECCParagraph"/>
        </w:rPr>
        <w:t xml:space="preserve"> and considering some WP</w:t>
      </w:r>
      <w:r w:rsidR="006425D8">
        <w:rPr>
          <w:rStyle w:val="ECCParagraph"/>
        </w:rPr>
        <w:t xml:space="preserve"> </w:t>
      </w:r>
      <w:r w:rsidR="001239E1">
        <w:rPr>
          <w:rStyle w:val="ECCParagraph"/>
        </w:rPr>
        <w:t>4A contributions</w:t>
      </w:r>
      <w:r w:rsidR="00A4426A">
        <w:rPr>
          <w:rStyle w:val="ECCParagraph"/>
        </w:rPr>
        <w:t xml:space="preserve">, CEPT </w:t>
      </w:r>
      <w:r w:rsidR="00D648B2">
        <w:rPr>
          <w:rStyle w:val="ECCParagraph"/>
        </w:rPr>
        <w:t>supports to delete the paragraph that refers to this limitation</w:t>
      </w:r>
      <w:r w:rsidR="006F1B9B">
        <w:rPr>
          <w:rStyle w:val="ECCParagraph"/>
        </w:rPr>
        <w:t xml:space="preserve"> in Annex 7 to Appendix 30 of RR</w:t>
      </w:r>
      <w:r w:rsidR="00D648B2">
        <w:rPr>
          <w:rStyle w:val="ECCParagraph"/>
        </w:rPr>
        <w:t xml:space="preserve"> and </w:t>
      </w:r>
      <w:r w:rsidR="00360592">
        <w:rPr>
          <w:rStyle w:val="ECCParagraph"/>
        </w:rPr>
        <w:t xml:space="preserve">to </w:t>
      </w:r>
      <w:r w:rsidR="00D648B2">
        <w:rPr>
          <w:rStyle w:val="ECCParagraph"/>
        </w:rPr>
        <w:t xml:space="preserve">incorporate a new Resolution. </w:t>
      </w:r>
      <w:r w:rsidR="00360592">
        <w:rPr>
          <w:rStyle w:val="ECCParagraph"/>
        </w:rPr>
        <w:t>This</w:t>
      </w:r>
      <w:r w:rsidR="006F1B9B">
        <w:rPr>
          <w:rStyle w:val="ECCParagraph"/>
        </w:rPr>
        <w:t xml:space="preserve"> R</w:t>
      </w:r>
      <w:r w:rsidR="00506AD6">
        <w:rPr>
          <w:rStyle w:val="ECCParagraph"/>
        </w:rPr>
        <w:t>esolution</w:t>
      </w:r>
      <w:r w:rsidR="00360592">
        <w:rPr>
          <w:rStyle w:val="ECCParagraph"/>
        </w:rPr>
        <w:t xml:space="preserve"> proposes an alternative method</w:t>
      </w:r>
      <w:r w:rsidR="00506AD6">
        <w:rPr>
          <w:rStyle w:val="ECCParagraph"/>
        </w:rPr>
        <w:t xml:space="preserve"> to determine whether implemented satellite networks </w:t>
      </w:r>
      <w:r w:rsidR="006F1B9B">
        <w:rPr>
          <w:rStyle w:val="ECCParagraph"/>
        </w:rPr>
        <w:t xml:space="preserve">with antenna sizes smaller than 60 cm are affected by new satellite networks located in some specific orbital </w:t>
      </w:r>
      <w:r w:rsidR="006F1B9B" w:rsidRPr="002D21E6">
        <w:t>locations (</w:t>
      </w:r>
      <w:r w:rsidR="002D21E6">
        <w:t xml:space="preserve">see </w:t>
      </w:r>
      <w:r w:rsidR="002D21E6" w:rsidRPr="000277A1">
        <w:t xml:space="preserve">section </w:t>
      </w:r>
      <w:r w:rsidR="002D21E6" w:rsidRPr="000277A1">
        <w:fldChar w:fldCharType="begin"/>
      </w:r>
      <w:r w:rsidR="002D21E6" w:rsidRPr="000277A1">
        <w:instrText xml:space="preserve"> REF _Ref522780888 \r \h </w:instrText>
      </w:r>
      <w:r w:rsidR="00930F6C" w:rsidRPr="000277A1">
        <w:instrText xml:space="preserve"> \* MERGEFORMAT </w:instrText>
      </w:r>
      <w:r w:rsidR="002D21E6" w:rsidRPr="000277A1">
        <w:fldChar w:fldCharType="separate"/>
      </w:r>
      <w:r w:rsidR="00DD6FC1" w:rsidRPr="000277A1">
        <w:t>3.2</w:t>
      </w:r>
      <w:r w:rsidR="002D21E6" w:rsidRPr="000277A1">
        <w:fldChar w:fldCharType="end"/>
      </w:r>
      <w:r w:rsidR="006F1B9B" w:rsidRPr="000277A1">
        <w:t>)</w:t>
      </w:r>
      <w:r w:rsidR="00360592" w:rsidRPr="000277A1">
        <w:t>.</w:t>
      </w:r>
      <w:r w:rsidR="0034562E" w:rsidRPr="0034562E">
        <w:t xml:space="preserve"> More specifically, it proposes that</w:t>
      </w:r>
      <w:r w:rsidR="006F1B9B" w:rsidRPr="0034562E">
        <w:t xml:space="preserve"> </w:t>
      </w:r>
      <w:r w:rsidR="006F1B9B">
        <w:rPr>
          <w:rStyle w:val="ECCParagraph"/>
        </w:rPr>
        <w:t xml:space="preserve">in the </w:t>
      </w:r>
      <w:r w:rsidR="006F1B9B">
        <w:rPr>
          <w:rStyle w:val="ECCParagraph"/>
        </w:rPr>
        <w:lastRenderedPageBreak/>
        <w:t xml:space="preserve">examination performed by the Bureau, the PFD mask criteria will not be taken into account and only the EPM </w:t>
      </w:r>
      <w:r w:rsidR="006E658A">
        <w:rPr>
          <w:rStyle w:val="ECCParagraph"/>
        </w:rPr>
        <w:t>criteria</w:t>
      </w:r>
      <w:r w:rsidR="006F1B9B">
        <w:rPr>
          <w:rStyle w:val="ECCParagraph"/>
        </w:rPr>
        <w:t xml:space="preserve"> will be considered.</w:t>
      </w:r>
      <w:r w:rsidR="00506AD6">
        <w:rPr>
          <w:rStyle w:val="ECCParagraph"/>
        </w:rPr>
        <w:t xml:space="preserve"> </w:t>
      </w:r>
      <w:r w:rsidR="006F1B9B">
        <w:rPr>
          <w:rStyle w:val="ECCParagraph"/>
        </w:rPr>
        <w:t>This solution avoids the use of the existing PFD mask criteria, that was not designed to protect antennas smaller than 60 cm and ensures the protection of implemented</w:t>
      </w:r>
      <w:r w:rsidR="006F1B9B" w:rsidRPr="00472009">
        <w:rPr>
          <w:rStyle w:val="ECCParagraph"/>
        </w:rPr>
        <w:t xml:space="preserve"> satellite networks </w:t>
      </w:r>
      <w:r w:rsidR="006F1B9B">
        <w:rPr>
          <w:rStyle w:val="ECCParagraph"/>
        </w:rPr>
        <w:t>including them.</w:t>
      </w:r>
      <w:r w:rsidR="0034562E">
        <w:rPr>
          <w:rStyle w:val="ECCParagraph"/>
        </w:rPr>
        <w:t xml:space="preserve"> </w:t>
      </w:r>
      <w:r w:rsidR="00163143">
        <w:rPr>
          <w:rStyle w:val="ECCParagraph"/>
        </w:rPr>
        <w:t xml:space="preserve">CEPT </w:t>
      </w:r>
      <w:r w:rsidR="003F2859">
        <w:rPr>
          <w:rStyle w:val="ECCParagraph"/>
        </w:rPr>
        <w:t xml:space="preserve">recognises that if orbital limitations in Annex 7 to Appendix 30 are removed, a period of </w:t>
      </w:r>
      <w:r w:rsidR="006E658A">
        <w:rPr>
          <w:rStyle w:val="ECCParagraph"/>
        </w:rPr>
        <w:t>90 days</w:t>
      </w:r>
      <w:r w:rsidR="0028548D">
        <w:rPr>
          <w:rStyle w:val="ECCParagraph"/>
        </w:rPr>
        <w:t xml:space="preserve"> with priority</w:t>
      </w:r>
      <w:r w:rsidR="003F2859">
        <w:rPr>
          <w:rStyle w:val="ECCParagraph"/>
        </w:rPr>
        <w:t xml:space="preserve"> should be given to those Administrations in Regions 1 and 3 which do not have </w:t>
      </w:r>
      <w:r w:rsidR="006E658A">
        <w:rPr>
          <w:rStyle w:val="ECCParagraph"/>
        </w:rPr>
        <w:t xml:space="preserve">networks in the Region 1 and 3 List </w:t>
      </w:r>
      <w:r w:rsidR="003F2859">
        <w:rPr>
          <w:rStyle w:val="ECCParagraph"/>
        </w:rPr>
        <w:t xml:space="preserve">and have their national assignments degraded, </w:t>
      </w:r>
      <w:r w:rsidR="00E0703D">
        <w:rPr>
          <w:rStyle w:val="ECCParagraph"/>
        </w:rPr>
        <w:t xml:space="preserve">to submit new assignments in the </w:t>
      </w:r>
      <w:r w:rsidR="006E658A">
        <w:rPr>
          <w:rStyle w:val="ECCParagraph"/>
        </w:rPr>
        <w:t>newly allowed</w:t>
      </w:r>
      <w:r w:rsidR="00E0703D">
        <w:rPr>
          <w:rStyle w:val="ECCParagraph"/>
        </w:rPr>
        <w:t xml:space="preserve"> orbital </w:t>
      </w:r>
      <w:r w:rsidR="006E658A">
        <w:rPr>
          <w:rStyle w:val="ECCParagraph"/>
        </w:rPr>
        <w:t>arcs</w:t>
      </w:r>
      <w:r w:rsidR="00E0703D">
        <w:rPr>
          <w:rStyle w:val="ECCParagraph"/>
        </w:rPr>
        <w:t xml:space="preserve">. This procedure would be implemented with a new resolution, the </w:t>
      </w:r>
      <w:r w:rsidR="00245194">
        <w:rPr>
          <w:rStyle w:val="ECCParagraph"/>
        </w:rPr>
        <w:t>period of priority</w:t>
      </w:r>
      <w:r w:rsidR="00E0703D">
        <w:rPr>
          <w:rStyle w:val="ECCParagraph"/>
        </w:rPr>
        <w:t xml:space="preserve"> proposed is 90 days and the coverage of the new networks would be limited to the national territory.</w:t>
      </w:r>
    </w:p>
    <w:p w14:paraId="5887ACE7" w14:textId="77777777" w:rsidR="001F78A9" w:rsidRDefault="00F3502B" w:rsidP="001725E3">
      <w:pPr>
        <w:rPr>
          <w:rStyle w:val="ECCParagraph"/>
        </w:rPr>
      </w:pPr>
      <w:r>
        <w:rPr>
          <w:rStyle w:val="ECCParagraph"/>
        </w:rPr>
        <w:t>CEPT</w:t>
      </w:r>
      <w:r w:rsidR="00612CF4">
        <w:rPr>
          <w:rStyle w:val="ECCParagraph"/>
        </w:rPr>
        <w:t>,</w:t>
      </w:r>
      <w:r>
        <w:rPr>
          <w:rStyle w:val="ECCParagraph"/>
        </w:rPr>
        <w:t xml:space="preserve"> in line with </w:t>
      </w:r>
      <w:r w:rsidR="00414A0F">
        <w:rPr>
          <w:rStyle w:val="ECCParagraph"/>
        </w:rPr>
        <w:t>WP 4A</w:t>
      </w:r>
      <w:r w:rsidR="0080304A">
        <w:rPr>
          <w:rStyle w:val="ECCParagraph"/>
        </w:rPr>
        <w:t>,</w:t>
      </w:r>
      <w:r w:rsidR="00414A0F">
        <w:rPr>
          <w:rStyle w:val="ECCParagraph"/>
        </w:rPr>
        <w:t xml:space="preserve"> has agreed, in the context of Agenda Item 1.4, on the following definition of “implemented” networks: </w:t>
      </w:r>
    </w:p>
    <w:p w14:paraId="5887ACE8" w14:textId="77777777" w:rsidR="004B7A8D" w:rsidRDefault="004B7A8D" w:rsidP="004B7A8D">
      <w:r w:rsidRPr="004B7A8D">
        <w:t>For the avoidance of doubt, the “implemented” networks referred to in this document are related to Regions 1 &amp; 3 BSS networks in the orbital arc 37.2°W and 10°E:</w:t>
      </w:r>
    </w:p>
    <w:p w14:paraId="5887ACE9" w14:textId="77777777" w:rsidR="004B7A8D" w:rsidRDefault="004B7A8D" w:rsidP="004B7A8D">
      <w:pPr>
        <w:pStyle w:val="ECCBulletsLv1"/>
      </w:pPr>
      <w:r w:rsidRPr="004B7A8D">
        <w:t>for which complete RR Appendix 4 information had been received by the Bureau under § 4.1.3 of RR Appendix 30 prior to 28 November 2015; and</w:t>
      </w:r>
    </w:p>
    <w:p w14:paraId="5887ACEA" w14:textId="77777777" w:rsidR="004B7A8D" w:rsidRDefault="004B7A8D" w:rsidP="004B7A8D">
      <w:pPr>
        <w:pStyle w:val="ECCBulletsLv1"/>
      </w:pPr>
      <w:r w:rsidRPr="004B7A8D">
        <w:t>for which complete RR Appendix 4 information had been received by the Bureau under § 4.1.12 of RR Appendix 30 prior to 23 November 2019; and</w:t>
      </w:r>
    </w:p>
    <w:p w14:paraId="5887ACEB" w14:textId="77777777" w:rsidR="004B7A8D" w:rsidRDefault="004B7A8D" w:rsidP="004B7A8D">
      <w:pPr>
        <w:pStyle w:val="ECCBulletsLv1"/>
      </w:pPr>
      <w:r w:rsidRPr="004B7A8D">
        <w:t>for which the complete due diligence information, in accordance with Annex 2 to Resolution 49 (Rev.WRC-15), had been received by the Bureau prior to 23 November 2019; and</w:t>
      </w:r>
    </w:p>
    <w:p w14:paraId="5887ACEC" w14:textId="77777777" w:rsidR="004B7A8D" w:rsidRDefault="004B7A8D" w:rsidP="004B7A8D">
      <w:pPr>
        <w:pStyle w:val="ECCBulletsLv1"/>
      </w:pPr>
      <w:r w:rsidRPr="004B7A8D">
        <w:t>for which complete RR Appendix 4 information had been received by the Bureau under § 5.1.2 of RR Appendix 30 prior to 23 November 2019; and</w:t>
      </w:r>
    </w:p>
    <w:p w14:paraId="5887ACED" w14:textId="77777777" w:rsidR="004B7A8D" w:rsidRPr="004B7A8D" w:rsidRDefault="004B7A8D" w:rsidP="004B7A8D">
      <w:pPr>
        <w:pStyle w:val="ECCBulletsLv1"/>
      </w:pPr>
      <w:proofErr w:type="gramStart"/>
      <w:r w:rsidRPr="004B7A8D">
        <w:t>brought</w:t>
      </w:r>
      <w:proofErr w:type="gramEnd"/>
      <w:r w:rsidRPr="004B7A8D">
        <w:t xml:space="preserve"> into use, and for which the date of bringing into use has been confirmed to the Bureau before 23 November 2019.</w:t>
      </w:r>
    </w:p>
    <w:p w14:paraId="5887ACF0" w14:textId="229D7999" w:rsidR="00DA30A4" w:rsidRPr="0041511E" w:rsidRDefault="001D0390" w:rsidP="00C25662">
      <w:pPr>
        <w:rPr>
          <w:rStyle w:val="ECCHLyellow"/>
          <w:shd w:val="clear" w:color="auto" w:fill="auto"/>
        </w:rPr>
      </w:pPr>
      <w:r w:rsidRPr="005301E8">
        <w:t>In conclusion, CEPT has decided to support the deletion of Limitations A1</w:t>
      </w:r>
      <w:r w:rsidR="00DD3312">
        <w:t>a</w:t>
      </w:r>
      <w:r w:rsidRPr="005301E8">
        <w:t>, A2a, A2b, A3</w:t>
      </w:r>
      <w:r w:rsidR="00DD3312">
        <w:t>b</w:t>
      </w:r>
      <w:r w:rsidRPr="005301E8">
        <w:t xml:space="preserve"> and A3</w:t>
      </w:r>
      <w:r w:rsidR="00DD3312">
        <w:t>c</w:t>
      </w:r>
      <w:r w:rsidRPr="005301E8">
        <w:t xml:space="preserve"> and the </w:t>
      </w:r>
      <w:r>
        <w:t xml:space="preserve">deletion </w:t>
      </w:r>
      <w:r w:rsidRPr="005301E8">
        <w:t>of Limitation A3</w:t>
      </w:r>
      <w:r w:rsidR="00DD3312">
        <w:t>a</w:t>
      </w:r>
      <w:r>
        <w:t xml:space="preserve">, </w:t>
      </w:r>
      <w:r w:rsidR="006E658A">
        <w:t>developing</w:t>
      </w:r>
      <w:r>
        <w:t xml:space="preserve"> a new Resolution</w:t>
      </w:r>
      <w:r w:rsidR="0028548D">
        <w:t xml:space="preserve"> </w:t>
      </w:r>
      <w:r w:rsidRPr="005301E8">
        <w:t xml:space="preserve">to protect </w:t>
      </w:r>
      <w:r w:rsidR="006E658A">
        <w:t>implemented</w:t>
      </w:r>
      <w:r w:rsidRPr="005301E8">
        <w:t xml:space="preserve"> BSS networks with antenna size lower than 60 cm</w:t>
      </w:r>
      <w:r w:rsidR="006E658A">
        <w:t xml:space="preserve"> (45</w:t>
      </w:r>
      <w:r w:rsidR="00686D86">
        <w:t xml:space="preserve"> </w:t>
      </w:r>
      <w:r w:rsidR="006E658A">
        <w:t>cm and 40</w:t>
      </w:r>
      <w:r w:rsidR="00686D86">
        <w:t xml:space="preserve"> </w:t>
      </w:r>
      <w:r w:rsidR="006E658A">
        <w:t>cm)</w:t>
      </w:r>
      <w:r w:rsidRPr="005301E8">
        <w:t xml:space="preserve"> in the arc 37.2°W-10°E</w:t>
      </w:r>
      <w:r>
        <w:t>.These changes</w:t>
      </w:r>
      <w:r w:rsidRPr="005301E8">
        <w:t xml:space="preserve"> will permit a better utilisation of the orbit spectrum resource without creating undue constraints to all services in the band 11.7-12.7 GHz in all Regions.</w:t>
      </w:r>
      <w:r>
        <w:t xml:space="preserve"> For A1</w:t>
      </w:r>
      <w:r w:rsidR="0023716A">
        <w:t>b</w:t>
      </w:r>
      <w:r>
        <w:t xml:space="preserve"> and A2c </w:t>
      </w:r>
      <w:r w:rsidRPr="001D0390">
        <w:t>limitation</w:t>
      </w:r>
      <w:r>
        <w:t>s</w:t>
      </w:r>
      <w:r w:rsidRPr="001D0390">
        <w:t>,</w:t>
      </w:r>
      <w:r>
        <w:t xml:space="preserve"> CEPT supports the retention of them.</w:t>
      </w:r>
      <w:r w:rsidRPr="00520DEC">
        <w:t xml:space="preserve"> </w:t>
      </w:r>
      <w:r>
        <w:t xml:space="preserve">Regarding B limitation CEPT is of the view that decisions over this limitation are out of the scope of CEPT. If after the WRC-19, as a consequence of the removal or modification of these limitations, new orbital </w:t>
      </w:r>
      <w:r w:rsidR="006E658A">
        <w:t>arcs are newly allowed</w:t>
      </w:r>
      <w:r>
        <w:t xml:space="preserve"> for new Ap30 satellite networks, CEPT supports to </w:t>
      </w:r>
      <w:r w:rsidR="00F50F9D">
        <w:t>develop</w:t>
      </w:r>
      <w:r>
        <w:t xml:space="preserve"> a new Resolution to give 90 days of priority to submit new satellite networks with coverage limited to the national territory, to those </w:t>
      </w:r>
      <w:r w:rsidRPr="00C25662">
        <w:t xml:space="preserve">Administrations which have their </w:t>
      </w:r>
      <w:r w:rsidR="0028548D" w:rsidRPr="00C25662">
        <w:t xml:space="preserve">national </w:t>
      </w:r>
      <w:r w:rsidRPr="00C25662">
        <w:t>assignments really degraded.</w:t>
      </w:r>
      <w:r w:rsidR="001979F6" w:rsidRPr="00C25662">
        <w:t xml:space="preserve"> Considering the importance of this draft new Resolution to help administrations to improve equitable access to satellite orbit resources by providing priority to Administrations with a degraded reference situation, CEPT supports to apply as of 23 November 2019 the </w:t>
      </w:r>
      <w:r w:rsidR="00F2285C" w:rsidRPr="00C25662">
        <w:t>modifications to</w:t>
      </w:r>
      <w:r w:rsidR="001979F6" w:rsidRPr="00C25662">
        <w:t xml:space="preserve"> Annex 7 of Appendix 30. To this effect, a revision of Article 59 and a draft new Resolution are proposed.</w:t>
      </w:r>
    </w:p>
    <w:p w14:paraId="5887ACF6" w14:textId="77777777" w:rsidR="001725E3" w:rsidRPr="00472009" w:rsidRDefault="001725E3" w:rsidP="001725E3">
      <w:pPr>
        <w:pStyle w:val="berschrift2"/>
        <w:rPr>
          <w:lang w:val="en-GB"/>
        </w:rPr>
      </w:pPr>
      <w:bookmarkStart w:id="3" w:name="_Ref493008316"/>
      <w:r w:rsidRPr="00472009">
        <w:rPr>
          <w:lang w:val="en-GB"/>
        </w:rPr>
        <w:t>Possible operations with current Table 1 of Annex 7 for specific Cases</w:t>
      </w:r>
      <w:bookmarkEnd w:id="3"/>
    </w:p>
    <w:p w14:paraId="5887ACF7" w14:textId="477AF2E6" w:rsidR="001725E3" w:rsidRPr="000277A1" w:rsidRDefault="001725E3" w:rsidP="000277A1">
      <w:r w:rsidRPr="000277A1">
        <w:t xml:space="preserve">As can be seen above, </w:t>
      </w:r>
      <w:r w:rsidR="00B149BB" w:rsidRPr="000277A1">
        <w:fldChar w:fldCharType="begin"/>
      </w:r>
      <w:r w:rsidR="00B149BB" w:rsidRPr="000277A1">
        <w:instrText xml:space="preserve"> REF _Ref474339040 \h </w:instrText>
      </w:r>
      <w:r w:rsidR="000277A1">
        <w:instrText xml:space="preserve"> \* MERGEFORMAT </w:instrText>
      </w:r>
      <w:r w:rsidR="00B149BB" w:rsidRPr="000277A1">
        <w:fldChar w:fldCharType="separate"/>
      </w:r>
      <w:r w:rsidR="00DD6FC1" w:rsidRPr="000277A1">
        <w:t>Table 2</w:t>
      </w:r>
      <w:r w:rsidR="00B149BB" w:rsidRPr="000277A1">
        <w:fldChar w:fldCharType="end"/>
      </w:r>
      <w:r w:rsidR="00B149BB" w:rsidRPr="000277A1">
        <w:t xml:space="preserve"> </w:t>
      </w:r>
      <w:r w:rsidRPr="000277A1">
        <w:t xml:space="preserve">contains orbital intervals </w:t>
      </w:r>
      <w:r w:rsidR="006425D8" w:rsidRPr="000277A1">
        <w:t>where</w:t>
      </w:r>
      <w:r w:rsidRPr="000277A1">
        <w:t xml:space="preserve"> proposed new or modified assignments in the List are allowed. Taking into account the orbital limitations referred to above, and considering an example where a pair of assignments </w:t>
      </w:r>
      <w:r w:rsidR="006425D8" w:rsidRPr="000277A1">
        <w:t>has</w:t>
      </w:r>
      <w:r w:rsidRPr="000277A1">
        <w:t xml:space="preserve"> a geocentric separation according to</w:t>
      </w:r>
      <w:r w:rsidR="006425D8" w:rsidRPr="000277A1">
        <w:t xml:space="preserve"> </w:t>
      </w:r>
      <w:r w:rsidR="001D2186" w:rsidRPr="000277A1">
        <w:fldChar w:fldCharType="begin"/>
      </w:r>
      <w:r w:rsidR="001D2186" w:rsidRPr="000277A1">
        <w:instrText xml:space="preserve"> REF _Ref474339040 \h </w:instrText>
      </w:r>
      <w:r w:rsidR="000277A1">
        <w:instrText xml:space="preserve"> \* MERGEFORMAT </w:instrText>
      </w:r>
      <w:r w:rsidR="001D2186" w:rsidRPr="000277A1">
        <w:fldChar w:fldCharType="separate"/>
      </w:r>
      <w:r w:rsidR="00DD6FC1" w:rsidRPr="000277A1">
        <w:t>Table 2</w:t>
      </w:r>
      <w:r w:rsidR="001D2186" w:rsidRPr="000277A1">
        <w:fldChar w:fldCharType="end"/>
      </w:r>
      <w:r w:rsidRPr="000277A1">
        <w:t xml:space="preserve">, it could be possible under the current regulatory framework to implement smaller antenna sizes than the standard 0.60 m antenna size for some specific </w:t>
      </w:r>
      <w:r w:rsidR="002924B8" w:rsidRPr="000277A1">
        <w:t>orbital positions</w:t>
      </w:r>
      <w:r w:rsidRPr="000277A1">
        <w:t xml:space="preserve">. For such specific </w:t>
      </w:r>
      <w:r w:rsidR="002924B8" w:rsidRPr="000277A1">
        <w:t>orbital positions</w:t>
      </w:r>
      <w:r w:rsidRPr="000277A1">
        <w:t xml:space="preserve">, additional studies should be conducted to possibly identify, if such specific protection level is required. In </w:t>
      </w:r>
      <w:r w:rsidR="00416510" w:rsidRPr="000277A1">
        <w:fldChar w:fldCharType="begin"/>
      </w:r>
      <w:r w:rsidR="00416510" w:rsidRPr="000277A1">
        <w:instrText xml:space="preserve"> REF _Ref462154342 \h </w:instrText>
      </w:r>
      <w:r w:rsidR="000277A1">
        <w:instrText xml:space="preserve"> \* MERGEFORMAT </w:instrText>
      </w:r>
      <w:r w:rsidR="00416510" w:rsidRPr="000277A1">
        <w:fldChar w:fldCharType="separate"/>
      </w:r>
      <w:r w:rsidR="00DD6FC1" w:rsidRPr="000277A1">
        <w:t>Figure 1</w:t>
      </w:r>
      <w:r w:rsidR="00416510" w:rsidRPr="000277A1">
        <w:fldChar w:fldCharType="end"/>
      </w:r>
      <w:r w:rsidR="00416510" w:rsidRPr="000277A1">
        <w:t xml:space="preserve"> </w:t>
      </w:r>
      <w:r w:rsidRPr="000277A1">
        <w:t xml:space="preserve">below, the off-axis antenna gains (following Recommendation ITU-R BO.1213 </w:t>
      </w:r>
      <w:r w:rsidR="006425D8" w:rsidRPr="000277A1">
        <w:t xml:space="preserve">on </w:t>
      </w:r>
      <w:r w:rsidRPr="000277A1">
        <w:t>reference pattern) of antenna</w:t>
      </w:r>
      <w:r w:rsidR="006425D8" w:rsidRPr="000277A1">
        <w:t>s</w:t>
      </w:r>
      <w:r w:rsidRPr="000277A1">
        <w:t xml:space="preserve"> </w:t>
      </w:r>
      <w:r w:rsidR="006425D8" w:rsidRPr="000277A1">
        <w:t xml:space="preserve">with </w:t>
      </w:r>
      <w:r w:rsidRPr="000277A1">
        <w:t>size</w:t>
      </w:r>
      <w:r w:rsidR="006425D8" w:rsidRPr="000277A1">
        <w:t xml:space="preserve"> of</w:t>
      </w:r>
      <w:r w:rsidRPr="000277A1">
        <w:t xml:space="preserve"> 0.60 m, 0.55 m, 0.50 m, 0.45 m and 0.40 m are plotted vs geocentric orbital separation (frequency 11.7 GHz and efficiency of 65%).</w:t>
      </w:r>
    </w:p>
    <w:p w14:paraId="5887ACF8" w14:textId="77777777" w:rsidR="001725E3" w:rsidRPr="001725E3" w:rsidRDefault="00A43499" w:rsidP="00C25662">
      <w:pPr>
        <w:pStyle w:val="ECCFiguregraphcentered"/>
      </w:pPr>
      <w:r w:rsidRPr="00F911A8">
        <w:rPr>
          <w:lang w:val="en-GB"/>
        </w:rPr>
        <w:lastRenderedPageBreak/>
        <w:t xml:space="preserve"> </w:t>
      </w:r>
      <w:r w:rsidR="001725E3" w:rsidRPr="00C25662">
        <w:drawing>
          <wp:inline distT="0" distB="0" distL="0" distR="0" wp14:anchorId="5887ADFB" wp14:editId="5887ADFC">
            <wp:extent cx="5734050" cy="313412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1190" cy="3138026"/>
                    </a:xfrm>
                    <a:prstGeom prst="rect">
                      <a:avLst/>
                    </a:prstGeom>
                  </pic:spPr>
                </pic:pic>
              </a:graphicData>
            </a:graphic>
          </wp:inline>
        </w:drawing>
      </w:r>
    </w:p>
    <w:p w14:paraId="5887ACF9" w14:textId="43A16C5B" w:rsidR="001725E3" w:rsidRPr="00686D86" w:rsidRDefault="001725E3" w:rsidP="00884634">
      <w:pPr>
        <w:pStyle w:val="Beschriftung"/>
        <w:rPr>
          <w:lang w:val="en-US"/>
        </w:rPr>
      </w:pPr>
      <w:bookmarkStart w:id="4" w:name="_Ref462154342"/>
      <w:r w:rsidRPr="00686D86">
        <w:rPr>
          <w:lang w:val="en-US"/>
        </w:rPr>
        <w:t xml:space="preserve">Figure </w:t>
      </w:r>
      <w:r w:rsidR="00C6344E">
        <w:fldChar w:fldCharType="begin"/>
      </w:r>
      <w:r w:rsidR="00C6344E" w:rsidRPr="00686D86">
        <w:rPr>
          <w:lang w:val="en-US"/>
        </w:rPr>
        <w:instrText xml:space="preserve"> SEQ Figure \* ARABIC </w:instrText>
      </w:r>
      <w:r w:rsidR="00C6344E">
        <w:fldChar w:fldCharType="separate"/>
      </w:r>
      <w:r w:rsidR="00DD6FC1" w:rsidRPr="00686D86">
        <w:rPr>
          <w:lang w:val="en-US"/>
        </w:rPr>
        <w:t>1</w:t>
      </w:r>
      <w:r w:rsidR="00C6344E">
        <w:fldChar w:fldCharType="end"/>
      </w:r>
      <w:bookmarkEnd w:id="4"/>
      <w:r w:rsidRPr="00686D86">
        <w:rPr>
          <w:lang w:val="en-US"/>
        </w:rPr>
        <w:t>: Off-axis antenna gain of antenna dimensions from 0.60 m to 0.40 m vs geocentric orbital separation</w:t>
      </w:r>
      <w:r w:rsidR="007E05C4" w:rsidRPr="00686D86">
        <w:rPr>
          <w:lang w:val="en-US"/>
        </w:rPr>
        <w:t xml:space="preserve"> (The implemented antennas smaller than 60cm only contemplate 40</w:t>
      </w:r>
      <w:r w:rsidR="0041511E" w:rsidRPr="0041511E">
        <w:rPr>
          <w:lang w:val="en-US"/>
        </w:rPr>
        <w:t xml:space="preserve"> </w:t>
      </w:r>
      <w:r w:rsidR="007E05C4" w:rsidRPr="00686D86">
        <w:rPr>
          <w:lang w:val="en-US"/>
        </w:rPr>
        <w:t>cm and 45</w:t>
      </w:r>
      <w:r w:rsidR="0041511E" w:rsidRPr="0041511E">
        <w:rPr>
          <w:lang w:val="en-US"/>
        </w:rPr>
        <w:t xml:space="preserve"> </w:t>
      </w:r>
      <w:r w:rsidR="007E05C4" w:rsidRPr="00686D86">
        <w:rPr>
          <w:lang w:val="en-US"/>
        </w:rPr>
        <w:t>cm)</w:t>
      </w:r>
    </w:p>
    <w:p w14:paraId="5887ACFA" w14:textId="467FB243" w:rsidR="003771D5" w:rsidRPr="00945FBC" w:rsidRDefault="001725E3" w:rsidP="00884634">
      <w:pPr>
        <w:rPr>
          <w:rStyle w:val="ECCParagraph"/>
        </w:rPr>
      </w:pPr>
      <w:r w:rsidRPr="00945FBC">
        <w:rPr>
          <w:rStyle w:val="ECCParagraph"/>
        </w:rPr>
        <w:t xml:space="preserve">As can be seen in </w:t>
      </w:r>
      <w:r w:rsidR="00416510" w:rsidRPr="00945FBC">
        <w:rPr>
          <w:rStyle w:val="ECCParagraph"/>
        </w:rPr>
        <w:fldChar w:fldCharType="begin"/>
      </w:r>
      <w:r w:rsidR="00416510" w:rsidRPr="00945FBC">
        <w:rPr>
          <w:rStyle w:val="ECCParagraph"/>
        </w:rPr>
        <w:instrText xml:space="preserve"> REF _Ref462154342 \h </w:instrText>
      </w:r>
      <w:r w:rsidR="00D0671B" w:rsidRPr="00945FBC">
        <w:rPr>
          <w:rStyle w:val="ECCParagraph"/>
        </w:rPr>
        <w:instrText xml:space="preserve"> \* MERGEFORMAT </w:instrText>
      </w:r>
      <w:r w:rsidR="00416510" w:rsidRPr="00945FBC">
        <w:rPr>
          <w:rStyle w:val="ECCParagraph"/>
        </w:rPr>
      </w:r>
      <w:r w:rsidR="00416510" w:rsidRPr="00945FBC">
        <w:rPr>
          <w:rStyle w:val="ECCParagraph"/>
        </w:rPr>
        <w:fldChar w:fldCharType="separate"/>
      </w:r>
      <w:r w:rsidR="00DD6FC1" w:rsidRPr="00DD6FC1">
        <w:rPr>
          <w:rStyle w:val="ECCParagraph"/>
        </w:rPr>
        <w:t>Figure 1</w:t>
      </w:r>
      <w:r w:rsidR="00416510" w:rsidRPr="00945FBC">
        <w:rPr>
          <w:rStyle w:val="ECCParagraph"/>
        </w:rPr>
        <w:fldChar w:fldCharType="end"/>
      </w:r>
      <w:r w:rsidR="00416510" w:rsidRPr="00945FBC">
        <w:rPr>
          <w:rStyle w:val="ECCParagraph"/>
        </w:rPr>
        <w:t xml:space="preserve"> </w:t>
      </w:r>
      <w:r w:rsidRPr="00945FBC">
        <w:rPr>
          <w:rStyle w:val="ECCParagraph"/>
        </w:rPr>
        <w:t xml:space="preserve">above, the off-axis antenna gain for antennas with </w:t>
      </w:r>
      <w:r w:rsidRPr="00B8298A">
        <w:rPr>
          <w:rStyle w:val="ECCParagraph"/>
          <w:noProof/>
        </w:rPr>
        <w:t>diameter</w:t>
      </w:r>
      <w:r w:rsidRPr="00945FBC">
        <w:rPr>
          <w:rStyle w:val="ECCParagraph"/>
        </w:rPr>
        <w:t xml:space="preserve"> below 0.60 m </w:t>
      </w:r>
      <w:r w:rsidR="009932FF">
        <w:rPr>
          <w:rStyle w:val="ECCParagraph"/>
        </w:rPr>
        <w:t>is</w:t>
      </w:r>
      <w:r w:rsidR="009932FF" w:rsidRPr="00945FBC">
        <w:rPr>
          <w:rStyle w:val="ECCParagraph"/>
        </w:rPr>
        <w:t xml:space="preserve"> </w:t>
      </w:r>
      <w:r w:rsidRPr="00945FBC">
        <w:rPr>
          <w:rStyle w:val="ECCParagraph"/>
        </w:rPr>
        <w:t xml:space="preserve">the same as for a 0.60 m antenna for orbital separation </w:t>
      </w:r>
      <w:r w:rsidRPr="00884634">
        <w:t>greater than 4.</w:t>
      </w:r>
      <w:r w:rsidR="00983158" w:rsidRPr="00884634">
        <w:t>9</w:t>
      </w:r>
      <w:r w:rsidRPr="00884634">
        <w:t>˚ for 0.</w:t>
      </w:r>
      <w:r w:rsidR="00983158" w:rsidRPr="00884634">
        <w:t>4</w:t>
      </w:r>
      <w:r w:rsidRPr="00884634">
        <w:t>5</w:t>
      </w:r>
      <w:r w:rsidRPr="00945FBC">
        <w:rPr>
          <w:rStyle w:val="ECCParagraph"/>
        </w:rPr>
        <w:t xml:space="preserve"> m antenna up to 5.5° for 0.40 m </w:t>
      </w:r>
      <w:r w:rsidRPr="00B8298A">
        <w:rPr>
          <w:rStyle w:val="ECCParagraph"/>
          <w:noProof/>
        </w:rPr>
        <w:t>antenna</w:t>
      </w:r>
      <w:r w:rsidRPr="00945FBC">
        <w:rPr>
          <w:rStyle w:val="ECCParagraph"/>
        </w:rPr>
        <w:t>.</w:t>
      </w:r>
    </w:p>
    <w:p w14:paraId="5887AD1C" w14:textId="4F2D633A" w:rsidR="00FC4EC2" w:rsidRPr="00D574CD" w:rsidRDefault="00FC4EC2" w:rsidP="00FC4EC2">
      <w:pPr>
        <w:rPr>
          <w:rStyle w:val="ECCParagraph"/>
        </w:rPr>
      </w:pPr>
      <w:r w:rsidRPr="00D574CD">
        <w:rPr>
          <w:rStyle w:val="ECCParagraph"/>
        </w:rPr>
        <w:t xml:space="preserve">Therefore, there is a risk that an </w:t>
      </w:r>
      <w:r w:rsidR="000A6FCD" w:rsidRPr="00D574CD">
        <w:rPr>
          <w:rStyle w:val="ECCParagraph"/>
        </w:rPr>
        <w:t>implemented</w:t>
      </w:r>
      <w:r w:rsidRPr="00D574CD">
        <w:rPr>
          <w:rStyle w:val="ECCParagraph"/>
        </w:rPr>
        <w:t xml:space="preserve"> satellite network </w:t>
      </w:r>
      <w:r w:rsidR="000A6FCD" w:rsidRPr="00D574CD">
        <w:rPr>
          <w:rStyle w:val="ECCParagraph"/>
        </w:rPr>
        <w:t>using</w:t>
      </w:r>
      <w:r w:rsidRPr="00D574CD">
        <w:rPr>
          <w:rStyle w:val="ECCParagraph"/>
        </w:rPr>
        <w:t xml:space="preserve"> earth stations with antenna size</w:t>
      </w:r>
      <w:r w:rsidR="009932FF" w:rsidRPr="00D574CD">
        <w:rPr>
          <w:rStyle w:val="ECCParagraph"/>
        </w:rPr>
        <w:t xml:space="preserve"> of</w:t>
      </w:r>
      <w:r w:rsidRPr="00D574CD">
        <w:rPr>
          <w:rStyle w:val="ECCParagraph"/>
        </w:rPr>
        <w:t xml:space="preserve"> 40 cm</w:t>
      </w:r>
      <w:r w:rsidR="007E05C4" w:rsidRPr="00D574CD">
        <w:rPr>
          <w:rStyle w:val="ECCParagraph"/>
        </w:rPr>
        <w:t xml:space="preserve"> and 45 cm</w:t>
      </w:r>
      <w:r w:rsidRPr="00D574CD">
        <w:rPr>
          <w:rStyle w:val="ECCParagraph"/>
        </w:rPr>
        <w:t xml:space="preserve"> under the current regulatory regime defined by current orbit limitations in Annex 7, will not be able to continue its operation due to the additional level of interference that an incumbent is forced to accept, unless no additional specific measures are considered. Such situation would be in contradiction to recognizing b) of Resolution 557 (WRC-15), stating: “BSS networks implemented in accordance with the current provisions of Annex 7 to Appendix 30 shall continue to be protected”.</w:t>
      </w:r>
    </w:p>
    <w:p w14:paraId="5887AD1D" w14:textId="77777777" w:rsidR="00FC4EC2" w:rsidRDefault="00FC4EC2" w:rsidP="00D0671B">
      <w:pPr>
        <w:rPr>
          <w:rStyle w:val="ECCParagraph"/>
        </w:rPr>
      </w:pPr>
      <w:r w:rsidRPr="00945FBC">
        <w:rPr>
          <w:rStyle w:val="ECCParagraph"/>
        </w:rPr>
        <w:t xml:space="preserve">In conclusion, additional specific measures are needed in order not to impose additional constraints on </w:t>
      </w:r>
      <w:r w:rsidR="00C8416C" w:rsidRPr="00945FBC">
        <w:rPr>
          <w:rStyle w:val="ECCParagraph"/>
        </w:rPr>
        <w:t xml:space="preserve">implemented BSS </w:t>
      </w:r>
      <w:r w:rsidRPr="00945FBC">
        <w:rPr>
          <w:rStyle w:val="ECCParagraph"/>
        </w:rPr>
        <w:t xml:space="preserve">networks if Annex 7 limitation A3a is </w:t>
      </w:r>
      <w:r w:rsidR="00C8416C" w:rsidRPr="00945FBC">
        <w:rPr>
          <w:rStyle w:val="ECCParagraph"/>
        </w:rPr>
        <w:t xml:space="preserve">revised </w:t>
      </w:r>
      <w:r w:rsidRPr="00945FBC">
        <w:rPr>
          <w:rStyle w:val="ECCParagraph"/>
        </w:rPr>
        <w:t>by WRC-19.</w:t>
      </w:r>
    </w:p>
    <w:p w14:paraId="5887AD20" w14:textId="15E1A312" w:rsidR="009A05C0" w:rsidRDefault="005B22E6" w:rsidP="00A072FD">
      <w:pPr>
        <w:pStyle w:val="berschrift2"/>
        <w:rPr>
          <w:rStyle w:val="ECCParagraph"/>
        </w:rPr>
      </w:pPr>
      <w:bookmarkStart w:id="5" w:name="_Ref522780888"/>
      <w:r>
        <w:rPr>
          <w:rStyle w:val="ECCParagraph"/>
        </w:rPr>
        <w:t xml:space="preserve">IMPLEMENTED </w:t>
      </w:r>
      <w:r w:rsidR="0028548D">
        <w:rPr>
          <w:rStyle w:val="ECCParagraph"/>
        </w:rPr>
        <w:t xml:space="preserve">Satellite networks with antennas smaller than 60 CM AND ORBITAL LOCATIONS </w:t>
      </w:r>
      <w:r w:rsidR="005E3B02">
        <w:rPr>
          <w:rStyle w:val="ECCParagraph"/>
        </w:rPr>
        <w:t>WHERE THE SOLUTION PROPOSED FOR LIMITAION A3A WOULD APPLY</w:t>
      </w:r>
      <w:bookmarkEnd w:id="5"/>
      <w:r w:rsidR="0028548D">
        <w:rPr>
          <w:rStyle w:val="ECCParagraph"/>
        </w:rPr>
        <w:t xml:space="preserve"> </w:t>
      </w:r>
    </w:p>
    <w:p w14:paraId="5887AD21" w14:textId="77777777" w:rsidR="00B7018F" w:rsidRDefault="002D21E6" w:rsidP="00721B08">
      <w:r>
        <w:t>The table below specifies the implemented satellite networks, according to the definition above, with antennas smaller than 60 cm that will be protected (first 5 columns). The last column specifies, for each of these networks, the arc segments where the solution proposes for A3a limitation will be applied.</w:t>
      </w:r>
    </w:p>
    <w:p w14:paraId="5887AD26" w14:textId="5C83622B" w:rsidR="001E4782" w:rsidRPr="00686D86" w:rsidRDefault="009566AD" w:rsidP="00A6396C">
      <w:pPr>
        <w:pStyle w:val="Beschriftung"/>
        <w:rPr>
          <w:lang w:val="en-US"/>
        </w:rPr>
      </w:pPr>
      <w:bookmarkStart w:id="6" w:name="_Ref493008253"/>
      <w:bookmarkStart w:id="7" w:name="_GoBack"/>
      <w:r w:rsidRPr="00497E54">
        <w:rPr>
          <w:lang w:val="en-US"/>
        </w:rPr>
        <w:t xml:space="preserve">Table </w:t>
      </w:r>
      <w:r w:rsidR="00076E8B">
        <w:fldChar w:fldCharType="begin"/>
      </w:r>
      <w:r w:rsidR="00076E8B" w:rsidRPr="00497E54">
        <w:rPr>
          <w:lang w:val="en-US"/>
        </w:rPr>
        <w:instrText xml:space="preserve"> SEQ Table \* ARABIC </w:instrText>
      </w:r>
      <w:r w:rsidR="00076E8B">
        <w:fldChar w:fldCharType="separate"/>
      </w:r>
      <w:r w:rsidR="00DD6FC1">
        <w:rPr>
          <w:noProof/>
          <w:lang w:val="en-US"/>
        </w:rPr>
        <w:t>4</w:t>
      </w:r>
      <w:r w:rsidR="00076E8B">
        <w:fldChar w:fldCharType="end"/>
      </w:r>
      <w:bookmarkEnd w:id="6"/>
      <w:r w:rsidR="001E4782" w:rsidRPr="00497E54">
        <w:rPr>
          <w:lang w:val="en-US"/>
        </w:rPr>
        <w:t xml:space="preserve">: </w:t>
      </w:r>
      <w:r w:rsidR="002678DC" w:rsidRPr="00686D86">
        <w:rPr>
          <w:lang w:val="en-US"/>
        </w:rPr>
        <w:t>Implemented s</w:t>
      </w:r>
      <w:r w:rsidR="00721B08" w:rsidRPr="00686D86">
        <w:rPr>
          <w:lang w:val="en-US"/>
        </w:rPr>
        <w:t xml:space="preserve">atellite networks with antennas smaller than 60cm and the orbital arc </w:t>
      </w:r>
      <w:bookmarkEnd w:id="7"/>
      <w:r w:rsidR="00721B08" w:rsidRPr="00686D86">
        <w:rPr>
          <w:lang w:val="en-US"/>
        </w:rPr>
        <w:t>segments where the solution proposed for A3a limitation applies</w:t>
      </w:r>
    </w:p>
    <w:tbl>
      <w:tblPr>
        <w:tblStyle w:val="ECCTable-redheader"/>
        <w:tblW w:w="9828" w:type="dxa"/>
        <w:tblInd w:w="0" w:type="dxa"/>
        <w:tblLook w:val="04A0" w:firstRow="1" w:lastRow="0" w:firstColumn="1" w:lastColumn="0" w:noHBand="0" w:noVBand="1"/>
      </w:tblPr>
      <w:tblGrid>
        <w:gridCol w:w="994"/>
        <w:gridCol w:w="1212"/>
        <w:gridCol w:w="1709"/>
        <w:gridCol w:w="1641"/>
        <w:gridCol w:w="1218"/>
        <w:gridCol w:w="3054"/>
      </w:tblGrid>
      <w:tr w:rsidR="00245194" w:rsidRPr="00E04F8A" w14:paraId="5887AD29" w14:textId="77777777" w:rsidTr="00C25662">
        <w:trPr>
          <w:cnfStyle w:val="100000000000" w:firstRow="1" w:lastRow="0" w:firstColumn="0" w:lastColumn="0" w:oddVBand="0" w:evenVBand="0" w:oddHBand="0" w:evenHBand="0" w:firstRowFirstColumn="0" w:firstRowLastColumn="0" w:lastRowFirstColumn="0" w:lastRowLastColumn="0"/>
          <w:trHeight w:val="248"/>
        </w:trPr>
        <w:tc>
          <w:tcPr>
            <w:tcW w:w="6774" w:type="dxa"/>
            <w:gridSpan w:val="5"/>
          </w:tcPr>
          <w:p w14:paraId="5887AD27" w14:textId="20A4FA62" w:rsidR="00245194" w:rsidRPr="00721B08" w:rsidRDefault="002678DC" w:rsidP="0041511E">
            <w:pPr>
              <w:pStyle w:val="ECCTableHeaderwhitefont"/>
              <w:rPr>
                <w:rStyle w:val="ECCHLbold"/>
              </w:rPr>
            </w:pPr>
            <w:r>
              <w:rPr>
                <w:rStyle w:val="ECCHLbold"/>
              </w:rPr>
              <w:t>Implemented s</w:t>
            </w:r>
            <w:r w:rsidR="00245194" w:rsidRPr="00721B08">
              <w:rPr>
                <w:rStyle w:val="ECCHLbold"/>
              </w:rPr>
              <w:t xml:space="preserve">atellite networks </w:t>
            </w:r>
            <w:r w:rsidR="00721B08">
              <w:rPr>
                <w:rStyle w:val="ECCHLbold"/>
              </w:rPr>
              <w:t>with antennas smaller than 60cm</w:t>
            </w:r>
          </w:p>
        </w:tc>
        <w:tc>
          <w:tcPr>
            <w:tcW w:w="3054" w:type="dxa"/>
            <w:vMerge w:val="restart"/>
            <w:hideMark/>
          </w:tcPr>
          <w:p w14:paraId="5887AD28" w14:textId="77777777" w:rsidR="00245194" w:rsidRPr="00721B08" w:rsidRDefault="00245194" w:rsidP="0041511E">
            <w:pPr>
              <w:pStyle w:val="ECCTableHeaderwhitefont"/>
              <w:rPr>
                <w:rStyle w:val="ECCHLbold"/>
              </w:rPr>
            </w:pPr>
            <w:r w:rsidRPr="00721B08">
              <w:rPr>
                <w:rStyle w:val="ECCHLbold"/>
              </w:rPr>
              <w:t xml:space="preserve">Orbital arc segments where </w:t>
            </w:r>
            <w:r w:rsidR="00721B08" w:rsidRPr="00721B08">
              <w:rPr>
                <w:rStyle w:val="ECCHLbold"/>
              </w:rPr>
              <w:t>the solution proposed for A3a limitation applies</w:t>
            </w:r>
          </w:p>
        </w:tc>
      </w:tr>
      <w:tr w:rsidR="00245194" w:rsidRPr="00E04F8A" w14:paraId="5887AD30" w14:textId="77777777" w:rsidTr="00C25662">
        <w:trPr>
          <w:trHeight w:val="657"/>
        </w:trPr>
        <w:tc>
          <w:tcPr>
            <w:tcW w:w="994" w:type="dxa"/>
            <w:hideMark/>
          </w:tcPr>
          <w:p w14:paraId="5887AD2A" w14:textId="77777777" w:rsidR="00245194" w:rsidRPr="00721B08" w:rsidRDefault="00245194" w:rsidP="0041511E">
            <w:pPr>
              <w:pStyle w:val="ECCTabletext"/>
              <w:rPr>
                <w:rStyle w:val="ECCHLbold"/>
              </w:rPr>
            </w:pPr>
            <w:r w:rsidRPr="00721B08">
              <w:rPr>
                <w:rStyle w:val="ECCHLbold"/>
              </w:rPr>
              <w:t>Orbital position</w:t>
            </w:r>
          </w:p>
        </w:tc>
        <w:tc>
          <w:tcPr>
            <w:tcW w:w="1212" w:type="dxa"/>
            <w:hideMark/>
          </w:tcPr>
          <w:p w14:paraId="5887AD2B" w14:textId="77777777" w:rsidR="00245194" w:rsidRPr="00721B08" w:rsidRDefault="00245194" w:rsidP="0041511E">
            <w:pPr>
              <w:pStyle w:val="ECCTabletext"/>
              <w:rPr>
                <w:rStyle w:val="ECCHLbold"/>
              </w:rPr>
            </w:pPr>
            <w:r w:rsidRPr="00721B08">
              <w:rPr>
                <w:rStyle w:val="ECCHLbold"/>
              </w:rPr>
              <w:t>Earth station antenna size, cm</w:t>
            </w:r>
          </w:p>
        </w:tc>
        <w:tc>
          <w:tcPr>
            <w:tcW w:w="1709" w:type="dxa"/>
            <w:hideMark/>
          </w:tcPr>
          <w:p w14:paraId="5887AD2C" w14:textId="77777777" w:rsidR="00245194" w:rsidRPr="00721B08" w:rsidRDefault="00245194" w:rsidP="0041511E">
            <w:pPr>
              <w:pStyle w:val="ECCTabletext"/>
              <w:rPr>
                <w:rStyle w:val="ECCHLbold"/>
              </w:rPr>
            </w:pPr>
            <w:r w:rsidRPr="00721B08">
              <w:rPr>
                <w:rStyle w:val="ECCHLbold"/>
              </w:rPr>
              <w:t>Satellite Network</w:t>
            </w:r>
          </w:p>
        </w:tc>
        <w:tc>
          <w:tcPr>
            <w:tcW w:w="1641" w:type="dxa"/>
          </w:tcPr>
          <w:p w14:paraId="5887AD2D" w14:textId="77777777" w:rsidR="00245194" w:rsidRPr="00721B08" w:rsidRDefault="00245194" w:rsidP="0041511E">
            <w:pPr>
              <w:pStyle w:val="ECCTabletext"/>
              <w:rPr>
                <w:rStyle w:val="ECCHLbold"/>
              </w:rPr>
            </w:pPr>
            <w:r w:rsidRPr="00721B08">
              <w:rPr>
                <w:rStyle w:val="ECCHLbold"/>
              </w:rPr>
              <w:t>Date of Receipt of Part A submission</w:t>
            </w:r>
          </w:p>
        </w:tc>
        <w:tc>
          <w:tcPr>
            <w:tcW w:w="1218" w:type="dxa"/>
            <w:hideMark/>
          </w:tcPr>
          <w:p w14:paraId="5887AD2E" w14:textId="77777777" w:rsidR="00245194" w:rsidRPr="00721B08" w:rsidRDefault="00245194" w:rsidP="0041511E">
            <w:pPr>
              <w:pStyle w:val="ECCTabletext"/>
              <w:rPr>
                <w:rStyle w:val="ECCHLbold"/>
              </w:rPr>
            </w:pPr>
            <w:r w:rsidRPr="00721B08">
              <w:rPr>
                <w:rStyle w:val="ECCHLbold"/>
              </w:rPr>
              <w:t>Notice Id Part II</w:t>
            </w:r>
          </w:p>
        </w:tc>
        <w:tc>
          <w:tcPr>
            <w:tcW w:w="3054" w:type="dxa"/>
            <w:vMerge/>
            <w:hideMark/>
          </w:tcPr>
          <w:p w14:paraId="5887AD2F" w14:textId="77777777" w:rsidR="00245194" w:rsidRPr="00245194" w:rsidRDefault="00245194" w:rsidP="0041511E">
            <w:pPr>
              <w:pStyle w:val="ECCTableHeaderwhitefont"/>
            </w:pPr>
          </w:p>
        </w:tc>
      </w:tr>
      <w:tr w:rsidR="00245194" w:rsidRPr="00817E53" w14:paraId="5887AD39" w14:textId="77777777" w:rsidTr="00C25662">
        <w:trPr>
          <w:trHeight w:val="238"/>
        </w:trPr>
        <w:tc>
          <w:tcPr>
            <w:tcW w:w="994" w:type="dxa"/>
            <w:hideMark/>
          </w:tcPr>
          <w:p w14:paraId="5887AD31" w14:textId="77777777" w:rsidR="00245194" w:rsidRPr="00245194" w:rsidRDefault="00245194" w:rsidP="0041511E">
            <w:pPr>
              <w:pStyle w:val="ECCTabletext"/>
            </w:pPr>
            <w:r w:rsidRPr="00245194">
              <w:t>33.5ºW</w:t>
            </w:r>
          </w:p>
        </w:tc>
        <w:tc>
          <w:tcPr>
            <w:tcW w:w="1212" w:type="dxa"/>
            <w:hideMark/>
          </w:tcPr>
          <w:p w14:paraId="5887AD32" w14:textId="77777777" w:rsidR="00245194" w:rsidRPr="00245194" w:rsidRDefault="00245194" w:rsidP="0041511E">
            <w:pPr>
              <w:pStyle w:val="ECCTabletext"/>
            </w:pPr>
            <w:r w:rsidRPr="00245194">
              <w:t>45</w:t>
            </w:r>
          </w:p>
        </w:tc>
        <w:tc>
          <w:tcPr>
            <w:tcW w:w="1709" w:type="dxa"/>
            <w:hideMark/>
          </w:tcPr>
          <w:p w14:paraId="5887AD33" w14:textId="77777777" w:rsidR="00245194" w:rsidRPr="00245194" w:rsidRDefault="00245194" w:rsidP="0041511E">
            <w:pPr>
              <w:pStyle w:val="ECCTabletext"/>
            </w:pPr>
            <w:r w:rsidRPr="00245194">
              <w:t>UKDIGISAT-4C</w:t>
            </w:r>
          </w:p>
        </w:tc>
        <w:tc>
          <w:tcPr>
            <w:tcW w:w="1641" w:type="dxa"/>
          </w:tcPr>
          <w:p w14:paraId="5887AD34" w14:textId="77777777" w:rsidR="00245194" w:rsidRPr="00245194" w:rsidRDefault="00245194" w:rsidP="0041511E">
            <w:pPr>
              <w:pStyle w:val="ECCTabletext"/>
            </w:pPr>
            <w:r w:rsidRPr="00245194">
              <w:t>09.10.2014</w:t>
            </w:r>
          </w:p>
        </w:tc>
        <w:tc>
          <w:tcPr>
            <w:tcW w:w="1218" w:type="dxa"/>
            <w:hideMark/>
          </w:tcPr>
          <w:p w14:paraId="5887AD35" w14:textId="77777777" w:rsidR="00245194" w:rsidRPr="00245194" w:rsidRDefault="00245194" w:rsidP="0041511E">
            <w:pPr>
              <w:pStyle w:val="ECCTabletext"/>
            </w:pPr>
            <w:r w:rsidRPr="00245194">
              <w:t>TBD</w:t>
            </w:r>
          </w:p>
        </w:tc>
        <w:tc>
          <w:tcPr>
            <w:tcW w:w="3054" w:type="dxa"/>
            <w:hideMark/>
          </w:tcPr>
          <w:p w14:paraId="5887AD36" w14:textId="77777777" w:rsidR="00245194" w:rsidRPr="00245194" w:rsidRDefault="00245194" w:rsidP="0041511E">
            <w:pPr>
              <w:pStyle w:val="ECCTabletext"/>
            </w:pPr>
            <w:r w:rsidRPr="00245194">
              <w:t xml:space="preserve">36.0ºW &lt; </w:t>
            </w:r>
            <w:r w:rsidR="00721B08">
              <w:rPr>
                <w:rFonts w:cs="Arial"/>
              </w:rPr>
              <w:t>Θ</w:t>
            </w:r>
            <w:r w:rsidR="00721B08">
              <w:t xml:space="preserve"> </w:t>
            </w:r>
            <w:r w:rsidRPr="00245194">
              <w:t>≤ 35.36ºW;</w:t>
            </w:r>
          </w:p>
          <w:p w14:paraId="5887AD37" w14:textId="77777777" w:rsidR="00245194" w:rsidRPr="00245194" w:rsidRDefault="00245194" w:rsidP="0041511E">
            <w:pPr>
              <w:pStyle w:val="ECCTabletext"/>
            </w:pPr>
            <w:r w:rsidRPr="00245194">
              <w:lastRenderedPageBreak/>
              <w:t xml:space="preserve">31.64ºW ≤ </w:t>
            </w:r>
            <w:r w:rsidR="00721B08" w:rsidRPr="00721B08">
              <w:t>Θ</w:t>
            </w:r>
            <w:r w:rsidR="00721B08">
              <w:t xml:space="preserve"> </w:t>
            </w:r>
            <w:r w:rsidRPr="00245194">
              <w:t>&lt; 30.0ºW;</w:t>
            </w:r>
          </w:p>
          <w:p w14:paraId="5887AD38" w14:textId="77777777" w:rsidR="00245194" w:rsidRPr="00245194" w:rsidRDefault="00245194" w:rsidP="0041511E">
            <w:pPr>
              <w:pStyle w:val="ECCTabletext"/>
            </w:pPr>
            <w:r w:rsidRPr="00245194">
              <w:t>29.0ºW &lt;</w:t>
            </w:r>
            <w:r w:rsidR="00721B08" w:rsidRPr="00245194">
              <w:t xml:space="preserve"> </w:t>
            </w:r>
            <w:r w:rsidR="00721B08" w:rsidRPr="00721B08">
              <w:t>Θ</w:t>
            </w:r>
            <w:r w:rsidR="00721B08">
              <w:t xml:space="preserve"> </w:t>
            </w:r>
            <w:r w:rsidRPr="00245194">
              <w:t>≤ 28.58ºW;</w:t>
            </w:r>
          </w:p>
        </w:tc>
      </w:tr>
      <w:tr w:rsidR="00245194" w:rsidRPr="00817E53" w14:paraId="5887AD42" w14:textId="77777777" w:rsidTr="00C25662">
        <w:trPr>
          <w:trHeight w:val="351"/>
        </w:trPr>
        <w:tc>
          <w:tcPr>
            <w:tcW w:w="994" w:type="dxa"/>
            <w:vMerge w:val="restart"/>
            <w:hideMark/>
          </w:tcPr>
          <w:p w14:paraId="5887AD3A" w14:textId="77777777" w:rsidR="00245194" w:rsidRPr="00245194" w:rsidRDefault="00245194" w:rsidP="0041511E">
            <w:pPr>
              <w:pStyle w:val="ECCTabletext"/>
            </w:pPr>
            <w:r w:rsidRPr="00245194">
              <w:lastRenderedPageBreak/>
              <w:t>30.0ºW</w:t>
            </w:r>
          </w:p>
        </w:tc>
        <w:tc>
          <w:tcPr>
            <w:tcW w:w="1212" w:type="dxa"/>
            <w:vMerge w:val="restart"/>
            <w:hideMark/>
          </w:tcPr>
          <w:p w14:paraId="5887AD3B" w14:textId="77777777" w:rsidR="00245194" w:rsidRPr="00245194" w:rsidRDefault="00245194" w:rsidP="0041511E">
            <w:pPr>
              <w:pStyle w:val="ECCTabletext"/>
            </w:pPr>
            <w:r w:rsidRPr="00245194">
              <w:t>45</w:t>
            </w:r>
          </w:p>
        </w:tc>
        <w:tc>
          <w:tcPr>
            <w:tcW w:w="1709" w:type="dxa"/>
            <w:hideMark/>
          </w:tcPr>
          <w:p w14:paraId="5887AD3C" w14:textId="77777777" w:rsidR="00245194" w:rsidRPr="00245194" w:rsidRDefault="00245194" w:rsidP="0041511E">
            <w:pPr>
              <w:pStyle w:val="ECCTabletext"/>
            </w:pPr>
            <w:r w:rsidRPr="00245194">
              <w:t>HISPASAT-1</w:t>
            </w:r>
          </w:p>
        </w:tc>
        <w:tc>
          <w:tcPr>
            <w:tcW w:w="1641" w:type="dxa"/>
          </w:tcPr>
          <w:p w14:paraId="5887AD3D" w14:textId="77777777" w:rsidR="00245194" w:rsidRPr="00245194" w:rsidRDefault="00245194" w:rsidP="0041511E">
            <w:pPr>
              <w:pStyle w:val="ECCTabletext"/>
            </w:pPr>
            <w:r w:rsidRPr="00245194">
              <w:t>08.02.2000</w:t>
            </w:r>
          </w:p>
        </w:tc>
        <w:tc>
          <w:tcPr>
            <w:tcW w:w="1218" w:type="dxa"/>
            <w:hideMark/>
          </w:tcPr>
          <w:p w14:paraId="5887AD3E" w14:textId="77777777" w:rsidR="00245194" w:rsidRPr="00245194" w:rsidRDefault="00245194" w:rsidP="0041511E">
            <w:pPr>
              <w:pStyle w:val="ECCTabletext"/>
            </w:pPr>
            <w:r w:rsidRPr="00245194">
              <w:t>99500256</w:t>
            </w:r>
          </w:p>
        </w:tc>
        <w:tc>
          <w:tcPr>
            <w:tcW w:w="3054" w:type="dxa"/>
            <w:vMerge w:val="restart"/>
            <w:hideMark/>
          </w:tcPr>
          <w:p w14:paraId="5887AD3F" w14:textId="77777777" w:rsidR="00245194" w:rsidRPr="00245194" w:rsidRDefault="00245194" w:rsidP="0041511E">
            <w:pPr>
              <w:pStyle w:val="ECCTabletext"/>
            </w:pPr>
            <w:r w:rsidRPr="00245194">
              <w:t xml:space="preserve">34.92ºW ≤ </w:t>
            </w:r>
            <w:r w:rsidR="00721B08" w:rsidRPr="00721B08">
              <w:t>Θ</w:t>
            </w:r>
            <w:r w:rsidR="00721B08">
              <w:t xml:space="preserve"> </w:t>
            </w:r>
            <w:r w:rsidRPr="00245194">
              <w:t>&lt;  33.5ºW;</w:t>
            </w:r>
          </w:p>
          <w:p w14:paraId="5887AD40" w14:textId="77777777" w:rsidR="00245194" w:rsidRPr="00245194" w:rsidRDefault="00245194" w:rsidP="0041511E">
            <w:pPr>
              <w:pStyle w:val="ECCTabletext"/>
            </w:pPr>
            <w:r w:rsidRPr="00245194">
              <w:t xml:space="preserve">32.5ºW &lt; </w:t>
            </w:r>
            <w:r w:rsidR="00721B08" w:rsidRPr="00721B08">
              <w:t>Θ</w:t>
            </w:r>
            <w:r w:rsidR="00721B08">
              <w:t xml:space="preserve"> </w:t>
            </w:r>
            <w:r w:rsidRPr="00245194">
              <w:t>≤  31.86ºW;</w:t>
            </w:r>
          </w:p>
          <w:p w14:paraId="5887AD41" w14:textId="77777777" w:rsidR="00245194" w:rsidRPr="00245194" w:rsidRDefault="00245194" w:rsidP="0041511E">
            <w:pPr>
              <w:pStyle w:val="ECCTabletext"/>
            </w:pPr>
            <w:r w:rsidRPr="00245194">
              <w:t xml:space="preserve">28.14ºW ≤ </w:t>
            </w:r>
            <w:r w:rsidR="00721B08" w:rsidRPr="00721B08">
              <w:t>Θ</w:t>
            </w:r>
            <w:r w:rsidR="00721B08">
              <w:t xml:space="preserve"> </w:t>
            </w:r>
            <w:r w:rsidRPr="00245194">
              <w:t>&lt; 26.0ºW;</w:t>
            </w:r>
          </w:p>
        </w:tc>
      </w:tr>
      <w:tr w:rsidR="00245194" w:rsidRPr="00817E53" w14:paraId="5887AD49" w14:textId="77777777" w:rsidTr="00C25662">
        <w:trPr>
          <w:trHeight w:val="238"/>
        </w:trPr>
        <w:tc>
          <w:tcPr>
            <w:tcW w:w="994" w:type="dxa"/>
            <w:vMerge/>
            <w:hideMark/>
          </w:tcPr>
          <w:p w14:paraId="5887AD43" w14:textId="77777777" w:rsidR="00245194" w:rsidRPr="00245194" w:rsidRDefault="00245194" w:rsidP="0041511E">
            <w:pPr>
              <w:pStyle w:val="ECCTabletext"/>
            </w:pPr>
          </w:p>
        </w:tc>
        <w:tc>
          <w:tcPr>
            <w:tcW w:w="1212" w:type="dxa"/>
            <w:vMerge/>
            <w:hideMark/>
          </w:tcPr>
          <w:p w14:paraId="5887AD44" w14:textId="77777777" w:rsidR="00245194" w:rsidRPr="00245194" w:rsidRDefault="00245194" w:rsidP="0041511E">
            <w:pPr>
              <w:pStyle w:val="ECCTabletext"/>
            </w:pPr>
          </w:p>
        </w:tc>
        <w:tc>
          <w:tcPr>
            <w:tcW w:w="1709" w:type="dxa"/>
            <w:hideMark/>
          </w:tcPr>
          <w:p w14:paraId="5887AD45" w14:textId="77777777" w:rsidR="00245194" w:rsidRPr="00245194" w:rsidRDefault="00245194" w:rsidP="0041511E">
            <w:pPr>
              <w:pStyle w:val="ECCTabletext"/>
            </w:pPr>
            <w:r w:rsidRPr="00245194">
              <w:t>HISPASAT-37A</w:t>
            </w:r>
          </w:p>
        </w:tc>
        <w:tc>
          <w:tcPr>
            <w:tcW w:w="1641" w:type="dxa"/>
          </w:tcPr>
          <w:p w14:paraId="5887AD46" w14:textId="77777777" w:rsidR="00245194" w:rsidRPr="00245194" w:rsidRDefault="00245194" w:rsidP="0041511E">
            <w:pPr>
              <w:pStyle w:val="ECCTabletext"/>
            </w:pPr>
            <w:r w:rsidRPr="00245194">
              <w:t>19.11.2014</w:t>
            </w:r>
          </w:p>
        </w:tc>
        <w:tc>
          <w:tcPr>
            <w:tcW w:w="1218" w:type="dxa"/>
            <w:hideMark/>
          </w:tcPr>
          <w:p w14:paraId="5887AD47" w14:textId="77777777" w:rsidR="00245194" w:rsidRPr="00245194" w:rsidRDefault="00245194" w:rsidP="0041511E">
            <w:pPr>
              <w:pStyle w:val="ECCTabletext"/>
            </w:pPr>
            <w:r w:rsidRPr="00245194">
              <w:t>117560019</w:t>
            </w:r>
          </w:p>
        </w:tc>
        <w:tc>
          <w:tcPr>
            <w:tcW w:w="3054" w:type="dxa"/>
            <w:vMerge/>
            <w:hideMark/>
          </w:tcPr>
          <w:p w14:paraId="5887AD48" w14:textId="77777777" w:rsidR="00245194" w:rsidRPr="00245194" w:rsidRDefault="00245194" w:rsidP="0041511E">
            <w:pPr>
              <w:pStyle w:val="ECCTabletext"/>
            </w:pPr>
          </w:p>
        </w:tc>
      </w:tr>
      <w:tr w:rsidR="00245194" w:rsidRPr="00785200" w14:paraId="5887AD53" w14:textId="77777777" w:rsidTr="00C25662">
        <w:trPr>
          <w:trHeight w:val="238"/>
        </w:trPr>
        <w:tc>
          <w:tcPr>
            <w:tcW w:w="994" w:type="dxa"/>
            <w:hideMark/>
          </w:tcPr>
          <w:p w14:paraId="5887AD4A" w14:textId="77777777" w:rsidR="00245194" w:rsidRPr="00245194" w:rsidRDefault="00245194" w:rsidP="0041511E">
            <w:pPr>
              <w:pStyle w:val="ECCTabletext"/>
            </w:pPr>
            <w:r w:rsidRPr="00245194">
              <w:t>4.8ºE</w:t>
            </w:r>
          </w:p>
        </w:tc>
        <w:tc>
          <w:tcPr>
            <w:tcW w:w="1212" w:type="dxa"/>
            <w:hideMark/>
          </w:tcPr>
          <w:p w14:paraId="5887AD4B" w14:textId="77777777" w:rsidR="00245194" w:rsidRPr="00245194" w:rsidRDefault="00245194" w:rsidP="0041511E">
            <w:pPr>
              <w:pStyle w:val="ECCTabletext"/>
            </w:pPr>
            <w:r w:rsidRPr="00245194">
              <w:t>40</w:t>
            </w:r>
          </w:p>
        </w:tc>
        <w:tc>
          <w:tcPr>
            <w:tcW w:w="1709" w:type="dxa"/>
            <w:hideMark/>
          </w:tcPr>
          <w:p w14:paraId="5887AD4C" w14:textId="77777777" w:rsidR="00245194" w:rsidRPr="00245194" w:rsidRDefault="00245194" w:rsidP="0041511E">
            <w:pPr>
              <w:pStyle w:val="ECCTabletext"/>
            </w:pPr>
            <w:r w:rsidRPr="00245194">
              <w:t>SIRIUS-N-BSS</w:t>
            </w:r>
          </w:p>
        </w:tc>
        <w:tc>
          <w:tcPr>
            <w:tcW w:w="1641" w:type="dxa"/>
          </w:tcPr>
          <w:p w14:paraId="5887AD4D" w14:textId="77777777" w:rsidR="00245194" w:rsidRPr="00245194" w:rsidRDefault="00245194" w:rsidP="0041511E">
            <w:pPr>
              <w:pStyle w:val="ECCTabletext"/>
            </w:pPr>
            <w:r w:rsidRPr="00245194">
              <w:t>17.11.2014</w:t>
            </w:r>
          </w:p>
        </w:tc>
        <w:tc>
          <w:tcPr>
            <w:tcW w:w="1218" w:type="dxa"/>
            <w:hideMark/>
          </w:tcPr>
          <w:p w14:paraId="5887AD4F" w14:textId="62484E8C" w:rsidR="00245194" w:rsidRPr="00245194" w:rsidRDefault="00B475F5" w:rsidP="0041511E">
            <w:pPr>
              <w:pStyle w:val="ECCTabletext"/>
            </w:pPr>
            <w:r w:rsidRPr="00D574CD">
              <w:rPr>
                <w:rStyle w:val="ECCParagraph"/>
              </w:rPr>
              <w:t>118560003</w:t>
            </w:r>
          </w:p>
        </w:tc>
        <w:tc>
          <w:tcPr>
            <w:tcW w:w="3054" w:type="dxa"/>
            <w:hideMark/>
          </w:tcPr>
          <w:p w14:paraId="5887AD50" w14:textId="77777777" w:rsidR="00245194" w:rsidRPr="00245194" w:rsidRDefault="00245194" w:rsidP="0041511E">
            <w:pPr>
              <w:pStyle w:val="ECCTabletext"/>
              <w:rPr>
                <w:lang w:val="pt-BR"/>
              </w:rPr>
            </w:pPr>
            <w:r w:rsidRPr="00245194">
              <w:rPr>
                <w:lang w:val="pt-BR"/>
              </w:rPr>
              <w:t xml:space="preserve">0 &lt; </w:t>
            </w:r>
            <w:r w:rsidR="00721B08" w:rsidRPr="00721B08">
              <w:t>Θ</w:t>
            </w:r>
            <w:r w:rsidR="00721B08" w:rsidRPr="00721B08">
              <w:rPr>
                <w:lang w:val="pt-BR"/>
              </w:rPr>
              <w:t xml:space="preserve"> </w:t>
            </w:r>
            <w:r w:rsidRPr="00245194">
              <w:rPr>
                <w:lang w:val="pt-BR"/>
              </w:rPr>
              <w:t>≤ 2.85ºE;</w:t>
            </w:r>
          </w:p>
          <w:p w14:paraId="5887AD51" w14:textId="77777777" w:rsidR="00245194" w:rsidRPr="00245194" w:rsidRDefault="00245194" w:rsidP="0041511E">
            <w:pPr>
              <w:pStyle w:val="ECCTabletext"/>
              <w:rPr>
                <w:lang w:val="pt-BR"/>
              </w:rPr>
            </w:pPr>
            <w:r w:rsidRPr="00245194">
              <w:rPr>
                <w:lang w:val="pt-BR"/>
              </w:rPr>
              <w:t xml:space="preserve">6.75ºE ≤ </w:t>
            </w:r>
            <w:r w:rsidR="00721B08" w:rsidRPr="00721B08">
              <w:t>Θ</w:t>
            </w:r>
            <w:r w:rsidR="00721B08" w:rsidRPr="00721B08">
              <w:rPr>
                <w:lang w:val="pt-BR"/>
              </w:rPr>
              <w:t xml:space="preserve"> </w:t>
            </w:r>
            <w:r w:rsidRPr="00245194">
              <w:rPr>
                <w:lang w:val="pt-BR"/>
              </w:rPr>
              <w:t>&lt; 9.0ºE;</w:t>
            </w:r>
          </w:p>
          <w:p w14:paraId="5887AD52" w14:textId="77777777" w:rsidR="00245194" w:rsidRPr="00245194" w:rsidRDefault="00245194" w:rsidP="0041511E">
            <w:pPr>
              <w:pStyle w:val="ECCTabletext"/>
              <w:rPr>
                <w:lang w:val="pt-BR"/>
              </w:rPr>
            </w:pPr>
            <w:r w:rsidRPr="00245194">
              <w:rPr>
                <w:lang w:val="pt-BR"/>
              </w:rPr>
              <w:t xml:space="preserve">9ºE &lt; </w:t>
            </w:r>
            <w:r w:rsidR="00721B08" w:rsidRPr="00721B08">
              <w:t>Θ</w:t>
            </w:r>
            <w:r w:rsidR="00721B08" w:rsidRPr="00721B08">
              <w:rPr>
                <w:lang w:val="pt-BR"/>
              </w:rPr>
              <w:t xml:space="preserve"> </w:t>
            </w:r>
            <w:r w:rsidRPr="00245194">
              <w:rPr>
                <w:lang w:val="pt-BR"/>
              </w:rPr>
              <w:t>≤ 10ºE;</w:t>
            </w:r>
          </w:p>
        </w:tc>
      </w:tr>
    </w:tbl>
    <w:p w14:paraId="5887ADA4" w14:textId="77777777" w:rsidR="003771D5" w:rsidRPr="00235592" w:rsidRDefault="003771D5" w:rsidP="00BD4E12">
      <w:pPr>
        <w:pStyle w:val="berschrift1"/>
        <w:rPr>
          <w:lang w:val="en-GB"/>
        </w:rPr>
      </w:pPr>
      <w:r w:rsidRPr="00235592">
        <w:rPr>
          <w:lang w:val="en-GB"/>
        </w:rPr>
        <w:t>List of relevant documents</w:t>
      </w:r>
    </w:p>
    <w:p w14:paraId="5887ADA5" w14:textId="77777777" w:rsidR="001725E3" w:rsidRPr="00736AC4" w:rsidRDefault="001725E3" w:rsidP="001725E3">
      <w:pPr>
        <w:rPr>
          <w:rStyle w:val="ECCHLbold"/>
        </w:rPr>
      </w:pPr>
      <w:r w:rsidRPr="00736AC4">
        <w:rPr>
          <w:rStyle w:val="ECCHLbold"/>
        </w:rPr>
        <w:t>ITU-Documentation:</w:t>
      </w:r>
    </w:p>
    <w:p w14:paraId="5887ADA6" w14:textId="77777777" w:rsidR="001725E3" w:rsidRPr="00945FBC" w:rsidRDefault="001725E3" w:rsidP="00945FBC">
      <w:pPr>
        <w:pStyle w:val="ECCBulletsLv1"/>
      </w:pPr>
      <w:r w:rsidRPr="00945FBC">
        <w:t>Recommendation ITU-R BO.1697, “Power flux-density values in the band 11.7</w:t>
      </w:r>
      <w:r w:rsidRPr="00945FBC">
        <w:noBreakHyphen/>
        <w:t xml:space="preserve">12.7 GHz and associated calculation methodology which may be used for bilateral coordination when the power flux-density values in § 3 of Annex 1 to Appendix 30 or Annex 4 to Appendix 30 of the Radio Regulations are exceeded“, adopted in 2005. </w:t>
      </w:r>
    </w:p>
    <w:p w14:paraId="5887ADA7" w14:textId="77777777" w:rsidR="001725E3" w:rsidRPr="00945FBC" w:rsidRDefault="001725E3" w:rsidP="00945FBC">
      <w:pPr>
        <w:pStyle w:val="ECCBulletsLv1"/>
      </w:pPr>
      <w:r w:rsidRPr="00945FBC">
        <w:t>Report ITU-R BO.809, “Inter-regional sharing of the 11.7 to 12.75 GHz frequency band between the broadcasting-satellite service and the fixed-satellite service“, adopted in 1990.</w:t>
      </w:r>
    </w:p>
    <w:p w14:paraId="5887ADA8" w14:textId="6EDA61E6" w:rsidR="001725E3" w:rsidRPr="00945FBC" w:rsidRDefault="001725E3" w:rsidP="00945FBC">
      <w:pPr>
        <w:pStyle w:val="ECCBulletsLv1"/>
      </w:pPr>
      <w:r w:rsidRPr="00945FBC">
        <w:t>Doc</w:t>
      </w:r>
      <w:r w:rsidR="00E9020F" w:rsidRPr="00945FBC">
        <w:t>.</w:t>
      </w:r>
      <w:r w:rsidRPr="00945FBC">
        <w:t xml:space="preserve"> 4A/</w:t>
      </w:r>
      <w:r w:rsidR="00711F84">
        <w:t>826</w:t>
      </w:r>
      <w:r w:rsidRPr="00945FBC">
        <w:t xml:space="preserve">, Annex </w:t>
      </w:r>
      <w:r w:rsidR="00711F84">
        <w:t>18</w:t>
      </w:r>
      <w:r w:rsidRPr="00945FBC">
        <w:t xml:space="preserve"> Working document </w:t>
      </w:r>
      <w:r w:rsidR="0021518E" w:rsidRPr="00945FBC">
        <w:t>towards a Preliminary Draft Report</w:t>
      </w:r>
      <w:r w:rsidRPr="00945FBC">
        <w:t xml:space="preserve"> ITU-R BO</w:t>
      </w:r>
      <w:proofErr w:type="gramStart"/>
      <w:r w:rsidRPr="00945FBC">
        <w:t>.[</w:t>
      </w:r>
      <w:proofErr w:type="gramEnd"/>
      <w:r w:rsidRPr="00945FBC">
        <w:t>AP30.ANNEX7] “Assessment on limitations mentioned in Annex 7 to RR Appendix 30 (Rev.WRC-12) in the 11.7-12.7 GHz band for the GSO broadcasting-satellite service in all Regions</w:t>
      </w:r>
      <w:r w:rsidR="00B03605">
        <w:t>”.</w:t>
      </w:r>
    </w:p>
    <w:p w14:paraId="5887ADA9" w14:textId="4AEA99A2" w:rsidR="00B02DA0" w:rsidRPr="00945FBC" w:rsidRDefault="00561599" w:rsidP="00945FBC">
      <w:pPr>
        <w:pStyle w:val="ECCBulletsLv1"/>
      </w:pPr>
      <w:r>
        <w:t>Doc. 4A/</w:t>
      </w:r>
      <w:r w:rsidR="00711F84">
        <w:t>826</w:t>
      </w:r>
      <w:r w:rsidR="0044577A" w:rsidRPr="00B02DA0">
        <w:t xml:space="preserve"> </w:t>
      </w:r>
      <w:r w:rsidR="00B02DA0" w:rsidRPr="00B02DA0">
        <w:t xml:space="preserve">Annex </w:t>
      </w:r>
      <w:r w:rsidR="0044577A">
        <w:t>27</w:t>
      </w:r>
      <w:r w:rsidR="00B02DA0" w:rsidRPr="00B02DA0">
        <w:t xml:space="preserve"> - Preliminary draft CPM text for WRC-19 </w:t>
      </w:r>
      <w:r w:rsidR="00B6418D">
        <w:t>A</w:t>
      </w:r>
      <w:r w:rsidR="00B6418D" w:rsidRPr="00B02DA0">
        <w:t xml:space="preserve">genda </w:t>
      </w:r>
      <w:r w:rsidR="00B02DA0" w:rsidRPr="00B02DA0">
        <w:t>item 1.4</w:t>
      </w:r>
      <w:r w:rsidR="00B02DA0">
        <w:t>.</w:t>
      </w:r>
    </w:p>
    <w:p w14:paraId="5887ADAA" w14:textId="77777777" w:rsidR="001725E3" w:rsidRPr="00736AC4" w:rsidRDefault="001725E3" w:rsidP="001725E3">
      <w:pPr>
        <w:rPr>
          <w:rStyle w:val="ECCHLbold"/>
        </w:rPr>
      </w:pPr>
      <w:r w:rsidRPr="00736AC4">
        <w:rPr>
          <w:rStyle w:val="ECCHLbold"/>
        </w:rPr>
        <w:t>CEPT and/or ECC Documentation:</w:t>
      </w:r>
    </w:p>
    <w:p w14:paraId="5887ADAB" w14:textId="77777777" w:rsidR="001725E3" w:rsidRPr="001725E3" w:rsidRDefault="001725E3" w:rsidP="001725E3">
      <w:pPr>
        <w:pStyle w:val="ECCBulletsLv1"/>
      </w:pPr>
      <w:r w:rsidRPr="001725E3">
        <w:t>ERC Decision ERC/DEC</w:t>
      </w:r>
      <w:proofErr w:type="gramStart"/>
      <w:r w:rsidRPr="001725E3">
        <w:t>/(</w:t>
      </w:r>
      <w:proofErr w:type="gramEnd"/>
      <w:r w:rsidRPr="001725E3">
        <w:t>00)08 of 19 October 2000 on the use of the band 10.7-12.5 GHz by the fixed service and Earth stations of the broadcasting-satellite and fixed-satellite Service (space-to-Earth)</w:t>
      </w:r>
      <w:r w:rsidR="00B03605">
        <w:t>.</w:t>
      </w:r>
    </w:p>
    <w:p w14:paraId="5887ADAC" w14:textId="77777777" w:rsidR="001725E3" w:rsidRDefault="001725E3" w:rsidP="001725E3">
      <w:pPr>
        <w:rPr>
          <w:rStyle w:val="ECCHLbold"/>
        </w:rPr>
      </w:pPr>
      <w:r w:rsidRPr="00736AC4">
        <w:rPr>
          <w:rStyle w:val="ECCHLbold"/>
        </w:rPr>
        <w:t>EU Documentation (Directives, Decisions, Recommendations, other), if applicable</w:t>
      </w:r>
    </w:p>
    <w:p w14:paraId="5887ADAD" w14:textId="77777777" w:rsidR="00215A79" w:rsidRPr="00736AC4" w:rsidRDefault="00215A79" w:rsidP="00022A84">
      <w:pPr>
        <w:pStyle w:val="ECCBulletsLv1"/>
        <w:rPr>
          <w:rStyle w:val="ECCHLbold"/>
        </w:rPr>
      </w:pPr>
    </w:p>
    <w:p w14:paraId="5887ADAE" w14:textId="77777777" w:rsidR="003771D5" w:rsidRPr="00235592" w:rsidRDefault="003771D5" w:rsidP="00BD4E12">
      <w:pPr>
        <w:pStyle w:val="berschrift1"/>
        <w:rPr>
          <w:lang w:val="en-GB"/>
        </w:rPr>
      </w:pPr>
      <w:r w:rsidRPr="00235592">
        <w:rPr>
          <w:lang w:val="en-GB"/>
        </w:rPr>
        <w:t>Actions to be taken</w:t>
      </w:r>
    </w:p>
    <w:p w14:paraId="5887ADAF" w14:textId="2514B70B" w:rsidR="007D46AD" w:rsidRDefault="007D46AD" w:rsidP="00945FBC">
      <w:pPr>
        <w:pStyle w:val="ECCBulletsLv2"/>
      </w:pPr>
      <w:r>
        <w:t>To decide which regulatory solution is preferable with regard to limitations A1</w:t>
      </w:r>
      <w:r w:rsidR="0023716A">
        <w:t>a</w:t>
      </w:r>
      <w:r>
        <w:t xml:space="preserve"> and A2a.</w:t>
      </w:r>
    </w:p>
    <w:p w14:paraId="5887ADB1" w14:textId="77777777" w:rsidR="001725E3" w:rsidRPr="001725E3" w:rsidRDefault="001725E3" w:rsidP="00945FBC">
      <w:pPr>
        <w:pStyle w:val="ECCBulletsLv2"/>
      </w:pPr>
      <w:r w:rsidRPr="001725E3">
        <w:t xml:space="preserve">To prepare proposals </w:t>
      </w:r>
      <w:r w:rsidRPr="00B8298A">
        <w:rPr>
          <w:noProof/>
        </w:rPr>
        <w:t>to</w:t>
      </w:r>
      <w:r w:rsidRPr="001725E3">
        <w:t xml:space="preserve"> preliminary draft new Report ITU-R BO</w:t>
      </w:r>
      <w:proofErr w:type="gramStart"/>
      <w:r w:rsidRPr="001725E3">
        <w:t>.[</w:t>
      </w:r>
      <w:proofErr w:type="gramEnd"/>
      <w:r w:rsidRPr="001725E3">
        <w:t>AP30.ANNEX7], if necessary</w:t>
      </w:r>
      <w:r w:rsidR="00604669">
        <w:t>.</w:t>
      </w:r>
    </w:p>
    <w:p w14:paraId="5887ADB3" w14:textId="77777777" w:rsidR="00E025CF" w:rsidRDefault="001725E3" w:rsidP="000D79C7">
      <w:pPr>
        <w:pStyle w:val="ECCBulletsLv2"/>
      </w:pPr>
      <w:r w:rsidRPr="001725E3">
        <w:t>To prepare proposals to ECP</w:t>
      </w:r>
      <w:r w:rsidR="00604669">
        <w:t>.</w:t>
      </w:r>
    </w:p>
    <w:p w14:paraId="4BFD93B0" w14:textId="25D2B6A2" w:rsidR="001979F6" w:rsidRPr="00C25662" w:rsidRDefault="001979F6" w:rsidP="00C25662">
      <w:pPr>
        <w:pStyle w:val="ECCBulletsLv2"/>
        <w:rPr>
          <w:rStyle w:val="ECCHLgreen"/>
          <w:shd w:val="clear" w:color="auto" w:fill="auto"/>
        </w:rPr>
      </w:pPr>
      <w:r w:rsidRPr="00C25662">
        <w:rPr>
          <w:rStyle w:val="ECCHLgreen"/>
          <w:shd w:val="clear" w:color="auto" w:fill="auto"/>
        </w:rPr>
        <w:t>To study whether orbit limitation references are required with the deletion of A1a, A2a and A2b limitations in order to define the orbital arc allowed. In case they are, to decide the technical criteria to define them.</w:t>
      </w:r>
    </w:p>
    <w:p w14:paraId="5887ADB5" w14:textId="77777777" w:rsidR="003771D5" w:rsidRPr="00235592" w:rsidRDefault="003771D5" w:rsidP="00BD4E12">
      <w:pPr>
        <w:pStyle w:val="berschrift1"/>
        <w:rPr>
          <w:lang w:val="en-GB"/>
        </w:rPr>
      </w:pPr>
      <w:r w:rsidRPr="00235592">
        <w:rPr>
          <w:lang w:val="en-GB"/>
        </w:rPr>
        <w:t>Relevant information from outside CEPT (examples of these are below)</w:t>
      </w:r>
    </w:p>
    <w:p w14:paraId="5887ADB6" w14:textId="77777777" w:rsidR="003771D5" w:rsidRPr="00235592" w:rsidRDefault="003771D5" w:rsidP="00BD4E12">
      <w:pPr>
        <w:pStyle w:val="berschrift2"/>
        <w:rPr>
          <w:lang w:val="en-GB"/>
        </w:rPr>
      </w:pPr>
      <w:r w:rsidRPr="00235592">
        <w:rPr>
          <w:lang w:val="en-GB"/>
        </w:rPr>
        <w:t>European Union (date of proposal)</w:t>
      </w:r>
    </w:p>
    <w:p w14:paraId="5887ADB7" w14:textId="77777777" w:rsidR="004F16F4" w:rsidRPr="00235592" w:rsidRDefault="004F16F4" w:rsidP="004F16F4">
      <w:pPr>
        <w:rPr>
          <w:rStyle w:val="ECCParagraph"/>
        </w:rPr>
      </w:pPr>
    </w:p>
    <w:p w14:paraId="5887ADB8" w14:textId="77777777" w:rsidR="003771D5" w:rsidRPr="00235592" w:rsidRDefault="003771D5" w:rsidP="00BD4E12">
      <w:pPr>
        <w:pStyle w:val="berschrift2"/>
        <w:rPr>
          <w:lang w:val="en-GB"/>
        </w:rPr>
      </w:pPr>
      <w:r w:rsidRPr="00235592">
        <w:rPr>
          <w:lang w:val="en-GB"/>
        </w:rPr>
        <w:lastRenderedPageBreak/>
        <w:t>Regional t</w:t>
      </w:r>
      <w:r w:rsidR="0057797A" w:rsidRPr="00235592">
        <w:rPr>
          <w:lang w:val="en-GB"/>
        </w:rPr>
        <w:t>elecommunication organisations</w:t>
      </w:r>
    </w:p>
    <w:p w14:paraId="5887ADB9" w14:textId="0EA1A572" w:rsidR="00A31731" w:rsidRPr="00A31731" w:rsidRDefault="00A31731" w:rsidP="00A31731">
      <w:pPr>
        <w:pStyle w:val="ECCBreak"/>
      </w:pPr>
      <w:r w:rsidRPr="00A31731">
        <w:t>APT (</w:t>
      </w:r>
      <w:r w:rsidR="00386832">
        <w:t xml:space="preserve">June </w:t>
      </w:r>
      <w:r w:rsidR="00604669">
        <w:t>2018</w:t>
      </w:r>
      <w:r w:rsidRPr="00A31731">
        <w:t>)</w:t>
      </w:r>
    </w:p>
    <w:p w14:paraId="5405126A" w14:textId="4E21A05F" w:rsidR="00386832" w:rsidRPr="00604669" w:rsidRDefault="00A31731" w:rsidP="00A31731">
      <w:pPr>
        <w:rPr>
          <w:rStyle w:val="ECCParagraph"/>
        </w:rPr>
      </w:pPr>
      <w:r w:rsidRPr="00B707C9">
        <w:t xml:space="preserve">APT members </w:t>
      </w:r>
      <w:r w:rsidR="00604669" w:rsidRPr="00604669">
        <w:rPr>
          <w:lang w:val="en-US"/>
        </w:rPr>
        <w:t>are of the view</w:t>
      </w:r>
      <w:r w:rsidR="00604669">
        <w:t xml:space="preserve"> to</w:t>
      </w:r>
      <w:r w:rsidR="00604669" w:rsidRPr="00604669">
        <w:rPr>
          <w:lang w:val="en-US"/>
        </w:rPr>
        <w:t xml:space="preserve"> </w:t>
      </w:r>
      <w:r w:rsidRPr="00B707C9">
        <w:t xml:space="preserve">support ITU-R studies and that any possible revision of the limitations of Annex 7 to Radio Regulations Appendix </w:t>
      </w:r>
      <w:r w:rsidRPr="00B03605">
        <w:rPr>
          <w:rStyle w:val="ECCHLbold"/>
        </w:rPr>
        <w:t>30</w:t>
      </w:r>
      <w:r w:rsidRPr="00B707C9">
        <w:t xml:space="preserve"> </w:t>
      </w:r>
      <w:r w:rsidRPr="00604669">
        <w:rPr>
          <w:rStyle w:val="ECCHLbold"/>
        </w:rPr>
        <w:t>(Rev.WRC-15)</w:t>
      </w:r>
      <w:r w:rsidRPr="00B707C9">
        <w:t xml:space="preserve"> under </w:t>
      </w:r>
      <w:r w:rsidRPr="00604669">
        <w:rPr>
          <w:rStyle w:val="ECCHLbold"/>
        </w:rPr>
        <w:t>Resolution 557 (WRC-15)</w:t>
      </w:r>
      <w:r w:rsidRPr="00B707C9">
        <w:t xml:space="preserve"> should not impose </w:t>
      </w:r>
      <w:r w:rsidR="00604669" w:rsidRPr="00604669">
        <w:rPr>
          <w:lang w:val="en-US"/>
        </w:rPr>
        <w:t>undue</w:t>
      </w:r>
      <w:r w:rsidR="00022A84">
        <w:t xml:space="preserve"> </w:t>
      </w:r>
      <w:r w:rsidRPr="00B707C9">
        <w:t xml:space="preserve">constraints on </w:t>
      </w:r>
      <w:r w:rsidR="00604669" w:rsidRPr="00604669">
        <w:rPr>
          <w:lang w:val="en-US"/>
        </w:rPr>
        <w:t xml:space="preserve">current and future FSS/BSS usage in the 11.7-12.7 GHz frequency band </w:t>
      </w:r>
      <w:r w:rsidRPr="00B707C9">
        <w:t>for Region 3.</w:t>
      </w:r>
    </w:p>
    <w:p w14:paraId="5887ADBB" w14:textId="06B2F5BD" w:rsidR="00A31731" w:rsidRPr="00450BED" w:rsidRDefault="00A31731" w:rsidP="00A31731">
      <w:pPr>
        <w:pStyle w:val="ECCBreak"/>
        <w:rPr>
          <w:lang w:val="en-US"/>
        </w:rPr>
      </w:pPr>
      <w:r w:rsidRPr="00450BED">
        <w:rPr>
          <w:lang w:val="en-US"/>
        </w:rPr>
        <w:t>ATU (</w:t>
      </w:r>
      <w:r w:rsidR="00386832">
        <w:t>October 2018</w:t>
      </w:r>
      <w:r w:rsidRPr="00450BED">
        <w:rPr>
          <w:lang w:val="en-US"/>
        </w:rPr>
        <w:t>)</w:t>
      </w:r>
    </w:p>
    <w:p w14:paraId="3F6FD95C" w14:textId="77777777" w:rsidR="00B66BAB" w:rsidRDefault="00B66BAB" w:rsidP="00B66BAB">
      <w:pPr>
        <w:pStyle w:val="Listenabsatz"/>
        <w:numPr>
          <w:ilvl w:val="0"/>
          <w:numId w:val="42"/>
        </w:numPr>
      </w:pPr>
      <w:r w:rsidRPr="00B66BAB">
        <w:rPr>
          <w:rStyle w:val="ECCHLbold"/>
        </w:rPr>
        <w:t>Method C</w:t>
      </w:r>
      <w:r w:rsidRPr="00B66BAB">
        <w:t xml:space="preserve">, which include the new Resolution [B14-PRIORITY] (WRC-19) which was proposed by African countries to give priority to Administrations with very bad reference </w:t>
      </w:r>
      <w:proofErr w:type="spellStart"/>
      <w:r w:rsidRPr="00B66BAB">
        <w:t>situationin</w:t>
      </w:r>
      <w:proofErr w:type="spellEnd"/>
      <w:r w:rsidRPr="00B66BAB">
        <w:t xml:space="preserve"> the Appendix 30, 30A (below -10 dB) to submit their filings for a period of 90 days, should WRC-19 approve the removal of the limitations.</w:t>
      </w:r>
    </w:p>
    <w:p w14:paraId="7CD2D026" w14:textId="77777777" w:rsidR="00B66BAB" w:rsidRDefault="00B66BAB" w:rsidP="00B66BAB">
      <w:pPr>
        <w:pStyle w:val="Listenabsatz"/>
        <w:numPr>
          <w:ilvl w:val="0"/>
          <w:numId w:val="42"/>
        </w:numPr>
      </w:pPr>
      <w:r w:rsidRPr="00B66BAB">
        <w:rPr>
          <w:rStyle w:val="ECCHLbold"/>
        </w:rPr>
        <w:t>Support, as a matter of principle,</w:t>
      </w:r>
      <w:r>
        <w:t xml:space="preserve"> </w:t>
      </w:r>
      <w:r w:rsidRPr="00B66BAB">
        <w:t>the removal of limits in Annex 7 if the countries with very bad reference situation are given first opportunity to</w:t>
      </w:r>
      <w:r>
        <w:t xml:space="preserve"> </w:t>
      </w:r>
      <w:r w:rsidRPr="00B66BAB">
        <w:t>improve their allotted satellite networks in Appendix 30.</w:t>
      </w:r>
    </w:p>
    <w:p w14:paraId="60413EEE" w14:textId="0C227ADC" w:rsidR="00B66BAB" w:rsidRPr="00B66BAB" w:rsidRDefault="00B66BAB" w:rsidP="00B66BAB">
      <w:pPr>
        <w:pStyle w:val="Listenabsatz"/>
        <w:numPr>
          <w:ilvl w:val="0"/>
          <w:numId w:val="42"/>
        </w:numPr>
      </w:pPr>
      <w:r w:rsidRPr="00B66BAB">
        <w:rPr>
          <w:rStyle w:val="ECCHLbold"/>
        </w:rPr>
        <w:t>Support</w:t>
      </w:r>
      <w:r>
        <w:t xml:space="preserve"> </w:t>
      </w:r>
      <w:r w:rsidRPr="00B66BAB">
        <w:t>the study of each limitation under Annex 7 to Appendix 30; these studies seek to explore ways of allowing better utilization of the orbit spectrum resource.</w:t>
      </w:r>
    </w:p>
    <w:p w14:paraId="5887ADC3" w14:textId="77777777" w:rsidR="00A31731" w:rsidRPr="00450BED" w:rsidRDefault="00A31731" w:rsidP="00A31731">
      <w:pPr>
        <w:pStyle w:val="ECCBreak"/>
        <w:rPr>
          <w:lang w:val="en-US"/>
        </w:rPr>
      </w:pPr>
      <w:r w:rsidRPr="00450BED">
        <w:rPr>
          <w:lang w:val="en-US"/>
        </w:rPr>
        <w:t>Arab Group (</w:t>
      </w:r>
      <w:r w:rsidR="00096C5F" w:rsidRPr="00450BED">
        <w:rPr>
          <w:lang w:val="en-US"/>
        </w:rPr>
        <w:t>April 201</w:t>
      </w:r>
      <w:r w:rsidR="0091250F">
        <w:t>8</w:t>
      </w:r>
      <w:r w:rsidRPr="00450BED">
        <w:rPr>
          <w:lang w:val="en-US"/>
        </w:rPr>
        <w:t>)</w:t>
      </w:r>
    </w:p>
    <w:p w14:paraId="5887ADC4" w14:textId="77777777" w:rsidR="0091250F" w:rsidRDefault="0091250F" w:rsidP="0091250F">
      <w:pPr>
        <w:pStyle w:val="ECCBulletsLv1"/>
      </w:pPr>
      <w:r w:rsidRPr="0091250F">
        <w:t>Support n</w:t>
      </w:r>
      <w:r>
        <w:t xml:space="preserve">o change to Annex7 limitations </w:t>
      </w:r>
    </w:p>
    <w:p w14:paraId="5887ADC5" w14:textId="77777777" w:rsidR="0091250F" w:rsidRPr="0091250F" w:rsidRDefault="0091250F" w:rsidP="0091250F">
      <w:pPr>
        <w:pStyle w:val="ECCBulletsLv1"/>
      </w:pPr>
      <w:r w:rsidRPr="0091250F">
        <w:t>Support no change Annex 1 to 4 of Appendix 30 as it is outside the scope of 1.4.</w:t>
      </w:r>
    </w:p>
    <w:p w14:paraId="5887ADC6" w14:textId="48446B17" w:rsidR="00A31731" w:rsidRPr="00450BED" w:rsidRDefault="00A31731" w:rsidP="00A31731">
      <w:pPr>
        <w:pStyle w:val="ECCBreak"/>
        <w:rPr>
          <w:lang w:val="en-US"/>
        </w:rPr>
      </w:pPr>
      <w:r w:rsidRPr="00450BED">
        <w:rPr>
          <w:lang w:val="en-US"/>
        </w:rPr>
        <w:t>CITEL (</w:t>
      </w:r>
      <w:r w:rsidR="00B66BAB">
        <w:t>June</w:t>
      </w:r>
      <w:r w:rsidR="00821CBB" w:rsidRPr="00497E54">
        <w:rPr>
          <w:lang w:val="en-US"/>
        </w:rPr>
        <w:t xml:space="preserve"> 2018</w:t>
      </w:r>
      <w:r w:rsidRPr="00450BED">
        <w:rPr>
          <w:lang w:val="en-US"/>
        </w:rPr>
        <w:t>)</w:t>
      </w:r>
    </w:p>
    <w:p w14:paraId="2C6B082A" w14:textId="77777777" w:rsidR="00826A11" w:rsidRPr="00826A11" w:rsidRDefault="00826A11" w:rsidP="00826A11">
      <w:pPr>
        <w:rPr>
          <w:lang w:val="en-US"/>
        </w:rPr>
      </w:pPr>
      <w:r w:rsidRPr="00826A11">
        <w:t>CAN, MEX, USA</w:t>
      </w:r>
    </w:p>
    <w:p w14:paraId="24A55311" w14:textId="47386792" w:rsidR="00826A11" w:rsidRPr="00826A11" w:rsidRDefault="00826A11" w:rsidP="00826A11">
      <w:r w:rsidRPr="00826A11">
        <w:t>With respect to Agenda I</w:t>
      </w:r>
      <w:r w:rsidR="00C25662">
        <w:t xml:space="preserve">tem 1.4, these Administrations </w:t>
      </w:r>
      <w:r w:rsidRPr="00826A11">
        <w:t>support the studies in accordance with Resolution 557 (WRC-15).  Based upon successful conclusion and feasibility of these activities, these Administrations support the review and revision, as necessary, of the limitations of Annex 7 to Appendix 30 (Rev.WRC</w:t>
      </w:r>
      <w:r w:rsidRPr="00826A11">
        <w:noBreakHyphen/>
        <w:t>12), while ensuring the protection of, and without imposing additional constraint on, existing assignments in the Plan and the List and the future development of BSS service within the Plan, and existing and planned fixed-satellite service networks.</w:t>
      </w:r>
    </w:p>
    <w:p w14:paraId="5887ADCF" w14:textId="6643560F" w:rsidR="00A31731" w:rsidRDefault="00A31731" w:rsidP="00A31731">
      <w:pPr>
        <w:pStyle w:val="ECCBreak"/>
      </w:pPr>
      <w:r w:rsidRPr="00450BED">
        <w:rPr>
          <w:lang w:val="en-US"/>
        </w:rPr>
        <w:t>RCC (</w:t>
      </w:r>
      <w:r w:rsidR="00B66BAB">
        <w:t>October</w:t>
      </w:r>
      <w:r w:rsidR="00B66BAB" w:rsidRPr="00450BED">
        <w:rPr>
          <w:lang w:val="en-US"/>
        </w:rPr>
        <w:t xml:space="preserve"> </w:t>
      </w:r>
      <w:r w:rsidRPr="00450BED">
        <w:rPr>
          <w:lang w:val="en-US"/>
        </w:rPr>
        <w:t>201</w:t>
      </w:r>
      <w:r w:rsidR="006C449C" w:rsidRPr="00215A79">
        <w:rPr>
          <w:lang w:val="en-US"/>
        </w:rPr>
        <w:t>8</w:t>
      </w:r>
      <w:r w:rsidRPr="00450BED">
        <w:rPr>
          <w:lang w:val="en-US"/>
        </w:rPr>
        <w:t>)</w:t>
      </w:r>
    </w:p>
    <w:p w14:paraId="3AC5A741" w14:textId="10BACDB3" w:rsidR="00511B3A" w:rsidRPr="00457848" w:rsidRDefault="00511B3A" w:rsidP="00511B3A">
      <w:pPr>
        <w:rPr>
          <w:rStyle w:val="ECCParagraph"/>
        </w:rPr>
      </w:pPr>
      <w:r>
        <w:rPr>
          <w:rStyle w:val="ECCParagraph"/>
        </w:rPr>
        <w:t>The RCC Administrations do not oppose the deletion of the following limitations (Atlantic Region):</w:t>
      </w:r>
    </w:p>
    <w:p w14:paraId="4BAE2C6C" w14:textId="77777777" w:rsidR="00511B3A" w:rsidRDefault="00511B3A" w:rsidP="00511B3A">
      <w:pPr>
        <w:pStyle w:val="ECCBulletsLv1"/>
      </w:pPr>
      <w:r w:rsidRPr="00F2619C">
        <w:t>Limitation A1</w:t>
      </w:r>
      <w:r>
        <w:t>a</w:t>
      </w:r>
      <w:r w:rsidRPr="00F2619C">
        <w:t xml:space="preserve"> (No assignments in the Region 1 List further west than 37.2°W)</w:t>
      </w:r>
    </w:p>
    <w:p w14:paraId="73EB13D5" w14:textId="77777777" w:rsidR="00511B3A" w:rsidRDefault="00511B3A" w:rsidP="00511B3A">
      <w:pPr>
        <w:pStyle w:val="ECCBulletsLv1"/>
      </w:pPr>
      <w:r w:rsidRPr="00A235DA">
        <w:rPr>
          <w:rStyle w:val="ECCParagraph"/>
        </w:rPr>
        <w:t>Limitation</w:t>
      </w:r>
      <w:r w:rsidRPr="00A235DA">
        <w:t xml:space="preserve"> A2a (No modification in the Region 2 Plan further east than 54°W)</w:t>
      </w:r>
    </w:p>
    <w:p w14:paraId="5282BA11" w14:textId="77777777" w:rsidR="00511B3A" w:rsidRDefault="00511B3A" w:rsidP="00511B3A">
      <w:pPr>
        <w:pStyle w:val="ECCBulletsLv1"/>
        <w:rPr>
          <w:rStyle w:val="ECCParagraph"/>
        </w:rPr>
      </w:pPr>
      <w:r w:rsidRPr="00F2619C">
        <w:t>Limitation A2b (No modification in the Region 2 Plan further east than 44°W)</w:t>
      </w:r>
      <w:r w:rsidRPr="00A235DA">
        <w:rPr>
          <w:rStyle w:val="ECCParagraph"/>
        </w:rPr>
        <w:t xml:space="preserve"> </w:t>
      </w:r>
    </w:p>
    <w:p w14:paraId="162B5A2D" w14:textId="650515BC" w:rsidR="00511B3A" w:rsidRDefault="00511B3A" w:rsidP="00511B3A">
      <w:pPr>
        <w:rPr>
          <w:rStyle w:val="ECCParagraph"/>
        </w:rPr>
      </w:pPr>
      <w:r>
        <w:rPr>
          <w:rStyle w:val="ECCParagraph"/>
        </w:rPr>
        <w:t>The RCC Administrations support maintaining the following limitation (Pacific Region):</w:t>
      </w:r>
    </w:p>
    <w:p w14:paraId="76B01841" w14:textId="77777777" w:rsidR="00511B3A" w:rsidRPr="001403EF" w:rsidRDefault="00511B3A" w:rsidP="00511B3A">
      <w:pPr>
        <w:pStyle w:val="ECCBulletsLv1"/>
        <w:rPr>
          <w:rStyle w:val="ECCHLyellow"/>
        </w:rPr>
      </w:pPr>
      <w:r w:rsidRPr="00472009">
        <w:rPr>
          <w:rStyle w:val="ECCParagraph"/>
        </w:rPr>
        <w:t>Limitation A1</w:t>
      </w:r>
      <w:r>
        <w:rPr>
          <w:rStyle w:val="ECCParagraph"/>
        </w:rPr>
        <w:t>b</w:t>
      </w:r>
      <w:r w:rsidRPr="00472009">
        <w:rPr>
          <w:rStyle w:val="ECCParagraph"/>
        </w:rPr>
        <w:t xml:space="preserve"> (No assignments in the Region 1 List further east than 146°E)</w:t>
      </w:r>
    </w:p>
    <w:p w14:paraId="6A7DBB6E" w14:textId="1037BCBE" w:rsidR="00511B3A" w:rsidRPr="00511B3A" w:rsidRDefault="00511B3A" w:rsidP="00511B3A">
      <w:pPr>
        <w:pStyle w:val="ECCBulletsLv1"/>
        <w:numPr>
          <w:ilvl w:val="0"/>
          <w:numId w:val="0"/>
        </w:numPr>
        <w:rPr>
          <w:rStyle w:val="ECCParagraph"/>
        </w:rPr>
      </w:pPr>
      <w:r w:rsidRPr="00511B3A">
        <w:rPr>
          <w:rStyle w:val="ECCParagraph"/>
        </w:rPr>
        <w:t xml:space="preserve">The RCC Administrations do not oppose the deletion of the following limitations </w:t>
      </w:r>
    </w:p>
    <w:p w14:paraId="79629103" w14:textId="1BE1984F" w:rsidR="00511B3A" w:rsidRDefault="00511B3A" w:rsidP="00511B3A">
      <w:pPr>
        <w:pStyle w:val="ECCBulletsLv1"/>
      </w:pPr>
      <w:r>
        <w:t xml:space="preserve">Limitation A3a </w:t>
      </w:r>
      <w:r w:rsidRPr="003A1026">
        <w:t>(No assignments in the Regions 1 &amp; 3 List outside specific allowable portions of the orbital arc between 37.2°W and 10°E</w:t>
      </w:r>
      <w:r w:rsidR="002E2BA3">
        <w:t>)</w:t>
      </w:r>
      <w:r w:rsidRPr="003A1026">
        <w:t xml:space="preserve"> </w:t>
      </w:r>
      <w:r w:rsidR="002E2BA3">
        <w:t>provided the existing protection criteria from Annex 1 to RR Appendix 30 are maintained for implemented frequency assignments with an antenna diameter of 40 and 45 cm;</w:t>
      </w:r>
      <w:r>
        <w:t xml:space="preserve"> </w:t>
      </w:r>
    </w:p>
    <w:p w14:paraId="507BB730" w14:textId="74921ED2" w:rsidR="00511B3A" w:rsidRDefault="00511B3A" w:rsidP="00511B3A">
      <w:pPr>
        <w:pStyle w:val="ECCBulletsLv1"/>
        <w:rPr>
          <w:rStyle w:val="ECCParagraph"/>
        </w:rPr>
      </w:pPr>
      <w:r>
        <w:rPr>
          <w:rStyle w:val="ECCParagraph"/>
        </w:rPr>
        <w:t>Limitation A3b (</w:t>
      </w:r>
      <w:r>
        <w:t>Maximum</w:t>
      </w:r>
      <w:r w:rsidRPr="00214747">
        <w:t xml:space="preserve"> </w:t>
      </w:r>
      <w:proofErr w:type="spellStart"/>
      <w:r w:rsidRPr="00214747">
        <w:t>e.i.r.p</w:t>
      </w:r>
      <w:proofErr w:type="spellEnd"/>
      <w:r w:rsidRPr="00214747">
        <w:t xml:space="preserve">. of 56 </w:t>
      </w:r>
      <w:proofErr w:type="spellStart"/>
      <w:r w:rsidRPr="00214747">
        <w:t>dBW</w:t>
      </w:r>
      <w:proofErr w:type="spellEnd"/>
      <w:r w:rsidRPr="00214747">
        <w:t xml:space="preserve"> for assignments in the Regions 1 &amp; 3 List at specific allowable portions of the orbital arc between 37.2°W and 10°E</w:t>
      </w:r>
      <w:r>
        <w:t>)</w:t>
      </w:r>
    </w:p>
    <w:p w14:paraId="0F1FB5AD" w14:textId="6D7F5905" w:rsidR="00511B3A" w:rsidRDefault="00511B3A" w:rsidP="00511B3A">
      <w:pPr>
        <w:pStyle w:val="ECCBulletsLv1"/>
      </w:pPr>
      <w:r>
        <w:rPr>
          <w:rStyle w:val="ECCParagraph"/>
        </w:rPr>
        <w:t>Limitation A3c  (</w:t>
      </w:r>
      <w:r>
        <w:t>Maximum</w:t>
      </w:r>
      <w:r w:rsidRPr="00214747">
        <w:t xml:space="preserve"> power flux density of -138 dB(W/(</w:t>
      </w:r>
      <w:r>
        <w:t>m</w:t>
      </w:r>
      <w:r w:rsidRPr="002E6F22">
        <w:rPr>
          <w:rStyle w:val="ECCHLsuperscript"/>
        </w:rPr>
        <w:t>2</w:t>
      </w:r>
      <w:r w:rsidRPr="002E6F22">
        <w:t>·27 MHz</w:t>
      </w:r>
      <w:r w:rsidRPr="00214747">
        <w:t>)) at any point in Region 2 by assignments in the Regions 1 &amp; 3 List located at 4°W and 9°E</w:t>
      </w:r>
      <w:r>
        <w:t>)</w:t>
      </w:r>
    </w:p>
    <w:p w14:paraId="5D97D247" w14:textId="1F4C71C9" w:rsidR="002E2BA3" w:rsidRPr="002E2BA3" w:rsidRDefault="002E2BA3" w:rsidP="002E2BA3">
      <w:pPr>
        <w:pStyle w:val="ECCBulletsLv1"/>
        <w:numPr>
          <w:ilvl w:val="0"/>
          <w:numId w:val="0"/>
        </w:numPr>
        <w:ind w:left="360" w:hanging="360"/>
        <w:rPr>
          <w:rStyle w:val="ECCParagraph"/>
        </w:rPr>
      </w:pPr>
      <w:r w:rsidRPr="00511B3A">
        <w:rPr>
          <w:rStyle w:val="ECCParagraph"/>
        </w:rPr>
        <w:t xml:space="preserve">The RCC Administrations </w:t>
      </w:r>
      <w:r>
        <w:rPr>
          <w:rStyle w:val="ECCParagraph"/>
        </w:rPr>
        <w:t>support maintaining the following limitation (Pacific Region):</w:t>
      </w:r>
      <w:r w:rsidRPr="00511B3A">
        <w:rPr>
          <w:rStyle w:val="ECCParagraph"/>
        </w:rPr>
        <w:t xml:space="preserve"> </w:t>
      </w:r>
    </w:p>
    <w:p w14:paraId="287C6397" w14:textId="16F669D8" w:rsidR="002E2BA3" w:rsidRDefault="002E2BA3" w:rsidP="002E2BA3">
      <w:pPr>
        <w:pStyle w:val="ECCBulletsLv1"/>
        <w:rPr>
          <w:rStyle w:val="ECCParagraph"/>
        </w:rPr>
      </w:pPr>
      <w:r w:rsidRPr="00B149BB">
        <w:rPr>
          <w:rStyle w:val="ECCParagraph"/>
        </w:rPr>
        <w:lastRenderedPageBreak/>
        <w:t>Limitation A2c (No modification in the Region 2 Plan</w:t>
      </w:r>
      <w:r>
        <w:rPr>
          <w:rStyle w:val="ECCParagraph"/>
        </w:rPr>
        <w:t xml:space="preserve"> in the frequency  band 12.2 – 12.7 GHz</w:t>
      </w:r>
      <w:r w:rsidRPr="00B149BB">
        <w:rPr>
          <w:rStyle w:val="ECCParagraph"/>
        </w:rPr>
        <w:t xml:space="preserve"> further west than 175.2°W</w:t>
      </w:r>
      <w:r>
        <w:rPr>
          <w:rStyle w:val="ECCParagraph"/>
        </w:rPr>
        <w:t>)</w:t>
      </w:r>
    </w:p>
    <w:p w14:paraId="60770C53" w14:textId="7C090D6B" w:rsidR="00511B3A" w:rsidRDefault="002E2BA3" w:rsidP="00511B3A">
      <w:pPr>
        <w:rPr>
          <w:rStyle w:val="ECCParagraph"/>
        </w:rPr>
      </w:pPr>
      <w:r>
        <w:rPr>
          <w:rStyle w:val="ECCParagraph"/>
        </w:rPr>
        <w:t>The RCC Administrations do not oppose maintaining the limitation B associated with the concept of the space stations grouping which the Region 2 Plan is based on.</w:t>
      </w:r>
    </w:p>
    <w:p w14:paraId="59B20704" w14:textId="073BF4F3" w:rsidR="002E2BA3" w:rsidRPr="002D307A" w:rsidRDefault="002E2BA3" w:rsidP="00511B3A">
      <w:pPr>
        <w:rPr>
          <w:rStyle w:val="ECCParagraph"/>
        </w:rPr>
      </w:pPr>
      <w:r>
        <w:rPr>
          <w:rStyle w:val="ECCParagraph"/>
        </w:rPr>
        <w:t>In case of deletion of appropriate limitations, the RCC Administrations support the application of the specific procedure (see AI 1.4, CPM Report Chapter 3) during a limited period of time within which the priority right to submit applications for new orbital positions is provided to the administrations of Regions 1 &amp; 3, national assignments of which have a negative equivalent protection margin on the downlink.</w:t>
      </w:r>
    </w:p>
    <w:p w14:paraId="0D65293C" w14:textId="342FB352" w:rsidR="00511B3A" w:rsidRPr="001A1C41" w:rsidRDefault="001A1C41" w:rsidP="00511B3A">
      <w:r>
        <w:t>The RCC Administrations consider that the proposals on revisions of criteria and provisions of Appendix 30 (Rev. WRC-15), other than of Annex 7, are beyond the scope of the studies in accordance with Resolution 557 (WRC-15).</w:t>
      </w:r>
    </w:p>
    <w:p w14:paraId="5887ADE3" w14:textId="77777777" w:rsidR="003771D5" w:rsidRPr="00235592" w:rsidRDefault="003771D5" w:rsidP="00BD4E12">
      <w:pPr>
        <w:pStyle w:val="berschrift2"/>
        <w:rPr>
          <w:lang w:val="en-GB"/>
        </w:rPr>
      </w:pPr>
      <w:r w:rsidRPr="00235592">
        <w:rPr>
          <w:lang w:val="en-GB"/>
        </w:rPr>
        <w:t>International organisations</w:t>
      </w:r>
    </w:p>
    <w:p w14:paraId="5887ADE4" w14:textId="77777777" w:rsidR="003771D5" w:rsidRPr="00235592" w:rsidRDefault="003771D5" w:rsidP="003A68D5">
      <w:pPr>
        <w:pStyle w:val="ECCBreak"/>
        <w:rPr>
          <w:lang w:val="en-GB"/>
        </w:rPr>
      </w:pPr>
      <w:r w:rsidRPr="00235592">
        <w:rPr>
          <w:lang w:val="en-GB"/>
        </w:rPr>
        <w:t>IATA (date of proposal)</w:t>
      </w:r>
    </w:p>
    <w:p w14:paraId="5887ADE5" w14:textId="77777777" w:rsidR="003771D5" w:rsidRPr="00235592" w:rsidRDefault="003771D5" w:rsidP="00BD4E12">
      <w:pPr>
        <w:rPr>
          <w:rStyle w:val="ECCParagraph"/>
        </w:rPr>
      </w:pPr>
    </w:p>
    <w:p w14:paraId="5887ADE6" w14:textId="77777777" w:rsidR="003771D5" w:rsidRPr="00235592" w:rsidRDefault="003771D5" w:rsidP="003A68D5">
      <w:pPr>
        <w:pStyle w:val="ECCBreak"/>
        <w:rPr>
          <w:lang w:val="en-GB"/>
        </w:rPr>
      </w:pPr>
      <w:r w:rsidRPr="00235592">
        <w:rPr>
          <w:lang w:val="en-GB"/>
        </w:rPr>
        <w:t>ICAO (date of proposal)</w:t>
      </w:r>
    </w:p>
    <w:p w14:paraId="5887ADE7" w14:textId="77777777" w:rsidR="003771D5" w:rsidRPr="00235592" w:rsidRDefault="003771D5" w:rsidP="00BD4E12">
      <w:pPr>
        <w:rPr>
          <w:rStyle w:val="ECCParagraph"/>
        </w:rPr>
      </w:pPr>
    </w:p>
    <w:p w14:paraId="5887ADE8" w14:textId="77777777" w:rsidR="003771D5" w:rsidRPr="00235592" w:rsidRDefault="003771D5" w:rsidP="003A68D5">
      <w:pPr>
        <w:pStyle w:val="ECCBreak"/>
        <w:rPr>
          <w:lang w:val="en-GB"/>
        </w:rPr>
      </w:pPr>
      <w:r w:rsidRPr="00235592">
        <w:rPr>
          <w:lang w:val="en-GB"/>
        </w:rPr>
        <w:t>IMO (date of proposal)</w:t>
      </w:r>
    </w:p>
    <w:p w14:paraId="5887ADE9" w14:textId="77777777" w:rsidR="003771D5" w:rsidRPr="00235592" w:rsidRDefault="003771D5" w:rsidP="00BD4E12">
      <w:pPr>
        <w:rPr>
          <w:rStyle w:val="ECCParagraph"/>
        </w:rPr>
      </w:pPr>
    </w:p>
    <w:p w14:paraId="5887ADEA" w14:textId="77777777" w:rsidR="003771D5" w:rsidRPr="00235592" w:rsidRDefault="003771D5" w:rsidP="003A68D5">
      <w:pPr>
        <w:pStyle w:val="ECCBreak"/>
        <w:rPr>
          <w:lang w:val="en-GB"/>
        </w:rPr>
      </w:pPr>
      <w:r w:rsidRPr="00235592">
        <w:rPr>
          <w:lang w:val="en-GB"/>
        </w:rPr>
        <w:t>SFCG (date of proposal)</w:t>
      </w:r>
    </w:p>
    <w:p w14:paraId="5887ADEB" w14:textId="77777777" w:rsidR="003771D5" w:rsidRPr="00235592" w:rsidRDefault="003771D5" w:rsidP="00BD4E12">
      <w:pPr>
        <w:rPr>
          <w:rStyle w:val="ECCParagraph"/>
        </w:rPr>
      </w:pPr>
    </w:p>
    <w:p w14:paraId="5887ADEC" w14:textId="77777777" w:rsidR="003771D5" w:rsidRPr="00235592" w:rsidRDefault="003771D5" w:rsidP="003A68D5">
      <w:pPr>
        <w:pStyle w:val="ECCBreak"/>
        <w:rPr>
          <w:lang w:val="en-GB"/>
        </w:rPr>
      </w:pPr>
      <w:r w:rsidRPr="00235592">
        <w:rPr>
          <w:lang w:val="en-GB"/>
        </w:rPr>
        <w:t>WMO and EUMETNET (date of proposal)</w:t>
      </w:r>
    </w:p>
    <w:p w14:paraId="5887ADED" w14:textId="77777777" w:rsidR="003771D5" w:rsidRPr="00235592" w:rsidRDefault="003771D5" w:rsidP="00BD4E12">
      <w:pPr>
        <w:rPr>
          <w:rStyle w:val="ECCParagraph"/>
        </w:rPr>
      </w:pPr>
    </w:p>
    <w:p w14:paraId="5887ADEE" w14:textId="77777777" w:rsidR="003771D5" w:rsidRPr="00235592" w:rsidRDefault="003771D5" w:rsidP="00BD4E12">
      <w:pPr>
        <w:pStyle w:val="berschrift2"/>
        <w:rPr>
          <w:lang w:val="en-GB"/>
        </w:rPr>
      </w:pPr>
      <w:r w:rsidRPr="00235592">
        <w:rPr>
          <w:lang w:val="en-GB"/>
        </w:rPr>
        <w:t>Regional organisations</w:t>
      </w:r>
    </w:p>
    <w:p w14:paraId="5887ADEF" w14:textId="77777777" w:rsidR="003771D5" w:rsidRPr="00235592" w:rsidRDefault="003771D5" w:rsidP="003A68D5">
      <w:pPr>
        <w:pStyle w:val="ECCBreak"/>
        <w:rPr>
          <w:lang w:val="en-GB"/>
        </w:rPr>
      </w:pPr>
      <w:r w:rsidRPr="00235592">
        <w:rPr>
          <w:lang w:val="en-GB"/>
        </w:rPr>
        <w:t>ESA (date of proposal)</w:t>
      </w:r>
    </w:p>
    <w:p w14:paraId="5887ADF0" w14:textId="77777777" w:rsidR="003771D5" w:rsidRPr="00235592" w:rsidRDefault="003771D5" w:rsidP="00BD4E12">
      <w:pPr>
        <w:rPr>
          <w:rStyle w:val="ECCParagraph"/>
        </w:rPr>
      </w:pPr>
    </w:p>
    <w:p w14:paraId="5887ADF1" w14:textId="77777777"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14:paraId="5887ADF2" w14:textId="77777777" w:rsidR="003771D5" w:rsidRPr="00235592" w:rsidRDefault="003771D5" w:rsidP="00BD4E12">
      <w:pPr>
        <w:rPr>
          <w:rStyle w:val="ECCParagraph"/>
        </w:rPr>
      </w:pPr>
    </w:p>
    <w:p w14:paraId="5887ADF3" w14:textId="77777777" w:rsidR="003771D5" w:rsidRPr="00235592" w:rsidRDefault="003771D5" w:rsidP="00BD4E12">
      <w:pPr>
        <w:pStyle w:val="berschrift2"/>
        <w:rPr>
          <w:lang w:val="en-GB"/>
        </w:rPr>
      </w:pPr>
      <w:r w:rsidRPr="00235592">
        <w:rPr>
          <w:lang w:val="en-GB"/>
        </w:rPr>
        <w:t>OTHER INTERNATIONAL AND REGIONAL ORGANISATIONS</w:t>
      </w:r>
    </w:p>
    <w:p w14:paraId="5887ADF4" w14:textId="77777777" w:rsidR="003771D5" w:rsidRPr="00235592" w:rsidRDefault="003771D5" w:rsidP="003A68D5">
      <w:pPr>
        <w:pStyle w:val="ECCBreak"/>
        <w:rPr>
          <w:lang w:val="en-GB"/>
        </w:rPr>
      </w:pPr>
      <w:r w:rsidRPr="00235592">
        <w:rPr>
          <w:lang w:val="en-GB"/>
        </w:rPr>
        <w:t>EBU (date of proposal)</w:t>
      </w:r>
    </w:p>
    <w:p w14:paraId="5887ADF5" w14:textId="77777777" w:rsidR="003771D5" w:rsidRPr="00235592" w:rsidRDefault="003771D5" w:rsidP="00BD4E12">
      <w:pPr>
        <w:rPr>
          <w:rStyle w:val="ECCParagraph"/>
        </w:rPr>
      </w:pPr>
    </w:p>
    <w:p w14:paraId="5887ADF6" w14:textId="77777777" w:rsidR="004A511D" w:rsidRPr="00235592" w:rsidRDefault="003771D5" w:rsidP="003A68D5">
      <w:pPr>
        <w:pStyle w:val="ECCBreak"/>
        <w:rPr>
          <w:lang w:val="en-GB"/>
        </w:rPr>
      </w:pPr>
      <w:r w:rsidRPr="00235592">
        <w:rPr>
          <w:lang w:val="en-GB"/>
        </w:rPr>
        <w:lastRenderedPageBreak/>
        <w:t>GSMA (date of proposal)</w:t>
      </w:r>
    </w:p>
    <w:p w14:paraId="5887ADF7" w14:textId="77777777" w:rsidR="003A68D5" w:rsidRPr="00235592" w:rsidRDefault="003A68D5" w:rsidP="003A68D5">
      <w:pPr>
        <w:rPr>
          <w:rStyle w:val="ECCParagraph"/>
        </w:rPr>
      </w:pPr>
    </w:p>
    <w:p w14:paraId="5887ADF8" w14:textId="25D60AD4" w:rsidR="003A68D5" w:rsidRPr="00235592" w:rsidRDefault="003A68D5" w:rsidP="003A68D5">
      <w:pPr>
        <w:pStyle w:val="ECCBreak"/>
        <w:rPr>
          <w:lang w:val="en-GB"/>
        </w:rPr>
      </w:pPr>
      <w:r w:rsidRPr="00235592">
        <w:rPr>
          <w:lang w:val="en-GB"/>
        </w:rPr>
        <w:t>CRAF (</w:t>
      </w:r>
      <w:r w:rsidR="00FB7240" w:rsidRPr="00FB7240">
        <w:t>date of proposal</w:t>
      </w:r>
      <w:r w:rsidRPr="00235592">
        <w:rPr>
          <w:lang w:val="en-GB"/>
        </w:rPr>
        <w:t>)</w:t>
      </w:r>
    </w:p>
    <w:p w14:paraId="5887ADFA" w14:textId="77777777" w:rsidR="00423F9F" w:rsidRPr="00235592" w:rsidRDefault="00423F9F">
      <w:pPr>
        <w:rPr>
          <w:rStyle w:val="ECCParagraph"/>
        </w:rPr>
      </w:pPr>
    </w:p>
    <w:sectPr w:rsidR="00423F9F" w:rsidRPr="00235592"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34504" w14:textId="77777777" w:rsidR="00972AB3" w:rsidRDefault="00972AB3" w:rsidP="00D0121B">
      <w:r>
        <w:separator/>
      </w:r>
    </w:p>
    <w:p w14:paraId="2F1B91C8" w14:textId="77777777" w:rsidR="00972AB3" w:rsidRDefault="00972AB3"/>
    <w:p w14:paraId="4FB46BA3" w14:textId="77777777" w:rsidR="00972AB3" w:rsidRDefault="00972AB3"/>
  </w:endnote>
  <w:endnote w:type="continuationSeparator" w:id="0">
    <w:p w14:paraId="208ACD91" w14:textId="77777777" w:rsidR="00972AB3" w:rsidRDefault="00972AB3" w:rsidP="00D0121B">
      <w:r>
        <w:continuationSeparator/>
      </w:r>
    </w:p>
    <w:p w14:paraId="07FCEB5A" w14:textId="77777777" w:rsidR="00972AB3" w:rsidRDefault="00972AB3"/>
    <w:p w14:paraId="0CDD8D9A" w14:textId="77777777" w:rsidR="00972AB3" w:rsidRDefault="00972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AE07" w14:textId="77777777" w:rsidR="00386832" w:rsidRDefault="00386832">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AE08" w14:textId="77777777" w:rsidR="00386832" w:rsidRDefault="00386832">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AE0B" w14:textId="77777777" w:rsidR="00386832" w:rsidRDefault="00386832">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8A3E2" w14:textId="77777777" w:rsidR="00972AB3" w:rsidRPr="00C77ABB" w:rsidRDefault="00972AB3" w:rsidP="00C77ABB">
      <w:pPr>
        <w:pStyle w:val="Funotentext"/>
      </w:pPr>
      <w:r w:rsidRPr="00C77ABB">
        <w:separator/>
      </w:r>
    </w:p>
  </w:footnote>
  <w:footnote w:type="continuationSeparator" w:id="0">
    <w:p w14:paraId="39E456BD" w14:textId="77777777" w:rsidR="00972AB3" w:rsidRPr="00C77ABB" w:rsidRDefault="00972AB3"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AE05" w14:textId="77777777" w:rsidR="00386832" w:rsidRPr="00CF2EC7" w:rsidRDefault="00386832" w:rsidP="003A68D5">
    <w:pPr>
      <w:pStyle w:val="ECCpageHeader"/>
      <w:rPr>
        <w:lang w:val="en-US"/>
      </w:rPr>
    </w:pPr>
    <w:r w:rsidRPr="00CF2EC7">
      <w:rPr>
        <w:lang w:val="en-US"/>
      </w:rPr>
      <w:t xml:space="preserve">Draft CEPT Brief on AI </w:t>
    </w:r>
    <w:r w:rsidRPr="00472009">
      <w:rPr>
        <w:lang w:val="en-GB"/>
      </w:rPr>
      <w:t>1.4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785200">
      <w:rPr>
        <w:noProof/>
        <w:lang w:val="en-US"/>
      </w:rPr>
      <w:t>10</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AE06" w14:textId="77777777" w:rsidR="00386832" w:rsidRPr="00CF2EC7" w:rsidRDefault="00386832" w:rsidP="003A68D5">
    <w:pPr>
      <w:pStyle w:val="ECCpageHeader"/>
      <w:rPr>
        <w:lang w:val="en-US"/>
      </w:rPr>
    </w:pPr>
    <w:r>
      <w:tab/>
    </w:r>
    <w:r>
      <w:tab/>
    </w:r>
    <w:r w:rsidRPr="00CF2EC7">
      <w:rPr>
        <w:lang w:val="en-US"/>
      </w:rPr>
      <w:t xml:space="preserve">Draft CEPT Brief on AI </w:t>
    </w:r>
    <w:r w:rsidRPr="00472009">
      <w:rPr>
        <w:lang w:val="en-GB"/>
      </w:rPr>
      <w:t>1.4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785200">
      <w:rPr>
        <w:noProof/>
        <w:lang w:val="en-US"/>
      </w:rPr>
      <w:t>11</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AE09" w14:textId="77777777" w:rsidR="00386832" w:rsidRDefault="00386832" w:rsidP="003A68D5">
    <w:pPr>
      <w:pStyle w:val="ECCpageHeader"/>
    </w:pPr>
    <w:r w:rsidRPr="008742E3">
      <w:rPr>
        <w:noProof/>
        <w:lang w:val="de-DE" w:eastAsia="de-DE"/>
      </w:rPr>
      <w:drawing>
        <wp:inline distT="0" distB="0" distL="0" distR="0" wp14:anchorId="5887AE0C" wp14:editId="5887AE0D">
          <wp:extent cx="889000" cy="889000"/>
          <wp:effectExtent l="0" t="0" r="6350" b="6350"/>
          <wp:docPr id="4"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5887AE0E" wp14:editId="5887AE0F">
          <wp:extent cx="1461770" cy="546100"/>
          <wp:effectExtent l="0" t="0" r="5080" b="6350"/>
          <wp:docPr id="5"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C6C9E53" w14:textId="77777777" w:rsidR="00897939" w:rsidRDefault="00897939" w:rsidP="003A68D5">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C21374B"/>
    <w:multiLevelType w:val="hybridMultilevel"/>
    <w:tmpl w:val="CFCAED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A37201F"/>
    <w:multiLevelType w:val="hybridMultilevel"/>
    <w:tmpl w:val="5E1A9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4DAA2A75"/>
    <w:multiLevelType w:val="hybridMultilevel"/>
    <w:tmpl w:val="FF7CC64C"/>
    <w:lvl w:ilvl="0" w:tplc="3348A84C">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D96DD9"/>
    <w:multiLevelType w:val="hybridMultilevel"/>
    <w:tmpl w:val="FF90BB46"/>
    <w:lvl w:ilvl="0" w:tplc="E9342C8C">
      <w:start w:val="1"/>
      <w:numFmt w:val="bullet"/>
      <w:lvlText w:val="o"/>
      <w:lvlJc w:val="left"/>
      <w:pPr>
        <w:tabs>
          <w:tab w:val="num" w:pos="720"/>
        </w:tabs>
        <w:ind w:left="720" w:hanging="360"/>
      </w:pPr>
      <w:rPr>
        <w:rFonts w:ascii="Courier New" w:hAnsi="Courier New" w:hint="default"/>
      </w:rPr>
    </w:lvl>
    <w:lvl w:ilvl="1" w:tplc="65247E9A">
      <w:start w:val="1"/>
      <w:numFmt w:val="bullet"/>
      <w:lvlText w:val="o"/>
      <w:lvlJc w:val="left"/>
      <w:pPr>
        <w:tabs>
          <w:tab w:val="num" w:pos="1440"/>
        </w:tabs>
        <w:ind w:left="1440" w:hanging="360"/>
      </w:pPr>
      <w:rPr>
        <w:rFonts w:ascii="Courier New" w:hAnsi="Courier New" w:hint="default"/>
      </w:rPr>
    </w:lvl>
    <w:lvl w:ilvl="2" w:tplc="50F67FD0" w:tentative="1">
      <w:start w:val="1"/>
      <w:numFmt w:val="bullet"/>
      <w:lvlText w:val="o"/>
      <w:lvlJc w:val="left"/>
      <w:pPr>
        <w:tabs>
          <w:tab w:val="num" w:pos="2160"/>
        </w:tabs>
        <w:ind w:left="2160" w:hanging="360"/>
      </w:pPr>
      <w:rPr>
        <w:rFonts w:ascii="Courier New" w:hAnsi="Courier New" w:hint="default"/>
      </w:rPr>
    </w:lvl>
    <w:lvl w:ilvl="3" w:tplc="D0A4A778" w:tentative="1">
      <w:start w:val="1"/>
      <w:numFmt w:val="bullet"/>
      <w:lvlText w:val="o"/>
      <w:lvlJc w:val="left"/>
      <w:pPr>
        <w:tabs>
          <w:tab w:val="num" w:pos="2880"/>
        </w:tabs>
        <w:ind w:left="2880" w:hanging="360"/>
      </w:pPr>
      <w:rPr>
        <w:rFonts w:ascii="Courier New" w:hAnsi="Courier New" w:hint="default"/>
      </w:rPr>
    </w:lvl>
    <w:lvl w:ilvl="4" w:tplc="2DE41424" w:tentative="1">
      <w:start w:val="1"/>
      <w:numFmt w:val="bullet"/>
      <w:lvlText w:val="o"/>
      <w:lvlJc w:val="left"/>
      <w:pPr>
        <w:tabs>
          <w:tab w:val="num" w:pos="3600"/>
        </w:tabs>
        <w:ind w:left="3600" w:hanging="360"/>
      </w:pPr>
      <w:rPr>
        <w:rFonts w:ascii="Courier New" w:hAnsi="Courier New" w:hint="default"/>
      </w:rPr>
    </w:lvl>
    <w:lvl w:ilvl="5" w:tplc="0A76A934" w:tentative="1">
      <w:start w:val="1"/>
      <w:numFmt w:val="bullet"/>
      <w:lvlText w:val="o"/>
      <w:lvlJc w:val="left"/>
      <w:pPr>
        <w:tabs>
          <w:tab w:val="num" w:pos="4320"/>
        </w:tabs>
        <w:ind w:left="4320" w:hanging="360"/>
      </w:pPr>
      <w:rPr>
        <w:rFonts w:ascii="Courier New" w:hAnsi="Courier New" w:hint="default"/>
      </w:rPr>
    </w:lvl>
    <w:lvl w:ilvl="6" w:tplc="A58EE17C" w:tentative="1">
      <w:start w:val="1"/>
      <w:numFmt w:val="bullet"/>
      <w:lvlText w:val="o"/>
      <w:lvlJc w:val="left"/>
      <w:pPr>
        <w:tabs>
          <w:tab w:val="num" w:pos="5040"/>
        </w:tabs>
        <w:ind w:left="5040" w:hanging="360"/>
      </w:pPr>
      <w:rPr>
        <w:rFonts w:ascii="Courier New" w:hAnsi="Courier New" w:hint="default"/>
      </w:rPr>
    </w:lvl>
    <w:lvl w:ilvl="7" w:tplc="DB305DB0" w:tentative="1">
      <w:start w:val="1"/>
      <w:numFmt w:val="bullet"/>
      <w:lvlText w:val="o"/>
      <w:lvlJc w:val="left"/>
      <w:pPr>
        <w:tabs>
          <w:tab w:val="num" w:pos="5760"/>
        </w:tabs>
        <w:ind w:left="5760" w:hanging="360"/>
      </w:pPr>
      <w:rPr>
        <w:rFonts w:ascii="Courier New" w:hAnsi="Courier New" w:hint="default"/>
      </w:rPr>
    </w:lvl>
    <w:lvl w:ilvl="8" w:tplc="BA363F4E" w:tentative="1">
      <w:start w:val="1"/>
      <w:numFmt w:val="bullet"/>
      <w:lvlText w:val="o"/>
      <w:lvlJc w:val="left"/>
      <w:pPr>
        <w:tabs>
          <w:tab w:val="num" w:pos="6480"/>
        </w:tabs>
        <w:ind w:left="6480" w:hanging="360"/>
      </w:pPr>
      <w:rPr>
        <w:rFonts w:ascii="Courier New" w:hAnsi="Courier New" w:hint="default"/>
      </w:rPr>
    </w:lvl>
  </w:abstractNum>
  <w:abstractNum w:abstractNumId="22">
    <w:nsid w:val="769E5C90"/>
    <w:multiLevelType w:val="hybridMultilevel"/>
    <w:tmpl w:val="3B7EE1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2"/>
  </w:num>
  <w:num w:numId="3">
    <w:abstractNumId w:val="11"/>
  </w:num>
  <w:num w:numId="4">
    <w:abstractNumId w:val="19"/>
  </w:num>
  <w:num w:numId="5">
    <w:abstractNumId w:val="15"/>
  </w:num>
  <w:num w:numId="6">
    <w:abstractNumId w:val="18"/>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7"/>
  </w:num>
  <w:num w:numId="31">
    <w:abstractNumId w:val="19"/>
  </w:num>
  <w:num w:numId="32">
    <w:abstractNumId w:val="15"/>
  </w:num>
  <w:num w:numId="33">
    <w:abstractNumId w:val="18"/>
  </w:num>
  <w:num w:numId="34">
    <w:abstractNumId w:val="17"/>
  </w:num>
  <w:num w:numId="35">
    <w:abstractNumId w:val="17"/>
  </w:num>
  <w:num w:numId="36">
    <w:abstractNumId w:val="17"/>
  </w:num>
  <w:num w:numId="37">
    <w:abstractNumId w:val="21"/>
  </w:num>
  <w:num w:numId="38">
    <w:abstractNumId w:val="20"/>
  </w:num>
  <w:num w:numId="39">
    <w:abstractNumId w:val="10"/>
  </w:num>
  <w:num w:numId="40">
    <w:abstractNumId w:val="16"/>
  </w:num>
  <w:num w:numId="41">
    <w:abstractNumId w:val="22"/>
  </w:num>
  <w:num w:numId="42">
    <w:abstractNumId w:val="1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SP">
    <w15:presenceInfo w15:providerId="None" w15:userId="HISP"/>
  </w15:person>
  <w15:person w15:author="Coordinator">
    <w15:presenceInfo w15:providerId="None" w15:userId="Coordinator"/>
  </w15:person>
  <w15:person w15:author="PTB-7">
    <w15:presenceInfo w15:providerId="None" w15:userId="PTB-7"/>
  </w15:person>
  <w15:person w15:author="1.4 CPG COORD">
    <w15:presenceInfo w15:providerId="None" w15:userId="1.4 CPG COORD"/>
  </w15:person>
  <w15:person w15:author="SES">
    <w15:presenceInfo w15:providerId="None" w15:userId="S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PTi2Plw8PkFBnXJIZXm4nqXesk8=" w:salt="KJ2tWUbcDREJkSxSP1VFDg=="/>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0NzUzMjSwNDY2tzRQ0lEKTi0uzszPAykwNqgFAD5FPl4tAAAA"/>
  </w:docVars>
  <w:rsids>
    <w:rsidRoot w:val="00C25698"/>
    <w:rsid w:val="00007DBA"/>
    <w:rsid w:val="000112A0"/>
    <w:rsid w:val="00012FE8"/>
    <w:rsid w:val="00014617"/>
    <w:rsid w:val="0001526F"/>
    <w:rsid w:val="000167C7"/>
    <w:rsid w:val="00022A84"/>
    <w:rsid w:val="00023844"/>
    <w:rsid w:val="00026276"/>
    <w:rsid w:val="000277A1"/>
    <w:rsid w:val="00030827"/>
    <w:rsid w:val="00033AFF"/>
    <w:rsid w:val="00040604"/>
    <w:rsid w:val="00041A18"/>
    <w:rsid w:val="00041B36"/>
    <w:rsid w:val="00043751"/>
    <w:rsid w:val="00044264"/>
    <w:rsid w:val="00044EE7"/>
    <w:rsid w:val="00047FA5"/>
    <w:rsid w:val="00052CAE"/>
    <w:rsid w:val="00060034"/>
    <w:rsid w:val="00060893"/>
    <w:rsid w:val="000611F2"/>
    <w:rsid w:val="00061762"/>
    <w:rsid w:val="000621F2"/>
    <w:rsid w:val="00062A41"/>
    <w:rsid w:val="00062CB1"/>
    <w:rsid w:val="00063109"/>
    <w:rsid w:val="000655D1"/>
    <w:rsid w:val="000660F5"/>
    <w:rsid w:val="00066DCE"/>
    <w:rsid w:val="00067793"/>
    <w:rsid w:val="000677CE"/>
    <w:rsid w:val="00067888"/>
    <w:rsid w:val="000701A5"/>
    <w:rsid w:val="00070CDC"/>
    <w:rsid w:val="00076043"/>
    <w:rsid w:val="0007645E"/>
    <w:rsid w:val="00076E8B"/>
    <w:rsid w:val="00080D4D"/>
    <w:rsid w:val="00082DD7"/>
    <w:rsid w:val="00084778"/>
    <w:rsid w:val="00092C09"/>
    <w:rsid w:val="00095620"/>
    <w:rsid w:val="00096C5F"/>
    <w:rsid w:val="00097D7A"/>
    <w:rsid w:val="000A1373"/>
    <w:rsid w:val="000A29BC"/>
    <w:rsid w:val="000A3940"/>
    <w:rsid w:val="000A6285"/>
    <w:rsid w:val="000A6FCD"/>
    <w:rsid w:val="000B2156"/>
    <w:rsid w:val="000B342F"/>
    <w:rsid w:val="000B5026"/>
    <w:rsid w:val="000C028F"/>
    <w:rsid w:val="000C26F3"/>
    <w:rsid w:val="000C4F75"/>
    <w:rsid w:val="000C5CB6"/>
    <w:rsid w:val="000C7FED"/>
    <w:rsid w:val="000D0BFF"/>
    <w:rsid w:val="000D1710"/>
    <w:rsid w:val="000D563B"/>
    <w:rsid w:val="000D79C7"/>
    <w:rsid w:val="000D7A37"/>
    <w:rsid w:val="000E1B59"/>
    <w:rsid w:val="000E42F5"/>
    <w:rsid w:val="000E4820"/>
    <w:rsid w:val="000E6125"/>
    <w:rsid w:val="000E6967"/>
    <w:rsid w:val="000E74F0"/>
    <w:rsid w:val="000F0594"/>
    <w:rsid w:val="000F1620"/>
    <w:rsid w:val="000F24F5"/>
    <w:rsid w:val="000F3F0B"/>
    <w:rsid w:val="000F4DDC"/>
    <w:rsid w:val="001003E0"/>
    <w:rsid w:val="001006CA"/>
    <w:rsid w:val="00100F8B"/>
    <w:rsid w:val="0010221A"/>
    <w:rsid w:val="001061DE"/>
    <w:rsid w:val="00112052"/>
    <w:rsid w:val="0011754B"/>
    <w:rsid w:val="00117F47"/>
    <w:rsid w:val="001239E1"/>
    <w:rsid w:val="001309F8"/>
    <w:rsid w:val="00136B34"/>
    <w:rsid w:val="001374E2"/>
    <w:rsid w:val="001403EF"/>
    <w:rsid w:val="001510C2"/>
    <w:rsid w:val="00163143"/>
    <w:rsid w:val="00166DEA"/>
    <w:rsid w:val="001725E3"/>
    <w:rsid w:val="00172EBD"/>
    <w:rsid w:val="00173D5F"/>
    <w:rsid w:val="0017456E"/>
    <w:rsid w:val="00175D82"/>
    <w:rsid w:val="00175EEC"/>
    <w:rsid w:val="00181116"/>
    <w:rsid w:val="00183FE0"/>
    <w:rsid w:val="0018553F"/>
    <w:rsid w:val="00187479"/>
    <w:rsid w:val="001877CF"/>
    <w:rsid w:val="001952C1"/>
    <w:rsid w:val="00197194"/>
    <w:rsid w:val="001979F6"/>
    <w:rsid w:val="001A1C41"/>
    <w:rsid w:val="001A2407"/>
    <w:rsid w:val="001A2767"/>
    <w:rsid w:val="001A77D8"/>
    <w:rsid w:val="001B2052"/>
    <w:rsid w:val="001B36A4"/>
    <w:rsid w:val="001B5EC0"/>
    <w:rsid w:val="001C2219"/>
    <w:rsid w:val="001C58C6"/>
    <w:rsid w:val="001C72B8"/>
    <w:rsid w:val="001C78E1"/>
    <w:rsid w:val="001C7917"/>
    <w:rsid w:val="001D0390"/>
    <w:rsid w:val="001D15AA"/>
    <w:rsid w:val="001D2186"/>
    <w:rsid w:val="001D334F"/>
    <w:rsid w:val="001E1643"/>
    <w:rsid w:val="001E2100"/>
    <w:rsid w:val="001E4782"/>
    <w:rsid w:val="001F2C6C"/>
    <w:rsid w:val="001F3A00"/>
    <w:rsid w:val="001F4B79"/>
    <w:rsid w:val="001F78A9"/>
    <w:rsid w:val="0020079A"/>
    <w:rsid w:val="0020250F"/>
    <w:rsid w:val="00203C59"/>
    <w:rsid w:val="00214747"/>
    <w:rsid w:val="0021518E"/>
    <w:rsid w:val="00215A79"/>
    <w:rsid w:val="00215C2D"/>
    <w:rsid w:val="00220194"/>
    <w:rsid w:val="00220AE2"/>
    <w:rsid w:val="00226070"/>
    <w:rsid w:val="00226D0D"/>
    <w:rsid w:val="002274BC"/>
    <w:rsid w:val="00227E68"/>
    <w:rsid w:val="00233EEF"/>
    <w:rsid w:val="00233FA5"/>
    <w:rsid w:val="00235592"/>
    <w:rsid w:val="00235DFF"/>
    <w:rsid w:val="00236978"/>
    <w:rsid w:val="002370DF"/>
    <w:rsid w:val="0023716A"/>
    <w:rsid w:val="00245194"/>
    <w:rsid w:val="0025705A"/>
    <w:rsid w:val="00257570"/>
    <w:rsid w:val="002619B4"/>
    <w:rsid w:val="00261BB0"/>
    <w:rsid w:val="002620A2"/>
    <w:rsid w:val="00263C9E"/>
    <w:rsid w:val="00265F30"/>
    <w:rsid w:val="00266595"/>
    <w:rsid w:val="00266715"/>
    <w:rsid w:val="002678DC"/>
    <w:rsid w:val="00273354"/>
    <w:rsid w:val="00274F84"/>
    <w:rsid w:val="0028060B"/>
    <w:rsid w:val="0028120C"/>
    <w:rsid w:val="0028284D"/>
    <w:rsid w:val="0028291F"/>
    <w:rsid w:val="002839F4"/>
    <w:rsid w:val="00283C8A"/>
    <w:rsid w:val="0028455E"/>
    <w:rsid w:val="0028548D"/>
    <w:rsid w:val="002924B8"/>
    <w:rsid w:val="00293920"/>
    <w:rsid w:val="00294B41"/>
    <w:rsid w:val="00295827"/>
    <w:rsid w:val="00295839"/>
    <w:rsid w:val="00295F16"/>
    <w:rsid w:val="002971AB"/>
    <w:rsid w:val="002975F4"/>
    <w:rsid w:val="002A2C5D"/>
    <w:rsid w:val="002A56D9"/>
    <w:rsid w:val="002B4CFB"/>
    <w:rsid w:val="002B6655"/>
    <w:rsid w:val="002B68FC"/>
    <w:rsid w:val="002B77B0"/>
    <w:rsid w:val="002C0826"/>
    <w:rsid w:val="002C28DA"/>
    <w:rsid w:val="002C45DC"/>
    <w:rsid w:val="002C5C63"/>
    <w:rsid w:val="002D1FA9"/>
    <w:rsid w:val="002D21E6"/>
    <w:rsid w:val="002D307A"/>
    <w:rsid w:val="002D4895"/>
    <w:rsid w:val="002D50A3"/>
    <w:rsid w:val="002D6680"/>
    <w:rsid w:val="002E2BA3"/>
    <w:rsid w:val="002E6F22"/>
    <w:rsid w:val="002E786C"/>
    <w:rsid w:val="002F05BD"/>
    <w:rsid w:val="002F1DF4"/>
    <w:rsid w:val="002F1E6A"/>
    <w:rsid w:val="002F7175"/>
    <w:rsid w:val="003031DA"/>
    <w:rsid w:val="00307A79"/>
    <w:rsid w:val="00320C59"/>
    <w:rsid w:val="00322A67"/>
    <w:rsid w:val="00322E6A"/>
    <w:rsid w:val="00327A4E"/>
    <w:rsid w:val="003314A0"/>
    <w:rsid w:val="00333A45"/>
    <w:rsid w:val="003419EF"/>
    <w:rsid w:val="003441F5"/>
    <w:rsid w:val="0034562E"/>
    <w:rsid w:val="00345C67"/>
    <w:rsid w:val="00351279"/>
    <w:rsid w:val="0035131C"/>
    <w:rsid w:val="00351D78"/>
    <w:rsid w:val="003528C1"/>
    <w:rsid w:val="00352F29"/>
    <w:rsid w:val="00360592"/>
    <w:rsid w:val="00361E54"/>
    <w:rsid w:val="00367C55"/>
    <w:rsid w:val="00370A0C"/>
    <w:rsid w:val="00371158"/>
    <w:rsid w:val="00371922"/>
    <w:rsid w:val="00372199"/>
    <w:rsid w:val="00372C6D"/>
    <w:rsid w:val="00374326"/>
    <w:rsid w:val="003771D5"/>
    <w:rsid w:val="00382918"/>
    <w:rsid w:val="0038358E"/>
    <w:rsid w:val="003855FC"/>
    <w:rsid w:val="003865E6"/>
    <w:rsid w:val="00386832"/>
    <w:rsid w:val="00386E88"/>
    <w:rsid w:val="00391A01"/>
    <w:rsid w:val="0039677B"/>
    <w:rsid w:val="003A04FE"/>
    <w:rsid w:val="003A1026"/>
    <w:rsid w:val="003A2916"/>
    <w:rsid w:val="003A479D"/>
    <w:rsid w:val="003A5711"/>
    <w:rsid w:val="003A6659"/>
    <w:rsid w:val="003A68D5"/>
    <w:rsid w:val="003B42E3"/>
    <w:rsid w:val="003B7070"/>
    <w:rsid w:val="003C0B50"/>
    <w:rsid w:val="003C64D9"/>
    <w:rsid w:val="003D3437"/>
    <w:rsid w:val="003D41CC"/>
    <w:rsid w:val="003D51E0"/>
    <w:rsid w:val="003E1156"/>
    <w:rsid w:val="003E1AAC"/>
    <w:rsid w:val="003E2ADE"/>
    <w:rsid w:val="003E70E0"/>
    <w:rsid w:val="003F06CC"/>
    <w:rsid w:val="003F2859"/>
    <w:rsid w:val="003F54EF"/>
    <w:rsid w:val="003F72EB"/>
    <w:rsid w:val="00403CE6"/>
    <w:rsid w:val="00406547"/>
    <w:rsid w:val="004074CC"/>
    <w:rsid w:val="004110CA"/>
    <w:rsid w:val="004126D9"/>
    <w:rsid w:val="00414A0F"/>
    <w:rsid w:val="0041511E"/>
    <w:rsid w:val="00416510"/>
    <w:rsid w:val="00417280"/>
    <w:rsid w:val="004174CF"/>
    <w:rsid w:val="00423F9F"/>
    <w:rsid w:val="0042509E"/>
    <w:rsid w:val="00442663"/>
    <w:rsid w:val="00443482"/>
    <w:rsid w:val="00443912"/>
    <w:rsid w:val="00445131"/>
    <w:rsid w:val="0044577A"/>
    <w:rsid w:val="00446E3E"/>
    <w:rsid w:val="004476A8"/>
    <w:rsid w:val="00450308"/>
    <w:rsid w:val="00450BED"/>
    <w:rsid w:val="00457848"/>
    <w:rsid w:val="00457AD1"/>
    <w:rsid w:val="00457F65"/>
    <w:rsid w:val="00461982"/>
    <w:rsid w:val="0046427F"/>
    <w:rsid w:val="00464951"/>
    <w:rsid w:val="00470D4B"/>
    <w:rsid w:val="0047190D"/>
    <w:rsid w:val="00472009"/>
    <w:rsid w:val="00474DC4"/>
    <w:rsid w:val="0047641C"/>
    <w:rsid w:val="00481CD8"/>
    <w:rsid w:val="00483B22"/>
    <w:rsid w:val="00485307"/>
    <w:rsid w:val="00487AF9"/>
    <w:rsid w:val="00490283"/>
    <w:rsid w:val="00491977"/>
    <w:rsid w:val="004922F7"/>
    <w:rsid w:val="00492D70"/>
    <w:rsid w:val="00493387"/>
    <w:rsid w:val="0049491B"/>
    <w:rsid w:val="00497E54"/>
    <w:rsid w:val="004A1329"/>
    <w:rsid w:val="004A1AB1"/>
    <w:rsid w:val="004A3F7E"/>
    <w:rsid w:val="004A511D"/>
    <w:rsid w:val="004B18EC"/>
    <w:rsid w:val="004B30B4"/>
    <w:rsid w:val="004B7A8D"/>
    <w:rsid w:val="004C2A43"/>
    <w:rsid w:val="004C2F5D"/>
    <w:rsid w:val="004C34EA"/>
    <w:rsid w:val="004C4A2E"/>
    <w:rsid w:val="004C59EB"/>
    <w:rsid w:val="004C6F2B"/>
    <w:rsid w:val="004D0A28"/>
    <w:rsid w:val="004D5EA3"/>
    <w:rsid w:val="004E2CE8"/>
    <w:rsid w:val="004E44C8"/>
    <w:rsid w:val="004E53BE"/>
    <w:rsid w:val="004F0269"/>
    <w:rsid w:val="004F16F4"/>
    <w:rsid w:val="004F3F81"/>
    <w:rsid w:val="004F6467"/>
    <w:rsid w:val="004F6CA7"/>
    <w:rsid w:val="004F6DE5"/>
    <w:rsid w:val="00500C05"/>
    <w:rsid w:val="005028D4"/>
    <w:rsid w:val="00506AD6"/>
    <w:rsid w:val="00511B3A"/>
    <w:rsid w:val="00516C69"/>
    <w:rsid w:val="00520DEC"/>
    <w:rsid w:val="00522E83"/>
    <w:rsid w:val="005233AC"/>
    <w:rsid w:val="00527165"/>
    <w:rsid w:val="005301E8"/>
    <w:rsid w:val="005319EB"/>
    <w:rsid w:val="00532F16"/>
    <w:rsid w:val="00532F19"/>
    <w:rsid w:val="00535050"/>
    <w:rsid w:val="00536F3C"/>
    <w:rsid w:val="0053727C"/>
    <w:rsid w:val="0053788C"/>
    <w:rsid w:val="00541672"/>
    <w:rsid w:val="0054260E"/>
    <w:rsid w:val="005431D6"/>
    <w:rsid w:val="005466A1"/>
    <w:rsid w:val="00550D79"/>
    <w:rsid w:val="005559AC"/>
    <w:rsid w:val="00557B5A"/>
    <w:rsid w:val="005611D0"/>
    <w:rsid w:val="00561599"/>
    <w:rsid w:val="00563E90"/>
    <w:rsid w:val="00565D47"/>
    <w:rsid w:val="005708AC"/>
    <w:rsid w:val="00571A40"/>
    <w:rsid w:val="005736B2"/>
    <w:rsid w:val="00573F07"/>
    <w:rsid w:val="0057796E"/>
    <w:rsid w:val="0057797A"/>
    <w:rsid w:val="005817E4"/>
    <w:rsid w:val="005818DE"/>
    <w:rsid w:val="005914CC"/>
    <w:rsid w:val="00594186"/>
    <w:rsid w:val="005A4874"/>
    <w:rsid w:val="005A53B8"/>
    <w:rsid w:val="005B05E3"/>
    <w:rsid w:val="005B12CB"/>
    <w:rsid w:val="005B22E6"/>
    <w:rsid w:val="005B2E82"/>
    <w:rsid w:val="005B3F2A"/>
    <w:rsid w:val="005B5CC1"/>
    <w:rsid w:val="005C0DBA"/>
    <w:rsid w:val="005C10EB"/>
    <w:rsid w:val="005C26C5"/>
    <w:rsid w:val="005C5209"/>
    <w:rsid w:val="005C7B18"/>
    <w:rsid w:val="005D371D"/>
    <w:rsid w:val="005E01A3"/>
    <w:rsid w:val="005E3B02"/>
    <w:rsid w:val="005E7495"/>
    <w:rsid w:val="005F0413"/>
    <w:rsid w:val="00602740"/>
    <w:rsid w:val="00604669"/>
    <w:rsid w:val="00606BDC"/>
    <w:rsid w:val="00612CF4"/>
    <w:rsid w:val="006145CA"/>
    <w:rsid w:val="00614FA3"/>
    <w:rsid w:val="00615010"/>
    <w:rsid w:val="006159A7"/>
    <w:rsid w:val="00615C76"/>
    <w:rsid w:val="00621C12"/>
    <w:rsid w:val="006241C1"/>
    <w:rsid w:val="0062482F"/>
    <w:rsid w:val="00631E7B"/>
    <w:rsid w:val="0063464B"/>
    <w:rsid w:val="00635A22"/>
    <w:rsid w:val="00642083"/>
    <w:rsid w:val="006425D8"/>
    <w:rsid w:val="0064351F"/>
    <w:rsid w:val="00644CB4"/>
    <w:rsid w:val="00647D8B"/>
    <w:rsid w:val="0065550D"/>
    <w:rsid w:val="006615EA"/>
    <w:rsid w:val="0066369F"/>
    <w:rsid w:val="00665364"/>
    <w:rsid w:val="00673A6A"/>
    <w:rsid w:val="00675F77"/>
    <w:rsid w:val="0068085F"/>
    <w:rsid w:val="00683E70"/>
    <w:rsid w:val="00686AD6"/>
    <w:rsid w:val="00686D86"/>
    <w:rsid w:val="006876A8"/>
    <w:rsid w:val="00687B43"/>
    <w:rsid w:val="006904B6"/>
    <w:rsid w:val="006925EC"/>
    <w:rsid w:val="0069628A"/>
    <w:rsid w:val="00697809"/>
    <w:rsid w:val="006A18CE"/>
    <w:rsid w:val="006A41A3"/>
    <w:rsid w:val="006A49E3"/>
    <w:rsid w:val="006A608C"/>
    <w:rsid w:val="006B1EFD"/>
    <w:rsid w:val="006B6E0D"/>
    <w:rsid w:val="006C449C"/>
    <w:rsid w:val="006C454C"/>
    <w:rsid w:val="006C57A1"/>
    <w:rsid w:val="006C5C1C"/>
    <w:rsid w:val="006D6BF5"/>
    <w:rsid w:val="006E02D6"/>
    <w:rsid w:val="006E4888"/>
    <w:rsid w:val="006E658A"/>
    <w:rsid w:val="006F0442"/>
    <w:rsid w:val="006F1B9B"/>
    <w:rsid w:val="006F27ED"/>
    <w:rsid w:val="006F5322"/>
    <w:rsid w:val="006F68BC"/>
    <w:rsid w:val="007023A3"/>
    <w:rsid w:val="00702A1F"/>
    <w:rsid w:val="00703FC0"/>
    <w:rsid w:val="007040A8"/>
    <w:rsid w:val="00711F84"/>
    <w:rsid w:val="007160BE"/>
    <w:rsid w:val="00720D6C"/>
    <w:rsid w:val="00721539"/>
    <w:rsid w:val="007219C8"/>
    <w:rsid w:val="00721B08"/>
    <w:rsid w:val="00721BD3"/>
    <w:rsid w:val="00722F65"/>
    <w:rsid w:val="00722F9E"/>
    <w:rsid w:val="00723325"/>
    <w:rsid w:val="00726267"/>
    <w:rsid w:val="00726836"/>
    <w:rsid w:val="007276B4"/>
    <w:rsid w:val="00734A4F"/>
    <w:rsid w:val="00736AC4"/>
    <w:rsid w:val="00736D9C"/>
    <w:rsid w:val="00743983"/>
    <w:rsid w:val="007459AD"/>
    <w:rsid w:val="00745CCA"/>
    <w:rsid w:val="00745E20"/>
    <w:rsid w:val="00750E1D"/>
    <w:rsid w:val="00755BE6"/>
    <w:rsid w:val="00760AA7"/>
    <w:rsid w:val="00760C58"/>
    <w:rsid w:val="00762BCC"/>
    <w:rsid w:val="00763BA3"/>
    <w:rsid w:val="00765B66"/>
    <w:rsid w:val="00767BB2"/>
    <w:rsid w:val="00771071"/>
    <w:rsid w:val="0077496D"/>
    <w:rsid w:val="0077763B"/>
    <w:rsid w:val="00780376"/>
    <w:rsid w:val="00785200"/>
    <w:rsid w:val="007901CD"/>
    <w:rsid w:val="00791AAC"/>
    <w:rsid w:val="00791C67"/>
    <w:rsid w:val="0079410C"/>
    <w:rsid w:val="00797D4C"/>
    <w:rsid w:val="007A5428"/>
    <w:rsid w:val="007B52C8"/>
    <w:rsid w:val="007B7462"/>
    <w:rsid w:val="007C0E7E"/>
    <w:rsid w:val="007C427D"/>
    <w:rsid w:val="007C433A"/>
    <w:rsid w:val="007C4EA3"/>
    <w:rsid w:val="007C5A3B"/>
    <w:rsid w:val="007C7813"/>
    <w:rsid w:val="007D17C5"/>
    <w:rsid w:val="007D2781"/>
    <w:rsid w:val="007D46AD"/>
    <w:rsid w:val="007D52EC"/>
    <w:rsid w:val="007D70CB"/>
    <w:rsid w:val="007E05C4"/>
    <w:rsid w:val="007E5A43"/>
    <w:rsid w:val="007F1280"/>
    <w:rsid w:val="007F1CEE"/>
    <w:rsid w:val="007F3472"/>
    <w:rsid w:val="007F469B"/>
    <w:rsid w:val="007F752B"/>
    <w:rsid w:val="0080304A"/>
    <w:rsid w:val="008062AC"/>
    <w:rsid w:val="00817826"/>
    <w:rsid w:val="00821CBB"/>
    <w:rsid w:val="00826A11"/>
    <w:rsid w:val="00827D91"/>
    <w:rsid w:val="0083113F"/>
    <w:rsid w:val="00833836"/>
    <w:rsid w:val="00837537"/>
    <w:rsid w:val="008376D2"/>
    <w:rsid w:val="00847ED4"/>
    <w:rsid w:val="00851AF9"/>
    <w:rsid w:val="0086094D"/>
    <w:rsid w:val="00861A25"/>
    <w:rsid w:val="00864BD8"/>
    <w:rsid w:val="0086508D"/>
    <w:rsid w:val="00872382"/>
    <w:rsid w:val="00874008"/>
    <w:rsid w:val="008742E3"/>
    <w:rsid w:val="008779E9"/>
    <w:rsid w:val="00882451"/>
    <w:rsid w:val="008828F9"/>
    <w:rsid w:val="00884634"/>
    <w:rsid w:val="00894651"/>
    <w:rsid w:val="008947A4"/>
    <w:rsid w:val="008957A7"/>
    <w:rsid w:val="00897939"/>
    <w:rsid w:val="008A1315"/>
    <w:rsid w:val="008A38A9"/>
    <w:rsid w:val="008A456A"/>
    <w:rsid w:val="008A54FC"/>
    <w:rsid w:val="008A6213"/>
    <w:rsid w:val="008B21DE"/>
    <w:rsid w:val="008B70CD"/>
    <w:rsid w:val="008B7B41"/>
    <w:rsid w:val="008B7CE5"/>
    <w:rsid w:val="008C749D"/>
    <w:rsid w:val="008D02BE"/>
    <w:rsid w:val="008D2433"/>
    <w:rsid w:val="008D371D"/>
    <w:rsid w:val="008E41FD"/>
    <w:rsid w:val="008E6109"/>
    <w:rsid w:val="008F4C34"/>
    <w:rsid w:val="008F5396"/>
    <w:rsid w:val="00903702"/>
    <w:rsid w:val="009070DD"/>
    <w:rsid w:val="00911C03"/>
    <w:rsid w:val="0091250F"/>
    <w:rsid w:val="00913488"/>
    <w:rsid w:val="00914664"/>
    <w:rsid w:val="00916145"/>
    <w:rsid w:val="009170EA"/>
    <w:rsid w:val="00917D1C"/>
    <w:rsid w:val="0092076F"/>
    <w:rsid w:val="00923E7F"/>
    <w:rsid w:val="00927292"/>
    <w:rsid w:val="00927833"/>
    <w:rsid w:val="00930439"/>
    <w:rsid w:val="00930BDF"/>
    <w:rsid w:val="00930F6C"/>
    <w:rsid w:val="00936A00"/>
    <w:rsid w:val="00937FE5"/>
    <w:rsid w:val="009403FC"/>
    <w:rsid w:val="009434C3"/>
    <w:rsid w:val="009452C0"/>
    <w:rsid w:val="00945FBC"/>
    <w:rsid w:val="009465AD"/>
    <w:rsid w:val="00947A5A"/>
    <w:rsid w:val="00956045"/>
    <w:rsid w:val="009566AD"/>
    <w:rsid w:val="00956737"/>
    <w:rsid w:val="009613EA"/>
    <w:rsid w:val="009702F1"/>
    <w:rsid w:val="009704EF"/>
    <w:rsid w:val="00970718"/>
    <w:rsid w:val="00972AB3"/>
    <w:rsid w:val="00973CF1"/>
    <w:rsid w:val="00974218"/>
    <w:rsid w:val="00975467"/>
    <w:rsid w:val="009770CA"/>
    <w:rsid w:val="00983158"/>
    <w:rsid w:val="00986677"/>
    <w:rsid w:val="00986F65"/>
    <w:rsid w:val="00987745"/>
    <w:rsid w:val="009932FF"/>
    <w:rsid w:val="0099421C"/>
    <w:rsid w:val="009A05C0"/>
    <w:rsid w:val="009A305A"/>
    <w:rsid w:val="009A30A8"/>
    <w:rsid w:val="009A56B0"/>
    <w:rsid w:val="009A743E"/>
    <w:rsid w:val="009B076C"/>
    <w:rsid w:val="009B0A78"/>
    <w:rsid w:val="009B1FC9"/>
    <w:rsid w:val="009B7EA1"/>
    <w:rsid w:val="009C3363"/>
    <w:rsid w:val="009D08FD"/>
    <w:rsid w:val="009D3496"/>
    <w:rsid w:val="009D4BA1"/>
    <w:rsid w:val="009D4E0A"/>
    <w:rsid w:val="009D51AA"/>
    <w:rsid w:val="009D74D7"/>
    <w:rsid w:val="009D77E0"/>
    <w:rsid w:val="009D7D5A"/>
    <w:rsid w:val="009E47EB"/>
    <w:rsid w:val="009E5967"/>
    <w:rsid w:val="009E6DC3"/>
    <w:rsid w:val="009F059C"/>
    <w:rsid w:val="009F0B56"/>
    <w:rsid w:val="009F0E0C"/>
    <w:rsid w:val="009F18A6"/>
    <w:rsid w:val="009F2F4D"/>
    <w:rsid w:val="009F3090"/>
    <w:rsid w:val="009F399A"/>
    <w:rsid w:val="009F3A37"/>
    <w:rsid w:val="009F4C39"/>
    <w:rsid w:val="009F4DF1"/>
    <w:rsid w:val="009F5778"/>
    <w:rsid w:val="009F5A4F"/>
    <w:rsid w:val="00A01247"/>
    <w:rsid w:val="00A02090"/>
    <w:rsid w:val="00A05F20"/>
    <w:rsid w:val="00A06771"/>
    <w:rsid w:val="00A06DA3"/>
    <w:rsid w:val="00A072FD"/>
    <w:rsid w:val="00A076B5"/>
    <w:rsid w:val="00A124AC"/>
    <w:rsid w:val="00A15843"/>
    <w:rsid w:val="00A16FBD"/>
    <w:rsid w:val="00A1799F"/>
    <w:rsid w:val="00A217B6"/>
    <w:rsid w:val="00A235DA"/>
    <w:rsid w:val="00A23870"/>
    <w:rsid w:val="00A31525"/>
    <w:rsid w:val="00A31731"/>
    <w:rsid w:val="00A43499"/>
    <w:rsid w:val="00A43BD3"/>
    <w:rsid w:val="00A4426A"/>
    <w:rsid w:val="00A46495"/>
    <w:rsid w:val="00A4654A"/>
    <w:rsid w:val="00A468AF"/>
    <w:rsid w:val="00A46A80"/>
    <w:rsid w:val="00A55AE5"/>
    <w:rsid w:val="00A56F07"/>
    <w:rsid w:val="00A618CF"/>
    <w:rsid w:val="00A6396C"/>
    <w:rsid w:val="00A65D8A"/>
    <w:rsid w:val="00A66252"/>
    <w:rsid w:val="00A7275B"/>
    <w:rsid w:val="00A73298"/>
    <w:rsid w:val="00A804BC"/>
    <w:rsid w:val="00A81E1C"/>
    <w:rsid w:val="00A83F0A"/>
    <w:rsid w:val="00A91A4A"/>
    <w:rsid w:val="00A95ACB"/>
    <w:rsid w:val="00A95DD6"/>
    <w:rsid w:val="00A97942"/>
    <w:rsid w:val="00A97CA4"/>
    <w:rsid w:val="00AA066F"/>
    <w:rsid w:val="00AA079B"/>
    <w:rsid w:val="00AA086A"/>
    <w:rsid w:val="00AA1B1D"/>
    <w:rsid w:val="00AA3614"/>
    <w:rsid w:val="00AA3D13"/>
    <w:rsid w:val="00AA4B6B"/>
    <w:rsid w:val="00AB0602"/>
    <w:rsid w:val="00AB1511"/>
    <w:rsid w:val="00AB1C16"/>
    <w:rsid w:val="00AB2EA8"/>
    <w:rsid w:val="00AB3285"/>
    <w:rsid w:val="00AB3C46"/>
    <w:rsid w:val="00AB3E87"/>
    <w:rsid w:val="00AB4851"/>
    <w:rsid w:val="00AB5729"/>
    <w:rsid w:val="00AB6629"/>
    <w:rsid w:val="00AC053A"/>
    <w:rsid w:val="00AC326A"/>
    <w:rsid w:val="00AC3347"/>
    <w:rsid w:val="00AD7257"/>
    <w:rsid w:val="00AD7346"/>
    <w:rsid w:val="00AE24B8"/>
    <w:rsid w:val="00AE372A"/>
    <w:rsid w:val="00AE6F36"/>
    <w:rsid w:val="00AF0C35"/>
    <w:rsid w:val="00AF2D0C"/>
    <w:rsid w:val="00B02DA0"/>
    <w:rsid w:val="00B03605"/>
    <w:rsid w:val="00B13645"/>
    <w:rsid w:val="00B149BB"/>
    <w:rsid w:val="00B151BF"/>
    <w:rsid w:val="00B17642"/>
    <w:rsid w:val="00B21619"/>
    <w:rsid w:val="00B22C9D"/>
    <w:rsid w:val="00B2563E"/>
    <w:rsid w:val="00B274BD"/>
    <w:rsid w:val="00B3042F"/>
    <w:rsid w:val="00B30D3B"/>
    <w:rsid w:val="00B3196A"/>
    <w:rsid w:val="00B32FA2"/>
    <w:rsid w:val="00B341A3"/>
    <w:rsid w:val="00B37A1E"/>
    <w:rsid w:val="00B41FB9"/>
    <w:rsid w:val="00B42DB0"/>
    <w:rsid w:val="00B432D4"/>
    <w:rsid w:val="00B433BA"/>
    <w:rsid w:val="00B453ED"/>
    <w:rsid w:val="00B460E4"/>
    <w:rsid w:val="00B46249"/>
    <w:rsid w:val="00B475F5"/>
    <w:rsid w:val="00B50ADA"/>
    <w:rsid w:val="00B51D94"/>
    <w:rsid w:val="00B52BB9"/>
    <w:rsid w:val="00B576D7"/>
    <w:rsid w:val="00B57A46"/>
    <w:rsid w:val="00B6418D"/>
    <w:rsid w:val="00B66BAB"/>
    <w:rsid w:val="00B7018F"/>
    <w:rsid w:val="00B708EE"/>
    <w:rsid w:val="00B711DA"/>
    <w:rsid w:val="00B724AC"/>
    <w:rsid w:val="00B73D4A"/>
    <w:rsid w:val="00B73F46"/>
    <w:rsid w:val="00B80892"/>
    <w:rsid w:val="00B82735"/>
    <w:rsid w:val="00B8298A"/>
    <w:rsid w:val="00B8306D"/>
    <w:rsid w:val="00B83E52"/>
    <w:rsid w:val="00B84FA6"/>
    <w:rsid w:val="00B8571C"/>
    <w:rsid w:val="00B86C26"/>
    <w:rsid w:val="00B9152F"/>
    <w:rsid w:val="00B92861"/>
    <w:rsid w:val="00B95D8D"/>
    <w:rsid w:val="00BA1921"/>
    <w:rsid w:val="00BA2E30"/>
    <w:rsid w:val="00BA524C"/>
    <w:rsid w:val="00BA7A69"/>
    <w:rsid w:val="00BC0E69"/>
    <w:rsid w:val="00BC15E3"/>
    <w:rsid w:val="00BC3A5F"/>
    <w:rsid w:val="00BC3CA5"/>
    <w:rsid w:val="00BC553C"/>
    <w:rsid w:val="00BC614A"/>
    <w:rsid w:val="00BD0879"/>
    <w:rsid w:val="00BD28DF"/>
    <w:rsid w:val="00BD4E12"/>
    <w:rsid w:val="00BD6073"/>
    <w:rsid w:val="00BD71BA"/>
    <w:rsid w:val="00BD7669"/>
    <w:rsid w:val="00BD78B6"/>
    <w:rsid w:val="00BE157A"/>
    <w:rsid w:val="00BE24AF"/>
    <w:rsid w:val="00BE2864"/>
    <w:rsid w:val="00BE6F7D"/>
    <w:rsid w:val="00BF1364"/>
    <w:rsid w:val="00BF2EAE"/>
    <w:rsid w:val="00BF31CD"/>
    <w:rsid w:val="00BF3831"/>
    <w:rsid w:val="00BF5834"/>
    <w:rsid w:val="00C028C6"/>
    <w:rsid w:val="00C047C1"/>
    <w:rsid w:val="00C0561A"/>
    <w:rsid w:val="00C06E26"/>
    <w:rsid w:val="00C076BF"/>
    <w:rsid w:val="00C078D8"/>
    <w:rsid w:val="00C10C10"/>
    <w:rsid w:val="00C13C82"/>
    <w:rsid w:val="00C21DAE"/>
    <w:rsid w:val="00C24293"/>
    <w:rsid w:val="00C250F1"/>
    <w:rsid w:val="00C25662"/>
    <w:rsid w:val="00C25698"/>
    <w:rsid w:val="00C27251"/>
    <w:rsid w:val="00C27F02"/>
    <w:rsid w:val="00C31EFF"/>
    <w:rsid w:val="00C33A7C"/>
    <w:rsid w:val="00C34927"/>
    <w:rsid w:val="00C354DD"/>
    <w:rsid w:val="00C3762F"/>
    <w:rsid w:val="00C41CA2"/>
    <w:rsid w:val="00C44519"/>
    <w:rsid w:val="00C448D7"/>
    <w:rsid w:val="00C503B9"/>
    <w:rsid w:val="00C504F4"/>
    <w:rsid w:val="00C57003"/>
    <w:rsid w:val="00C57E85"/>
    <w:rsid w:val="00C6344E"/>
    <w:rsid w:val="00C65BB4"/>
    <w:rsid w:val="00C66A5B"/>
    <w:rsid w:val="00C70747"/>
    <w:rsid w:val="00C77ABB"/>
    <w:rsid w:val="00C8026E"/>
    <w:rsid w:val="00C8071C"/>
    <w:rsid w:val="00C816CB"/>
    <w:rsid w:val="00C82461"/>
    <w:rsid w:val="00C828EB"/>
    <w:rsid w:val="00C82AD6"/>
    <w:rsid w:val="00C8416C"/>
    <w:rsid w:val="00C8676C"/>
    <w:rsid w:val="00C91D33"/>
    <w:rsid w:val="00C9267F"/>
    <w:rsid w:val="00C92EA3"/>
    <w:rsid w:val="00C964A0"/>
    <w:rsid w:val="00CA07CC"/>
    <w:rsid w:val="00CA4FCE"/>
    <w:rsid w:val="00CA5F8F"/>
    <w:rsid w:val="00CB30A0"/>
    <w:rsid w:val="00CB448C"/>
    <w:rsid w:val="00CB58B0"/>
    <w:rsid w:val="00CC5A6F"/>
    <w:rsid w:val="00CC6DA1"/>
    <w:rsid w:val="00CD6148"/>
    <w:rsid w:val="00CE271A"/>
    <w:rsid w:val="00CE6FF5"/>
    <w:rsid w:val="00CF2EC7"/>
    <w:rsid w:val="00CF5245"/>
    <w:rsid w:val="00CF6C88"/>
    <w:rsid w:val="00D01100"/>
    <w:rsid w:val="00D0121B"/>
    <w:rsid w:val="00D04BA8"/>
    <w:rsid w:val="00D0584E"/>
    <w:rsid w:val="00D06479"/>
    <w:rsid w:val="00D0671B"/>
    <w:rsid w:val="00D06CA9"/>
    <w:rsid w:val="00D076EE"/>
    <w:rsid w:val="00D07B1A"/>
    <w:rsid w:val="00D13D0D"/>
    <w:rsid w:val="00D140AD"/>
    <w:rsid w:val="00D17E7D"/>
    <w:rsid w:val="00D22E2E"/>
    <w:rsid w:val="00D2379C"/>
    <w:rsid w:val="00D24CD0"/>
    <w:rsid w:val="00D26E4B"/>
    <w:rsid w:val="00D26EBF"/>
    <w:rsid w:val="00D2755F"/>
    <w:rsid w:val="00D3021C"/>
    <w:rsid w:val="00D30E46"/>
    <w:rsid w:val="00D32F4B"/>
    <w:rsid w:val="00D36A90"/>
    <w:rsid w:val="00D45434"/>
    <w:rsid w:val="00D45BBB"/>
    <w:rsid w:val="00D47036"/>
    <w:rsid w:val="00D504DF"/>
    <w:rsid w:val="00D50AC8"/>
    <w:rsid w:val="00D519CF"/>
    <w:rsid w:val="00D52C77"/>
    <w:rsid w:val="00D5316D"/>
    <w:rsid w:val="00D531C3"/>
    <w:rsid w:val="00D53EEF"/>
    <w:rsid w:val="00D56649"/>
    <w:rsid w:val="00D574CD"/>
    <w:rsid w:val="00D57D18"/>
    <w:rsid w:val="00D62D62"/>
    <w:rsid w:val="00D632DB"/>
    <w:rsid w:val="00D648B2"/>
    <w:rsid w:val="00D65D8A"/>
    <w:rsid w:val="00D6614C"/>
    <w:rsid w:val="00D701D4"/>
    <w:rsid w:val="00D75E6F"/>
    <w:rsid w:val="00D760FA"/>
    <w:rsid w:val="00D77B55"/>
    <w:rsid w:val="00D83C14"/>
    <w:rsid w:val="00D843CD"/>
    <w:rsid w:val="00D904D5"/>
    <w:rsid w:val="00D97683"/>
    <w:rsid w:val="00DA0026"/>
    <w:rsid w:val="00DA19E7"/>
    <w:rsid w:val="00DA29A2"/>
    <w:rsid w:val="00DA30A4"/>
    <w:rsid w:val="00DA444C"/>
    <w:rsid w:val="00DA51A6"/>
    <w:rsid w:val="00DA54BC"/>
    <w:rsid w:val="00DB0B11"/>
    <w:rsid w:val="00DB0BB7"/>
    <w:rsid w:val="00DC0017"/>
    <w:rsid w:val="00DC0EDF"/>
    <w:rsid w:val="00DC1802"/>
    <w:rsid w:val="00DC45A6"/>
    <w:rsid w:val="00DD3312"/>
    <w:rsid w:val="00DD4623"/>
    <w:rsid w:val="00DD5A38"/>
    <w:rsid w:val="00DD6CE9"/>
    <w:rsid w:val="00DD6FC1"/>
    <w:rsid w:val="00DE0380"/>
    <w:rsid w:val="00DE350C"/>
    <w:rsid w:val="00DE622B"/>
    <w:rsid w:val="00DF2C67"/>
    <w:rsid w:val="00DF3AE2"/>
    <w:rsid w:val="00DF7D21"/>
    <w:rsid w:val="00E025CF"/>
    <w:rsid w:val="00E03911"/>
    <w:rsid w:val="00E0430C"/>
    <w:rsid w:val="00E059C5"/>
    <w:rsid w:val="00E0689A"/>
    <w:rsid w:val="00E06B29"/>
    <w:rsid w:val="00E06C22"/>
    <w:rsid w:val="00E0703D"/>
    <w:rsid w:val="00E167D5"/>
    <w:rsid w:val="00E21E1C"/>
    <w:rsid w:val="00E23E2E"/>
    <w:rsid w:val="00E24E35"/>
    <w:rsid w:val="00E25AFC"/>
    <w:rsid w:val="00E26BAC"/>
    <w:rsid w:val="00E33CD7"/>
    <w:rsid w:val="00E37ACF"/>
    <w:rsid w:val="00E41E29"/>
    <w:rsid w:val="00E42947"/>
    <w:rsid w:val="00E43EE9"/>
    <w:rsid w:val="00E456CB"/>
    <w:rsid w:val="00E4781B"/>
    <w:rsid w:val="00E47B3C"/>
    <w:rsid w:val="00E50B0A"/>
    <w:rsid w:val="00E50D4B"/>
    <w:rsid w:val="00E51BF3"/>
    <w:rsid w:val="00E51F8B"/>
    <w:rsid w:val="00E53BA8"/>
    <w:rsid w:val="00E5432A"/>
    <w:rsid w:val="00E550EA"/>
    <w:rsid w:val="00E60351"/>
    <w:rsid w:val="00E615D7"/>
    <w:rsid w:val="00E61852"/>
    <w:rsid w:val="00E62010"/>
    <w:rsid w:val="00E634AE"/>
    <w:rsid w:val="00E6757E"/>
    <w:rsid w:val="00E71AE7"/>
    <w:rsid w:val="00E74351"/>
    <w:rsid w:val="00E75086"/>
    <w:rsid w:val="00E752E6"/>
    <w:rsid w:val="00E779BE"/>
    <w:rsid w:val="00E9020F"/>
    <w:rsid w:val="00E912F8"/>
    <w:rsid w:val="00E940FE"/>
    <w:rsid w:val="00E97060"/>
    <w:rsid w:val="00EA6088"/>
    <w:rsid w:val="00EB4A33"/>
    <w:rsid w:val="00EC1A2C"/>
    <w:rsid w:val="00EC7B8C"/>
    <w:rsid w:val="00ED16B4"/>
    <w:rsid w:val="00ED2681"/>
    <w:rsid w:val="00ED33E5"/>
    <w:rsid w:val="00EE074E"/>
    <w:rsid w:val="00EE11B6"/>
    <w:rsid w:val="00EE7207"/>
    <w:rsid w:val="00EE7ABD"/>
    <w:rsid w:val="00EF0DD3"/>
    <w:rsid w:val="00EF59D9"/>
    <w:rsid w:val="00F03D61"/>
    <w:rsid w:val="00F05F34"/>
    <w:rsid w:val="00F07403"/>
    <w:rsid w:val="00F10AD4"/>
    <w:rsid w:val="00F10E1F"/>
    <w:rsid w:val="00F15A66"/>
    <w:rsid w:val="00F16A22"/>
    <w:rsid w:val="00F1792F"/>
    <w:rsid w:val="00F212EB"/>
    <w:rsid w:val="00F2285C"/>
    <w:rsid w:val="00F22EDB"/>
    <w:rsid w:val="00F24770"/>
    <w:rsid w:val="00F25945"/>
    <w:rsid w:val="00F25B99"/>
    <w:rsid w:val="00F2619C"/>
    <w:rsid w:val="00F268C0"/>
    <w:rsid w:val="00F27A16"/>
    <w:rsid w:val="00F31456"/>
    <w:rsid w:val="00F324F6"/>
    <w:rsid w:val="00F32F26"/>
    <w:rsid w:val="00F3502B"/>
    <w:rsid w:val="00F428A0"/>
    <w:rsid w:val="00F465D3"/>
    <w:rsid w:val="00F465D5"/>
    <w:rsid w:val="00F50F9D"/>
    <w:rsid w:val="00F5171D"/>
    <w:rsid w:val="00F569C9"/>
    <w:rsid w:val="00F56F06"/>
    <w:rsid w:val="00F62522"/>
    <w:rsid w:val="00F63550"/>
    <w:rsid w:val="00F660B1"/>
    <w:rsid w:val="00F662C4"/>
    <w:rsid w:val="00F71646"/>
    <w:rsid w:val="00F716F1"/>
    <w:rsid w:val="00F73815"/>
    <w:rsid w:val="00F73CCD"/>
    <w:rsid w:val="00F7679F"/>
    <w:rsid w:val="00F7770D"/>
    <w:rsid w:val="00F83DBF"/>
    <w:rsid w:val="00F85984"/>
    <w:rsid w:val="00F868C9"/>
    <w:rsid w:val="00F911A8"/>
    <w:rsid w:val="00F93115"/>
    <w:rsid w:val="00F9575C"/>
    <w:rsid w:val="00F971EC"/>
    <w:rsid w:val="00F97DAD"/>
    <w:rsid w:val="00FA37D9"/>
    <w:rsid w:val="00FA45F5"/>
    <w:rsid w:val="00FA5792"/>
    <w:rsid w:val="00FA5B5D"/>
    <w:rsid w:val="00FA63DC"/>
    <w:rsid w:val="00FB1D44"/>
    <w:rsid w:val="00FB200D"/>
    <w:rsid w:val="00FB5B37"/>
    <w:rsid w:val="00FB66C8"/>
    <w:rsid w:val="00FB7240"/>
    <w:rsid w:val="00FC0FE8"/>
    <w:rsid w:val="00FC1236"/>
    <w:rsid w:val="00FC176D"/>
    <w:rsid w:val="00FC26B9"/>
    <w:rsid w:val="00FC4EC2"/>
    <w:rsid w:val="00FC504D"/>
    <w:rsid w:val="00FC54A8"/>
    <w:rsid w:val="00FD365D"/>
    <w:rsid w:val="00FD4721"/>
    <w:rsid w:val="00FD716E"/>
    <w:rsid w:val="00FE1146"/>
    <w:rsid w:val="00FE2A91"/>
    <w:rsid w:val="00FE2C7B"/>
    <w:rsid w:val="00FE364D"/>
    <w:rsid w:val="00FE538A"/>
    <w:rsid w:val="00FE69C5"/>
    <w:rsid w:val="00FE6EF9"/>
    <w:rsid w:val="00FE7EEC"/>
    <w:rsid w:val="00FF76C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5887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1,Footnote Text Char Char1,Footnote Text Char4 Char Char,Footnote Text Char1 Char1 Char1 Char,Footnote Text Char Char1 Char1 Char Char"/>
    <w:basedOn w:val="Standard"/>
    <w:link w:val="FunotentextZchn"/>
    <w:qFormat/>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1 Zchn,Footnote Text Char Char1 Zchn,Footnote Text Char4 Char Char Zchn,Footnote Text Char1 Char1 Char1 Char Zchn,Footnote Text Char Char1 Char1 Char Char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link w:val="ECCTablenoteZchn"/>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1725E3"/>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1725E3"/>
    <w:rPr>
      <w:rFonts w:eastAsia="Calibri"/>
      <w:szCs w:val="22"/>
      <w:lang w:val="en-GB"/>
    </w:rPr>
  </w:style>
  <w:style w:type="paragraph" w:styleId="Listenabsatz">
    <w:name w:val="List Paragraph"/>
    <w:basedOn w:val="Standard"/>
    <w:uiPriority w:val="34"/>
    <w:qFormat/>
    <w:locked/>
    <w:rsid w:val="00B8571C"/>
    <w:pPr>
      <w:ind w:left="720"/>
      <w:contextualSpacing/>
    </w:pPr>
  </w:style>
  <w:style w:type="character" w:styleId="Fett">
    <w:name w:val="Strong"/>
    <w:basedOn w:val="Absatz-Standardschriftart"/>
    <w:qFormat/>
    <w:locked/>
    <w:rsid w:val="00B02DA0"/>
    <w:rPr>
      <w:b/>
      <w:bCs/>
    </w:rPr>
  </w:style>
  <w:style w:type="paragraph" w:styleId="Inhaltsverzeichnisberschrift">
    <w:name w:val="TOC Heading"/>
    <w:basedOn w:val="berschrift1"/>
    <w:next w:val="Standard"/>
    <w:uiPriority w:val="39"/>
    <w:semiHidden/>
    <w:unhideWhenUsed/>
    <w:qFormat/>
    <w:locked/>
    <w:rsid w:val="00EE7ABD"/>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 w:type="paragraph" w:styleId="berarbeitung">
    <w:name w:val="Revision"/>
    <w:hidden/>
    <w:uiPriority w:val="99"/>
    <w:semiHidden/>
    <w:rsid w:val="009F0E0C"/>
    <w:pPr>
      <w:spacing w:before="0" w:after="0"/>
      <w:jc w:val="left"/>
    </w:pPr>
    <w:rPr>
      <w:rFonts w:eastAsia="Calibri"/>
      <w:szCs w:val="22"/>
      <w:lang w:val="en-GB"/>
    </w:rPr>
  </w:style>
  <w:style w:type="character" w:customStyle="1" w:styleId="ECCTablenoteZchn">
    <w:name w:val="ECC Table note Zchn"/>
    <w:basedOn w:val="Absatz-Standardschriftart"/>
    <w:link w:val="ECCTablenote"/>
    <w:rsid w:val="00173D5F"/>
    <w:rPr>
      <w:rFonts w:eastAsia="Calibri"/>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1,Footnote Text Char Char1,Footnote Text Char4 Char Char,Footnote Text Char1 Char1 Char1 Char,Footnote Text Char Char1 Char1 Char Char"/>
    <w:basedOn w:val="Standard"/>
    <w:link w:val="FunotentextZchn"/>
    <w:qFormat/>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1 Zchn,Footnote Text Char Char1 Zchn,Footnote Text Char4 Char Char Zchn,Footnote Text Char1 Char1 Char1 Char Zchn,Footnote Text Char Char1 Char1 Char Char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link w:val="ECCTablenoteZchn"/>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1725E3"/>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1725E3"/>
    <w:rPr>
      <w:rFonts w:eastAsia="Calibri"/>
      <w:szCs w:val="22"/>
      <w:lang w:val="en-GB"/>
    </w:rPr>
  </w:style>
  <w:style w:type="paragraph" w:styleId="Listenabsatz">
    <w:name w:val="List Paragraph"/>
    <w:basedOn w:val="Standard"/>
    <w:uiPriority w:val="34"/>
    <w:qFormat/>
    <w:locked/>
    <w:rsid w:val="00B8571C"/>
    <w:pPr>
      <w:ind w:left="720"/>
      <w:contextualSpacing/>
    </w:pPr>
  </w:style>
  <w:style w:type="character" w:styleId="Fett">
    <w:name w:val="Strong"/>
    <w:basedOn w:val="Absatz-Standardschriftart"/>
    <w:qFormat/>
    <w:locked/>
    <w:rsid w:val="00B02DA0"/>
    <w:rPr>
      <w:b/>
      <w:bCs/>
    </w:rPr>
  </w:style>
  <w:style w:type="paragraph" w:styleId="Inhaltsverzeichnisberschrift">
    <w:name w:val="TOC Heading"/>
    <w:basedOn w:val="berschrift1"/>
    <w:next w:val="Standard"/>
    <w:uiPriority w:val="39"/>
    <w:semiHidden/>
    <w:unhideWhenUsed/>
    <w:qFormat/>
    <w:locked/>
    <w:rsid w:val="00EE7ABD"/>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 w:type="paragraph" w:styleId="berarbeitung">
    <w:name w:val="Revision"/>
    <w:hidden/>
    <w:uiPriority w:val="99"/>
    <w:semiHidden/>
    <w:rsid w:val="009F0E0C"/>
    <w:pPr>
      <w:spacing w:before="0" w:after="0"/>
      <w:jc w:val="left"/>
    </w:pPr>
    <w:rPr>
      <w:rFonts w:eastAsia="Calibri"/>
      <w:szCs w:val="22"/>
      <w:lang w:val="en-GB"/>
    </w:rPr>
  </w:style>
  <w:style w:type="character" w:customStyle="1" w:styleId="ECCTablenoteZchn">
    <w:name w:val="ECC Table note Zchn"/>
    <w:basedOn w:val="Absatz-Standardschriftart"/>
    <w:link w:val="ECCTablenote"/>
    <w:rsid w:val="00173D5F"/>
    <w:rPr>
      <w:rFonts w:eastAsia="Calibri"/>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525">
      <w:bodyDiv w:val="1"/>
      <w:marLeft w:val="0"/>
      <w:marRight w:val="0"/>
      <w:marTop w:val="0"/>
      <w:marBottom w:val="0"/>
      <w:divBdr>
        <w:top w:val="none" w:sz="0" w:space="0" w:color="auto"/>
        <w:left w:val="none" w:sz="0" w:space="0" w:color="auto"/>
        <w:bottom w:val="none" w:sz="0" w:space="0" w:color="auto"/>
        <w:right w:val="none" w:sz="0" w:space="0" w:color="auto"/>
      </w:divBdr>
    </w:div>
    <w:div w:id="277220740">
      <w:bodyDiv w:val="1"/>
      <w:marLeft w:val="0"/>
      <w:marRight w:val="0"/>
      <w:marTop w:val="0"/>
      <w:marBottom w:val="0"/>
      <w:divBdr>
        <w:top w:val="none" w:sz="0" w:space="0" w:color="auto"/>
        <w:left w:val="none" w:sz="0" w:space="0" w:color="auto"/>
        <w:bottom w:val="none" w:sz="0" w:space="0" w:color="auto"/>
        <w:right w:val="none" w:sz="0" w:space="0" w:color="auto"/>
      </w:divBdr>
    </w:div>
    <w:div w:id="355817267">
      <w:bodyDiv w:val="1"/>
      <w:marLeft w:val="0"/>
      <w:marRight w:val="0"/>
      <w:marTop w:val="0"/>
      <w:marBottom w:val="0"/>
      <w:divBdr>
        <w:top w:val="none" w:sz="0" w:space="0" w:color="auto"/>
        <w:left w:val="none" w:sz="0" w:space="0" w:color="auto"/>
        <w:bottom w:val="none" w:sz="0" w:space="0" w:color="auto"/>
        <w:right w:val="none" w:sz="0" w:space="0" w:color="auto"/>
      </w:divBdr>
    </w:div>
    <w:div w:id="482430567">
      <w:bodyDiv w:val="1"/>
      <w:marLeft w:val="0"/>
      <w:marRight w:val="0"/>
      <w:marTop w:val="0"/>
      <w:marBottom w:val="0"/>
      <w:divBdr>
        <w:top w:val="none" w:sz="0" w:space="0" w:color="auto"/>
        <w:left w:val="none" w:sz="0" w:space="0" w:color="auto"/>
        <w:bottom w:val="none" w:sz="0" w:space="0" w:color="auto"/>
        <w:right w:val="none" w:sz="0" w:space="0" w:color="auto"/>
      </w:divBdr>
    </w:div>
    <w:div w:id="706569677">
      <w:bodyDiv w:val="1"/>
      <w:marLeft w:val="0"/>
      <w:marRight w:val="0"/>
      <w:marTop w:val="0"/>
      <w:marBottom w:val="0"/>
      <w:divBdr>
        <w:top w:val="none" w:sz="0" w:space="0" w:color="auto"/>
        <w:left w:val="none" w:sz="0" w:space="0" w:color="auto"/>
        <w:bottom w:val="none" w:sz="0" w:space="0" w:color="auto"/>
        <w:right w:val="none" w:sz="0" w:space="0" w:color="auto"/>
      </w:divBdr>
    </w:div>
    <w:div w:id="804858886">
      <w:bodyDiv w:val="1"/>
      <w:marLeft w:val="0"/>
      <w:marRight w:val="0"/>
      <w:marTop w:val="0"/>
      <w:marBottom w:val="0"/>
      <w:divBdr>
        <w:top w:val="none" w:sz="0" w:space="0" w:color="auto"/>
        <w:left w:val="none" w:sz="0" w:space="0" w:color="auto"/>
        <w:bottom w:val="none" w:sz="0" w:space="0" w:color="auto"/>
        <w:right w:val="none" w:sz="0" w:space="0" w:color="auto"/>
      </w:divBdr>
    </w:div>
    <w:div w:id="979072896">
      <w:bodyDiv w:val="1"/>
      <w:marLeft w:val="0"/>
      <w:marRight w:val="0"/>
      <w:marTop w:val="0"/>
      <w:marBottom w:val="0"/>
      <w:divBdr>
        <w:top w:val="none" w:sz="0" w:space="0" w:color="auto"/>
        <w:left w:val="none" w:sz="0" w:space="0" w:color="auto"/>
        <w:bottom w:val="none" w:sz="0" w:space="0" w:color="auto"/>
        <w:right w:val="none" w:sz="0" w:space="0" w:color="auto"/>
      </w:divBdr>
    </w:div>
    <w:div w:id="1023017091">
      <w:bodyDiv w:val="1"/>
      <w:marLeft w:val="0"/>
      <w:marRight w:val="0"/>
      <w:marTop w:val="0"/>
      <w:marBottom w:val="0"/>
      <w:divBdr>
        <w:top w:val="none" w:sz="0" w:space="0" w:color="auto"/>
        <w:left w:val="none" w:sz="0" w:space="0" w:color="auto"/>
        <w:bottom w:val="none" w:sz="0" w:space="0" w:color="auto"/>
        <w:right w:val="none" w:sz="0" w:space="0" w:color="auto"/>
      </w:divBdr>
    </w:div>
    <w:div w:id="1362709958">
      <w:bodyDiv w:val="1"/>
      <w:marLeft w:val="0"/>
      <w:marRight w:val="0"/>
      <w:marTop w:val="0"/>
      <w:marBottom w:val="0"/>
      <w:divBdr>
        <w:top w:val="none" w:sz="0" w:space="0" w:color="auto"/>
        <w:left w:val="none" w:sz="0" w:space="0" w:color="auto"/>
        <w:bottom w:val="none" w:sz="0" w:space="0" w:color="auto"/>
        <w:right w:val="none" w:sz="0" w:space="0" w:color="auto"/>
      </w:divBdr>
    </w:div>
    <w:div w:id="1440838063">
      <w:bodyDiv w:val="1"/>
      <w:marLeft w:val="0"/>
      <w:marRight w:val="0"/>
      <w:marTop w:val="0"/>
      <w:marBottom w:val="0"/>
      <w:divBdr>
        <w:top w:val="none" w:sz="0" w:space="0" w:color="auto"/>
        <w:left w:val="none" w:sz="0" w:space="0" w:color="auto"/>
        <w:bottom w:val="none" w:sz="0" w:space="0" w:color="auto"/>
        <w:right w:val="none" w:sz="0" w:space="0" w:color="auto"/>
      </w:divBdr>
    </w:div>
    <w:div w:id="1602226471">
      <w:bodyDiv w:val="1"/>
      <w:marLeft w:val="0"/>
      <w:marRight w:val="0"/>
      <w:marTop w:val="0"/>
      <w:marBottom w:val="0"/>
      <w:divBdr>
        <w:top w:val="none" w:sz="0" w:space="0" w:color="auto"/>
        <w:left w:val="none" w:sz="0" w:space="0" w:color="auto"/>
        <w:bottom w:val="none" w:sz="0" w:space="0" w:color="auto"/>
        <w:right w:val="none" w:sz="0" w:space="0" w:color="auto"/>
      </w:divBdr>
    </w:div>
    <w:div w:id="1675953962">
      <w:bodyDiv w:val="1"/>
      <w:marLeft w:val="0"/>
      <w:marRight w:val="0"/>
      <w:marTop w:val="0"/>
      <w:marBottom w:val="0"/>
      <w:divBdr>
        <w:top w:val="none" w:sz="0" w:space="0" w:color="auto"/>
        <w:left w:val="none" w:sz="0" w:space="0" w:color="auto"/>
        <w:bottom w:val="none" w:sz="0" w:space="0" w:color="auto"/>
        <w:right w:val="none" w:sz="0" w:space="0" w:color="auto"/>
      </w:divBdr>
    </w:div>
    <w:div w:id="1791898381">
      <w:bodyDiv w:val="1"/>
      <w:marLeft w:val="0"/>
      <w:marRight w:val="0"/>
      <w:marTop w:val="0"/>
      <w:marBottom w:val="0"/>
      <w:divBdr>
        <w:top w:val="none" w:sz="0" w:space="0" w:color="auto"/>
        <w:left w:val="none" w:sz="0" w:space="0" w:color="auto"/>
        <w:bottom w:val="none" w:sz="0" w:space="0" w:color="auto"/>
        <w:right w:val="none" w:sz="0" w:space="0" w:color="auto"/>
      </w:divBdr>
    </w:div>
    <w:div w:id="1904024542">
      <w:bodyDiv w:val="1"/>
      <w:marLeft w:val="0"/>
      <w:marRight w:val="0"/>
      <w:marTop w:val="0"/>
      <w:marBottom w:val="0"/>
      <w:divBdr>
        <w:top w:val="none" w:sz="0" w:space="0" w:color="auto"/>
        <w:left w:val="none" w:sz="0" w:space="0" w:color="auto"/>
        <w:bottom w:val="none" w:sz="0" w:space="0" w:color="auto"/>
        <w:right w:val="none" w:sz="0" w:space="0" w:color="auto"/>
      </w:divBdr>
      <w:divsChild>
        <w:div w:id="446239766">
          <w:marLeft w:val="1008"/>
          <w:marRight w:val="0"/>
          <w:marTop w:val="96"/>
          <w:marBottom w:val="0"/>
          <w:divBdr>
            <w:top w:val="none" w:sz="0" w:space="0" w:color="auto"/>
            <w:left w:val="none" w:sz="0" w:space="0" w:color="auto"/>
            <w:bottom w:val="none" w:sz="0" w:space="0" w:color="auto"/>
            <w:right w:val="none" w:sz="0" w:space="0" w:color="auto"/>
          </w:divBdr>
        </w:div>
        <w:div w:id="2015719791">
          <w:marLeft w:val="1008"/>
          <w:marRight w:val="0"/>
          <w:marTop w:val="96"/>
          <w:marBottom w:val="0"/>
          <w:divBdr>
            <w:top w:val="none" w:sz="0" w:space="0" w:color="auto"/>
            <w:left w:val="none" w:sz="0" w:space="0" w:color="auto"/>
            <w:bottom w:val="none" w:sz="0" w:space="0" w:color="auto"/>
            <w:right w:val="none" w:sz="0" w:space="0" w:color="auto"/>
          </w:divBdr>
        </w:div>
        <w:div w:id="108084368">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CDA9-51C4-49D1-8294-A8194B4D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11</Pages>
  <Words>3338</Words>
  <Characters>21030</Characters>
  <Application>Microsoft Office Word</Application>
  <DocSecurity>0</DocSecurity>
  <Lines>175</Lines>
  <Paragraphs>48</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24320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sts</dc:creator>
  <cp:keywords>CEPT Brief</cp:keywords>
  <dc:description>Output CPG19-6</dc:description>
  <cp:lastModifiedBy>CPG</cp:lastModifiedBy>
  <cp:revision>2</cp:revision>
  <cp:lastPrinted>1901-01-01T00:00:00Z</cp:lastPrinted>
  <dcterms:created xsi:type="dcterms:W3CDTF">2018-12-03T13:23:00Z</dcterms:created>
  <dcterms:modified xsi:type="dcterms:W3CDTF">2018-12-03T13:23:00Z</dcterms:modified>
  <cp:category>protected templates</cp:category>
  <cp:contentStatus>Draft</cp:contentStatus>
</cp:coreProperties>
</file>