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20" w:firstRow="1" w:lastRow="0" w:firstColumn="0" w:lastColumn="0" w:noHBand="0" w:noVBand="0"/>
      </w:tblPr>
      <w:tblGrid>
        <w:gridCol w:w="1819"/>
        <w:gridCol w:w="2928"/>
        <w:gridCol w:w="5034"/>
      </w:tblGrid>
      <w:tr w:rsidR="00EE0C22" w:rsidRPr="00090F0F" w:rsidTr="00CD6048">
        <w:trPr>
          <w:cantSplit/>
          <w:trHeight w:val="1560"/>
        </w:trPr>
        <w:tc>
          <w:tcPr>
            <w:tcW w:w="4747" w:type="dxa"/>
            <w:gridSpan w:val="2"/>
            <w:tcBorders>
              <w:top w:val="nil"/>
              <w:left w:val="nil"/>
              <w:bottom w:val="nil"/>
              <w:right w:val="nil"/>
            </w:tcBorders>
            <w:vAlign w:val="center"/>
          </w:tcPr>
          <w:p w:rsidR="00EE0C22" w:rsidRPr="00090F0F" w:rsidRDefault="00EE0C22" w:rsidP="00C43638">
            <w:pPr>
              <w:pStyle w:val="ECCLetterHead"/>
            </w:pPr>
          </w:p>
        </w:tc>
        <w:tc>
          <w:tcPr>
            <w:tcW w:w="5034" w:type="dxa"/>
            <w:tcBorders>
              <w:top w:val="nil"/>
              <w:left w:val="nil"/>
              <w:bottom w:val="nil"/>
              <w:right w:val="nil"/>
            </w:tcBorders>
          </w:tcPr>
          <w:p w:rsidR="00EE0C22" w:rsidRPr="00090F0F" w:rsidRDefault="00B82FCC" w:rsidP="000160E5">
            <w:pPr>
              <w:pStyle w:val="ECCLetterHead"/>
            </w:pPr>
            <w:r>
              <w:tab/>
              <w:t xml:space="preserve">Doc. </w:t>
            </w:r>
            <w:r w:rsidR="00010D1B">
              <w:t>CPG(18)0</w:t>
            </w:r>
            <w:r w:rsidR="0054573D" w:rsidRPr="0054573D">
              <w:t>7</w:t>
            </w:r>
            <w:r w:rsidR="00010D1B">
              <w:t>3</w:t>
            </w:r>
            <w:r w:rsidR="0054573D" w:rsidRPr="0054573D">
              <w:t xml:space="preserve"> </w:t>
            </w:r>
            <w:r w:rsidR="00EE0C22" w:rsidRPr="00090F0F">
              <w:t>ANNEX IV-10</w:t>
            </w:r>
          </w:p>
        </w:tc>
      </w:tr>
      <w:tr w:rsidR="00EE0C22" w:rsidRPr="00090F0F" w:rsidTr="00CD604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EE0C22" w:rsidRPr="00090F0F" w:rsidRDefault="00E447C6" w:rsidP="00EE0C22">
            <w:pPr>
              <w:pStyle w:val="ECCLetterHead"/>
            </w:pPr>
            <w:r>
              <w:t>CPG19</w:t>
            </w:r>
            <w:r w:rsidR="001928F3">
              <w:t>-7</w:t>
            </w:r>
          </w:p>
        </w:tc>
      </w:tr>
      <w:tr w:rsidR="00EE0C22" w:rsidRPr="00090F0F" w:rsidTr="00CD604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EE0C22" w:rsidRPr="00090F0F" w:rsidRDefault="001928F3" w:rsidP="00220BEB">
            <w:pPr>
              <w:pStyle w:val="ECCLetterHead"/>
            </w:pPr>
            <w:r>
              <w:t>Hilversum</w:t>
            </w:r>
            <w:r w:rsidR="00E447C6" w:rsidRPr="00E447C6">
              <w:t xml:space="preserve">, </w:t>
            </w:r>
            <w:r>
              <w:t>The Netherlands,</w:t>
            </w:r>
            <w:r w:rsidR="00E447C6" w:rsidRPr="00E447C6">
              <w:t xml:space="preserve"> </w:t>
            </w:r>
            <w:r>
              <w:t>27</w:t>
            </w:r>
            <w:r w:rsidR="00E447C6" w:rsidRPr="001928F3">
              <w:rPr>
                <w:vertAlign w:val="superscript"/>
              </w:rPr>
              <w:t>th</w:t>
            </w:r>
            <w:r>
              <w:t xml:space="preserve"> </w:t>
            </w:r>
            <w:r w:rsidR="00E447C6" w:rsidRPr="00E447C6">
              <w:t xml:space="preserve">- </w:t>
            </w:r>
            <w:r>
              <w:t>30</w:t>
            </w:r>
            <w:r w:rsidR="00E447C6" w:rsidRPr="001928F3">
              <w:rPr>
                <w:vertAlign w:val="superscript"/>
              </w:rPr>
              <w:t>th</w:t>
            </w:r>
            <w:r>
              <w:t xml:space="preserve"> November</w:t>
            </w:r>
            <w:r w:rsidR="00E447C6" w:rsidRPr="00E447C6">
              <w:t xml:space="preserve"> 2018</w:t>
            </w:r>
          </w:p>
        </w:tc>
      </w:tr>
      <w:tr w:rsidR="00EE0C22" w:rsidRPr="00090F0F" w:rsidTr="00CD6048">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rsidR="00EE0C22" w:rsidRPr="00090F0F" w:rsidRDefault="00EE0C22" w:rsidP="00EE0C22">
            <w:pPr>
              <w:pStyle w:val="ECCLetterHead"/>
            </w:pPr>
          </w:p>
        </w:tc>
        <w:tc>
          <w:tcPr>
            <w:tcW w:w="5034" w:type="dxa"/>
            <w:tcBorders>
              <w:top w:val="nil"/>
              <w:left w:val="nil"/>
              <w:bottom w:val="nil"/>
              <w:right w:val="nil"/>
            </w:tcBorders>
            <w:vAlign w:val="center"/>
          </w:tcPr>
          <w:p w:rsidR="00EE0C22" w:rsidRPr="00090F0F" w:rsidRDefault="00EE0C22" w:rsidP="00EE0C22">
            <w:pPr>
              <w:pStyle w:val="ECCLetterHead"/>
            </w:pPr>
          </w:p>
        </w:tc>
      </w:tr>
      <w:tr w:rsidR="00EE0C22" w:rsidRPr="00090F0F" w:rsidTr="00CD6048">
        <w:tblPrEx>
          <w:tblCellMar>
            <w:left w:w="108" w:type="dxa"/>
            <w:right w:w="108" w:type="dxa"/>
          </w:tblCellMar>
        </w:tblPrEx>
        <w:trPr>
          <w:cantSplit/>
          <w:trHeight w:val="405"/>
        </w:trPr>
        <w:tc>
          <w:tcPr>
            <w:tcW w:w="1819" w:type="dxa"/>
            <w:tcBorders>
              <w:top w:val="nil"/>
              <w:left w:val="nil"/>
              <w:bottom w:val="nil"/>
              <w:right w:val="nil"/>
            </w:tcBorders>
            <w:vAlign w:val="center"/>
          </w:tcPr>
          <w:p w:rsidR="00EE0C22" w:rsidRPr="00090F0F" w:rsidRDefault="00EE0C22" w:rsidP="00EE0C22">
            <w:pPr>
              <w:pStyle w:val="ECCLetterHead"/>
            </w:pPr>
            <w:r w:rsidRPr="00090F0F">
              <w:t xml:space="preserve">Date issued: </w:t>
            </w:r>
          </w:p>
        </w:tc>
        <w:tc>
          <w:tcPr>
            <w:tcW w:w="7962" w:type="dxa"/>
            <w:gridSpan w:val="2"/>
            <w:tcBorders>
              <w:top w:val="nil"/>
              <w:left w:val="nil"/>
              <w:bottom w:val="nil"/>
              <w:right w:val="nil"/>
            </w:tcBorders>
            <w:vAlign w:val="center"/>
          </w:tcPr>
          <w:p w:rsidR="00EE0C22" w:rsidRPr="00090F0F" w:rsidRDefault="00010D1B" w:rsidP="00EE0C22">
            <w:pPr>
              <w:pStyle w:val="ECCLetterHead"/>
            </w:pPr>
            <w:r>
              <w:t>30</w:t>
            </w:r>
            <w:r w:rsidRPr="00010D1B">
              <w:rPr>
                <w:vertAlign w:val="superscript"/>
              </w:rPr>
              <w:t>th</w:t>
            </w:r>
            <w:r>
              <w:t xml:space="preserve"> November</w:t>
            </w:r>
            <w:r w:rsidR="00EE0C22" w:rsidRPr="00090F0F">
              <w:t xml:space="preserve"> 2018</w:t>
            </w:r>
          </w:p>
        </w:tc>
      </w:tr>
      <w:tr w:rsidR="00EE0C22" w:rsidRPr="00090F0F" w:rsidTr="00CD6048">
        <w:tblPrEx>
          <w:tblCellMar>
            <w:left w:w="108" w:type="dxa"/>
            <w:right w:w="108" w:type="dxa"/>
          </w:tblCellMar>
        </w:tblPrEx>
        <w:trPr>
          <w:cantSplit/>
          <w:trHeight w:val="405"/>
        </w:trPr>
        <w:tc>
          <w:tcPr>
            <w:tcW w:w="1819" w:type="dxa"/>
            <w:tcBorders>
              <w:top w:val="nil"/>
              <w:left w:val="nil"/>
              <w:bottom w:val="nil"/>
              <w:right w:val="nil"/>
            </w:tcBorders>
            <w:vAlign w:val="center"/>
          </w:tcPr>
          <w:p w:rsidR="00EE0C22" w:rsidRPr="00090F0F" w:rsidRDefault="00EE0C22" w:rsidP="00EE0C22">
            <w:pPr>
              <w:pStyle w:val="ECCLetterHead"/>
            </w:pPr>
            <w:r w:rsidRPr="00090F0F">
              <w:t xml:space="preserve">Source: </w:t>
            </w:r>
          </w:p>
        </w:tc>
        <w:tc>
          <w:tcPr>
            <w:tcW w:w="7962" w:type="dxa"/>
            <w:gridSpan w:val="2"/>
            <w:tcBorders>
              <w:top w:val="nil"/>
              <w:left w:val="nil"/>
              <w:bottom w:val="nil"/>
              <w:right w:val="nil"/>
            </w:tcBorders>
            <w:vAlign w:val="center"/>
          </w:tcPr>
          <w:p w:rsidR="00EE0C22" w:rsidRPr="00090F0F" w:rsidRDefault="00E447C6" w:rsidP="00010D1B">
            <w:pPr>
              <w:pStyle w:val="ECCLetterHead"/>
            </w:pPr>
            <w:r>
              <w:t xml:space="preserve">Minutes </w:t>
            </w:r>
            <w:r w:rsidR="00010D1B">
              <w:t>CPG19-7</w:t>
            </w:r>
          </w:p>
        </w:tc>
      </w:tr>
      <w:tr w:rsidR="00EE0C22" w:rsidRPr="00090F0F" w:rsidTr="00CD6048">
        <w:tblPrEx>
          <w:tblCellMar>
            <w:left w:w="108" w:type="dxa"/>
            <w:right w:w="108" w:type="dxa"/>
          </w:tblCellMar>
        </w:tblPrEx>
        <w:trPr>
          <w:cantSplit/>
          <w:trHeight w:val="405"/>
        </w:trPr>
        <w:tc>
          <w:tcPr>
            <w:tcW w:w="1819" w:type="dxa"/>
            <w:tcBorders>
              <w:top w:val="nil"/>
              <w:left w:val="nil"/>
              <w:bottom w:val="nil"/>
              <w:right w:val="nil"/>
            </w:tcBorders>
            <w:vAlign w:val="center"/>
          </w:tcPr>
          <w:p w:rsidR="00EE0C22" w:rsidRPr="00090F0F" w:rsidRDefault="00EE0C22" w:rsidP="00EE0C22">
            <w:pPr>
              <w:pStyle w:val="ECCLetterHead"/>
            </w:pPr>
            <w:r w:rsidRPr="00090F0F">
              <w:t xml:space="preserve">Subject: </w:t>
            </w:r>
          </w:p>
        </w:tc>
        <w:tc>
          <w:tcPr>
            <w:tcW w:w="7962" w:type="dxa"/>
            <w:gridSpan w:val="2"/>
            <w:tcBorders>
              <w:top w:val="nil"/>
              <w:left w:val="nil"/>
              <w:bottom w:val="nil"/>
              <w:right w:val="nil"/>
            </w:tcBorders>
            <w:vAlign w:val="center"/>
          </w:tcPr>
          <w:p w:rsidR="00EE0C22" w:rsidRPr="00090F0F" w:rsidRDefault="00EE0C22" w:rsidP="00EE0C22">
            <w:pPr>
              <w:pStyle w:val="ECCLetterHead"/>
            </w:pPr>
            <w:r w:rsidRPr="00090F0F">
              <w:t>Draft CEPT Brief on WRC-19 Agenda Item 1.10</w:t>
            </w:r>
          </w:p>
        </w:tc>
      </w:tr>
      <w:tr w:rsidR="00EE0C22" w:rsidRPr="00090F0F" w:rsidTr="00CD6048">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EE0C22" w:rsidRPr="00090F0F" w:rsidRDefault="00EE0C22" w:rsidP="00EE0C22">
            <w:pPr>
              <w:rPr>
                <w:rStyle w:val="ECCParagraph"/>
              </w:rPr>
            </w:pPr>
            <w:bookmarkStart w:id="0" w:name="_GoBack"/>
            <w:bookmarkEnd w:id="0"/>
          </w:p>
          <w:p w:rsidR="00EE0C22" w:rsidRPr="00090F0F" w:rsidRDefault="00EE0C22" w:rsidP="00EE0C22"/>
        </w:tc>
      </w:tr>
      <w:tr w:rsidR="00EE0C22" w:rsidRPr="00090F0F" w:rsidTr="00CD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EE0C22" w:rsidRPr="00090F0F" w:rsidRDefault="00EE0C22" w:rsidP="00EE0C22">
            <w:pPr>
              <w:pStyle w:val="ECCLetterHead"/>
            </w:pPr>
            <w:r w:rsidRPr="00090F0F">
              <w:t xml:space="preserve">Summary: </w:t>
            </w:r>
          </w:p>
        </w:tc>
      </w:tr>
      <w:tr w:rsidR="00EE0C22" w:rsidRPr="00090F0F" w:rsidTr="00CD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EE0C22" w:rsidRPr="00090F0F" w:rsidRDefault="00EE0C22" w:rsidP="00EE0C22">
            <w:pPr>
              <w:pStyle w:val="ECCTabletext"/>
            </w:pPr>
          </w:p>
        </w:tc>
      </w:tr>
      <w:tr w:rsidR="00EE0C22" w:rsidRPr="00090F0F" w:rsidTr="00CD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EE0C22" w:rsidRPr="00090F0F" w:rsidRDefault="00EE0C22" w:rsidP="00EE0C22">
            <w:pPr>
              <w:pStyle w:val="ECCLetterHead"/>
            </w:pPr>
            <w:r w:rsidRPr="00090F0F">
              <w:t>Proposal:</w:t>
            </w:r>
          </w:p>
        </w:tc>
      </w:tr>
      <w:tr w:rsidR="00EE0C22" w:rsidRPr="00090F0F" w:rsidTr="00CD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EE0C22" w:rsidRPr="00090F0F" w:rsidRDefault="00EE0C22" w:rsidP="00F657A5">
            <w:pPr>
              <w:pStyle w:val="ECCBulletsLv2"/>
              <w:numPr>
                <w:ilvl w:val="0"/>
                <w:numId w:val="0"/>
              </w:numPr>
              <w:ind w:left="680" w:hanging="360"/>
            </w:pPr>
          </w:p>
        </w:tc>
      </w:tr>
    </w:tbl>
    <w:p w:rsidR="00EE0C22" w:rsidRPr="00090F0F" w:rsidRDefault="00EE0C22">
      <w:pPr>
        <w:rPr>
          <w:rFonts w:cs="Arial"/>
          <w:b/>
          <w:bCs/>
          <w:caps/>
          <w:color w:val="D2232A"/>
          <w:kern w:val="32"/>
          <w:szCs w:val="32"/>
        </w:rPr>
      </w:pPr>
      <w:r w:rsidRPr="00090F0F">
        <w:br w:type="page"/>
      </w:r>
    </w:p>
    <w:p w:rsidR="007E4B55" w:rsidRPr="00090F0F" w:rsidRDefault="007E4B55" w:rsidP="007E4B55">
      <w:pPr>
        <w:pStyle w:val="ECCHeadingnonumbering"/>
        <w:rPr>
          <w:lang w:val="en-GB"/>
        </w:rPr>
      </w:pPr>
      <w:r w:rsidRPr="00090F0F">
        <w:rPr>
          <w:lang w:val="en-GB"/>
        </w:rPr>
        <w:lastRenderedPageBreak/>
        <w:t xml:space="preserve">DRAFT CEPT BRIEF ON AGENDA ITEM 1.10 </w:t>
      </w:r>
    </w:p>
    <w:p w:rsidR="007E4B55" w:rsidRPr="00090F0F" w:rsidRDefault="007E4B55" w:rsidP="007E4B55">
      <w:pPr>
        <w:rPr>
          <w:rStyle w:val="ECCParagraph"/>
        </w:rPr>
      </w:pPr>
      <w:r w:rsidRPr="00090F0F">
        <w:t>1.10</w:t>
      </w:r>
      <w:r w:rsidRPr="00090F0F">
        <w:tab/>
        <w:t xml:space="preserve">to consider spectrum needs and regulatory provisions for the introduction and use of the Global Aeronautical Distress and Safety System (GADSS), in accordance with Resolution </w:t>
      </w:r>
      <w:r w:rsidRPr="00090F0F">
        <w:rPr>
          <w:rStyle w:val="ECCHLbold"/>
        </w:rPr>
        <w:t>426 (WRC-15)</w:t>
      </w:r>
    </w:p>
    <w:p w:rsidR="007E4B55" w:rsidRPr="00090F0F" w:rsidRDefault="007E4B55" w:rsidP="007E4B55">
      <w:pPr>
        <w:pStyle w:val="berschrift1"/>
        <w:rPr>
          <w:lang w:val="en-GB"/>
        </w:rPr>
      </w:pPr>
      <w:r w:rsidRPr="00090F0F">
        <w:rPr>
          <w:lang w:val="en-GB"/>
        </w:rPr>
        <w:t>ISSUE</w:t>
      </w:r>
    </w:p>
    <w:p w:rsidR="007E4B55" w:rsidRPr="00090F0F" w:rsidRDefault="007E4B55" w:rsidP="007E4B55">
      <w:r w:rsidRPr="00090F0F">
        <w:t xml:space="preserve"> Resolution </w:t>
      </w:r>
      <w:r w:rsidRPr="00090F0F">
        <w:rPr>
          <w:rStyle w:val="ECCHLbold"/>
        </w:rPr>
        <w:t xml:space="preserve">426 (WRC-15) </w:t>
      </w:r>
      <w:r w:rsidRPr="00090F0F">
        <w:t xml:space="preserve">invites ITU-R: </w:t>
      </w:r>
    </w:p>
    <w:p w:rsidR="007E4B55" w:rsidRPr="00090F0F" w:rsidRDefault="007E4B55" w:rsidP="007E4B55">
      <w:pPr>
        <w:pStyle w:val="ECCNumberedList"/>
        <w:rPr>
          <w:lang w:eastAsia="ru-RU"/>
        </w:rPr>
      </w:pPr>
      <w:r w:rsidRPr="00090F0F">
        <w:t>to conduct the relevant studies, taking into account information and requirements provided by ICAO for both the terrestrial and satellite components, including:</w:t>
      </w:r>
    </w:p>
    <w:p w:rsidR="007E4B55" w:rsidRPr="00090F0F" w:rsidRDefault="007E4B55" w:rsidP="007E4B55">
      <w:pPr>
        <w:pStyle w:val="ECCLetteredList"/>
        <w:rPr>
          <w:lang w:val="en-GB"/>
        </w:rPr>
      </w:pPr>
      <w:r w:rsidRPr="00090F0F">
        <w:rPr>
          <w:lang w:val="en-GB"/>
        </w:rPr>
        <w:t xml:space="preserve">quantification and characterization of radiocommunication requirements related to GADSS, such as: </w:t>
      </w:r>
    </w:p>
    <w:p w:rsidR="007E4B55" w:rsidRPr="00090F0F" w:rsidRDefault="007E4B55" w:rsidP="007E4B55">
      <w:pPr>
        <w:pStyle w:val="ECCBulletsLv3"/>
      </w:pPr>
      <w:r w:rsidRPr="00090F0F">
        <w:t xml:space="preserve">data traffic requirements for different system components of GADSS (such as the aircraft tracking, autonomous distress and flight data recovery systems) and their terrestrial and satellite components at each phase of the operation; </w:t>
      </w:r>
    </w:p>
    <w:p w:rsidR="007E4B55" w:rsidRPr="00090F0F" w:rsidRDefault="007E4B55" w:rsidP="007E4B55">
      <w:pPr>
        <w:pStyle w:val="ECCBulletsLv3"/>
      </w:pPr>
      <w:r w:rsidRPr="00090F0F">
        <w:t xml:space="preserve">information on the radiocommunication requirement related to safety-of-life applications; </w:t>
      </w:r>
    </w:p>
    <w:p w:rsidR="007E4B55" w:rsidRPr="00090F0F" w:rsidRDefault="007E4B55" w:rsidP="007E4B55">
      <w:pPr>
        <w:pStyle w:val="ECCBulletsLv3"/>
      </w:pPr>
      <w:r w:rsidRPr="00090F0F">
        <w:t xml:space="preserve">performance criteria for terrestrial and satellite systems; </w:t>
      </w:r>
    </w:p>
    <w:p w:rsidR="007E4B55" w:rsidRPr="00090F0F" w:rsidRDefault="007E4B55" w:rsidP="007E4B55">
      <w:pPr>
        <w:pStyle w:val="ECCLetteredList"/>
        <w:rPr>
          <w:lang w:val="en-GB"/>
        </w:rPr>
      </w:pPr>
      <w:r w:rsidRPr="00090F0F">
        <w:rPr>
          <w:lang w:val="en-GB"/>
        </w:rPr>
        <w:t>analysis of the existing allocations to the relevant aeronautical services and determining whether any additional spectrum is required;</w:t>
      </w:r>
    </w:p>
    <w:p w:rsidR="007E4B55" w:rsidRPr="00090F0F" w:rsidRDefault="007E4B55" w:rsidP="007E4B55">
      <w:pPr>
        <w:pStyle w:val="ECCLetteredList"/>
        <w:rPr>
          <w:lang w:val="en-GB"/>
        </w:rPr>
      </w:pPr>
      <w:r w:rsidRPr="00090F0F">
        <w:rPr>
          <w:lang w:val="en-GB"/>
        </w:rPr>
        <w:t>studies on sharing and/or compatibility with the existing services;</w:t>
      </w:r>
    </w:p>
    <w:p w:rsidR="007E4B55" w:rsidRPr="00090F0F" w:rsidRDefault="007E4B55" w:rsidP="007E4B55">
      <w:pPr>
        <w:pStyle w:val="ECCNumberedList"/>
        <w:rPr>
          <w:rStyle w:val="ECCParagraph"/>
        </w:rPr>
      </w:pPr>
      <w:r w:rsidRPr="00090F0F">
        <w:t>to undertake studies of the existing regulatory provisions to determine whether it might be necessary to apply additional regulatory measures.</w:t>
      </w:r>
    </w:p>
    <w:p w:rsidR="007E4B55" w:rsidRPr="00090F0F" w:rsidRDefault="007E4B55" w:rsidP="007E4B55">
      <w:pPr>
        <w:rPr>
          <w:rStyle w:val="ECCParagraph"/>
        </w:rPr>
      </w:pPr>
      <w:r w:rsidRPr="00090F0F">
        <w:rPr>
          <w:rStyle w:val="ECCParagraph"/>
        </w:rPr>
        <w:t>It also resolves to invite WRC-19:</w:t>
      </w:r>
    </w:p>
    <w:p w:rsidR="007E4B55" w:rsidRPr="00090F0F" w:rsidRDefault="007E4B55" w:rsidP="00AD132F">
      <w:pPr>
        <w:pStyle w:val="ECCNumberedList"/>
        <w:numPr>
          <w:ilvl w:val="0"/>
          <w:numId w:val="11"/>
        </w:numPr>
      </w:pPr>
      <w:r w:rsidRPr="00090F0F">
        <w:t>to take appropriate actions, taking into account the results of ITU-R studies</w:t>
      </w:r>
    </w:p>
    <w:p w:rsidR="007E4B55" w:rsidRPr="00090F0F" w:rsidRDefault="007E4B55" w:rsidP="007E4B55">
      <w:pPr>
        <w:pStyle w:val="ECCNumberedList"/>
      </w:pPr>
      <w:r w:rsidRPr="00090F0F">
        <w:t>to analyse the necessity for further studies, and consider whether this matter should be brought to the attention of future competent conference.</w:t>
      </w:r>
    </w:p>
    <w:p w:rsidR="007E4B55" w:rsidRPr="00090F0F" w:rsidRDefault="007E4B55" w:rsidP="007E4B55">
      <w:pPr>
        <w:pStyle w:val="berschrift1"/>
        <w:rPr>
          <w:lang w:val="en-GB"/>
        </w:rPr>
      </w:pPr>
      <w:r w:rsidRPr="00090F0F">
        <w:rPr>
          <w:lang w:val="en-GB"/>
        </w:rPr>
        <w:t xml:space="preserve">Preliminary CEPT position </w:t>
      </w:r>
    </w:p>
    <w:p w:rsidR="007E4B55" w:rsidRPr="00090F0F" w:rsidRDefault="007E4B55" w:rsidP="007E4B55">
      <w:r w:rsidRPr="00090F0F">
        <w:t>CEPT is of the view</w:t>
      </w:r>
      <w:r w:rsidR="00197AF3">
        <w:t xml:space="preserve"> that </w:t>
      </w:r>
    </w:p>
    <w:p w:rsidR="007E4B55" w:rsidRPr="00090F0F" w:rsidRDefault="007E4B55" w:rsidP="007E4B55">
      <w:pPr>
        <w:pStyle w:val="ECCBulletsLv1"/>
      </w:pPr>
      <w:r w:rsidRPr="00090F0F">
        <w:t xml:space="preserve">systems contributing to the GADSS </w:t>
      </w:r>
      <w:r w:rsidR="00030528" w:rsidRPr="00090F0F">
        <w:t>shall</w:t>
      </w:r>
      <w:r w:rsidR="001C2421" w:rsidRPr="00090F0F">
        <w:t xml:space="preserve"> operate</w:t>
      </w:r>
      <w:r w:rsidRPr="00090F0F">
        <w:t xml:space="preserve"> in accordance with ICAO requirements or recommendations </w:t>
      </w:r>
      <w:r w:rsidR="007362E0" w:rsidRPr="00090F0F">
        <w:t xml:space="preserve">contained </w:t>
      </w:r>
      <w:r w:rsidRPr="00090F0F">
        <w:t xml:space="preserve">in </w:t>
      </w:r>
      <w:r w:rsidR="00090F0F">
        <w:t>Standard and Recommended Practices (</w:t>
      </w:r>
      <w:r w:rsidRPr="00090F0F">
        <w:t>SARPs</w:t>
      </w:r>
      <w:r w:rsidR="00090F0F">
        <w:t>)</w:t>
      </w:r>
      <w:r w:rsidRPr="00090F0F">
        <w:t>, manuals or guidance material;</w:t>
      </w:r>
    </w:p>
    <w:p w:rsidR="007E4B55" w:rsidRPr="00090F0F" w:rsidRDefault="007E4B55" w:rsidP="007E4B55">
      <w:pPr>
        <w:pStyle w:val="ECCBulletsLv1"/>
      </w:pPr>
      <w:r w:rsidRPr="00090F0F">
        <w:t>any changes to the Radio Regulations should be determined on the basis of the GADSS concept developed by ICAO;</w:t>
      </w:r>
    </w:p>
    <w:p w:rsidR="007E4B55" w:rsidRPr="00090F0F" w:rsidRDefault="007E4B55" w:rsidP="007E4B55">
      <w:pPr>
        <w:pStyle w:val="ECCBulletsLv1"/>
      </w:pPr>
      <w:r w:rsidRPr="00090F0F">
        <w:t xml:space="preserve">systems identified to contribute to the GADSS </w:t>
      </w:r>
      <w:r w:rsidR="00030528" w:rsidRPr="00090F0F">
        <w:t xml:space="preserve">do </w:t>
      </w:r>
      <w:r w:rsidRPr="00090F0F">
        <w:t xml:space="preserve">not require any </w:t>
      </w:r>
      <w:r w:rsidR="007362E0" w:rsidRPr="00090F0F">
        <w:t xml:space="preserve">change to </w:t>
      </w:r>
      <w:r w:rsidR="00F5330E" w:rsidRPr="00090F0F">
        <w:t>A</w:t>
      </w:r>
      <w:r w:rsidR="007362E0" w:rsidRPr="00090F0F">
        <w:t xml:space="preserve">rticle </w:t>
      </w:r>
      <w:r w:rsidR="007362E0" w:rsidRPr="00090F0F">
        <w:rPr>
          <w:rStyle w:val="ECCHLbold"/>
        </w:rPr>
        <w:t>5</w:t>
      </w:r>
      <w:r w:rsidR="007362E0" w:rsidRPr="00090F0F">
        <w:t xml:space="preserve"> of the </w:t>
      </w:r>
      <w:r w:rsidR="00030528" w:rsidRPr="00090F0F">
        <w:t>R</w:t>
      </w:r>
      <w:r w:rsidR="007362E0" w:rsidRPr="00090F0F">
        <w:t xml:space="preserve">adio </w:t>
      </w:r>
      <w:r w:rsidR="00030528" w:rsidRPr="00090F0F">
        <w:t>R</w:t>
      </w:r>
      <w:r w:rsidR="007362E0" w:rsidRPr="00090F0F">
        <w:t>egulations</w:t>
      </w:r>
      <w:r w:rsidR="00F5330E" w:rsidRPr="00090F0F">
        <w:t>;</w:t>
      </w:r>
    </w:p>
    <w:p w:rsidR="00411240" w:rsidRPr="00090F0F" w:rsidRDefault="00030528" w:rsidP="00411240">
      <w:pPr>
        <w:pStyle w:val="ECCBulletsLv1"/>
      </w:pPr>
      <w:r w:rsidRPr="00090F0F">
        <w:t>[</w:t>
      </w:r>
      <w:r w:rsidR="00411240" w:rsidRPr="00090F0F">
        <w:t>the list of the frequency bands and systems used by GADSS and also their technical and operational characteristics and operational parameters should be included in the corresponding ITU-R Recommendations</w:t>
      </w:r>
      <w:r w:rsidR="00197AF3">
        <w:t>;</w:t>
      </w:r>
      <w:r w:rsidRPr="00090F0F">
        <w:t>]</w:t>
      </w:r>
    </w:p>
    <w:p w:rsidR="007E4B55" w:rsidRPr="00090F0F" w:rsidRDefault="007E4B55" w:rsidP="007E4B55">
      <w:pPr>
        <w:pStyle w:val="ECCBulletsLv1"/>
      </w:pPr>
      <w:r w:rsidRPr="00090F0F">
        <w:t>additional regulatory actions for the introduction and use of GADSS</w:t>
      </w:r>
      <w:r w:rsidR="007362E0" w:rsidRPr="00090F0F">
        <w:t xml:space="preserve"> should not place</w:t>
      </w:r>
      <w:r w:rsidRPr="00090F0F">
        <w:t xml:space="preserve"> any additional constraints on the existing and planned systems.</w:t>
      </w:r>
    </w:p>
    <w:p w:rsidR="007E4B55" w:rsidRPr="00090F0F" w:rsidRDefault="007E4B55" w:rsidP="007E4B55">
      <w:pPr>
        <w:pStyle w:val="berschrift1"/>
        <w:rPr>
          <w:lang w:val="en-GB"/>
        </w:rPr>
      </w:pPr>
      <w:r w:rsidRPr="00090F0F">
        <w:rPr>
          <w:lang w:val="en-GB"/>
        </w:rPr>
        <w:lastRenderedPageBreak/>
        <w:t xml:space="preserve">Background </w:t>
      </w:r>
    </w:p>
    <w:p w:rsidR="007E4B55" w:rsidRPr="00090F0F" w:rsidRDefault="007E4B55" w:rsidP="007E4B55">
      <w:pPr>
        <w:rPr>
          <w:rStyle w:val="ECCParagraph"/>
        </w:rPr>
      </w:pPr>
      <w:r w:rsidRPr="00090F0F">
        <w:rPr>
          <w:rStyle w:val="ECCParagraph"/>
        </w:rPr>
        <w:t xml:space="preserve">One of the main reasons why the level of safety of air transport remains high is the willingness of the aviation community to learn important lessons from prior events.  </w:t>
      </w:r>
    </w:p>
    <w:p w:rsidR="007E4B55" w:rsidRPr="00090F0F" w:rsidRDefault="007E4B55" w:rsidP="007E4B55">
      <w:pPr>
        <w:rPr>
          <w:rStyle w:val="ECCParagraph"/>
        </w:rPr>
      </w:pPr>
      <w:r w:rsidRPr="00090F0F">
        <w:rPr>
          <w:rStyle w:val="ECCParagraph"/>
        </w:rPr>
        <w:t xml:space="preserve">On the rare occasions when accidents occur, rescuing survivors has the highest priority, followed by the recovery of fatalities, the wreckage and the flight recorders. Analysis of the data from such recorders is very important in supporting accident investigation which may, through identification of the cause of the accident, contribute towards enhancing safety.  </w:t>
      </w:r>
    </w:p>
    <w:p w:rsidR="007E4B55" w:rsidRPr="00090F0F" w:rsidRDefault="005812E5" w:rsidP="007E4B55">
      <w:pPr>
        <w:rPr>
          <w:rStyle w:val="ECCParagraph"/>
        </w:rPr>
      </w:pPr>
      <w:r w:rsidRPr="00090F0F">
        <w:rPr>
          <w:rStyle w:val="ECCParagraph"/>
        </w:rPr>
        <w:t>T</w:t>
      </w:r>
      <w:r w:rsidR="007E4B55" w:rsidRPr="00090F0F">
        <w:rPr>
          <w:rStyle w:val="ECCParagraph"/>
        </w:rPr>
        <w:t xml:space="preserve">he </w:t>
      </w:r>
      <w:r w:rsidR="00C90662" w:rsidRPr="00090F0F">
        <w:rPr>
          <w:rStyle w:val="ECCParagraph"/>
        </w:rPr>
        <w:t xml:space="preserve">tragedies </w:t>
      </w:r>
      <w:r w:rsidR="007E4B55" w:rsidRPr="00090F0F">
        <w:rPr>
          <w:rStyle w:val="ECCParagraph"/>
        </w:rPr>
        <w:t xml:space="preserve">of Malaysia Airlines flight 370 </w:t>
      </w:r>
      <w:r w:rsidR="00C90662" w:rsidRPr="00090F0F">
        <w:rPr>
          <w:rStyle w:val="ECCParagraph"/>
        </w:rPr>
        <w:t xml:space="preserve">and </w:t>
      </w:r>
      <w:r w:rsidR="007E4B55" w:rsidRPr="00090F0F">
        <w:rPr>
          <w:rStyle w:val="ECCParagraph"/>
        </w:rPr>
        <w:t xml:space="preserve">Air France flight 447, </w:t>
      </w:r>
      <w:r w:rsidR="00C90662" w:rsidRPr="00090F0F">
        <w:rPr>
          <w:rStyle w:val="ECCParagraph"/>
        </w:rPr>
        <w:t xml:space="preserve">have highlighted </w:t>
      </w:r>
      <w:r w:rsidR="007E4B55" w:rsidRPr="00090F0F">
        <w:rPr>
          <w:rStyle w:val="ECCParagraph"/>
        </w:rPr>
        <w:t xml:space="preserve">the need </w:t>
      </w:r>
      <w:r w:rsidR="00C90662" w:rsidRPr="00090F0F">
        <w:rPr>
          <w:rStyle w:val="ECCParagraph"/>
        </w:rPr>
        <w:t xml:space="preserve">to improve </w:t>
      </w:r>
      <w:r w:rsidR="007E4B55" w:rsidRPr="00090F0F">
        <w:rPr>
          <w:rStyle w:val="ECCParagraph"/>
        </w:rPr>
        <w:t xml:space="preserve">the effectiveness </w:t>
      </w:r>
      <w:r w:rsidR="00C90662" w:rsidRPr="00090F0F">
        <w:rPr>
          <w:rStyle w:val="ECCParagraph"/>
        </w:rPr>
        <w:t>and global consistency with which</w:t>
      </w:r>
      <w:r w:rsidR="007E4B55" w:rsidRPr="00090F0F">
        <w:rPr>
          <w:rStyle w:val="ECCParagraph"/>
        </w:rPr>
        <w:t xml:space="preserve"> search and resc</w:t>
      </w:r>
      <w:r w:rsidR="00DD2814">
        <w:rPr>
          <w:rStyle w:val="ECCParagraph"/>
        </w:rPr>
        <w:t>u</w:t>
      </w:r>
      <w:r w:rsidR="007E4B55" w:rsidRPr="00090F0F">
        <w:rPr>
          <w:rStyle w:val="ECCParagraph"/>
        </w:rPr>
        <w:t xml:space="preserve">e services </w:t>
      </w:r>
      <w:r w:rsidR="00C90662" w:rsidRPr="00090F0F">
        <w:rPr>
          <w:rStyle w:val="ECCParagraph"/>
        </w:rPr>
        <w:t>are notified of an incident</w:t>
      </w:r>
      <w:r w:rsidR="007E4B55" w:rsidRPr="00090F0F">
        <w:rPr>
          <w:rStyle w:val="ECCParagraph"/>
        </w:rPr>
        <w:t xml:space="preserve">. As a result, </w:t>
      </w:r>
      <w:r w:rsidR="00C90662" w:rsidRPr="00090F0F">
        <w:rPr>
          <w:rStyle w:val="ECCParagraph"/>
        </w:rPr>
        <w:t xml:space="preserve">ICAO </w:t>
      </w:r>
      <w:r w:rsidR="00780E9E" w:rsidRPr="00090F0F">
        <w:rPr>
          <w:rStyle w:val="ECCParagraph"/>
        </w:rPr>
        <w:t>is</w:t>
      </w:r>
      <w:r w:rsidR="00C90662" w:rsidRPr="00090F0F">
        <w:rPr>
          <w:rStyle w:val="ECCParagraph"/>
        </w:rPr>
        <w:t xml:space="preserve"> developing </w:t>
      </w:r>
      <w:r w:rsidR="007E4B55" w:rsidRPr="00090F0F">
        <w:rPr>
          <w:rStyle w:val="ECCParagraph"/>
        </w:rPr>
        <w:t xml:space="preserve">a concept of operations for a GADSS </w:t>
      </w:r>
      <w:r w:rsidR="00C90662" w:rsidRPr="00090F0F">
        <w:rPr>
          <w:rStyle w:val="ECCParagraph"/>
        </w:rPr>
        <w:t xml:space="preserve">which is currently </w:t>
      </w:r>
      <w:r w:rsidR="007E4B55" w:rsidRPr="00090F0F">
        <w:rPr>
          <w:rStyle w:val="ECCParagraph"/>
        </w:rPr>
        <w:t>in a mature draft form.</w:t>
      </w:r>
    </w:p>
    <w:p w:rsidR="007E4B55" w:rsidRPr="00090F0F" w:rsidRDefault="007E4B55" w:rsidP="007E4B55">
      <w:pPr>
        <w:rPr>
          <w:rStyle w:val="ECCParagraph"/>
        </w:rPr>
      </w:pPr>
      <w:r w:rsidRPr="00090F0F">
        <w:rPr>
          <w:rStyle w:val="ECCParagraph"/>
        </w:rPr>
        <w:t xml:space="preserve">ICAO has developed a Concept of Operations (Version 6.0) for the GADSS which specifies the </w:t>
      </w:r>
      <w:r w:rsidR="00C90662" w:rsidRPr="00090F0F">
        <w:rPr>
          <w:rStyle w:val="ECCParagraph"/>
        </w:rPr>
        <w:t xml:space="preserve">required </w:t>
      </w:r>
      <w:r w:rsidRPr="00090F0F">
        <w:rPr>
          <w:rStyle w:val="ECCParagraph"/>
        </w:rPr>
        <w:t xml:space="preserve">high level </w:t>
      </w:r>
      <w:r w:rsidR="002A4843" w:rsidRPr="00090F0F">
        <w:rPr>
          <w:rStyle w:val="ECCParagraph"/>
        </w:rPr>
        <w:t xml:space="preserve">objectives and </w:t>
      </w:r>
      <w:r w:rsidRPr="00090F0F">
        <w:rPr>
          <w:rStyle w:val="ECCParagraph"/>
        </w:rPr>
        <w:t>function</w:t>
      </w:r>
      <w:r w:rsidR="00C90662" w:rsidRPr="00090F0F">
        <w:rPr>
          <w:rStyle w:val="ECCParagraph"/>
        </w:rPr>
        <w:t xml:space="preserve">ality. It </w:t>
      </w:r>
      <w:r w:rsidRPr="00090F0F">
        <w:rPr>
          <w:rStyle w:val="ECCParagraph"/>
        </w:rPr>
        <w:t>descri</w:t>
      </w:r>
      <w:r w:rsidR="00C90662" w:rsidRPr="00090F0F">
        <w:rPr>
          <w:rStyle w:val="ECCParagraph"/>
        </w:rPr>
        <w:t>bes</w:t>
      </w:r>
      <w:r w:rsidR="002A4843" w:rsidRPr="00090F0F">
        <w:rPr>
          <w:rStyle w:val="ECCParagraph"/>
        </w:rPr>
        <w:t>, how, from a user perspective,</w:t>
      </w:r>
      <w:r w:rsidRPr="00090F0F">
        <w:rPr>
          <w:rStyle w:val="ECCParagraph"/>
        </w:rPr>
        <w:t xml:space="preserve"> flight tracking information during all phases of flight, both normal and distress flight conditions </w:t>
      </w:r>
      <w:r w:rsidR="002A4843" w:rsidRPr="00090F0F">
        <w:rPr>
          <w:rStyle w:val="ECCParagraph"/>
        </w:rPr>
        <w:t xml:space="preserve">will be used in a manner that will facilitate the </w:t>
      </w:r>
      <w:r w:rsidRPr="00090F0F">
        <w:rPr>
          <w:rStyle w:val="ECCParagraph"/>
        </w:rPr>
        <w:t>timely and accurate location of an aircraft accident site and recovery of flight data.</w:t>
      </w:r>
    </w:p>
    <w:p w:rsidR="00BD0DF3" w:rsidRPr="00090F0F" w:rsidRDefault="00BD0DF3" w:rsidP="00BD0DF3">
      <w:r w:rsidRPr="00090F0F">
        <w:t>The objectives of the GADSS Concept of Operation are, on a worldwide scale</w:t>
      </w:r>
      <w:r w:rsidR="00090F0F">
        <w:t>,</w:t>
      </w:r>
      <w:r w:rsidRPr="00090F0F">
        <w:t xml:space="preserve"> to</w:t>
      </w:r>
      <w:r w:rsidR="00090F0F">
        <w:t>:</w:t>
      </w:r>
    </w:p>
    <w:p w:rsidR="00BD0DF3" w:rsidRPr="00090F0F" w:rsidRDefault="00BD0DF3" w:rsidP="00BD0DF3">
      <w:pPr>
        <w:pStyle w:val="ECCBulletsLv1"/>
      </w:pPr>
      <w:r w:rsidRPr="00090F0F">
        <w:t>Ensure timely detection of aircraft in distress</w:t>
      </w:r>
    </w:p>
    <w:p w:rsidR="00BD0DF3" w:rsidRPr="00090F0F" w:rsidRDefault="00BD0DF3" w:rsidP="00BD0DF3">
      <w:pPr>
        <w:pStyle w:val="ECCBulletsLv2"/>
      </w:pPr>
      <w:r w:rsidRPr="00090F0F">
        <w:t xml:space="preserve">To initiate SAR actions in a timely manner </w:t>
      </w:r>
    </w:p>
    <w:p w:rsidR="00BD0DF3" w:rsidRPr="00090F0F" w:rsidRDefault="00BD0DF3" w:rsidP="00BD0DF3">
      <w:pPr>
        <w:pStyle w:val="ECCBulletsLv1"/>
      </w:pPr>
      <w:r w:rsidRPr="00090F0F">
        <w:t xml:space="preserve">Ensure tracking of aircraft in distress and timely and accurate location of end of flight </w:t>
      </w:r>
    </w:p>
    <w:p w:rsidR="00BD0DF3" w:rsidRPr="00090F0F" w:rsidRDefault="00BD0DF3" w:rsidP="00BD0DF3">
      <w:pPr>
        <w:pStyle w:val="ECCBulletsLv2"/>
      </w:pPr>
      <w:r w:rsidRPr="00090F0F">
        <w:t>To accurately direct SAR actions</w:t>
      </w:r>
    </w:p>
    <w:p w:rsidR="00BD0DF3" w:rsidRPr="00090F0F" w:rsidRDefault="00BD0DF3" w:rsidP="00BD0DF3">
      <w:pPr>
        <w:pStyle w:val="ECCBulletsLv1"/>
      </w:pPr>
      <w:r w:rsidRPr="00090F0F">
        <w:t>Enable efficient and effective SAR operations</w:t>
      </w:r>
    </w:p>
    <w:p w:rsidR="00BD0DF3" w:rsidRPr="00090F0F" w:rsidRDefault="00BD0DF3">
      <w:pPr>
        <w:pStyle w:val="ECCBulletsLv1"/>
      </w:pPr>
      <w:r w:rsidRPr="00090F0F">
        <w:t>Ensure timely retrieval of Flight Recorder Data</w:t>
      </w:r>
    </w:p>
    <w:p w:rsidR="00BD0DF3" w:rsidRDefault="00BD0DF3" w:rsidP="00090F0F">
      <w:r w:rsidRPr="00090F0F">
        <w:t>A table in the Concept of Operations for GADSS (version 6.0), which is reproduced below, shows which types of frequency bands could be considered for the various categories of functions specified under the GADSS.</w:t>
      </w:r>
    </w:p>
    <w:p w:rsidR="00090F0F" w:rsidRPr="00090F0F" w:rsidRDefault="00090F0F" w:rsidP="00090F0F">
      <w:pPr>
        <w:pStyle w:val="Beschriftung"/>
        <w:rPr>
          <w:lang w:val="en-US"/>
        </w:rPr>
      </w:pPr>
      <w:r w:rsidRPr="00090F0F">
        <w:rPr>
          <w:lang w:val="en-US"/>
        </w:rPr>
        <w:t xml:space="preserve">Table </w:t>
      </w:r>
      <w:r w:rsidRPr="00090F0F">
        <w:fldChar w:fldCharType="begin"/>
      </w:r>
      <w:r w:rsidRPr="00090F0F">
        <w:rPr>
          <w:lang w:val="en-US"/>
        </w:rPr>
        <w:instrText xml:space="preserve"> SEQ Table \* ARABIC </w:instrText>
      </w:r>
      <w:r w:rsidRPr="00090F0F">
        <w:fldChar w:fldCharType="separate"/>
      </w:r>
      <w:r w:rsidRPr="00090F0F">
        <w:rPr>
          <w:lang w:val="en-US"/>
        </w:rPr>
        <w:t>1</w:t>
      </w:r>
      <w:r w:rsidRPr="00090F0F">
        <w:fldChar w:fldCharType="end"/>
      </w:r>
      <w:r w:rsidRPr="00090F0F">
        <w:rPr>
          <w:lang w:val="en-US"/>
        </w:rPr>
        <w:t xml:space="preserve">: </w:t>
      </w:r>
      <w:r w:rsidR="00333FEC" w:rsidRPr="00333FEC">
        <w:rPr>
          <w:lang w:val="en-US"/>
        </w:rPr>
        <w:t>V</w:t>
      </w:r>
      <w:r w:rsidRPr="00090F0F">
        <w:rPr>
          <w:lang w:val="en-US"/>
        </w:rPr>
        <w:t>arious categories of specified functions under GADSS</w:t>
      </w:r>
    </w:p>
    <w:tbl>
      <w:tblPr>
        <w:tblStyle w:val="ECCTable-redheader"/>
        <w:tblW w:w="0" w:type="auto"/>
        <w:tblInd w:w="0" w:type="dxa"/>
        <w:tblLook w:val="04A0" w:firstRow="1" w:lastRow="0" w:firstColumn="1" w:lastColumn="0" w:noHBand="0" w:noVBand="1"/>
      </w:tblPr>
      <w:tblGrid>
        <w:gridCol w:w="5990"/>
        <w:gridCol w:w="2588"/>
      </w:tblGrid>
      <w:tr w:rsidR="00BD0DF3" w:rsidRPr="00960E86" w:rsidTr="00960E86">
        <w:trPr>
          <w:cnfStyle w:val="100000000000" w:firstRow="1" w:lastRow="0" w:firstColumn="0" w:lastColumn="0" w:oddVBand="0" w:evenVBand="0" w:oddHBand="0" w:evenHBand="0" w:firstRowFirstColumn="0" w:firstRowLastColumn="0" w:lastRowFirstColumn="0" w:lastRowLastColumn="0"/>
        </w:trPr>
        <w:tc>
          <w:tcPr>
            <w:tcW w:w="5990" w:type="dxa"/>
            <w:hideMark/>
          </w:tcPr>
          <w:p w:rsidR="00BD0DF3" w:rsidRPr="00960E86" w:rsidRDefault="00090F0F" w:rsidP="00960E86">
            <w:r w:rsidRPr="00960E86">
              <w:t>Function</w:t>
            </w:r>
          </w:p>
        </w:tc>
        <w:tc>
          <w:tcPr>
            <w:tcW w:w="2588" w:type="dxa"/>
            <w:hideMark/>
          </w:tcPr>
          <w:p w:rsidR="00BD0DF3" w:rsidRPr="00960E86" w:rsidRDefault="00BD0DF3" w:rsidP="00960E86">
            <w:r w:rsidRPr="00960E86">
              <w:t>Spectrum Category</w:t>
            </w:r>
          </w:p>
        </w:tc>
      </w:tr>
      <w:tr w:rsidR="00BD0DF3" w:rsidRPr="00090F0F" w:rsidTr="00960E86">
        <w:tc>
          <w:tcPr>
            <w:tcW w:w="5990" w:type="dxa"/>
            <w:hideMark/>
          </w:tcPr>
          <w:p w:rsidR="00BD0DF3" w:rsidRPr="00960E86" w:rsidRDefault="00D82D55" w:rsidP="00960E86">
            <w:pPr>
              <w:pStyle w:val="ECCTabletext"/>
            </w:pPr>
            <w:r w:rsidRPr="00960E86">
              <w:t>Aircraft t</w:t>
            </w:r>
            <w:r w:rsidR="00BD0DF3" w:rsidRPr="00960E86">
              <w:t>racking</w:t>
            </w:r>
            <w:r w:rsidRPr="00960E86">
              <w:t xml:space="preserve"> system</w:t>
            </w:r>
          </w:p>
        </w:tc>
        <w:tc>
          <w:tcPr>
            <w:tcW w:w="2588" w:type="dxa"/>
            <w:hideMark/>
          </w:tcPr>
          <w:p w:rsidR="00BD0DF3" w:rsidRPr="00960E86" w:rsidRDefault="00BD0DF3" w:rsidP="00960E86">
            <w:pPr>
              <w:pStyle w:val="ECCTabletext"/>
            </w:pPr>
            <w:r w:rsidRPr="00960E86">
              <w:t>A</w:t>
            </w:r>
          </w:p>
        </w:tc>
      </w:tr>
      <w:tr w:rsidR="00BD0DF3" w:rsidRPr="00090F0F" w:rsidTr="00960E86">
        <w:tc>
          <w:tcPr>
            <w:tcW w:w="5990" w:type="dxa"/>
            <w:hideMark/>
          </w:tcPr>
          <w:p w:rsidR="00BD0DF3" w:rsidRPr="00960E86" w:rsidRDefault="00BD0DF3" w:rsidP="00960E86">
            <w:pPr>
              <w:pStyle w:val="ECCTabletext"/>
            </w:pPr>
            <w:r w:rsidRPr="00960E86">
              <w:t>ATC Surveillance systems</w:t>
            </w:r>
          </w:p>
        </w:tc>
        <w:tc>
          <w:tcPr>
            <w:tcW w:w="2588" w:type="dxa"/>
            <w:hideMark/>
          </w:tcPr>
          <w:p w:rsidR="00BD0DF3" w:rsidRPr="00960E86" w:rsidRDefault="00BD0DF3" w:rsidP="00960E86">
            <w:pPr>
              <w:pStyle w:val="ECCTabletext"/>
            </w:pPr>
            <w:r w:rsidRPr="00960E86">
              <w:t>B</w:t>
            </w:r>
          </w:p>
        </w:tc>
      </w:tr>
      <w:tr w:rsidR="00BD0DF3" w:rsidRPr="00090F0F" w:rsidTr="00960E86">
        <w:tc>
          <w:tcPr>
            <w:tcW w:w="5990" w:type="dxa"/>
            <w:hideMark/>
          </w:tcPr>
          <w:p w:rsidR="00BD0DF3" w:rsidRPr="00960E86" w:rsidRDefault="00BD0DF3" w:rsidP="00960E86">
            <w:pPr>
              <w:pStyle w:val="ECCTabletext"/>
            </w:pPr>
            <w:r w:rsidRPr="00960E86">
              <w:t>Distress Tracking</w:t>
            </w:r>
            <w:r w:rsidR="00D82D55" w:rsidRPr="00960E86">
              <w:t xml:space="preserve"> systems</w:t>
            </w:r>
          </w:p>
        </w:tc>
        <w:tc>
          <w:tcPr>
            <w:tcW w:w="2588" w:type="dxa"/>
            <w:hideMark/>
          </w:tcPr>
          <w:p w:rsidR="00BD0DF3" w:rsidRPr="00960E86" w:rsidRDefault="00BD0DF3" w:rsidP="00960E86">
            <w:pPr>
              <w:pStyle w:val="ECCTabletext"/>
            </w:pPr>
            <w:r w:rsidRPr="00960E86">
              <w:t>C</w:t>
            </w:r>
          </w:p>
        </w:tc>
      </w:tr>
      <w:tr w:rsidR="00BD0DF3" w:rsidRPr="00090F0F" w:rsidTr="00960E86">
        <w:tc>
          <w:tcPr>
            <w:tcW w:w="5990" w:type="dxa"/>
            <w:hideMark/>
          </w:tcPr>
          <w:p w:rsidR="00BD0DF3" w:rsidRPr="00960E86" w:rsidRDefault="00780E9E" w:rsidP="00960E86">
            <w:pPr>
              <w:pStyle w:val="ECCTabletext"/>
            </w:pPr>
            <w:r w:rsidRPr="00960E86">
              <w:t>Post Flight Localization and Recovery</w:t>
            </w:r>
          </w:p>
        </w:tc>
        <w:tc>
          <w:tcPr>
            <w:tcW w:w="2588" w:type="dxa"/>
            <w:hideMark/>
          </w:tcPr>
          <w:p w:rsidR="00BD0DF3" w:rsidRPr="00960E86" w:rsidRDefault="00BD0DF3" w:rsidP="00960E86">
            <w:pPr>
              <w:pStyle w:val="ECCTabletext"/>
            </w:pPr>
          </w:p>
        </w:tc>
      </w:tr>
      <w:tr w:rsidR="00780E9E" w:rsidRPr="00090F0F" w:rsidTr="00960E86">
        <w:tc>
          <w:tcPr>
            <w:tcW w:w="5990" w:type="dxa"/>
          </w:tcPr>
          <w:p w:rsidR="00780E9E" w:rsidRPr="00960E86" w:rsidRDefault="00780E9E" w:rsidP="00960E86">
            <w:pPr>
              <w:pStyle w:val="ECCTabletext"/>
            </w:pPr>
            <w:r w:rsidRPr="00960E86">
              <w:t>Localization systems</w:t>
            </w:r>
          </w:p>
        </w:tc>
        <w:tc>
          <w:tcPr>
            <w:tcW w:w="2588" w:type="dxa"/>
          </w:tcPr>
          <w:p w:rsidR="00780E9E" w:rsidRPr="00960E86" w:rsidRDefault="00780E9E" w:rsidP="00960E86">
            <w:pPr>
              <w:pStyle w:val="ECCTabletext"/>
            </w:pPr>
            <w:r w:rsidRPr="00960E86">
              <w:t>C</w:t>
            </w:r>
          </w:p>
        </w:tc>
      </w:tr>
      <w:tr w:rsidR="00780E9E" w:rsidRPr="00090F0F" w:rsidTr="00960E86">
        <w:tc>
          <w:tcPr>
            <w:tcW w:w="5990" w:type="dxa"/>
          </w:tcPr>
          <w:p w:rsidR="00780E9E" w:rsidRPr="00960E86" w:rsidRDefault="00780E9E" w:rsidP="00960E86">
            <w:pPr>
              <w:pStyle w:val="ECCTabletext"/>
            </w:pPr>
            <w:r w:rsidRPr="00960E86">
              <w:t xml:space="preserve">Post Flight Localization and Recovery </w:t>
            </w:r>
          </w:p>
        </w:tc>
        <w:tc>
          <w:tcPr>
            <w:tcW w:w="2588" w:type="dxa"/>
          </w:tcPr>
          <w:p w:rsidR="00780E9E" w:rsidRPr="00960E86" w:rsidRDefault="00780E9E" w:rsidP="00960E86">
            <w:pPr>
              <w:pStyle w:val="ECCTabletext"/>
            </w:pPr>
          </w:p>
        </w:tc>
      </w:tr>
      <w:tr w:rsidR="00780E9E" w:rsidRPr="00090F0F" w:rsidTr="00960E86">
        <w:tc>
          <w:tcPr>
            <w:tcW w:w="5990" w:type="dxa"/>
          </w:tcPr>
          <w:p w:rsidR="00780E9E" w:rsidRPr="00960E86" w:rsidRDefault="00780E9E" w:rsidP="00960E86">
            <w:pPr>
              <w:pStyle w:val="ECCTabletext"/>
            </w:pPr>
            <w:r w:rsidRPr="00960E86">
              <w:t>Flight Recorder Data Recovery system</w:t>
            </w:r>
          </w:p>
        </w:tc>
        <w:tc>
          <w:tcPr>
            <w:tcW w:w="2588" w:type="dxa"/>
          </w:tcPr>
          <w:p w:rsidR="00780E9E" w:rsidRPr="00960E86" w:rsidRDefault="00780E9E" w:rsidP="00960E86">
            <w:pPr>
              <w:pStyle w:val="ECCTabletext"/>
            </w:pPr>
            <w:r w:rsidRPr="00960E86">
              <w:t>A</w:t>
            </w:r>
          </w:p>
        </w:tc>
      </w:tr>
    </w:tbl>
    <w:p w:rsidR="00BD0DF3" w:rsidRPr="00090F0F" w:rsidRDefault="00BD0DF3" w:rsidP="00090F0F">
      <w:pPr>
        <w:pStyle w:val="ECCTablenote"/>
      </w:pPr>
      <w:r w:rsidRPr="00090F0F">
        <w:tab/>
      </w:r>
      <w:r w:rsidRPr="00090F0F">
        <w:tab/>
        <w:t>A: any type of spectrum properly allocated</w:t>
      </w:r>
      <w:r w:rsidRPr="00090F0F">
        <w:rPr>
          <w:rStyle w:val="Funotenzeichen"/>
        </w:rPr>
        <w:footnoteReference w:id="2"/>
      </w:r>
      <w:r w:rsidRPr="00090F0F">
        <w:t xml:space="preserve">, on a primary basis, for the function being performed. </w:t>
      </w:r>
    </w:p>
    <w:p w:rsidR="00BD0DF3" w:rsidRPr="00090F0F" w:rsidRDefault="00BD0DF3" w:rsidP="00B537C3">
      <w:pPr>
        <w:pStyle w:val="ECCTablenote"/>
      </w:pPr>
      <w:r w:rsidRPr="00090F0F">
        <w:tab/>
      </w:r>
      <w:r w:rsidRPr="00090F0F">
        <w:tab/>
        <w:t>B: only protected aeronautical safety spectrum can be used.</w:t>
      </w:r>
    </w:p>
    <w:p w:rsidR="00BD0DF3" w:rsidRPr="00090F0F" w:rsidRDefault="00BD0DF3" w:rsidP="00B537C3">
      <w:pPr>
        <w:pStyle w:val="ECCTablenote"/>
      </w:pPr>
      <w:r w:rsidRPr="00090F0F">
        <w:tab/>
      </w:r>
      <w:r w:rsidRPr="00090F0F">
        <w:tab/>
        <w:t>C: only protected aeronautical safety spectrum, or protected distress spectrum (e.g., 406.1 MHz), can be used.</w:t>
      </w:r>
    </w:p>
    <w:p w:rsidR="00411240" w:rsidRPr="00090F0F" w:rsidRDefault="00AC2824" w:rsidP="00090F0F">
      <w:r w:rsidRPr="00090F0F">
        <w:lastRenderedPageBreak/>
        <w:t>[</w:t>
      </w:r>
      <w:r w:rsidR="00411240" w:rsidRPr="00090F0F">
        <w:t>However the frequency bands, the list of systems included in GADSS and their technical characteristics should be reflected in the corresponding Recommendations ITU-R to take them into account in future sharing and compatibility studies in these frequency bands.</w:t>
      </w:r>
      <w:r w:rsidRPr="00090F0F">
        <w:t>]</w:t>
      </w:r>
    </w:p>
    <w:p w:rsidR="007E4B55" w:rsidRPr="00090F0F" w:rsidRDefault="007E4B55" w:rsidP="007E4B55">
      <w:r w:rsidRPr="00090F0F">
        <w:t>To date ICAO has identified changes to its Standards and Recommended Practices to enable the GADSS concept, among which are those establishing:</w:t>
      </w:r>
    </w:p>
    <w:p w:rsidR="007E4B55" w:rsidRPr="00090F0F" w:rsidRDefault="007E4B55" w:rsidP="007E4B55">
      <w:pPr>
        <w:pStyle w:val="ECCBulletsLv1"/>
      </w:pPr>
      <w:r w:rsidRPr="00090F0F">
        <w:t>the operator’s responsibility to track its aircraft with a 15</w:t>
      </w:r>
      <w:r w:rsidR="002A4843" w:rsidRPr="00090F0F">
        <w:t>-</w:t>
      </w:r>
      <w:r w:rsidRPr="00090F0F">
        <w:t>minute time interval</w:t>
      </w:r>
      <w:r w:rsidR="00B537C3">
        <w:t>;</w:t>
      </w:r>
    </w:p>
    <w:p w:rsidR="007E4B55" w:rsidRPr="00090F0F" w:rsidRDefault="007E4B55" w:rsidP="007E4B55">
      <w:pPr>
        <w:pStyle w:val="ECCBulletsLv1"/>
      </w:pPr>
      <w:r w:rsidRPr="00090F0F">
        <w:t>the need for aircraft in distress to transmit an autonomous distress tracking signal at least every minute.</w:t>
      </w:r>
    </w:p>
    <w:p w:rsidR="007E4B55" w:rsidRPr="00090F0F" w:rsidRDefault="007E4B55" w:rsidP="007E4B55">
      <w:pPr>
        <w:rPr>
          <w:rStyle w:val="ECCParagraph"/>
        </w:rPr>
      </w:pPr>
      <w:r w:rsidRPr="00090F0F">
        <w:t>Studies within ICAO have determined that the GADSS requirements can be satisfied using systems operating within existing frequency allocations. As a result</w:t>
      </w:r>
      <w:r w:rsidR="002A4843" w:rsidRPr="00090F0F">
        <w:t>,</w:t>
      </w:r>
      <w:r w:rsidRPr="00090F0F">
        <w:t xml:space="preserve"> no ITU-R studies regarding spectrum needs have been conducted, and no modifications to Article </w:t>
      </w:r>
      <w:r w:rsidRPr="00090F0F">
        <w:rPr>
          <w:rStyle w:val="ECCHLbold"/>
        </w:rPr>
        <w:t>5</w:t>
      </w:r>
      <w:r w:rsidRPr="00090F0F">
        <w:t xml:space="preserve"> of the Radio Regulations are required. </w:t>
      </w:r>
      <w:r w:rsidR="002A4843" w:rsidRPr="00090F0F">
        <w:t xml:space="preserve">However, in the view of Europe text should be incorporated into Chapter VII of the Radio Regulations </w:t>
      </w:r>
      <w:r w:rsidR="00BD0DF3" w:rsidRPr="00090F0F">
        <w:t>to identify specific radio regulatory provisions for GADSS and for which the functional requirements are set forth in the Convention on International Civil Aviation, as amended.</w:t>
      </w:r>
    </w:p>
    <w:p w:rsidR="00FE1252" w:rsidRPr="00090F0F" w:rsidRDefault="00FE1252" w:rsidP="00FE1252">
      <w:r w:rsidRPr="00090F0F">
        <w:t xml:space="preserve">Then CEPT recognises </w:t>
      </w:r>
    </w:p>
    <w:p w:rsidR="00FE1252" w:rsidRPr="00090F0F" w:rsidRDefault="00FE1252" w:rsidP="00FE1252">
      <w:pPr>
        <w:pStyle w:val="ECCBulletsLv1"/>
      </w:pPr>
      <w:r w:rsidRPr="00090F0F">
        <w:t xml:space="preserve">that the implementation of the GADSS concept would contribute to increasing the effectiveness of the current alerting of search and rescue (SAR) services for civil aviation transportation; </w:t>
      </w:r>
    </w:p>
    <w:p w:rsidR="00FE1252" w:rsidRPr="00090F0F" w:rsidRDefault="00FE1252" w:rsidP="00FE1252">
      <w:pPr>
        <w:pStyle w:val="ECCBulletsLv1"/>
      </w:pPr>
      <w:r w:rsidRPr="00090F0F">
        <w:t xml:space="preserve">that ICAO has stated that the GADSS requirements can be satisfied using systems operating within existing frequency allocations, and that for WRC-19 no additional spectrum allocations are required and no changes to Article </w:t>
      </w:r>
      <w:r w:rsidRPr="00090F0F">
        <w:rPr>
          <w:rStyle w:val="ECCHLbold"/>
        </w:rPr>
        <w:t>5</w:t>
      </w:r>
      <w:r w:rsidRPr="00090F0F">
        <w:t xml:space="preserve"> are required.</w:t>
      </w:r>
    </w:p>
    <w:p w:rsidR="004B1D65" w:rsidRPr="00090F0F" w:rsidRDefault="004B1D65" w:rsidP="007E4B55">
      <w:pPr>
        <w:rPr>
          <w:rStyle w:val="ECCParagraph"/>
        </w:rPr>
      </w:pPr>
      <w:r w:rsidRPr="00090F0F">
        <w:rPr>
          <w:rStyle w:val="ECCParagraph"/>
        </w:rPr>
        <w:t xml:space="preserve">Whilst reviewing the various regulatory provisions associated to aeronautical use of spectrum it was noted that a number of provisions within Articles of the Radio Regulations other than Article </w:t>
      </w:r>
      <w:r w:rsidRPr="00090F0F">
        <w:rPr>
          <w:rStyle w:val="ECCHLbold"/>
        </w:rPr>
        <w:t>5</w:t>
      </w:r>
      <w:r w:rsidRPr="00090F0F">
        <w:rPr>
          <w:rStyle w:val="ECCParagraph"/>
        </w:rPr>
        <w:t xml:space="preserve"> no longer reflect current </w:t>
      </w:r>
      <w:r w:rsidR="006E4E10" w:rsidRPr="00090F0F">
        <w:rPr>
          <w:rStyle w:val="ECCParagraph"/>
        </w:rPr>
        <w:t xml:space="preserve">aeronautical </w:t>
      </w:r>
      <w:r w:rsidRPr="00090F0F">
        <w:rPr>
          <w:rStyle w:val="ECCParagraph"/>
        </w:rPr>
        <w:t>operational practices.</w:t>
      </w:r>
    </w:p>
    <w:p w:rsidR="007E4B55" w:rsidRPr="00090F0F" w:rsidRDefault="007E4B55" w:rsidP="007E4B55">
      <w:pPr>
        <w:pStyle w:val="berschrift1"/>
        <w:rPr>
          <w:lang w:val="en-GB"/>
        </w:rPr>
      </w:pPr>
      <w:r w:rsidRPr="00090F0F">
        <w:rPr>
          <w:lang w:val="en-GB"/>
        </w:rPr>
        <w:t>List of relevant documents</w:t>
      </w:r>
    </w:p>
    <w:p w:rsidR="007E4B55" w:rsidRPr="00B537C3" w:rsidRDefault="007E4B55" w:rsidP="00010D1B">
      <w:pPr>
        <w:pStyle w:val="ECCBulletsLv2"/>
        <w:rPr>
          <w:rStyle w:val="ECCHLyellow"/>
        </w:rPr>
      </w:pPr>
      <w:r w:rsidRPr="00F657A5">
        <w:t>ICAO</w:t>
      </w:r>
      <w:r w:rsidR="00F657A5" w:rsidRPr="00F657A5">
        <w:t> </w:t>
      </w:r>
      <w:r w:rsidRPr="00F657A5">
        <w:t>GADSS</w:t>
      </w:r>
      <w:r w:rsidR="00F657A5" w:rsidRPr="00F657A5">
        <w:t> </w:t>
      </w:r>
      <w:r w:rsidR="00F657A5">
        <w:t>Concept of operation Version 6.0 </w:t>
      </w:r>
      <w:r w:rsidRPr="00F657A5">
        <w:t>(see</w:t>
      </w:r>
      <w:r w:rsidR="00B537C3">
        <w:rPr>
          <w:rStyle w:val="ECCHLyellow"/>
        </w:rPr>
        <w:t xml:space="preserve"> </w:t>
      </w:r>
      <w:hyperlink r:id="rId9" w:history="1">
        <w:r w:rsidRPr="00090F0F">
          <w:rPr>
            <w:rStyle w:val="Hyperlink"/>
          </w:rPr>
          <w:t>https://www.icao.int/safety/globaltracking/Documents/GADSS%20Concept%20of%20Operations%20-%20Version%206.0%20-%2007%20June%202017.pdf</w:t>
        </w:r>
      </w:hyperlink>
      <w:r w:rsidRPr="00090F0F">
        <w:rPr>
          <w:rStyle w:val="ECCHLyellow"/>
          <w:shd w:val="clear" w:color="auto" w:fill="auto"/>
        </w:rPr>
        <w:t>);</w:t>
      </w:r>
    </w:p>
    <w:p w:rsidR="007E4B55" w:rsidRPr="00090F0F" w:rsidRDefault="007E4B55" w:rsidP="00010D1B">
      <w:pPr>
        <w:pStyle w:val="ECCBulletsLv2"/>
        <w:rPr>
          <w:rStyle w:val="ECCParagraph"/>
        </w:rPr>
      </w:pPr>
      <w:r w:rsidRPr="00090F0F">
        <w:rPr>
          <w:rStyle w:val="ECCParagraph"/>
        </w:rPr>
        <w:t xml:space="preserve">5В/305 Annex 26 Working Document towards a Preliminary Draft New Report ITU-R </w:t>
      </w:r>
      <w:r w:rsidRPr="00090F0F">
        <w:t>M.[GADSS] </w:t>
      </w:r>
    </w:p>
    <w:p w:rsidR="007E4B55" w:rsidRPr="00090F0F" w:rsidRDefault="007E4B55" w:rsidP="007E4B55">
      <w:pPr>
        <w:pStyle w:val="berschrift1"/>
        <w:rPr>
          <w:lang w:val="en-GB"/>
        </w:rPr>
      </w:pPr>
      <w:r w:rsidRPr="00090F0F">
        <w:rPr>
          <w:lang w:val="en-GB"/>
        </w:rPr>
        <w:t>Actions to be taken</w:t>
      </w:r>
    </w:p>
    <w:p w:rsidR="007E4B55" w:rsidRDefault="00F6337D" w:rsidP="00010D1B">
      <w:pPr>
        <w:pStyle w:val="ECCBulletsLv2"/>
      </w:pPr>
      <w:r>
        <w:t>T</w:t>
      </w:r>
      <w:r w:rsidR="00220BEB">
        <w:t xml:space="preserve">o consider the both options in the </w:t>
      </w:r>
      <w:r>
        <w:t>draft</w:t>
      </w:r>
      <w:r w:rsidR="00333FEC">
        <w:t xml:space="preserve"> </w:t>
      </w:r>
      <w:r w:rsidR="00220BEB">
        <w:t>ECP and to continue seeking a common CEPT view</w:t>
      </w:r>
      <w:r>
        <w:t xml:space="preserve"> on</w:t>
      </w:r>
      <w:r w:rsidR="00220BEB">
        <w:t>:</w:t>
      </w:r>
    </w:p>
    <w:p w:rsidR="00220BEB" w:rsidRPr="00333FEC" w:rsidRDefault="00F6337D" w:rsidP="00010D1B">
      <w:pPr>
        <w:pStyle w:val="ECCBulletsLv3"/>
      </w:pPr>
      <w:r>
        <w:t>t</w:t>
      </w:r>
      <w:r w:rsidR="00220BEB" w:rsidRPr="00333FEC">
        <w:t>he consideration of the category of the service if required,</w:t>
      </w:r>
    </w:p>
    <w:p w:rsidR="00220BEB" w:rsidRPr="00333FEC" w:rsidRDefault="00220BEB" w:rsidP="00010D1B">
      <w:pPr>
        <w:pStyle w:val="ECCBulletsLv3"/>
      </w:pPr>
      <w:proofErr w:type="gramStart"/>
      <w:r w:rsidRPr="00333FEC">
        <w:t>the</w:t>
      </w:r>
      <w:proofErr w:type="gramEnd"/>
      <w:r w:rsidRPr="00333FEC">
        <w:t xml:space="preserve"> mean to make available the technical characteristics of aeronautical systems at ITU-R.</w:t>
      </w:r>
    </w:p>
    <w:p w:rsidR="007E4B55" w:rsidRPr="00090F0F" w:rsidRDefault="007E4B55" w:rsidP="007E4B55">
      <w:pPr>
        <w:pStyle w:val="berschrift1"/>
        <w:rPr>
          <w:lang w:val="en-GB"/>
        </w:rPr>
      </w:pPr>
      <w:r w:rsidRPr="00090F0F">
        <w:rPr>
          <w:lang w:val="en-GB"/>
        </w:rPr>
        <w:t xml:space="preserve">Relevant information from outside CEPT </w:t>
      </w:r>
    </w:p>
    <w:p w:rsidR="007E4B55" w:rsidRPr="00090F0F" w:rsidRDefault="007E4B55" w:rsidP="007E4B55">
      <w:pPr>
        <w:pStyle w:val="berschrift2"/>
        <w:rPr>
          <w:lang w:val="en-GB"/>
        </w:rPr>
      </w:pPr>
      <w:r w:rsidRPr="00090F0F">
        <w:rPr>
          <w:lang w:val="en-GB"/>
        </w:rPr>
        <w:t>European Union (date of proposal)</w:t>
      </w:r>
    </w:p>
    <w:p w:rsidR="007E4B55" w:rsidRPr="00090F0F" w:rsidRDefault="007E4B55" w:rsidP="007E4B55">
      <w:pPr>
        <w:rPr>
          <w:rStyle w:val="ECCParagraph"/>
        </w:rPr>
      </w:pPr>
      <w:r w:rsidRPr="00090F0F">
        <w:rPr>
          <w:rStyle w:val="ECCParagraph"/>
        </w:rPr>
        <w:t>TBD</w:t>
      </w:r>
    </w:p>
    <w:p w:rsidR="007E4B55" w:rsidRPr="00090F0F" w:rsidRDefault="007E4B55" w:rsidP="007E4B55">
      <w:pPr>
        <w:pStyle w:val="berschrift2"/>
        <w:rPr>
          <w:lang w:val="en-GB"/>
        </w:rPr>
      </w:pPr>
      <w:r w:rsidRPr="00090F0F">
        <w:rPr>
          <w:lang w:val="en-GB"/>
        </w:rPr>
        <w:t>Regional telecommunication organisations</w:t>
      </w:r>
    </w:p>
    <w:p w:rsidR="00C24DE5" w:rsidRPr="00C24DE5" w:rsidRDefault="00C24DE5" w:rsidP="00C24DE5">
      <w:pPr>
        <w:pStyle w:val="berschrift2"/>
      </w:pPr>
      <w:r w:rsidRPr="00C24DE5">
        <w:t>Regional telecommunication organisations</w:t>
      </w:r>
    </w:p>
    <w:p w:rsidR="00C24DE5" w:rsidRPr="00C24DE5" w:rsidRDefault="00C24DE5" w:rsidP="00C24DE5">
      <w:pPr>
        <w:pStyle w:val="ECCBreak"/>
      </w:pPr>
      <w:r w:rsidRPr="00C24DE5">
        <w:t>APT (</w:t>
      </w:r>
      <w:r w:rsidRPr="00C24DE5">
        <w:rPr>
          <w:rStyle w:val="ECCParagraph"/>
          <w:rFonts w:eastAsia="Calibri"/>
        </w:rPr>
        <w:t>March 2018</w:t>
      </w:r>
      <w:r w:rsidRPr="00C24DE5">
        <w:t>)</w:t>
      </w:r>
    </w:p>
    <w:p w:rsidR="00C24DE5" w:rsidRPr="00090F0F" w:rsidRDefault="00C24DE5" w:rsidP="00C24DE5">
      <w:pPr>
        <w:rPr>
          <w:rStyle w:val="ECCParagraph"/>
        </w:rPr>
      </w:pPr>
      <w:r w:rsidRPr="00090F0F">
        <w:rPr>
          <w:rStyle w:val="ECCParagraph"/>
        </w:rPr>
        <w:lastRenderedPageBreak/>
        <w:t>APT Preliminary Views:</w:t>
      </w:r>
    </w:p>
    <w:p w:rsidR="00C24DE5" w:rsidRPr="00C74C00" w:rsidRDefault="00C24DE5" w:rsidP="00C24DE5">
      <w:r w:rsidRPr="00C74C00">
        <w:t>APT Members support the ITU-R studies being undertaken for the introduction and use of Global Aeronautical</w:t>
      </w:r>
      <w:r>
        <w:t xml:space="preserve"> </w:t>
      </w:r>
      <w:r w:rsidRPr="00C74C00">
        <w:t>Distress and Safety System (GADSS) in accordance with Resolution 426 (WRC-15).</w:t>
      </w:r>
    </w:p>
    <w:p w:rsidR="00C24DE5" w:rsidRPr="00C74C00" w:rsidRDefault="00C24DE5" w:rsidP="00C24DE5">
      <w:r w:rsidRPr="00C74C00">
        <w:t>APT Members are of the view that:</w:t>
      </w:r>
    </w:p>
    <w:p w:rsidR="00C24DE5" w:rsidRPr="00C74C00" w:rsidRDefault="00C24DE5" w:rsidP="00C24DE5">
      <w:pPr>
        <w:pStyle w:val="ECCBulletsLv1"/>
      </w:pPr>
      <w:r w:rsidRPr="00C74C00">
        <w:t>No additional spectrum allocations and no changes to Article 5 of the Radio Regulations are required</w:t>
      </w:r>
    </w:p>
    <w:p w:rsidR="00C24DE5" w:rsidRPr="00C74C00" w:rsidRDefault="00C24DE5" w:rsidP="00C24DE5">
      <w:pPr>
        <w:pStyle w:val="ECCBulletsLv1"/>
      </w:pPr>
      <w:r w:rsidRPr="00C74C00">
        <w:t>Modification of Radio Regulations other than Article 5 to facilitate introduction of GADSS may be</w:t>
      </w:r>
      <w:r>
        <w:t xml:space="preserve"> </w:t>
      </w:r>
      <w:r w:rsidRPr="00C74C00">
        <w:t>required e</w:t>
      </w:r>
      <w:r>
        <w:t>.</w:t>
      </w:r>
      <w:r w:rsidRPr="00C74C00">
        <w:t>g. modification of Article 30 General provision</w:t>
      </w:r>
    </w:p>
    <w:p w:rsidR="00C24DE5" w:rsidRDefault="00C24DE5" w:rsidP="00C24DE5">
      <w:pPr>
        <w:pStyle w:val="ECCBulletsLv1"/>
      </w:pPr>
      <w:r w:rsidRPr="00C74C00">
        <w:t>Any studies on regulatory provisions required for the implementation of GADSS should take into</w:t>
      </w:r>
      <w:r>
        <w:t xml:space="preserve"> a</w:t>
      </w:r>
      <w:r w:rsidRPr="00C74C00">
        <w:t>ccount the GADSS concept provided by ICAO</w:t>
      </w:r>
    </w:p>
    <w:p w:rsidR="00C24DE5" w:rsidRPr="00C24DE5" w:rsidRDefault="00C24DE5" w:rsidP="00C24DE5">
      <w:pPr>
        <w:pStyle w:val="ECCBreak"/>
        <w:rPr>
          <w:lang w:val="en-US"/>
        </w:rPr>
      </w:pPr>
      <w:r w:rsidRPr="00C24DE5">
        <w:rPr>
          <w:lang w:val="en-US"/>
        </w:rPr>
        <w:t xml:space="preserve">ATU (September </w:t>
      </w:r>
      <w:r w:rsidR="000160E5">
        <w:t>2018</w:t>
      </w:r>
      <w:r w:rsidRPr="00C24DE5">
        <w:rPr>
          <w:lang w:val="en-US"/>
        </w:rPr>
        <w:t>)</w:t>
      </w:r>
    </w:p>
    <w:p w:rsidR="000160E5" w:rsidRDefault="000160E5" w:rsidP="000160E5">
      <w:r w:rsidRPr="00E447C6">
        <w:t>No Change to Article 5 of Radio Regulations</w:t>
      </w:r>
      <w:r>
        <w:t xml:space="preserve"> </w:t>
      </w:r>
      <w:r w:rsidRPr="00E447C6">
        <w:t>but rather support regulatory provisions that facilitate the implementation of the Global Aeronautical Distress and Safety System (GADSS) in accordance with ICAO’s requirements, while protecting incumbent services.</w:t>
      </w:r>
    </w:p>
    <w:p w:rsidR="00C24DE5" w:rsidRPr="00C24DE5" w:rsidRDefault="00C24DE5" w:rsidP="00C24DE5">
      <w:pPr>
        <w:pStyle w:val="ECCBreak"/>
        <w:rPr>
          <w:lang w:val="en-US"/>
        </w:rPr>
      </w:pPr>
      <w:r w:rsidRPr="00C24DE5">
        <w:rPr>
          <w:lang w:val="en-US"/>
        </w:rPr>
        <w:t>Arab Group (April 2018)</w:t>
      </w:r>
    </w:p>
    <w:p w:rsidR="00C24DE5" w:rsidRPr="00C24DE5" w:rsidRDefault="00C24DE5" w:rsidP="00C24DE5">
      <w:r w:rsidRPr="00C24DE5">
        <w:t>ASMG Position is to support:</w:t>
      </w:r>
    </w:p>
    <w:p w:rsidR="00C24DE5" w:rsidRPr="00C24DE5" w:rsidRDefault="00C24DE5" w:rsidP="00C24DE5">
      <w:pPr>
        <w:pStyle w:val="ECCBulletsLv1"/>
      </w:pPr>
      <w:r w:rsidRPr="00C24DE5">
        <w:t xml:space="preserve">Following-up the on-going studies in ITU-R and related results and ensuring the protection of </w:t>
      </w:r>
      <w:r>
        <w:t xml:space="preserve">existing </w:t>
      </w:r>
      <w:r w:rsidRPr="00C24DE5">
        <w:t>services in the case of new allocations are required.</w:t>
      </w:r>
    </w:p>
    <w:p w:rsidR="00C24DE5" w:rsidRPr="00C24DE5" w:rsidRDefault="00C24DE5" w:rsidP="00C24DE5">
      <w:pPr>
        <w:pStyle w:val="ECCBreak"/>
        <w:rPr>
          <w:lang w:val="en-US"/>
        </w:rPr>
      </w:pPr>
      <w:r w:rsidRPr="00C24DE5">
        <w:rPr>
          <w:lang w:val="en-US"/>
        </w:rPr>
        <w:t>CITEL (December 2017)</w:t>
      </w:r>
    </w:p>
    <w:p w:rsidR="00C24DE5" w:rsidRPr="009379F1" w:rsidRDefault="00C24DE5" w:rsidP="00C24DE5">
      <w:pPr>
        <w:rPr>
          <w:rStyle w:val="ECCParagraph"/>
        </w:rPr>
      </w:pPr>
      <w:r w:rsidRPr="009379F1">
        <w:rPr>
          <w:rStyle w:val="ECCParagraph"/>
        </w:rPr>
        <w:t>ICAO is responsible for the identification of radiocommunication requirements and is still studying if new spectrum needed for data retrieval; ITU-R studies should be done in coordination with ICAO based on their input</w:t>
      </w:r>
    </w:p>
    <w:p w:rsidR="00C24DE5" w:rsidRPr="00C24DE5" w:rsidRDefault="00C24DE5" w:rsidP="00C24DE5">
      <w:pPr>
        <w:pStyle w:val="ECCBreak"/>
        <w:rPr>
          <w:lang w:val="en-US"/>
        </w:rPr>
      </w:pPr>
      <w:r w:rsidRPr="00C24DE5">
        <w:rPr>
          <w:lang w:val="en-US"/>
        </w:rPr>
        <w:t>RCC (March 2018)</w:t>
      </w:r>
    </w:p>
    <w:p w:rsidR="00C24DE5" w:rsidRPr="009379F1" w:rsidRDefault="00C24DE5" w:rsidP="00C24DE5">
      <w:r w:rsidRPr="009379F1">
        <w:t>The RCC Administrations support the need in the development of the Global Aeronautical Distress and Safety System (GADSS).</w:t>
      </w:r>
    </w:p>
    <w:p w:rsidR="00C24DE5" w:rsidRPr="009379F1" w:rsidRDefault="00C24DE5" w:rsidP="00C24DE5">
      <w:r w:rsidRPr="009379F1">
        <w:t>The RCC Administrations consider that spectrum requirements, frequency bands, regulatory provisions for the introduction and use of GADSS should be identified based on GADSS concept which shall be developed by ICAO and submitted to the ITU. And GADSS shall share the considered and adjacent frequency bands with systems in existing services without imposing additional constraints on the existing systems.</w:t>
      </w:r>
    </w:p>
    <w:p w:rsidR="00C24DE5" w:rsidRPr="009379F1" w:rsidRDefault="00C24DE5" w:rsidP="00C24DE5">
      <w:r w:rsidRPr="009379F1">
        <w:t>In the case of the GADSS system is exclusively based on the existing aeronautical systems operating within the existing radio services, the RCC Administrations consider that in order to describe the GADSS system and take it into account in the subsequent ITU-R studies, it would be reasonable to develop relevant ITU-R Recommendations and Reports devoted to this system.</w:t>
      </w:r>
    </w:p>
    <w:p w:rsidR="00C24DE5" w:rsidRPr="009379F1" w:rsidRDefault="00C24DE5" w:rsidP="00C24DE5">
      <w:r w:rsidRPr="009379F1">
        <w:t>The RCC Administrations do not oppose to increasing the period of studies on spectrum requirements and regulation for implementation and use of GADSS and transfer this issue to the WRC-23 agenda.</w:t>
      </w:r>
    </w:p>
    <w:p w:rsidR="00C24DE5" w:rsidRPr="00C24DE5" w:rsidRDefault="00C24DE5" w:rsidP="00C24DE5">
      <w:pPr>
        <w:pStyle w:val="berschrift2"/>
      </w:pPr>
      <w:r w:rsidRPr="00C24DE5">
        <w:t>International organisations</w:t>
      </w:r>
    </w:p>
    <w:p w:rsidR="00C24DE5" w:rsidRPr="00C24DE5" w:rsidRDefault="00C24DE5" w:rsidP="00C24DE5">
      <w:pPr>
        <w:pStyle w:val="ECCBreak"/>
      </w:pPr>
      <w:r w:rsidRPr="00C24DE5">
        <w:t>IATA (date of proposal)</w:t>
      </w:r>
    </w:p>
    <w:p w:rsidR="00C24DE5" w:rsidRPr="00090F0F" w:rsidRDefault="00C24DE5" w:rsidP="00C24DE5">
      <w:pPr>
        <w:rPr>
          <w:rStyle w:val="ECCParagraph"/>
        </w:rPr>
      </w:pPr>
      <w:r w:rsidRPr="00090F0F">
        <w:rPr>
          <w:rStyle w:val="ECCParagraph"/>
        </w:rPr>
        <w:t>TBD</w:t>
      </w:r>
    </w:p>
    <w:p w:rsidR="00C24DE5" w:rsidRPr="00C24DE5" w:rsidRDefault="00C24DE5" w:rsidP="00C24DE5">
      <w:pPr>
        <w:pStyle w:val="ECCBreak"/>
      </w:pPr>
      <w:r w:rsidRPr="00C24DE5">
        <w:lastRenderedPageBreak/>
        <w:t>ICAO (September 16)</w:t>
      </w:r>
    </w:p>
    <w:p w:rsidR="00C24DE5" w:rsidRPr="00090F0F" w:rsidRDefault="00C24DE5" w:rsidP="00C24DE5">
      <w:pPr>
        <w:rPr>
          <w:rStyle w:val="ECCParagraph"/>
        </w:rPr>
      </w:pPr>
      <w:r w:rsidRPr="00090F0F">
        <w:rPr>
          <w:rStyle w:val="ECCParagraph"/>
        </w:rPr>
        <w:t>To support studies to identify any regulatory changes required for the implementation of GADSS in accordance with ICAO requirements, and action by WRC-19 to integrate those changes into the Radio Regulations.</w:t>
      </w:r>
    </w:p>
    <w:p w:rsidR="00C24DE5" w:rsidRPr="00C24DE5" w:rsidRDefault="00C24DE5" w:rsidP="00C24DE5">
      <w:pPr>
        <w:pStyle w:val="ECCBreak"/>
        <w:rPr>
          <w:lang w:val="en-US"/>
        </w:rPr>
      </w:pPr>
      <w:r w:rsidRPr="00C24DE5">
        <w:rPr>
          <w:lang w:val="en-US"/>
        </w:rPr>
        <w:t>IMO (September 17)</w:t>
      </w:r>
    </w:p>
    <w:p w:rsidR="00C24DE5" w:rsidRPr="00090F0F" w:rsidRDefault="00C24DE5" w:rsidP="00C24DE5">
      <w:r w:rsidRPr="00090F0F">
        <w:t>The integrity of the GMDSS should be protected. IMO supports the concept of a Chapter separate from Chapter VII of the Radio Regulations to accommodate the regulatory framework for GADSS.</w:t>
      </w:r>
    </w:p>
    <w:p w:rsidR="00C24DE5" w:rsidRPr="00C24DE5" w:rsidRDefault="00C24DE5" w:rsidP="00C24DE5">
      <w:pPr>
        <w:pStyle w:val="ECCBreak"/>
        <w:rPr>
          <w:lang w:val="en-US"/>
        </w:rPr>
      </w:pPr>
      <w:r w:rsidRPr="00C24DE5">
        <w:rPr>
          <w:lang w:val="en-US"/>
        </w:rPr>
        <w:t>SFCG (date of proposal)</w:t>
      </w:r>
    </w:p>
    <w:p w:rsidR="00C24DE5" w:rsidRPr="00090F0F" w:rsidRDefault="00C24DE5" w:rsidP="00C24DE5">
      <w:pPr>
        <w:rPr>
          <w:rStyle w:val="ECCParagraph"/>
        </w:rPr>
      </w:pPr>
      <w:r w:rsidRPr="00090F0F">
        <w:rPr>
          <w:rStyle w:val="ECCParagraph"/>
        </w:rPr>
        <w:t>TBD</w:t>
      </w:r>
    </w:p>
    <w:p w:rsidR="00C24DE5" w:rsidRPr="00C24DE5" w:rsidRDefault="00C24DE5" w:rsidP="00C24DE5">
      <w:pPr>
        <w:pStyle w:val="ECCBreak"/>
        <w:rPr>
          <w:lang w:val="en-US"/>
        </w:rPr>
      </w:pPr>
      <w:r w:rsidRPr="00C24DE5">
        <w:rPr>
          <w:lang w:val="en-US"/>
        </w:rPr>
        <w:t>WMO and EUMETNET (December 2016)</w:t>
      </w:r>
    </w:p>
    <w:p w:rsidR="00C24DE5" w:rsidRPr="00090F0F" w:rsidRDefault="00C24DE5" w:rsidP="00C24DE5">
      <w:pPr>
        <w:rPr>
          <w:rStyle w:val="ECCParagraph"/>
        </w:rPr>
      </w:pPr>
      <w:r w:rsidRPr="00090F0F">
        <w:rPr>
          <w:rStyle w:val="ECCParagraph"/>
        </w:rPr>
        <w:t>TBD</w:t>
      </w:r>
    </w:p>
    <w:p w:rsidR="00C24DE5" w:rsidRPr="00C24DE5" w:rsidRDefault="00C24DE5" w:rsidP="00C24DE5">
      <w:pPr>
        <w:pStyle w:val="berschrift2"/>
      </w:pPr>
      <w:r w:rsidRPr="00C24DE5">
        <w:t>Regional organisations</w:t>
      </w:r>
    </w:p>
    <w:p w:rsidR="00C24DE5" w:rsidRPr="00C24DE5" w:rsidRDefault="00C24DE5" w:rsidP="00C24DE5">
      <w:pPr>
        <w:pStyle w:val="ECCBreak"/>
      </w:pPr>
      <w:r w:rsidRPr="00C24DE5">
        <w:t>Nato (</w:t>
      </w:r>
      <w:r>
        <w:t>June</w:t>
      </w:r>
      <w:r w:rsidRPr="00C24DE5">
        <w:t xml:space="preserve"> 201</w:t>
      </w:r>
      <w:r>
        <w:t>8</w:t>
      </w:r>
      <w:r w:rsidRPr="00C24DE5">
        <w:t>)</w:t>
      </w:r>
      <w:r w:rsidRPr="00C24DE5">
        <w:tab/>
      </w:r>
    </w:p>
    <w:p w:rsidR="00C24DE5" w:rsidRPr="00DD2814" w:rsidRDefault="00C24DE5" w:rsidP="00C24DE5">
      <w:pPr>
        <w:pStyle w:val="ECCTabletext"/>
        <w:rPr>
          <w:rStyle w:val="ECCHLunderlined"/>
        </w:rPr>
      </w:pPr>
      <w:r w:rsidRPr="00DD2814">
        <w:rPr>
          <w:rStyle w:val="ECCHLunderlined"/>
        </w:rPr>
        <w:t>NATO Military Assessment</w:t>
      </w:r>
    </w:p>
    <w:p w:rsidR="00C24DE5" w:rsidRPr="009379F1" w:rsidRDefault="00C24DE5" w:rsidP="00C24DE5">
      <w:pPr>
        <w:pStyle w:val="ECCTabletext"/>
      </w:pPr>
      <w:r w:rsidRPr="009379F1">
        <w:t>This agenda item currently has no direct impact on NATO military usage, but constraints due to safety and other aspects, could be added to military systems in existing aeronautical bands.</w:t>
      </w:r>
    </w:p>
    <w:p w:rsidR="00C24DE5" w:rsidRPr="009379F1" w:rsidRDefault="00C24DE5" w:rsidP="00C24DE5">
      <w:pPr>
        <w:pStyle w:val="ECCTabletext"/>
      </w:pPr>
      <w:r w:rsidRPr="009379F1">
        <w:t>NATO will evaluate any proposed modifications in the RR, based on the ICAO GADSS CONOPS.</w:t>
      </w:r>
    </w:p>
    <w:p w:rsidR="00C24DE5" w:rsidRPr="00DD2814" w:rsidRDefault="00C24DE5" w:rsidP="00C24DE5">
      <w:pPr>
        <w:pStyle w:val="ECCTabletext"/>
        <w:rPr>
          <w:rStyle w:val="ECCHLunderlined"/>
        </w:rPr>
      </w:pPr>
      <w:r w:rsidRPr="00DD2814">
        <w:rPr>
          <w:rStyle w:val="ECCHLunderlined"/>
        </w:rPr>
        <w:t>NATO Position</w:t>
      </w:r>
    </w:p>
    <w:p w:rsidR="00C24DE5" w:rsidRDefault="00C24DE5" w:rsidP="00C24DE5">
      <w:pPr>
        <w:pStyle w:val="ECCTabletext"/>
      </w:pPr>
      <w:r w:rsidRPr="009379F1">
        <w:t>No position at this stage.</w:t>
      </w:r>
    </w:p>
    <w:p w:rsidR="00C24DE5" w:rsidRPr="00C24DE5" w:rsidRDefault="00C24DE5" w:rsidP="00C24DE5">
      <w:pPr>
        <w:pStyle w:val="ECCBreak"/>
        <w:rPr>
          <w:lang w:val="en-US"/>
        </w:rPr>
      </w:pPr>
      <w:r w:rsidRPr="00C24DE5">
        <w:rPr>
          <w:lang w:val="en-US"/>
        </w:rPr>
        <w:t>ESA (date of proposal)</w:t>
      </w:r>
    </w:p>
    <w:p w:rsidR="00C24DE5" w:rsidRPr="00090F0F" w:rsidRDefault="00C24DE5" w:rsidP="00C24DE5">
      <w:pPr>
        <w:rPr>
          <w:rStyle w:val="ECCParagraph"/>
        </w:rPr>
      </w:pPr>
      <w:r w:rsidRPr="00090F0F">
        <w:rPr>
          <w:rStyle w:val="ECCParagraph"/>
        </w:rPr>
        <w:t>TBD</w:t>
      </w:r>
    </w:p>
    <w:p w:rsidR="00C24DE5" w:rsidRPr="00C24DE5" w:rsidRDefault="00C24DE5" w:rsidP="00C24DE5">
      <w:pPr>
        <w:pStyle w:val="ECCBreak"/>
        <w:rPr>
          <w:lang w:val="en-US"/>
        </w:rPr>
      </w:pPr>
      <w:r w:rsidRPr="00C24DE5">
        <w:rPr>
          <w:lang w:val="en-US"/>
        </w:rPr>
        <w:t>Eurocontrol (date of proposal)</w:t>
      </w:r>
    </w:p>
    <w:p w:rsidR="00C24DE5" w:rsidRPr="00090F0F" w:rsidRDefault="00C24DE5" w:rsidP="00C24DE5">
      <w:pPr>
        <w:rPr>
          <w:rStyle w:val="ECCParagraph"/>
        </w:rPr>
      </w:pPr>
      <w:r w:rsidRPr="00090F0F">
        <w:rPr>
          <w:rStyle w:val="ECCParagraph"/>
        </w:rPr>
        <w:t>TBD</w:t>
      </w:r>
    </w:p>
    <w:p w:rsidR="00C24DE5" w:rsidRPr="00C24DE5" w:rsidRDefault="00C24DE5" w:rsidP="00C24DE5">
      <w:pPr>
        <w:pStyle w:val="berschrift2"/>
      </w:pPr>
      <w:r w:rsidRPr="00C24DE5">
        <w:t>OTHER INTERNATIONAL AND REGIONAL ORGANISATIONS</w:t>
      </w:r>
    </w:p>
    <w:p w:rsidR="00C24DE5" w:rsidRPr="00C24DE5" w:rsidRDefault="00C24DE5" w:rsidP="00C24DE5">
      <w:pPr>
        <w:pStyle w:val="ECCBreak"/>
      </w:pPr>
      <w:r w:rsidRPr="00C24DE5">
        <w:t>EBU (date of proposal)</w:t>
      </w:r>
    </w:p>
    <w:p w:rsidR="00C24DE5" w:rsidRPr="00090F0F" w:rsidRDefault="00C24DE5" w:rsidP="00C24DE5">
      <w:pPr>
        <w:rPr>
          <w:rStyle w:val="ECCParagraph"/>
        </w:rPr>
      </w:pPr>
      <w:r w:rsidRPr="00090F0F">
        <w:rPr>
          <w:rStyle w:val="ECCParagraph"/>
        </w:rPr>
        <w:t>TBD</w:t>
      </w:r>
    </w:p>
    <w:p w:rsidR="00C24DE5" w:rsidRPr="00C24DE5" w:rsidRDefault="00C24DE5" w:rsidP="00C24DE5">
      <w:pPr>
        <w:pStyle w:val="ECCBreak"/>
      </w:pPr>
      <w:r w:rsidRPr="00C24DE5">
        <w:t>GSMA (date of proposal)</w:t>
      </w:r>
    </w:p>
    <w:p w:rsidR="00C24DE5" w:rsidRPr="00090F0F" w:rsidRDefault="00C24DE5" w:rsidP="00C24DE5">
      <w:pPr>
        <w:rPr>
          <w:rStyle w:val="ECCParagraph"/>
        </w:rPr>
      </w:pPr>
      <w:r w:rsidRPr="00090F0F">
        <w:rPr>
          <w:rStyle w:val="ECCParagraph"/>
        </w:rPr>
        <w:t>TBD</w:t>
      </w:r>
    </w:p>
    <w:p w:rsidR="00C24DE5" w:rsidRPr="00C24DE5" w:rsidRDefault="00C24DE5" w:rsidP="00C24DE5">
      <w:pPr>
        <w:pStyle w:val="ECCBreak"/>
      </w:pPr>
      <w:r w:rsidRPr="00C24DE5">
        <w:t>CRAF (June 2017)</w:t>
      </w:r>
    </w:p>
    <w:p w:rsidR="00C24DE5" w:rsidRPr="00090F0F" w:rsidRDefault="00C24DE5" w:rsidP="00C24DE5">
      <w:r w:rsidRPr="00090F0F">
        <w:lastRenderedPageBreak/>
        <w:t>CRAF supports the protection of existing RAS frequency allocations. No changes should be made to the RR unless acceptable sharing and compatibility criteria are developed to ensure the protection of RAS from future GADSS operations.</w:t>
      </w:r>
    </w:p>
    <w:p w:rsidR="007E4B55" w:rsidRPr="00090F0F" w:rsidRDefault="007E4B55" w:rsidP="00C24DE5">
      <w:pPr>
        <w:pStyle w:val="ECCBreak"/>
        <w:rPr>
          <w:rStyle w:val="ECCParagraph"/>
        </w:rPr>
      </w:pPr>
    </w:p>
    <w:sectPr w:rsidR="007E4B55" w:rsidRPr="00090F0F" w:rsidSect="00797DEE">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57" w:rsidRDefault="00AB4257" w:rsidP="00DB17F9">
      <w:r>
        <w:separator/>
      </w:r>
    </w:p>
    <w:p w:rsidR="00AB4257" w:rsidRDefault="00AB4257"/>
  </w:endnote>
  <w:endnote w:type="continuationSeparator" w:id="0">
    <w:p w:rsidR="00AB4257" w:rsidRDefault="00AB4257" w:rsidP="00DB17F9">
      <w:r>
        <w:continuationSeparator/>
      </w:r>
    </w:p>
    <w:p w:rsidR="00AB4257" w:rsidRDefault="00AB4257"/>
  </w:endnote>
  <w:endnote w:type="continuationNotice" w:id="1">
    <w:p w:rsidR="00AB4257" w:rsidRDefault="00AB42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C2" w:rsidRDefault="00EE34C2">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C2" w:rsidRDefault="00EE34C2">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C2" w:rsidRDefault="00EE34C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57" w:rsidRPr="00F51BD6" w:rsidRDefault="00AB4257" w:rsidP="00B537C3">
      <w:pPr>
        <w:spacing w:before="120" w:after="0"/>
      </w:pPr>
      <w:r>
        <w:separator/>
      </w:r>
    </w:p>
  </w:footnote>
  <w:footnote w:type="continuationSeparator" w:id="0">
    <w:p w:rsidR="00AB4257" w:rsidRDefault="00AB4257" w:rsidP="00860309">
      <w:pPr>
        <w:spacing w:before="120" w:after="0"/>
      </w:pPr>
      <w:r>
        <w:continuationSeparator/>
      </w:r>
    </w:p>
  </w:footnote>
  <w:footnote w:type="continuationNotice" w:id="1">
    <w:p w:rsidR="00AB4257" w:rsidRPr="00CD07E7" w:rsidRDefault="00AB4257" w:rsidP="00860309">
      <w:pPr>
        <w:spacing w:before="120" w:after="0"/>
      </w:pPr>
    </w:p>
  </w:footnote>
  <w:footnote w:id="2">
    <w:p w:rsidR="00BD0DF3" w:rsidRPr="00B537C3" w:rsidRDefault="00BD0DF3" w:rsidP="00B537C3">
      <w:pPr>
        <w:pStyle w:val="Funotentext"/>
        <w:rPr>
          <w:lang w:val="en-GB"/>
        </w:rPr>
      </w:pPr>
      <w:r>
        <w:rPr>
          <w:rStyle w:val="Funotenzeichen"/>
        </w:rPr>
        <w:footnoteRef/>
      </w:r>
      <w:r>
        <w:rPr>
          <w:rStyle w:val="Funotenzeichen"/>
          <w:lang w:val="en-US"/>
        </w:rPr>
        <w:t xml:space="preserve"> </w:t>
      </w:r>
      <w:r>
        <w:rPr>
          <w:lang w:val="en-US"/>
        </w:rPr>
        <w:tab/>
      </w:r>
      <w:r w:rsidRPr="00B537C3">
        <w:rPr>
          <w:rStyle w:val="ECCParagraph"/>
          <w:sz w:val="16"/>
          <w:lang w:val="en-US"/>
        </w:rPr>
        <w:t xml:space="preserve">Note: The words “type of spectrum properly allocated” by ICAO are understood to mean that the use of the frequencies are in accordance with the definition of the service in </w:t>
      </w:r>
      <w:r w:rsidR="00B537C3" w:rsidRPr="00B537C3">
        <w:rPr>
          <w:rStyle w:val="ECCParagraph"/>
          <w:sz w:val="16"/>
          <w:lang w:val="en-US"/>
        </w:rPr>
        <w:t xml:space="preserve">Article </w:t>
      </w:r>
      <w:r w:rsidR="00B537C3" w:rsidRPr="00B537C3">
        <w:rPr>
          <w:rStyle w:val="ECCHLbold"/>
          <w:lang w:val="en-US"/>
        </w:rPr>
        <w:t>1</w:t>
      </w:r>
      <w:r w:rsidRPr="00B537C3">
        <w:rPr>
          <w:rStyle w:val="ECCParagraph"/>
          <w:sz w:val="16"/>
          <w:lang w:val="en-US"/>
        </w:rPr>
        <w:t xml:space="preserve"> of the RR to which a frequency in question is allocated</w:t>
      </w:r>
      <w:r w:rsidR="00B537C3">
        <w:rPr>
          <w:rStyle w:val="ECCParagraph"/>
        </w:rPr>
        <w:t>.</w:t>
      </w:r>
      <w:r w:rsidRPr="00B537C3">
        <w:rPr>
          <w:rStyle w:val="ECCParagraph"/>
          <w:sz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EE0C22" w:rsidRDefault="003771D5" w:rsidP="00AD1BE1">
    <w:pPr>
      <w:pStyle w:val="ECCpageHeader"/>
      <w:rPr>
        <w:lang w:val="en-US"/>
      </w:rPr>
    </w:pPr>
    <w:r w:rsidRPr="00CF2EC7">
      <w:rPr>
        <w:lang w:val="en-US"/>
      </w:rPr>
      <w:t xml:space="preserve">Draft CEPT Brief on AI </w:t>
    </w:r>
    <w:r w:rsidR="00872CB0" w:rsidRPr="00D62B0C">
      <w:rPr>
        <w:lang w:val="en-US"/>
      </w:rPr>
      <w:t>1.10</w:t>
    </w:r>
    <w:r w:rsidR="00F56F62" w:rsidRPr="00AD132F">
      <w:rPr>
        <w:lang w:val="en-US"/>
      </w:rPr>
      <w:t xml:space="preserve"> </w:t>
    </w:r>
    <w:r w:rsidR="00F56F62" w:rsidRPr="00EE0C22">
      <w:rPr>
        <w:lang w:val="en-US"/>
      </w:rPr>
      <w:t xml:space="preserve">- </w:t>
    </w:r>
    <w:r w:rsidR="00102172" w:rsidRPr="00EE0C22">
      <w:rPr>
        <w:lang w:val="en-US"/>
      </w:rPr>
      <w:t xml:space="preserve">Page </w:t>
    </w:r>
    <w:r w:rsidR="00102172" w:rsidRPr="00AD1BE1">
      <w:fldChar w:fldCharType="begin"/>
    </w:r>
    <w:r w:rsidR="00102172" w:rsidRPr="00EE0C22">
      <w:rPr>
        <w:lang w:val="en-US"/>
      </w:rPr>
      <w:instrText xml:space="preserve"> PAGE  \* Arabic  \* MERGEFORMAT </w:instrText>
    </w:r>
    <w:r w:rsidR="00102172" w:rsidRPr="00AD1BE1">
      <w:fldChar w:fldCharType="separate"/>
    </w:r>
    <w:r w:rsidR="00BA36F9">
      <w:rPr>
        <w:noProof/>
        <w:lang w:val="en-US"/>
      </w:rPr>
      <w:t>6</w:t>
    </w:r>
    <w:r w:rsidR="00102172"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7E" w:rsidRPr="00B537C3" w:rsidRDefault="00102172" w:rsidP="00B537C3">
    <w:pPr>
      <w:pStyle w:val="ECCpageHeader"/>
      <w:rPr>
        <w:rFonts w:eastAsia="Calibri"/>
        <w:b w:val="0"/>
        <w:sz w:val="20"/>
        <w:szCs w:val="22"/>
        <w:lang w:val="en-GB"/>
      </w:rPr>
    </w:pPr>
    <w:r w:rsidRPr="00714F0F">
      <w:tab/>
    </w:r>
    <w:r w:rsidR="00D904D5">
      <w:tab/>
    </w:r>
    <w:r w:rsidR="002D6680" w:rsidRPr="00CF2EC7">
      <w:rPr>
        <w:lang w:val="en-US"/>
      </w:rPr>
      <w:t xml:space="preserve">Draft CEPT Brief on AI </w:t>
    </w:r>
    <w:r w:rsidR="00872CB0" w:rsidRPr="00D62B0C">
      <w:rPr>
        <w:lang w:val="en-US"/>
      </w:rPr>
      <w:t xml:space="preserve">1.10 </w:t>
    </w:r>
    <w:r w:rsidR="002D6680" w:rsidRPr="00CF2EC7">
      <w:rPr>
        <w:lang w:val="en-US"/>
      </w:rPr>
      <w:t xml:space="preserve">- </w:t>
    </w:r>
    <w:r w:rsidRPr="00B537C3">
      <w:rPr>
        <w:lang w:val="en-US"/>
      </w:rPr>
      <w:t xml:space="preserve">Page </w:t>
    </w:r>
    <w:r w:rsidRPr="00714F0F">
      <w:fldChar w:fldCharType="begin"/>
    </w:r>
    <w:r w:rsidRPr="00860309">
      <w:rPr>
        <w:lang w:val="en-US"/>
      </w:rPr>
      <w:instrText xml:space="preserve"> PAGE  \* Arabic  \* MERGEFORMAT </w:instrText>
    </w:r>
    <w:r w:rsidRPr="00714F0F">
      <w:fldChar w:fldCharType="separate"/>
    </w:r>
    <w:r w:rsidR="00BA36F9">
      <w:rPr>
        <w:noProof/>
        <w:lang w:val="en-US"/>
      </w:rPr>
      <w:t>7</w:t>
    </w:r>
    <w:r w:rsidRPr="00714F0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A5" w:rsidRDefault="00F657A5" w:rsidP="00F657A5">
    <w:pPr>
      <w:pStyle w:val="ECCpageHeader"/>
    </w:pPr>
    <w:r w:rsidRPr="00F657A5">
      <w:rPr>
        <w:noProof/>
        <w:lang w:val="de-DE" w:eastAsia="de-DE"/>
      </w:rPr>
      <w:drawing>
        <wp:inline distT="0" distB="0" distL="0" distR="0" wp14:anchorId="679A23DA" wp14:editId="1F5E4BD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F657A5">
      <w:rPr>
        <w:noProof/>
        <w:lang w:val="de-DE" w:eastAsia="de-DE"/>
      </w:rPr>
      <w:drawing>
        <wp:inline distT="0" distB="0" distL="0" distR="0" wp14:anchorId="7F907BA6" wp14:editId="64E49BDE">
          <wp:extent cx="1461770" cy="546100"/>
          <wp:effectExtent l="0" t="0" r="5080" b="6350"/>
          <wp:docPr id="3"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F657A5" w:rsidRPr="005611D0" w:rsidRDefault="00F657A5" w:rsidP="00F657A5">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24.95pt;height:59.5pt" o:bullet="t">
        <v:imagedata r:id="rId1" o:title="Editor's Note"/>
      </v:shape>
    </w:pict>
  </w:numPicBullet>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0E43729"/>
    <w:multiLevelType w:val="hybridMultilevel"/>
    <w:tmpl w:val="A40CE670"/>
    <w:lvl w:ilvl="0" w:tplc="F6E8D218">
      <w:start w:val="1"/>
      <w:numFmt w:val="bullet"/>
      <w:lvlText w:val="o"/>
      <w:lvlJc w:val="left"/>
      <w:pPr>
        <w:tabs>
          <w:tab w:val="num" w:pos="720"/>
        </w:tabs>
        <w:ind w:left="720" w:hanging="360"/>
      </w:pPr>
      <w:rPr>
        <w:rFonts w:ascii="Courier New" w:hAnsi="Courier New" w:hint="default"/>
      </w:rPr>
    </w:lvl>
    <w:lvl w:ilvl="1" w:tplc="7366A976">
      <w:start w:val="1"/>
      <w:numFmt w:val="bullet"/>
      <w:lvlText w:val="o"/>
      <w:lvlJc w:val="left"/>
      <w:pPr>
        <w:tabs>
          <w:tab w:val="num" w:pos="1440"/>
        </w:tabs>
        <w:ind w:left="1440" w:hanging="360"/>
      </w:pPr>
      <w:rPr>
        <w:rFonts w:ascii="Courier New" w:hAnsi="Courier New" w:hint="default"/>
      </w:rPr>
    </w:lvl>
    <w:lvl w:ilvl="2" w:tplc="7ED67AF0" w:tentative="1">
      <w:start w:val="1"/>
      <w:numFmt w:val="bullet"/>
      <w:lvlText w:val="o"/>
      <w:lvlJc w:val="left"/>
      <w:pPr>
        <w:tabs>
          <w:tab w:val="num" w:pos="2160"/>
        </w:tabs>
        <w:ind w:left="2160" w:hanging="360"/>
      </w:pPr>
      <w:rPr>
        <w:rFonts w:ascii="Courier New" w:hAnsi="Courier New" w:hint="default"/>
      </w:rPr>
    </w:lvl>
    <w:lvl w:ilvl="3" w:tplc="AD30BFA0" w:tentative="1">
      <w:start w:val="1"/>
      <w:numFmt w:val="bullet"/>
      <w:lvlText w:val="o"/>
      <w:lvlJc w:val="left"/>
      <w:pPr>
        <w:tabs>
          <w:tab w:val="num" w:pos="2880"/>
        </w:tabs>
        <w:ind w:left="2880" w:hanging="360"/>
      </w:pPr>
      <w:rPr>
        <w:rFonts w:ascii="Courier New" w:hAnsi="Courier New" w:hint="default"/>
      </w:rPr>
    </w:lvl>
    <w:lvl w:ilvl="4" w:tplc="08B6A3D2" w:tentative="1">
      <w:start w:val="1"/>
      <w:numFmt w:val="bullet"/>
      <w:lvlText w:val="o"/>
      <w:lvlJc w:val="left"/>
      <w:pPr>
        <w:tabs>
          <w:tab w:val="num" w:pos="3600"/>
        </w:tabs>
        <w:ind w:left="3600" w:hanging="360"/>
      </w:pPr>
      <w:rPr>
        <w:rFonts w:ascii="Courier New" w:hAnsi="Courier New" w:hint="default"/>
      </w:rPr>
    </w:lvl>
    <w:lvl w:ilvl="5" w:tplc="51E6782C" w:tentative="1">
      <w:start w:val="1"/>
      <w:numFmt w:val="bullet"/>
      <w:lvlText w:val="o"/>
      <w:lvlJc w:val="left"/>
      <w:pPr>
        <w:tabs>
          <w:tab w:val="num" w:pos="4320"/>
        </w:tabs>
        <w:ind w:left="4320" w:hanging="360"/>
      </w:pPr>
      <w:rPr>
        <w:rFonts w:ascii="Courier New" w:hAnsi="Courier New" w:hint="default"/>
      </w:rPr>
    </w:lvl>
    <w:lvl w:ilvl="6" w:tplc="98BABBBA" w:tentative="1">
      <w:start w:val="1"/>
      <w:numFmt w:val="bullet"/>
      <w:lvlText w:val="o"/>
      <w:lvlJc w:val="left"/>
      <w:pPr>
        <w:tabs>
          <w:tab w:val="num" w:pos="5040"/>
        </w:tabs>
        <w:ind w:left="5040" w:hanging="360"/>
      </w:pPr>
      <w:rPr>
        <w:rFonts w:ascii="Courier New" w:hAnsi="Courier New" w:hint="default"/>
      </w:rPr>
    </w:lvl>
    <w:lvl w:ilvl="7" w:tplc="76A04DC6" w:tentative="1">
      <w:start w:val="1"/>
      <w:numFmt w:val="bullet"/>
      <w:lvlText w:val="o"/>
      <w:lvlJc w:val="left"/>
      <w:pPr>
        <w:tabs>
          <w:tab w:val="num" w:pos="5760"/>
        </w:tabs>
        <w:ind w:left="5760" w:hanging="360"/>
      </w:pPr>
      <w:rPr>
        <w:rFonts w:ascii="Courier New" w:hAnsi="Courier New" w:hint="default"/>
      </w:rPr>
    </w:lvl>
    <w:lvl w:ilvl="8" w:tplc="199A8BE0" w:tentative="1">
      <w:start w:val="1"/>
      <w:numFmt w:val="bullet"/>
      <w:lvlText w:val="o"/>
      <w:lvlJc w:val="left"/>
      <w:pPr>
        <w:tabs>
          <w:tab w:val="num" w:pos="6480"/>
        </w:tabs>
        <w:ind w:left="6480" w:hanging="360"/>
      </w:pPr>
      <w:rPr>
        <w:rFonts w:ascii="Courier New" w:hAnsi="Courier New"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0"/>
  </w:num>
  <w:num w:numId="3">
    <w:abstractNumId w:val="19"/>
  </w:num>
  <w:num w:numId="4">
    <w:abstractNumId w:val="14"/>
  </w:num>
  <w:num w:numId="5">
    <w:abstractNumId w:val="17"/>
  </w:num>
  <w:num w:numId="6">
    <w:abstractNumId w:val="15"/>
  </w:num>
  <w:num w:numId="7">
    <w:abstractNumId w:val="18"/>
  </w:num>
  <w:num w:numId="8">
    <w:abstractNumId w:val="13"/>
  </w:num>
  <w:num w:numId="9">
    <w:abstractNumId w:val="13"/>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displayBackgroundShape/>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io9mfObHeORFqVWSPTJspEuA6Ls=" w:salt="DkEATIY2aGgybcXUZeXlow=="/>
  <w:autoFormatOverride/>
  <w:styleLockQFSet/>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91"/>
    <w:rsid w:val="00004D2F"/>
    <w:rsid w:val="00010D1B"/>
    <w:rsid w:val="0001112E"/>
    <w:rsid w:val="00012E3B"/>
    <w:rsid w:val="000160E5"/>
    <w:rsid w:val="00030528"/>
    <w:rsid w:val="00036735"/>
    <w:rsid w:val="00041A18"/>
    <w:rsid w:val="00042422"/>
    <w:rsid w:val="00052CAE"/>
    <w:rsid w:val="000542CC"/>
    <w:rsid w:val="00056E91"/>
    <w:rsid w:val="000611F2"/>
    <w:rsid w:val="00061762"/>
    <w:rsid w:val="00062CB1"/>
    <w:rsid w:val="000641E0"/>
    <w:rsid w:val="000660F5"/>
    <w:rsid w:val="00067793"/>
    <w:rsid w:val="000701A5"/>
    <w:rsid w:val="000751CD"/>
    <w:rsid w:val="00080D4D"/>
    <w:rsid w:val="00082DD7"/>
    <w:rsid w:val="00090F0F"/>
    <w:rsid w:val="00095620"/>
    <w:rsid w:val="00097D7A"/>
    <w:rsid w:val="000A0035"/>
    <w:rsid w:val="000A3940"/>
    <w:rsid w:val="000A6285"/>
    <w:rsid w:val="000A6630"/>
    <w:rsid w:val="000B2156"/>
    <w:rsid w:val="000B5026"/>
    <w:rsid w:val="000B6D45"/>
    <w:rsid w:val="000C028F"/>
    <w:rsid w:val="000C5CB6"/>
    <w:rsid w:val="000C71DB"/>
    <w:rsid w:val="000C790C"/>
    <w:rsid w:val="000D1710"/>
    <w:rsid w:val="000D43BB"/>
    <w:rsid w:val="000D7A37"/>
    <w:rsid w:val="000E42F5"/>
    <w:rsid w:val="000E4820"/>
    <w:rsid w:val="000F0594"/>
    <w:rsid w:val="000F0CA8"/>
    <w:rsid w:val="000F1620"/>
    <w:rsid w:val="000F24F5"/>
    <w:rsid w:val="000F267A"/>
    <w:rsid w:val="000F2ED9"/>
    <w:rsid w:val="000F3F0B"/>
    <w:rsid w:val="001006CA"/>
    <w:rsid w:val="00100F8B"/>
    <w:rsid w:val="00102172"/>
    <w:rsid w:val="0010558D"/>
    <w:rsid w:val="00110652"/>
    <w:rsid w:val="001140C3"/>
    <w:rsid w:val="0012149F"/>
    <w:rsid w:val="001526A2"/>
    <w:rsid w:val="00154F16"/>
    <w:rsid w:val="00156314"/>
    <w:rsid w:val="001637E7"/>
    <w:rsid w:val="00172B28"/>
    <w:rsid w:val="0017456E"/>
    <w:rsid w:val="00183FE0"/>
    <w:rsid w:val="0018553F"/>
    <w:rsid w:val="001928F3"/>
    <w:rsid w:val="001979A6"/>
    <w:rsid w:val="00197AF3"/>
    <w:rsid w:val="001A2921"/>
    <w:rsid w:val="001A69B7"/>
    <w:rsid w:val="001B0583"/>
    <w:rsid w:val="001B42B6"/>
    <w:rsid w:val="001B551A"/>
    <w:rsid w:val="001C2421"/>
    <w:rsid w:val="001C30A8"/>
    <w:rsid w:val="001D15AA"/>
    <w:rsid w:val="001D334F"/>
    <w:rsid w:val="001E3373"/>
    <w:rsid w:val="001E6EA5"/>
    <w:rsid w:val="001F17BB"/>
    <w:rsid w:val="001F17D3"/>
    <w:rsid w:val="001F4566"/>
    <w:rsid w:val="0020079A"/>
    <w:rsid w:val="0020250F"/>
    <w:rsid w:val="002051DB"/>
    <w:rsid w:val="00216FE4"/>
    <w:rsid w:val="00220194"/>
    <w:rsid w:val="00220BEB"/>
    <w:rsid w:val="00222F9E"/>
    <w:rsid w:val="002231A6"/>
    <w:rsid w:val="00226070"/>
    <w:rsid w:val="002302A9"/>
    <w:rsid w:val="002303DE"/>
    <w:rsid w:val="00230F1D"/>
    <w:rsid w:val="00236978"/>
    <w:rsid w:val="00243291"/>
    <w:rsid w:val="00251118"/>
    <w:rsid w:val="002515C0"/>
    <w:rsid w:val="002620A2"/>
    <w:rsid w:val="00263FFB"/>
    <w:rsid w:val="002643DC"/>
    <w:rsid w:val="00273354"/>
    <w:rsid w:val="00274F84"/>
    <w:rsid w:val="00275115"/>
    <w:rsid w:val="0027787F"/>
    <w:rsid w:val="0028060B"/>
    <w:rsid w:val="0028120C"/>
    <w:rsid w:val="00283417"/>
    <w:rsid w:val="00293920"/>
    <w:rsid w:val="00295827"/>
    <w:rsid w:val="00295F16"/>
    <w:rsid w:val="00296C44"/>
    <w:rsid w:val="002A033F"/>
    <w:rsid w:val="002A4843"/>
    <w:rsid w:val="002C0785"/>
    <w:rsid w:val="002C5C63"/>
    <w:rsid w:val="002C6DC3"/>
    <w:rsid w:val="002D1FA9"/>
    <w:rsid w:val="002D50A3"/>
    <w:rsid w:val="002D6680"/>
    <w:rsid w:val="002E786C"/>
    <w:rsid w:val="002F1E6A"/>
    <w:rsid w:val="002F4E91"/>
    <w:rsid w:val="003007C0"/>
    <w:rsid w:val="003031DA"/>
    <w:rsid w:val="00306F45"/>
    <w:rsid w:val="00307A79"/>
    <w:rsid w:val="003204D5"/>
    <w:rsid w:val="00320ED0"/>
    <w:rsid w:val="00322E6A"/>
    <w:rsid w:val="003314A0"/>
    <w:rsid w:val="00333FEC"/>
    <w:rsid w:val="003419EF"/>
    <w:rsid w:val="00347607"/>
    <w:rsid w:val="00361E54"/>
    <w:rsid w:val="003638AB"/>
    <w:rsid w:val="00375EB8"/>
    <w:rsid w:val="003771D5"/>
    <w:rsid w:val="00381169"/>
    <w:rsid w:val="0038287C"/>
    <w:rsid w:val="0038358E"/>
    <w:rsid w:val="00387DDE"/>
    <w:rsid w:val="00391A01"/>
    <w:rsid w:val="003A0EB5"/>
    <w:rsid w:val="003A5711"/>
    <w:rsid w:val="003A68D5"/>
    <w:rsid w:val="003B685E"/>
    <w:rsid w:val="003B7070"/>
    <w:rsid w:val="003C1EFD"/>
    <w:rsid w:val="003C64D9"/>
    <w:rsid w:val="003D313F"/>
    <w:rsid w:val="003E2E42"/>
    <w:rsid w:val="003E62E7"/>
    <w:rsid w:val="003E70E0"/>
    <w:rsid w:val="003F27FA"/>
    <w:rsid w:val="00403CE6"/>
    <w:rsid w:val="0040409F"/>
    <w:rsid w:val="00407013"/>
    <w:rsid w:val="004074CC"/>
    <w:rsid w:val="004101A2"/>
    <w:rsid w:val="004110CA"/>
    <w:rsid w:val="00411240"/>
    <w:rsid w:val="0041160E"/>
    <w:rsid w:val="004122A8"/>
    <w:rsid w:val="00420FE1"/>
    <w:rsid w:val="0042196C"/>
    <w:rsid w:val="0042509E"/>
    <w:rsid w:val="0042761F"/>
    <w:rsid w:val="00431162"/>
    <w:rsid w:val="00441EE0"/>
    <w:rsid w:val="00442B4B"/>
    <w:rsid w:val="00443482"/>
    <w:rsid w:val="00443912"/>
    <w:rsid w:val="00446E3E"/>
    <w:rsid w:val="00450308"/>
    <w:rsid w:val="004524F2"/>
    <w:rsid w:val="00454FBC"/>
    <w:rsid w:val="00457AD1"/>
    <w:rsid w:val="0046427F"/>
    <w:rsid w:val="00470D4B"/>
    <w:rsid w:val="00474DC4"/>
    <w:rsid w:val="00482EA2"/>
    <w:rsid w:val="00485307"/>
    <w:rsid w:val="00485665"/>
    <w:rsid w:val="00491977"/>
    <w:rsid w:val="0049491B"/>
    <w:rsid w:val="004A0A78"/>
    <w:rsid w:val="004A1329"/>
    <w:rsid w:val="004A511D"/>
    <w:rsid w:val="004B1D65"/>
    <w:rsid w:val="004C4A2E"/>
    <w:rsid w:val="004D5EA3"/>
    <w:rsid w:val="004D73FD"/>
    <w:rsid w:val="004E057E"/>
    <w:rsid w:val="004E44C8"/>
    <w:rsid w:val="004E53BE"/>
    <w:rsid w:val="004E7F82"/>
    <w:rsid w:val="004F16F4"/>
    <w:rsid w:val="004F3EA9"/>
    <w:rsid w:val="004F3F81"/>
    <w:rsid w:val="004F6CA7"/>
    <w:rsid w:val="00501992"/>
    <w:rsid w:val="005028D4"/>
    <w:rsid w:val="00522F1E"/>
    <w:rsid w:val="0053062A"/>
    <w:rsid w:val="00535050"/>
    <w:rsid w:val="00536F3C"/>
    <w:rsid w:val="0054260E"/>
    <w:rsid w:val="0054573D"/>
    <w:rsid w:val="00550D79"/>
    <w:rsid w:val="005547AF"/>
    <w:rsid w:val="005559AC"/>
    <w:rsid w:val="00555FB3"/>
    <w:rsid w:val="00556055"/>
    <w:rsid w:val="00557B5A"/>
    <w:rsid w:val="005611D0"/>
    <w:rsid w:val="00563AC7"/>
    <w:rsid w:val="00563B82"/>
    <w:rsid w:val="00566BD4"/>
    <w:rsid w:val="00571A40"/>
    <w:rsid w:val="005736B2"/>
    <w:rsid w:val="00573B9B"/>
    <w:rsid w:val="00576002"/>
    <w:rsid w:val="00576411"/>
    <w:rsid w:val="0057797A"/>
    <w:rsid w:val="00577CAF"/>
    <w:rsid w:val="00580223"/>
    <w:rsid w:val="005812E5"/>
    <w:rsid w:val="005817E4"/>
    <w:rsid w:val="00594186"/>
    <w:rsid w:val="005955C0"/>
    <w:rsid w:val="00597002"/>
    <w:rsid w:val="005A05D1"/>
    <w:rsid w:val="005A53B8"/>
    <w:rsid w:val="005B12CB"/>
    <w:rsid w:val="005B202B"/>
    <w:rsid w:val="005B20D5"/>
    <w:rsid w:val="005C10EB"/>
    <w:rsid w:val="005C2301"/>
    <w:rsid w:val="005C5A96"/>
    <w:rsid w:val="005D371D"/>
    <w:rsid w:val="005E5F2F"/>
    <w:rsid w:val="005E7495"/>
    <w:rsid w:val="00621C12"/>
    <w:rsid w:val="00623E18"/>
    <w:rsid w:val="00625C5D"/>
    <w:rsid w:val="00635A22"/>
    <w:rsid w:val="006367D1"/>
    <w:rsid w:val="006407A4"/>
    <w:rsid w:val="00642083"/>
    <w:rsid w:val="0065228A"/>
    <w:rsid w:val="0065550D"/>
    <w:rsid w:val="006558E0"/>
    <w:rsid w:val="00655BFC"/>
    <w:rsid w:val="00664295"/>
    <w:rsid w:val="00665364"/>
    <w:rsid w:val="00667B35"/>
    <w:rsid w:val="00673A9B"/>
    <w:rsid w:val="0068085F"/>
    <w:rsid w:val="00680C09"/>
    <w:rsid w:val="006876A8"/>
    <w:rsid w:val="00687B43"/>
    <w:rsid w:val="006A49E3"/>
    <w:rsid w:val="006B1EFD"/>
    <w:rsid w:val="006B4082"/>
    <w:rsid w:val="006C14E4"/>
    <w:rsid w:val="006C454C"/>
    <w:rsid w:val="006C5C1C"/>
    <w:rsid w:val="006C6DA8"/>
    <w:rsid w:val="006C7F61"/>
    <w:rsid w:val="006D2C22"/>
    <w:rsid w:val="006D407F"/>
    <w:rsid w:val="006E4888"/>
    <w:rsid w:val="006E4E10"/>
    <w:rsid w:val="006F0442"/>
    <w:rsid w:val="006F26A5"/>
    <w:rsid w:val="007023A3"/>
    <w:rsid w:val="00703FC0"/>
    <w:rsid w:val="00714F0F"/>
    <w:rsid w:val="007160BE"/>
    <w:rsid w:val="00721539"/>
    <w:rsid w:val="00722F65"/>
    <w:rsid w:val="007252DC"/>
    <w:rsid w:val="007257CD"/>
    <w:rsid w:val="00726836"/>
    <w:rsid w:val="00734A4F"/>
    <w:rsid w:val="007362E0"/>
    <w:rsid w:val="007414C6"/>
    <w:rsid w:val="00762BCC"/>
    <w:rsid w:val="00763BA3"/>
    <w:rsid w:val="00765B66"/>
    <w:rsid w:val="00767BB2"/>
    <w:rsid w:val="0077159C"/>
    <w:rsid w:val="00773C30"/>
    <w:rsid w:val="00774330"/>
    <w:rsid w:val="00776D23"/>
    <w:rsid w:val="00780376"/>
    <w:rsid w:val="00780E9E"/>
    <w:rsid w:val="00780EE3"/>
    <w:rsid w:val="00791AAC"/>
    <w:rsid w:val="0079410C"/>
    <w:rsid w:val="00795EEC"/>
    <w:rsid w:val="00797D4C"/>
    <w:rsid w:val="00797DEE"/>
    <w:rsid w:val="007A6DC3"/>
    <w:rsid w:val="007B4478"/>
    <w:rsid w:val="007B52C8"/>
    <w:rsid w:val="007C0E7E"/>
    <w:rsid w:val="007C1E98"/>
    <w:rsid w:val="007C4098"/>
    <w:rsid w:val="007C4D1C"/>
    <w:rsid w:val="007C5A3B"/>
    <w:rsid w:val="007D17C5"/>
    <w:rsid w:val="007D3BD8"/>
    <w:rsid w:val="007D52EC"/>
    <w:rsid w:val="007E4B55"/>
    <w:rsid w:val="007E7CCE"/>
    <w:rsid w:val="007F19B0"/>
    <w:rsid w:val="007F1CEE"/>
    <w:rsid w:val="008062AC"/>
    <w:rsid w:val="0081087A"/>
    <w:rsid w:val="00820210"/>
    <w:rsid w:val="00833F71"/>
    <w:rsid w:val="00837537"/>
    <w:rsid w:val="00842766"/>
    <w:rsid w:val="008545C4"/>
    <w:rsid w:val="00854EBF"/>
    <w:rsid w:val="00860309"/>
    <w:rsid w:val="0086094D"/>
    <w:rsid w:val="00860ECA"/>
    <w:rsid w:val="008610B7"/>
    <w:rsid w:val="00872382"/>
    <w:rsid w:val="00872CB0"/>
    <w:rsid w:val="008742E3"/>
    <w:rsid w:val="00886906"/>
    <w:rsid w:val="008912FE"/>
    <w:rsid w:val="008A1315"/>
    <w:rsid w:val="008A245D"/>
    <w:rsid w:val="008A38A9"/>
    <w:rsid w:val="008A54FC"/>
    <w:rsid w:val="008A62A7"/>
    <w:rsid w:val="008B70CD"/>
    <w:rsid w:val="008B7CE5"/>
    <w:rsid w:val="008D141C"/>
    <w:rsid w:val="008D2C13"/>
    <w:rsid w:val="008D41FD"/>
    <w:rsid w:val="008D4D96"/>
    <w:rsid w:val="008E6109"/>
    <w:rsid w:val="008F47AB"/>
    <w:rsid w:val="00900926"/>
    <w:rsid w:val="009015E1"/>
    <w:rsid w:val="009170EA"/>
    <w:rsid w:val="00917D1C"/>
    <w:rsid w:val="0092076F"/>
    <w:rsid w:val="00927180"/>
    <w:rsid w:val="00927833"/>
    <w:rsid w:val="00930439"/>
    <w:rsid w:val="00930BDF"/>
    <w:rsid w:val="00937AEB"/>
    <w:rsid w:val="00937FE5"/>
    <w:rsid w:val="009434C3"/>
    <w:rsid w:val="00947A5A"/>
    <w:rsid w:val="00960E86"/>
    <w:rsid w:val="009662E3"/>
    <w:rsid w:val="00966DD9"/>
    <w:rsid w:val="009677A1"/>
    <w:rsid w:val="009770CA"/>
    <w:rsid w:val="00986677"/>
    <w:rsid w:val="00987039"/>
    <w:rsid w:val="0099421C"/>
    <w:rsid w:val="009A1329"/>
    <w:rsid w:val="009A2F3A"/>
    <w:rsid w:val="009A7A45"/>
    <w:rsid w:val="009B0A78"/>
    <w:rsid w:val="009B69ED"/>
    <w:rsid w:val="009C33CE"/>
    <w:rsid w:val="009C3803"/>
    <w:rsid w:val="009D2C13"/>
    <w:rsid w:val="009D3496"/>
    <w:rsid w:val="009D3BA5"/>
    <w:rsid w:val="009D4BA1"/>
    <w:rsid w:val="009D7D5A"/>
    <w:rsid w:val="009E47EB"/>
    <w:rsid w:val="009E6DC3"/>
    <w:rsid w:val="009F0B56"/>
    <w:rsid w:val="009F3A37"/>
    <w:rsid w:val="009F6EA2"/>
    <w:rsid w:val="00A02090"/>
    <w:rsid w:val="00A02B52"/>
    <w:rsid w:val="00A03731"/>
    <w:rsid w:val="00A061CE"/>
    <w:rsid w:val="00A076B5"/>
    <w:rsid w:val="00A1031D"/>
    <w:rsid w:val="00A11643"/>
    <w:rsid w:val="00A17F69"/>
    <w:rsid w:val="00A23870"/>
    <w:rsid w:val="00A274DB"/>
    <w:rsid w:val="00A31525"/>
    <w:rsid w:val="00A41E1E"/>
    <w:rsid w:val="00A43BD3"/>
    <w:rsid w:val="00A6411D"/>
    <w:rsid w:val="00A66DF9"/>
    <w:rsid w:val="00A73298"/>
    <w:rsid w:val="00A751C0"/>
    <w:rsid w:val="00A758B2"/>
    <w:rsid w:val="00A95ACB"/>
    <w:rsid w:val="00A95DD6"/>
    <w:rsid w:val="00A97942"/>
    <w:rsid w:val="00AA079B"/>
    <w:rsid w:val="00AA086A"/>
    <w:rsid w:val="00AB05A5"/>
    <w:rsid w:val="00AB1C16"/>
    <w:rsid w:val="00AB1F59"/>
    <w:rsid w:val="00AB2EA8"/>
    <w:rsid w:val="00AB3C46"/>
    <w:rsid w:val="00AB4257"/>
    <w:rsid w:val="00AC0EA5"/>
    <w:rsid w:val="00AC2686"/>
    <w:rsid w:val="00AC2824"/>
    <w:rsid w:val="00AD132F"/>
    <w:rsid w:val="00AD1BE1"/>
    <w:rsid w:val="00AD2038"/>
    <w:rsid w:val="00AD7257"/>
    <w:rsid w:val="00AE372A"/>
    <w:rsid w:val="00AF2D0C"/>
    <w:rsid w:val="00AF4C0E"/>
    <w:rsid w:val="00B04A1A"/>
    <w:rsid w:val="00B14E5E"/>
    <w:rsid w:val="00B2563E"/>
    <w:rsid w:val="00B25910"/>
    <w:rsid w:val="00B26973"/>
    <w:rsid w:val="00B3042F"/>
    <w:rsid w:val="00B30D3B"/>
    <w:rsid w:val="00B315D9"/>
    <w:rsid w:val="00B3330C"/>
    <w:rsid w:val="00B361CE"/>
    <w:rsid w:val="00B432D4"/>
    <w:rsid w:val="00B4476D"/>
    <w:rsid w:val="00B453ED"/>
    <w:rsid w:val="00B460E4"/>
    <w:rsid w:val="00B5315C"/>
    <w:rsid w:val="00B537C3"/>
    <w:rsid w:val="00B576D7"/>
    <w:rsid w:val="00B57D57"/>
    <w:rsid w:val="00B6336B"/>
    <w:rsid w:val="00B650DF"/>
    <w:rsid w:val="00B65BD7"/>
    <w:rsid w:val="00B76C38"/>
    <w:rsid w:val="00B80892"/>
    <w:rsid w:val="00B817CC"/>
    <w:rsid w:val="00B82735"/>
    <w:rsid w:val="00B82FCC"/>
    <w:rsid w:val="00B92306"/>
    <w:rsid w:val="00B92861"/>
    <w:rsid w:val="00BA2E30"/>
    <w:rsid w:val="00BA36F9"/>
    <w:rsid w:val="00BA524C"/>
    <w:rsid w:val="00BA7A69"/>
    <w:rsid w:val="00BB15E2"/>
    <w:rsid w:val="00BB2FE0"/>
    <w:rsid w:val="00BC3CA5"/>
    <w:rsid w:val="00BC7AEC"/>
    <w:rsid w:val="00BD0DF3"/>
    <w:rsid w:val="00BD28DF"/>
    <w:rsid w:val="00BD4E12"/>
    <w:rsid w:val="00BD6876"/>
    <w:rsid w:val="00BD7669"/>
    <w:rsid w:val="00BE2864"/>
    <w:rsid w:val="00BF3831"/>
    <w:rsid w:val="00C00565"/>
    <w:rsid w:val="00C0561A"/>
    <w:rsid w:val="00C076BF"/>
    <w:rsid w:val="00C10C10"/>
    <w:rsid w:val="00C212B5"/>
    <w:rsid w:val="00C24DE5"/>
    <w:rsid w:val="00C25B3D"/>
    <w:rsid w:val="00C25F81"/>
    <w:rsid w:val="00C27F02"/>
    <w:rsid w:val="00C33A7C"/>
    <w:rsid w:val="00C36064"/>
    <w:rsid w:val="00C43638"/>
    <w:rsid w:val="00C44519"/>
    <w:rsid w:val="00C44908"/>
    <w:rsid w:val="00C504F4"/>
    <w:rsid w:val="00C512DE"/>
    <w:rsid w:val="00C57E85"/>
    <w:rsid w:val="00C65BB4"/>
    <w:rsid w:val="00C8071C"/>
    <w:rsid w:val="00C816CB"/>
    <w:rsid w:val="00C82461"/>
    <w:rsid w:val="00C90662"/>
    <w:rsid w:val="00C91E3B"/>
    <w:rsid w:val="00CA07CC"/>
    <w:rsid w:val="00CA25B5"/>
    <w:rsid w:val="00CA35C6"/>
    <w:rsid w:val="00CA4FCE"/>
    <w:rsid w:val="00CA5F8F"/>
    <w:rsid w:val="00CB467D"/>
    <w:rsid w:val="00CC1C67"/>
    <w:rsid w:val="00CC5A6F"/>
    <w:rsid w:val="00CD07E7"/>
    <w:rsid w:val="00CD5DD5"/>
    <w:rsid w:val="00CE271A"/>
    <w:rsid w:val="00CE6FF5"/>
    <w:rsid w:val="00CF2EC7"/>
    <w:rsid w:val="00CF5245"/>
    <w:rsid w:val="00D0121B"/>
    <w:rsid w:val="00D04BA8"/>
    <w:rsid w:val="00D06479"/>
    <w:rsid w:val="00D06683"/>
    <w:rsid w:val="00D06CA9"/>
    <w:rsid w:val="00D076EE"/>
    <w:rsid w:val="00D07B1A"/>
    <w:rsid w:val="00D1167E"/>
    <w:rsid w:val="00D234E7"/>
    <w:rsid w:val="00D24CD0"/>
    <w:rsid w:val="00D30E46"/>
    <w:rsid w:val="00D32F51"/>
    <w:rsid w:val="00D3663D"/>
    <w:rsid w:val="00D36D7F"/>
    <w:rsid w:val="00D40694"/>
    <w:rsid w:val="00D4349F"/>
    <w:rsid w:val="00D47EF6"/>
    <w:rsid w:val="00D50AC8"/>
    <w:rsid w:val="00D6065C"/>
    <w:rsid w:val="00D60A44"/>
    <w:rsid w:val="00D62B0C"/>
    <w:rsid w:val="00D71773"/>
    <w:rsid w:val="00D7390F"/>
    <w:rsid w:val="00D74F04"/>
    <w:rsid w:val="00D82D55"/>
    <w:rsid w:val="00D904D5"/>
    <w:rsid w:val="00D90913"/>
    <w:rsid w:val="00D92BEC"/>
    <w:rsid w:val="00DA0026"/>
    <w:rsid w:val="00DA18F2"/>
    <w:rsid w:val="00DA444C"/>
    <w:rsid w:val="00DA4D2D"/>
    <w:rsid w:val="00DB17F9"/>
    <w:rsid w:val="00DD2814"/>
    <w:rsid w:val="00DD50AE"/>
    <w:rsid w:val="00DD58E5"/>
    <w:rsid w:val="00DD6973"/>
    <w:rsid w:val="00DD6CE9"/>
    <w:rsid w:val="00DE7B52"/>
    <w:rsid w:val="00DF2C67"/>
    <w:rsid w:val="00DF3AE2"/>
    <w:rsid w:val="00DF7D21"/>
    <w:rsid w:val="00E03771"/>
    <w:rsid w:val="00E059C5"/>
    <w:rsid w:val="00E06B29"/>
    <w:rsid w:val="00E06C22"/>
    <w:rsid w:val="00E11D7E"/>
    <w:rsid w:val="00E14334"/>
    <w:rsid w:val="00E2303A"/>
    <w:rsid w:val="00E26BAC"/>
    <w:rsid w:val="00E343BD"/>
    <w:rsid w:val="00E348D9"/>
    <w:rsid w:val="00E36601"/>
    <w:rsid w:val="00E441B0"/>
    <w:rsid w:val="00E447C6"/>
    <w:rsid w:val="00E44855"/>
    <w:rsid w:val="00E46600"/>
    <w:rsid w:val="00E4781B"/>
    <w:rsid w:val="00E51F8B"/>
    <w:rsid w:val="00E60351"/>
    <w:rsid w:val="00E62F65"/>
    <w:rsid w:val="00E668CE"/>
    <w:rsid w:val="00E71AE7"/>
    <w:rsid w:val="00E752E6"/>
    <w:rsid w:val="00E81570"/>
    <w:rsid w:val="00E97060"/>
    <w:rsid w:val="00EA2ED5"/>
    <w:rsid w:val="00EA6088"/>
    <w:rsid w:val="00EC1A2C"/>
    <w:rsid w:val="00EC27AD"/>
    <w:rsid w:val="00ED2C10"/>
    <w:rsid w:val="00EE0C22"/>
    <w:rsid w:val="00EE279F"/>
    <w:rsid w:val="00EE34C2"/>
    <w:rsid w:val="00EF2827"/>
    <w:rsid w:val="00F04E2A"/>
    <w:rsid w:val="00F05B62"/>
    <w:rsid w:val="00F10E1F"/>
    <w:rsid w:val="00F12043"/>
    <w:rsid w:val="00F212EB"/>
    <w:rsid w:val="00F23D13"/>
    <w:rsid w:val="00F268C0"/>
    <w:rsid w:val="00F32DEC"/>
    <w:rsid w:val="00F43E24"/>
    <w:rsid w:val="00F45561"/>
    <w:rsid w:val="00F465D3"/>
    <w:rsid w:val="00F51BD6"/>
    <w:rsid w:val="00F5330E"/>
    <w:rsid w:val="00F569C9"/>
    <w:rsid w:val="00F56F06"/>
    <w:rsid w:val="00F56F62"/>
    <w:rsid w:val="00F56FA9"/>
    <w:rsid w:val="00F62D48"/>
    <w:rsid w:val="00F6337D"/>
    <w:rsid w:val="00F657A5"/>
    <w:rsid w:val="00F73815"/>
    <w:rsid w:val="00F7770D"/>
    <w:rsid w:val="00F85984"/>
    <w:rsid w:val="00F868C9"/>
    <w:rsid w:val="00F905E7"/>
    <w:rsid w:val="00F908DA"/>
    <w:rsid w:val="00F91FDD"/>
    <w:rsid w:val="00F93115"/>
    <w:rsid w:val="00F97DAD"/>
    <w:rsid w:val="00FA2986"/>
    <w:rsid w:val="00FA4E32"/>
    <w:rsid w:val="00FA5792"/>
    <w:rsid w:val="00FA5B5D"/>
    <w:rsid w:val="00FA63DC"/>
    <w:rsid w:val="00FB04BE"/>
    <w:rsid w:val="00FB200D"/>
    <w:rsid w:val="00FB25E4"/>
    <w:rsid w:val="00FB3571"/>
    <w:rsid w:val="00FB46F7"/>
    <w:rsid w:val="00FB4967"/>
    <w:rsid w:val="00FB4F1D"/>
    <w:rsid w:val="00FD01DA"/>
    <w:rsid w:val="00FD4C80"/>
    <w:rsid w:val="00FE1252"/>
    <w:rsid w:val="00FE538A"/>
    <w:rsid w:val="00FE7EEC"/>
    <w:rsid w:val="00FF0E5A"/>
    <w:rsid w:val="00FF5B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E447C6"/>
    <w:rPr>
      <w:rFonts w:eastAsia="Calibri"/>
      <w:szCs w:val="22"/>
      <w:lang w:val="en-GB"/>
    </w:rPr>
  </w:style>
  <w:style w:type="paragraph" w:styleId="berschrift1">
    <w:name w:val="heading 1"/>
    <w:aliases w:val="ECC Heading 1"/>
    <w:next w:val="Standard"/>
    <w:qFormat/>
    <w:rsid w:val="00AD132F"/>
    <w:pPr>
      <w:keepNext/>
      <w:numPr>
        <w:numId w:val="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AD132F"/>
    <w:pPr>
      <w:keepNext/>
      <w:numPr>
        <w:ilvl w:val="1"/>
        <w:numId w:val="6"/>
      </w:numPr>
      <w:spacing w:before="480"/>
      <w:jc w:val="left"/>
      <w:outlineLvl w:val="1"/>
    </w:pPr>
    <w:rPr>
      <w:rFonts w:eastAsia="Calibri" w:cs="Arial"/>
      <w:b/>
      <w:bCs/>
      <w:iCs/>
      <w:caps/>
      <w:szCs w:val="28"/>
    </w:rPr>
  </w:style>
  <w:style w:type="paragraph" w:styleId="berschrift3">
    <w:name w:val="heading 3"/>
    <w:aliases w:val="ECC Heading 3"/>
    <w:next w:val="Standard"/>
    <w:qFormat/>
    <w:rsid w:val="00AD132F"/>
    <w:pPr>
      <w:keepNext/>
      <w:numPr>
        <w:ilvl w:val="2"/>
        <w:numId w:val="6"/>
      </w:numPr>
      <w:spacing w:before="360"/>
      <w:jc w:val="left"/>
      <w:outlineLvl w:val="2"/>
    </w:pPr>
    <w:rPr>
      <w:rFonts w:eastAsia="Calibri" w:cs="Arial"/>
      <w:b/>
      <w:bCs/>
      <w:szCs w:val="26"/>
    </w:rPr>
  </w:style>
  <w:style w:type="paragraph" w:styleId="berschrift4">
    <w:name w:val="heading 4"/>
    <w:aliases w:val="ECC Heading 4"/>
    <w:next w:val="Standard"/>
    <w:qFormat/>
    <w:rsid w:val="00AD132F"/>
    <w:pPr>
      <w:numPr>
        <w:ilvl w:val="3"/>
        <w:numId w:val="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AD132F"/>
    <w:pPr>
      <w:numPr>
        <w:numId w:val="2"/>
      </w:numPr>
      <w:tabs>
        <w:tab w:val="left" w:pos="340"/>
      </w:tabs>
      <w:spacing w:before="60" w:after="0"/>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AD132F"/>
    <w:pPr>
      <w:keepNext/>
      <w:pageBreakBefore/>
      <w:numPr>
        <w:numId w:val="1"/>
      </w:numPr>
      <w:jc w:val="left"/>
    </w:pPr>
    <w:rPr>
      <w:rFonts w:eastAsia="Calibri"/>
      <w:b/>
      <w:caps/>
      <w:color w:val="D2232A"/>
    </w:rPr>
  </w:style>
  <w:style w:type="paragraph" w:styleId="Verzeichnis1">
    <w:name w:val="toc 1"/>
    <w:aliases w:val="ECC Index 1"/>
    <w:basedOn w:val="Standard"/>
    <w:link w:val="Verzeichnis1Zchn"/>
    <w:uiPriority w:val="39"/>
    <w:semiHidden/>
    <w:qFormat/>
    <w:rsid w:val="00AD132F"/>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AD132F"/>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AD132F"/>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AD132F"/>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D132F"/>
    <w:pPr>
      <w:spacing w:before="0"/>
      <w:ind w:left="284" w:hanging="284"/>
    </w:pPr>
    <w:rPr>
      <w:sz w:val="16"/>
      <w:szCs w:val="16"/>
      <w:lang w:val="en-GB"/>
    </w:rPr>
  </w:style>
  <w:style w:type="paragraph" w:customStyle="1" w:styleId="ECCBulletsLv2">
    <w:name w:val="ECC Bullets Lv2"/>
    <w:basedOn w:val="ECCBulletsLv1"/>
    <w:rsid w:val="00AD132F"/>
    <w:pPr>
      <w:tabs>
        <w:tab w:val="clear" w:pos="340"/>
        <w:tab w:val="left" w:pos="680"/>
      </w:tabs>
      <w:ind w:left="680"/>
    </w:pPr>
  </w:style>
  <w:style w:type="paragraph" w:customStyle="1" w:styleId="ECCAnnexheading2">
    <w:name w:val="ECC Annex heading2"/>
    <w:next w:val="Standard"/>
    <w:rsid w:val="00AD132F"/>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AD132F"/>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AD132F"/>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AD132F"/>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AD132F"/>
    <w:pPr>
      <w:numPr>
        <w:ilvl w:val="1"/>
        <w:numId w:val="3"/>
      </w:numPr>
      <w:spacing w:after="0"/>
    </w:pPr>
  </w:style>
  <w:style w:type="paragraph" w:customStyle="1" w:styleId="ECCNumberedList">
    <w:name w:val="ECC Numbered List"/>
    <w:basedOn w:val="Standard"/>
    <w:rsid w:val="00AD132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qFormat/>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AD132F"/>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AD132F"/>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AD132F"/>
    <w:pPr>
      <w:spacing w:after="120"/>
      <w:jc w:val="center"/>
    </w:pPr>
    <w:rPr>
      <w:color w:val="FFFFFF" w:themeColor="background1"/>
    </w:rPr>
  </w:style>
  <w:style w:type="paragraph" w:customStyle="1" w:styleId="ECCTabletext">
    <w:name w:val="ECC Table text"/>
    <w:basedOn w:val="Standard"/>
    <w:qFormat/>
    <w:rsid w:val="00AD132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AD132F"/>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AD132F"/>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AD132F"/>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AD132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paragraph" w:styleId="Fuzeile">
    <w:name w:val="footer"/>
    <w:basedOn w:val="Standard"/>
    <w:link w:val="FuzeileZchn"/>
    <w:uiPriority w:val="99"/>
    <w:semiHidden/>
    <w:unhideWhenUsed/>
    <w:locked/>
    <w:rsid w:val="00EE34C2"/>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EE34C2"/>
    <w:rPr>
      <w:rFonts w:eastAsia="Calibri"/>
      <w:szCs w:val="22"/>
      <w:lang w:val="en-GB"/>
    </w:rPr>
  </w:style>
  <w:style w:type="character" w:customStyle="1" w:styleId="Mention1">
    <w:name w:val="Mention1"/>
    <w:basedOn w:val="Absatz-Standardschriftart"/>
    <w:uiPriority w:val="99"/>
    <w:semiHidden/>
    <w:unhideWhenUsed/>
    <w:rsid w:val="00B6336B"/>
    <w:rPr>
      <w:color w:val="2B579A"/>
      <w:shd w:val="clear" w:color="auto" w:fill="E6E6E6"/>
    </w:rPr>
  </w:style>
  <w:style w:type="character" w:styleId="BesuchterHyperlink">
    <w:name w:val="FollowedHyperlink"/>
    <w:basedOn w:val="Absatz-Standardschriftart"/>
    <w:uiPriority w:val="99"/>
    <w:semiHidden/>
    <w:unhideWhenUsed/>
    <w:locked/>
    <w:rsid w:val="00B6336B"/>
    <w:rPr>
      <w:color w:val="800080" w:themeColor="followedHyperlink"/>
      <w:u w:val="single"/>
    </w:rPr>
  </w:style>
  <w:style w:type="character" w:styleId="Platzhaltertext">
    <w:name w:val="Placeholder Text"/>
    <w:basedOn w:val="Absatz-Standardschriftart"/>
    <w:uiPriority w:val="99"/>
    <w:semiHidden/>
    <w:locked/>
    <w:rsid w:val="00AD132F"/>
    <w:rPr>
      <w:color w:val="808080"/>
    </w:rPr>
  </w:style>
  <w:style w:type="paragraph" w:styleId="berarbeitung">
    <w:name w:val="Revision"/>
    <w:hidden/>
    <w:uiPriority w:val="99"/>
    <w:semiHidden/>
    <w:rsid w:val="00AD132F"/>
    <w:pPr>
      <w:spacing w:before="0" w:after="0"/>
      <w:jc w:val="left"/>
    </w:pPr>
    <w:rPr>
      <w:rFonts w:eastAsia="Calibri"/>
      <w:szCs w:val="22"/>
      <w:lang w:val="en-GB"/>
    </w:rPr>
  </w:style>
  <w:style w:type="character" w:styleId="Kommentarzeichen">
    <w:name w:val="annotation reference"/>
    <w:basedOn w:val="Absatz-Standardschriftart"/>
    <w:uiPriority w:val="99"/>
    <w:semiHidden/>
    <w:unhideWhenUsed/>
    <w:locked/>
    <w:rsid w:val="00AD132F"/>
    <w:rPr>
      <w:sz w:val="16"/>
      <w:szCs w:val="16"/>
    </w:rPr>
  </w:style>
  <w:style w:type="paragraph" w:styleId="Kommentartext">
    <w:name w:val="annotation text"/>
    <w:basedOn w:val="Standard"/>
    <w:link w:val="KommentartextZchn"/>
    <w:uiPriority w:val="99"/>
    <w:semiHidden/>
    <w:unhideWhenUsed/>
    <w:locked/>
    <w:rsid w:val="00AD132F"/>
    <w:rPr>
      <w:szCs w:val="20"/>
    </w:rPr>
  </w:style>
  <w:style w:type="character" w:customStyle="1" w:styleId="KommentartextZchn">
    <w:name w:val="Kommentartext Zchn"/>
    <w:basedOn w:val="Absatz-Standardschriftart"/>
    <w:link w:val="Kommentartext"/>
    <w:uiPriority w:val="99"/>
    <w:semiHidden/>
    <w:rsid w:val="00AD132F"/>
    <w:rPr>
      <w:rFonts w:eastAsia="Calibri"/>
      <w:lang w:val="en-GB"/>
    </w:rPr>
  </w:style>
  <w:style w:type="paragraph" w:styleId="Kommentarthema">
    <w:name w:val="annotation subject"/>
    <w:basedOn w:val="Kommentartext"/>
    <w:next w:val="Kommentartext"/>
    <w:link w:val="KommentarthemaZchn"/>
    <w:uiPriority w:val="99"/>
    <w:semiHidden/>
    <w:unhideWhenUsed/>
    <w:locked/>
    <w:rsid w:val="00AD132F"/>
    <w:rPr>
      <w:b/>
      <w:bCs/>
    </w:rPr>
  </w:style>
  <w:style w:type="character" w:customStyle="1" w:styleId="KommentarthemaZchn">
    <w:name w:val="Kommentarthema Zchn"/>
    <w:basedOn w:val="KommentartextZchn"/>
    <w:link w:val="Kommentarthema"/>
    <w:uiPriority w:val="99"/>
    <w:semiHidden/>
    <w:rsid w:val="00AD132F"/>
    <w:rPr>
      <w:rFonts w:eastAsia="Calibri"/>
      <w:b/>
      <w:bCs/>
      <w:lang w:val="en-GB"/>
    </w:rPr>
  </w:style>
  <w:style w:type="character" w:styleId="SchwacheHervorhebung">
    <w:name w:val="Subtle Emphasis"/>
    <w:basedOn w:val="Absatz-Standardschriftart"/>
    <w:uiPriority w:val="19"/>
    <w:qFormat/>
    <w:rsid w:val="00090F0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E447C6"/>
    <w:rPr>
      <w:rFonts w:eastAsia="Calibri"/>
      <w:szCs w:val="22"/>
      <w:lang w:val="en-GB"/>
    </w:rPr>
  </w:style>
  <w:style w:type="paragraph" w:styleId="berschrift1">
    <w:name w:val="heading 1"/>
    <w:aliases w:val="ECC Heading 1"/>
    <w:next w:val="Standard"/>
    <w:qFormat/>
    <w:rsid w:val="00AD132F"/>
    <w:pPr>
      <w:keepNext/>
      <w:numPr>
        <w:numId w:val="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AD132F"/>
    <w:pPr>
      <w:keepNext/>
      <w:numPr>
        <w:ilvl w:val="1"/>
        <w:numId w:val="6"/>
      </w:numPr>
      <w:spacing w:before="480"/>
      <w:jc w:val="left"/>
      <w:outlineLvl w:val="1"/>
    </w:pPr>
    <w:rPr>
      <w:rFonts w:eastAsia="Calibri" w:cs="Arial"/>
      <w:b/>
      <w:bCs/>
      <w:iCs/>
      <w:caps/>
      <w:szCs w:val="28"/>
    </w:rPr>
  </w:style>
  <w:style w:type="paragraph" w:styleId="berschrift3">
    <w:name w:val="heading 3"/>
    <w:aliases w:val="ECC Heading 3"/>
    <w:next w:val="Standard"/>
    <w:qFormat/>
    <w:rsid w:val="00AD132F"/>
    <w:pPr>
      <w:keepNext/>
      <w:numPr>
        <w:ilvl w:val="2"/>
        <w:numId w:val="6"/>
      </w:numPr>
      <w:spacing w:before="360"/>
      <w:jc w:val="left"/>
      <w:outlineLvl w:val="2"/>
    </w:pPr>
    <w:rPr>
      <w:rFonts w:eastAsia="Calibri" w:cs="Arial"/>
      <w:b/>
      <w:bCs/>
      <w:szCs w:val="26"/>
    </w:rPr>
  </w:style>
  <w:style w:type="paragraph" w:styleId="berschrift4">
    <w:name w:val="heading 4"/>
    <w:aliases w:val="ECC Heading 4"/>
    <w:next w:val="Standard"/>
    <w:qFormat/>
    <w:rsid w:val="00AD132F"/>
    <w:pPr>
      <w:numPr>
        <w:ilvl w:val="3"/>
        <w:numId w:val="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AD132F"/>
    <w:pPr>
      <w:numPr>
        <w:numId w:val="2"/>
      </w:numPr>
      <w:tabs>
        <w:tab w:val="left" w:pos="340"/>
      </w:tabs>
      <w:spacing w:before="60" w:after="0"/>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AD132F"/>
    <w:pPr>
      <w:keepNext/>
      <w:pageBreakBefore/>
      <w:numPr>
        <w:numId w:val="1"/>
      </w:numPr>
      <w:jc w:val="left"/>
    </w:pPr>
    <w:rPr>
      <w:rFonts w:eastAsia="Calibri"/>
      <w:b/>
      <w:caps/>
      <w:color w:val="D2232A"/>
    </w:rPr>
  </w:style>
  <w:style w:type="paragraph" w:styleId="Verzeichnis1">
    <w:name w:val="toc 1"/>
    <w:aliases w:val="ECC Index 1"/>
    <w:basedOn w:val="Standard"/>
    <w:link w:val="Verzeichnis1Zchn"/>
    <w:uiPriority w:val="39"/>
    <w:semiHidden/>
    <w:qFormat/>
    <w:rsid w:val="00AD132F"/>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AD132F"/>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AD132F"/>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AD132F"/>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D132F"/>
    <w:pPr>
      <w:spacing w:before="0"/>
      <w:ind w:left="284" w:hanging="284"/>
    </w:pPr>
    <w:rPr>
      <w:sz w:val="16"/>
      <w:szCs w:val="16"/>
      <w:lang w:val="en-GB"/>
    </w:rPr>
  </w:style>
  <w:style w:type="paragraph" w:customStyle="1" w:styleId="ECCBulletsLv2">
    <w:name w:val="ECC Bullets Lv2"/>
    <w:basedOn w:val="ECCBulletsLv1"/>
    <w:rsid w:val="00AD132F"/>
    <w:pPr>
      <w:tabs>
        <w:tab w:val="clear" w:pos="340"/>
        <w:tab w:val="left" w:pos="680"/>
      </w:tabs>
      <w:ind w:left="680"/>
    </w:pPr>
  </w:style>
  <w:style w:type="paragraph" w:customStyle="1" w:styleId="ECCAnnexheading2">
    <w:name w:val="ECC Annex heading2"/>
    <w:next w:val="Standard"/>
    <w:rsid w:val="00AD132F"/>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AD132F"/>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AD132F"/>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AD132F"/>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AD132F"/>
    <w:pPr>
      <w:numPr>
        <w:ilvl w:val="1"/>
        <w:numId w:val="3"/>
      </w:numPr>
      <w:spacing w:after="0"/>
    </w:pPr>
  </w:style>
  <w:style w:type="paragraph" w:customStyle="1" w:styleId="ECCNumberedList">
    <w:name w:val="ECC Numbered List"/>
    <w:basedOn w:val="Standard"/>
    <w:rsid w:val="00AD132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qFormat/>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AD132F"/>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AD132F"/>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AD132F"/>
    <w:pPr>
      <w:spacing w:after="120"/>
      <w:jc w:val="center"/>
    </w:pPr>
    <w:rPr>
      <w:color w:val="FFFFFF" w:themeColor="background1"/>
    </w:rPr>
  </w:style>
  <w:style w:type="paragraph" w:customStyle="1" w:styleId="ECCTabletext">
    <w:name w:val="ECC Table text"/>
    <w:basedOn w:val="Standard"/>
    <w:qFormat/>
    <w:rsid w:val="00AD132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AD132F"/>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AD132F"/>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AD132F"/>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AD132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paragraph" w:styleId="Fuzeile">
    <w:name w:val="footer"/>
    <w:basedOn w:val="Standard"/>
    <w:link w:val="FuzeileZchn"/>
    <w:uiPriority w:val="99"/>
    <w:semiHidden/>
    <w:unhideWhenUsed/>
    <w:locked/>
    <w:rsid w:val="00EE34C2"/>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EE34C2"/>
    <w:rPr>
      <w:rFonts w:eastAsia="Calibri"/>
      <w:szCs w:val="22"/>
      <w:lang w:val="en-GB"/>
    </w:rPr>
  </w:style>
  <w:style w:type="character" w:customStyle="1" w:styleId="Mention1">
    <w:name w:val="Mention1"/>
    <w:basedOn w:val="Absatz-Standardschriftart"/>
    <w:uiPriority w:val="99"/>
    <w:semiHidden/>
    <w:unhideWhenUsed/>
    <w:rsid w:val="00B6336B"/>
    <w:rPr>
      <w:color w:val="2B579A"/>
      <w:shd w:val="clear" w:color="auto" w:fill="E6E6E6"/>
    </w:rPr>
  </w:style>
  <w:style w:type="character" w:styleId="BesuchterHyperlink">
    <w:name w:val="FollowedHyperlink"/>
    <w:basedOn w:val="Absatz-Standardschriftart"/>
    <w:uiPriority w:val="99"/>
    <w:semiHidden/>
    <w:unhideWhenUsed/>
    <w:locked/>
    <w:rsid w:val="00B6336B"/>
    <w:rPr>
      <w:color w:val="800080" w:themeColor="followedHyperlink"/>
      <w:u w:val="single"/>
    </w:rPr>
  </w:style>
  <w:style w:type="character" w:styleId="Platzhaltertext">
    <w:name w:val="Placeholder Text"/>
    <w:basedOn w:val="Absatz-Standardschriftart"/>
    <w:uiPriority w:val="99"/>
    <w:semiHidden/>
    <w:locked/>
    <w:rsid w:val="00AD132F"/>
    <w:rPr>
      <w:color w:val="808080"/>
    </w:rPr>
  </w:style>
  <w:style w:type="paragraph" w:styleId="berarbeitung">
    <w:name w:val="Revision"/>
    <w:hidden/>
    <w:uiPriority w:val="99"/>
    <w:semiHidden/>
    <w:rsid w:val="00AD132F"/>
    <w:pPr>
      <w:spacing w:before="0" w:after="0"/>
      <w:jc w:val="left"/>
    </w:pPr>
    <w:rPr>
      <w:rFonts w:eastAsia="Calibri"/>
      <w:szCs w:val="22"/>
      <w:lang w:val="en-GB"/>
    </w:rPr>
  </w:style>
  <w:style w:type="character" w:styleId="Kommentarzeichen">
    <w:name w:val="annotation reference"/>
    <w:basedOn w:val="Absatz-Standardschriftart"/>
    <w:uiPriority w:val="99"/>
    <w:semiHidden/>
    <w:unhideWhenUsed/>
    <w:locked/>
    <w:rsid w:val="00AD132F"/>
    <w:rPr>
      <w:sz w:val="16"/>
      <w:szCs w:val="16"/>
    </w:rPr>
  </w:style>
  <w:style w:type="paragraph" w:styleId="Kommentartext">
    <w:name w:val="annotation text"/>
    <w:basedOn w:val="Standard"/>
    <w:link w:val="KommentartextZchn"/>
    <w:uiPriority w:val="99"/>
    <w:semiHidden/>
    <w:unhideWhenUsed/>
    <w:locked/>
    <w:rsid w:val="00AD132F"/>
    <w:rPr>
      <w:szCs w:val="20"/>
    </w:rPr>
  </w:style>
  <w:style w:type="character" w:customStyle="1" w:styleId="KommentartextZchn">
    <w:name w:val="Kommentartext Zchn"/>
    <w:basedOn w:val="Absatz-Standardschriftart"/>
    <w:link w:val="Kommentartext"/>
    <w:uiPriority w:val="99"/>
    <w:semiHidden/>
    <w:rsid w:val="00AD132F"/>
    <w:rPr>
      <w:rFonts w:eastAsia="Calibri"/>
      <w:lang w:val="en-GB"/>
    </w:rPr>
  </w:style>
  <w:style w:type="paragraph" w:styleId="Kommentarthema">
    <w:name w:val="annotation subject"/>
    <w:basedOn w:val="Kommentartext"/>
    <w:next w:val="Kommentartext"/>
    <w:link w:val="KommentarthemaZchn"/>
    <w:uiPriority w:val="99"/>
    <w:semiHidden/>
    <w:unhideWhenUsed/>
    <w:locked/>
    <w:rsid w:val="00AD132F"/>
    <w:rPr>
      <w:b/>
      <w:bCs/>
    </w:rPr>
  </w:style>
  <w:style w:type="character" w:customStyle="1" w:styleId="KommentarthemaZchn">
    <w:name w:val="Kommentarthema Zchn"/>
    <w:basedOn w:val="KommentartextZchn"/>
    <w:link w:val="Kommentarthema"/>
    <w:uiPriority w:val="99"/>
    <w:semiHidden/>
    <w:rsid w:val="00AD132F"/>
    <w:rPr>
      <w:rFonts w:eastAsia="Calibri"/>
      <w:b/>
      <w:bCs/>
      <w:lang w:val="en-GB"/>
    </w:rPr>
  </w:style>
  <w:style w:type="character" w:styleId="SchwacheHervorhebung">
    <w:name w:val="Subtle Emphasis"/>
    <w:basedOn w:val="Absatz-Standardschriftart"/>
    <w:uiPriority w:val="19"/>
    <w:qFormat/>
    <w:rsid w:val="00090F0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1733">
      <w:bodyDiv w:val="1"/>
      <w:marLeft w:val="0"/>
      <w:marRight w:val="0"/>
      <w:marTop w:val="0"/>
      <w:marBottom w:val="0"/>
      <w:divBdr>
        <w:top w:val="none" w:sz="0" w:space="0" w:color="auto"/>
        <w:left w:val="none" w:sz="0" w:space="0" w:color="auto"/>
        <w:bottom w:val="none" w:sz="0" w:space="0" w:color="auto"/>
        <w:right w:val="none" w:sz="0" w:space="0" w:color="auto"/>
      </w:divBdr>
    </w:div>
    <w:div w:id="447772050">
      <w:bodyDiv w:val="1"/>
      <w:marLeft w:val="0"/>
      <w:marRight w:val="0"/>
      <w:marTop w:val="0"/>
      <w:marBottom w:val="0"/>
      <w:divBdr>
        <w:top w:val="none" w:sz="0" w:space="0" w:color="auto"/>
        <w:left w:val="none" w:sz="0" w:space="0" w:color="auto"/>
        <w:bottom w:val="none" w:sz="0" w:space="0" w:color="auto"/>
        <w:right w:val="none" w:sz="0" w:space="0" w:color="auto"/>
      </w:divBdr>
    </w:div>
    <w:div w:id="868565683">
      <w:bodyDiv w:val="1"/>
      <w:marLeft w:val="0"/>
      <w:marRight w:val="0"/>
      <w:marTop w:val="0"/>
      <w:marBottom w:val="0"/>
      <w:divBdr>
        <w:top w:val="none" w:sz="0" w:space="0" w:color="auto"/>
        <w:left w:val="none" w:sz="0" w:space="0" w:color="auto"/>
        <w:bottom w:val="none" w:sz="0" w:space="0" w:color="auto"/>
        <w:right w:val="none" w:sz="0" w:space="0" w:color="auto"/>
      </w:divBdr>
    </w:div>
    <w:div w:id="1144003211">
      <w:bodyDiv w:val="1"/>
      <w:marLeft w:val="0"/>
      <w:marRight w:val="0"/>
      <w:marTop w:val="0"/>
      <w:marBottom w:val="0"/>
      <w:divBdr>
        <w:top w:val="none" w:sz="0" w:space="0" w:color="auto"/>
        <w:left w:val="none" w:sz="0" w:space="0" w:color="auto"/>
        <w:bottom w:val="none" w:sz="0" w:space="0" w:color="auto"/>
        <w:right w:val="none" w:sz="0" w:space="0" w:color="auto"/>
      </w:divBdr>
    </w:div>
    <w:div w:id="1152864320">
      <w:bodyDiv w:val="1"/>
      <w:marLeft w:val="0"/>
      <w:marRight w:val="0"/>
      <w:marTop w:val="0"/>
      <w:marBottom w:val="0"/>
      <w:divBdr>
        <w:top w:val="none" w:sz="0" w:space="0" w:color="auto"/>
        <w:left w:val="none" w:sz="0" w:space="0" w:color="auto"/>
        <w:bottom w:val="none" w:sz="0" w:space="0" w:color="auto"/>
        <w:right w:val="none" w:sz="0" w:space="0" w:color="auto"/>
      </w:divBdr>
      <w:divsChild>
        <w:div w:id="496308527">
          <w:marLeft w:val="1008"/>
          <w:marRight w:val="0"/>
          <w:marTop w:val="96"/>
          <w:marBottom w:val="0"/>
          <w:divBdr>
            <w:top w:val="none" w:sz="0" w:space="0" w:color="auto"/>
            <w:left w:val="none" w:sz="0" w:space="0" w:color="auto"/>
            <w:bottom w:val="none" w:sz="0" w:space="0" w:color="auto"/>
            <w:right w:val="none" w:sz="0" w:space="0" w:color="auto"/>
          </w:divBdr>
        </w:div>
      </w:divsChild>
    </w:div>
    <w:div w:id="1202091565">
      <w:bodyDiv w:val="1"/>
      <w:marLeft w:val="0"/>
      <w:marRight w:val="0"/>
      <w:marTop w:val="0"/>
      <w:marBottom w:val="0"/>
      <w:divBdr>
        <w:top w:val="none" w:sz="0" w:space="0" w:color="auto"/>
        <w:left w:val="none" w:sz="0" w:space="0" w:color="auto"/>
        <w:bottom w:val="none" w:sz="0" w:space="0" w:color="auto"/>
        <w:right w:val="none" w:sz="0" w:space="0" w:color="auto"/>
      </w:divBdr>
    </w:div>
    <w:div w:id="1251960989">
      <w:bodyDiv w:val="1"/>
      <w:marLeft w:val="0"/>
      <w:marRight w:val="0"/>
      <w:marTop w:val="0"/>
      <w:marBottom w:val="0"/>
      <w:divBdr>
        <w:top w:val="none" w:sz="0" w:space="0" w:color="auto"/>
        <w:left w:val="none" w:sz="0" w:space="0" w:color="auto"/>
        <w:bottom w:val="none" w:sz="0" w:space="0" w:color="auto"/>
        <w:right w:val="none" w:sz="0" w:space="0" w:color="auto"/>
      </w:divBdr>
    </w:div>
    <w:div w:id="14002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cao.int/safety/globaltracking/Documents/GADSS%20Concept%20of%20Operations%20-%20Version%206.0%20-%2007%20June%202017.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SOffice\Templates\PTC\Template%20P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20DC-BAAC-4B52-88FA-F20FBD60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PTC</Template>
  <TotalTime>0</TotalTime>
  <Pages>7</Pages>
  <Words>1607</Words>
  <Characters>10129</Characters>
  <Application>Microsoft Office Word</Application>
  <DocSecurity>0</DocSecurity>
  <Lines>84</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XXX(YY)XX - Source - Content</vt:lpstr>
      <vt:lpstr>XXX(YY)XX - Source - Content</vt:lpstr>
      <vt:lpstr>XXX(YY)XX - Source - Content</vt:lpstr>
    </vt:vector>
  </TitlesOfParts>
  <Manager>stella.lyubchenko@eco.cept.org</Manager>
  <Company>ECO</Company>
  <LinksUpToDate>false</LinksUpToDate>
  <CharactersWithSpaces>11713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subject>Draft CEPT Brief</dc:subject>
  <dc:creator>PTC-Secretary</dc:creator>
  <dc:description>Output CPG19-6</dc:description>
  <cp:lastModifiedBy>CPG</cp:lastModifiedBy>
  <cp:revision>3</cp:revision>
  <cp:lastPrinted>1901-01-01T00:00:00Z</cp:lastPrinted>
  <dcterms:created xsi:type="dcterms:W3CDTF">2018-12-05T16:18:00Z</dcterms:created>
  <dcterms:modified xsi:type="dcterms:W3CDTF">2018-12-10T13:32:00Z</dcterms:modified>
  <cp:category>protected templates</cp:category>
  <cp:contentStatus>Revision 16.05.2017</cp:contentStatus>
</cp:coreProperties>
</file>